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Welcome to the Download!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The goal of The Download is to keep everyone up to date on what is happening company wide.  With offices in two different cities, and many employees working offsite at a client location, it’s often hard to feel connected.  The Download is one </w:t>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way to let you know about things like office events, technology tips, new plans for training, progress on our bench projects or our latest wins on the sales front.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Thanks to the following folks who made this first issue happen by designing or writing or scheduling or just encouraging along the way.  Isaac Kim created the really beautiful banner that highlights both the Baltimore and Portland skylines (next issue Portland will be on top); Katy LaFrance designed and coded the newsletter template, found the icons and created and packaged up all of the html and images; writers extraordinaire Paige Lisk-Cox, Dave Pinkler, Marty Brandwin and Ken Coomes contributed their literary skills (with some editing assistance from Kevin Hutchcraft) and Marty Brandwin and Tori McClurg made sure it actually got sent out to everyone.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Fonts w:ascii="Trebuchet MS" w:cs="Trebuchet MS" w:eastAsia="Trebuchet MS" w:hAnsi="Trebuchet MS"/>
          <w:sz w:val="24"/>
          <w:szCs w:val="24"/>
          <w:rtl w:val="0"/>
        </w:rPr>
        <w:t xml:space="preserve">If you have any ideas for future topics, want to write an article for the next issue, or just want to let us know what you think, please send an email to thedownload@catalystdevworks.com.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