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Специальность 09.02.07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Информационные системы и программирование</w:t>
        <w:br/>
        <w:t>квалификация «Программист»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6"/>
          <w:szCs w:val="36"/>
        </w:rPr>
      </w:pPr>
      <w:r>
        <w:rPr>
          <w:caps/>
          <w:sz w:val="40"/>
          <w:szCs w:val="36"/>
        </w:rPr>
        <w:t>курсовая работа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ПО ПМ.01 «Разработка модулей программного обеспечения для компьютерных систем»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center"/>
        <w:rPr/>
      </w:pPr>
      <w:r>
        <w:rPr>
          <w:sz w:val="36"/>
          <w:szCs w:val="36"/>
        </w:rPr>
        <w:t>ТЕМА: «Разработка приложения для учета заявок по неисправностям техники в ГБУЗ РХ «АМКБ»»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left="6946"/>
        <w:jc w:val="both"/>
        <w:rPr/>
      </w:pPr>
      <w:r>
        <w:rPr/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Руководитель: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____________Д.С. Черкашин</w:t>
      </w:r>
    </w:p>
    <w:p>
      <w:pPr>
        <w:pStyle w:val="Normal"/>
        <w:ind w:firstLine="364" w:left="6237"/>
        <w:rPr>
          <w:color w:val="000000"/>
        </w:rPr>
      </w:pP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(оценка, дата)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Выполнил: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>
      <w:pPr>
        <w:pStyle w:val="Normal"/>
        <w:ind w:firstLine="392" w:left="6237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left="6237"/>
        <w:jc w:val="both"/>
        <w:rPr>
          <w:color w:val="000000"/>
        </w:rPr>
      </w:pPr>
      <w:r>
        <w:rPr>
          <w:color w:val="000000"/>
        </w:rPr>
        <w:t>________________</w:t>
      </w:r>
      <w:r>
        <w:rPr>
          <w:color w:val="000000"/>
          <w:u w:val="single"/>
        </w:rPr>
        <w:t>.</w:t>
      </w:r>
      <w:r>
        <w:rPr>
          <w:color w:val="000000"/>
        </w:rPr>
        <w:t>__________</w:t>
      </w:r>
    </w:p>
    <w:p>
      <w:pPr>
        <w:pStyle w:val="Normal"/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>
      <w:pPr>
        <w:pStyle w:val="Normal"/>
        <w:ind w:left="6521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ind w:left="6521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ind w:left="6521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Footer"/>
        <w:jc w:val="center"/>
        <w:rPr/>
      </w:pPr>
      <w:r>
        <w:rPr/>
        <w:t>Абакан 2025 г</w:t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Специальность 09.02.07 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Информационные системы и программирование </w:t>
        <w:br/>
        <w:t>квалификация «Программист»</w:t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jc w:val="center"/>
        <w:rPr/>
      </w:pPr>
      <w:r>
        <w:rPr/>
      </w:r>
    </w:p>
    <w:tbl>
      <w:tblPr>
        <w:tblW w:w="4646" w:type="dxa"/>
        <w:jc w:val="left"/>
        <w:tblInd w:w="49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46"/>
      </w:tblGrid>
      <w:tr>
        <w:trPr>
          <w:trHeight w:val="906" w:hRule="atLeast"/>
        </w:trPr>
        <w:tc>
          <w:tcPr>
            <w:tcW w:w="4646" w:type="dxa"/>
            <w:tcBorders/>
          </w:tcPr>
          <w:p>
            <w:pPr>
              <w:pStyle w:val="Normal"/>
              <w:rPr/>
            </w:pPr>
            <w:r>
              <w:rPr/>
              <w:t>Утверждаю:</w:t>
            </w:r>
          </w:p>
          <w:p>
            <w:pPr>
              <w:pStyle w:val="Normal"/>
              <w:rPr/>
            </w:pPr>
            <w:r>
              <w:rPr/>
              <w:t>Председатель П(Ц)К:</w:t>
            </w:r>
          </w:p>
          <w:p>
            <w:pPr>
              <w:pStyle w:val="Normal"/>
              <w:rPr/>
            </w:pPr>
            <w:r>
              <w:rPr/>
              <w:t xml:space="preserve">__________________ </w:t>
            </w:r>
            <w:r>
              <w:rPr>
                <w:u w:val="single"/>
              </w:rPr>
              <w:t>Гартман Е.П.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/>
              <w:t xml:space="preserve">       </w:t>
            </w:r>
            <w:r>
              <w:rPr>
                <w:sz w:val="16"/>
                <w:szCs w:val="16"/>
              </w:rPr>
              <w:t>(Подпись)</w:t>
            </w:r>
            <w:r>
              <w:rPr/>
              <w:t xml:space="preserve">                         </w:t>
            </w:r>
            <w:r>
              <w:rPr>
                <w:sz w:val="16"/>
                <w:szCs w:val="16"/>
              </w:rPr>
              <w:t>(ФИО)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/>
      </w:pPr>
      <w:bookmarkStart w:id="0" w:name="_Toc192767315"/>
      <w:bookmarkStart w:id="1" w:name="_Toc192767456"/>
      <w:r>
        <w:rPr/>
        <w:t>ЗАДАНИЕ</w:t>
      </w:r>
      <w:bookmarkEnd w:id="0"/>
      <w:bookmarkEnd w:id="1"/>
    </w:p>
    <w:p>
      <w:pPr>
        <w:pStyle w:val="Normal"/>
        <w:jc w:val="center"/>
        <w:rPr/>
      </w:pPr>
      <w:r>
        <w:rPr/>
        <w:t>Для выполнения курсовой работы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 ПМ 01 Разработка модулей программного обеспечения для компьютерных систем</w:t>
      </w:r>
    </w:p>
    <w:p>
      <w:pPr>
        <w:pStyle w:val="Normal"/>
        <w:rPr>
          <w:u w:val="single"/>
        </w:rPr>
      </w:pPr>
      <w:bookmarkStart w:id="2" w:name="_Toc192767316"/>
      <w:bookmarkStart w:id="3" w:name="_Toc192767457"/>
      <w:r>
        <w:rPr/>
        <w:t>Студента</w:t>
      </w:r>
      <w:bookmarkEnd w:id="2"/>
      <w:bookmarkEnd w:id="3"/>
      <w:r>
        <w:rPr/>
        <w:t xml:space="preserve"> </w:t>
      </w:r>
      <w:r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>
      <w:pPr>
        <w:pStyle w:val="Normal"/>
        <w:rPr/>
      </w:pPr>
      <w:bookmarkStart w:id="4" w:name="_Toc192767317"/>
      <w:bookmarkStart w:id="5" w:name="_Toc192767458"/>
      <w:r>
        <w:rPr/>
        <w:t>4 курса, группы ИС(ПРО)-41</w:t>
      </w:r>
      <w:bookmarkEnd w:id="4"/>
      <w:bookmarkEnd w:id="5"/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0"/>
        <w:ind w:hanging="360" w:left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Тема курсовой работы:</w:t>
      </w:r>
      <w:r>
        <w:rPr>
          <w:rFonts w:ascii="Times New Roman" w:hAnsi="Times New Roman"/>
          <w:u w:val="single"/>
        </w:rPr>
        <w:t>«Разработка приложения для учета заявок по неисправностям техники в ГБУЗ РХ «АМКБ»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40" w:before="0" w:after="0"/>
        <w:ind w:hanging="360" w:left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Структура и содержание курсовой работы.</w:t>
      </w:r>
    </w:p>
    <w:p>
      <w:pPr>
        <w:pStyle w:val="Normal"/>
        <w:jc w:val="both"/>
        <w:rPr/>
      </w:pPr>
      <w:bookmarkStart w:id="6" w:name="_Toc192767318"/>
      <w:r>
        <w:rPr/>
        <w:t>Введение</w:t>
      </w:r>
      <w:bookmarkEnd w:id="6"/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7" w:name="_Toc192767319"/>
      <w:r>
        <w:rPr/>
        <w:t>Общая часть</w:t>
      </w:r>
      <w:bookmarkEnd w:id="7"/>
    </w:p>
    <w:p>
      <w:pPr>
        <w:pStyle w:val="Normal"/>
        <w:jc w:val="both"/>
        <w:rPr/>
      </w:pPr>
      <w:r>
        <w:rPr/>
        <w:t>1.1 Описание проектируемой предметной области</w:t>
      </w:r>
    </w:p>
    <w:p>
      <w:pPr>
        <w:pStyle w:val="Normal"/>
        <w:jc w:val="both"/>
        <w:rPr/>
      </w:pPr>
      <w:bookmarkStart w:id="8" w:name="_Toc192767320"/>
      <w:r>
        <w:rPr/>
        <w:t>1.2 Анализ существующих решений</w:t>
      </w:r>
      <w:bookmarkEnd w:id="8"/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9" w:name="_Toc192767321"/>
      <w:r>
        <w:rPr/>
        <w:t>Анализ и проектирование</w:t>
      </w:r>
      <w:bookmarkEnd w:id="9"/>
      <w:r>
        <w:rPr/>
        <w:t xml:space="preserve"> </w:t>
      </w:r>
    </w:p>
    <w:p>
      <w:pPr>
        <w:pStyle w:val="Normal"/>
        <w:jc w:val="both"/>
        <w:rPr/>
      </w:pPr>
      <w:r>
        <w:rPr>
          <w:lang w:val="en-US"/>
        </w:rPr>
        <w:t xml:space="preserve">2.1 </w:t>
      </w:r>
      <w:r>
        <w:rPr/>
        <w:t>Проектирование функциональной архитектуры программного средства</w:t>
      </w:r>
    </w:p>
    <w:p>
      <w:pPr>
        <w:pStyle w:val="Normal"/>
        <w:jc w:val="both"/>
        <w:rPr/>
      </w:pPr>
      <w:r>
        <w:rPr>
          <w:lang w:val="en-US"/>
        </w:rPr>
        <w:t xml:space="preserve">2.2 </w:t>
      </w:r>
      <w:r>
        <w:rPr/>
        <w:t xml:space="preserve">Проектирование структуры базы данных </w:t>
      </w:r>
    </w:p>
    <w:p>
      <w:pPr>
        <w:pStyle w:val="Normal"/>
        <w:jc w:val="both"/>
        <w:rPr/>
      </w:pPr>
      <w:r>
        <w:rPr>
          <w:lang w:val="en-US"/>
        </w:rPr>
        <w:t xml:space="preserve">2.3 </w:t>
      </w:r>
      <w:r>
        <w:rPr/>
        <w:t>Формирование спецификации требований программного средства</w:t>
      </w:r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10" w:name="_Toc192767322"/>
      <w:r>
        <w:rPr/>
        <w:t>Разработка программного модуля</w:t>
      </w:r>
      <w:bookmarkEnd w:id="10"/>
      <w:r>
        <w:rPr/>
        <w:t xml:space="preserve"> </w:t>
      </w:r>
    </w:p>
    <w:p>
      <w:pPr>
        <w:pStyle w:val="Normal"/>
        <w:jc w:val="both"/>
        <w:rPr/>
      </w:pPr>
      <w:r>
        <w:rPr/>
        <w:t>3.1 Разработка объектов базы данных в выбранной СУБД</w:t>
      </w:r>
    </w:p>
    <w:p>
      <w:pPr>
        <w:pStyle w:val="Normal"/>
        <w:jc w:val="both"/>
        <w:rPr/>
      </w:pPr>
      <w:r>
        <w:rPr/>
        <w:t>3.2 Разработка функциональной архитектуры программного средства</w:t>
      </w:r>
    </w:p>
    <w:p>
      <w:pPr>
        <w:pStyle w:val="Normal"/>
        <w:numPr>
          <w:ilvl w:val="0"/>
          <w:numId w:val="9"/>
        </w:numPr>
        <w:ind w:hanging="426" w:left="426"/>
        <w:jc w:val="both"/>
        <w:rPr/>
      </w:pPr>
      <w:bookmarkStart w:id="11" w:name="_Toc192767323"/>
      <w:r>
        <w:rPr/>
        <w:t>Тестирование программного модуля</w:t>
      </w:r>
      <w:bookmarkEnd w:id="11"/>
    </w:p>
    <w:p>
      <w:pPr>
        <w:pStyle w:val="Normal"/>
        <w:jc w:val="both"/>
        <w:rPr/>
      </w:pPr>
      <w:r>
        <w:rPr/>
        <w:t>4.1 Разработка тест-кейсов</w:t>
      </w:r>
    </w:p>
    <w:p>
      <w:pPr>
        <w:pStyle w:val="Normal"/>
        <w:jc w:val="both"/>
        <w:rPr/>
      </w:pPr>
      <w:r>
        <w:rPr/>
        <w:t>4.2 Проведение модульного тестирования</w:t>
      </w:r>
    </w:p>
    <w:p>
      <w:pPr>
        <w:pStyle w:val="Normal"/>
        <w:jc w:val="both"/>
        <w:rPr/>
      </w:pPr>
      <w:bookmarkStart w:id="12" w:name="_Toc192767324"/>
      <w:r>
        <w:rPr/>
        <w:t>Заключение</w:t>
      </w:r>
      <w:bookmarkEnd w:id="12"/>
    </w:p>
    <w:p>
      <w:pPr>
        <w:pStyle w:val="Normal"/>
        <w:jc w:val="both"/>
        <w:rPr/>
      </w:pPr>
      <w:bookmarkStart w:id="13" w:name="_Toc192767325"/>
      <w:r>
        <w:rPr/>
        <w:t>Список использованных источников</w:t>
      </w:r>
      <w:bookmarkEnd w:id="13"/>
    </w:p>
    <w:p>
      <w:pPr>
        <w:pStyle w:val="Normal"/>
        <w:jc w:val="both"/>
        <w:rPr/>
      </w:pPr>
      <w:r>
        <w:rPr/>
        <w:t>Приложения</w:t>
      </w:r>
    </w:p>
    <w:p>
      <w:pPr>
        <w:pStyle w:val="Normal"/>
        <w:jc w:val="both"/>
        <w:rPr/>
      </w:pPr>
      <w:r>
        <w:rPr/>
        <w:t>Ссылка на систему контроля версий</w:t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 xml:space="preserve">Руководитель </w:t>
        <w:tab/>
        <w:tab/>
        <w:tab/>
        <w:tab/>
        <w:tab/>
        <w:t xml:space="preserve">               __________________    Черкашин С.Д.</w:t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</w:r>
      <w:r>
        <w:rPr>
          <w:color w:val="000000"/>
          <w:sz w:val="22"/>
          <w:szCs w:val="22"/>
          <w:vertAlign w:val="superscript"/>
        </w:rPr>
        <w:t>(подпись)</w:t>
      </w:r>
      <w:r>
        <w:rPr>
          <w:color w:val="000000"/>
          <w:sz w:val="22"/>
          <w:szCs w:val="22"/>
        </w:rPr>
        <w:tab/>
        <w:tab/>
        <w:tab/>
      </w:r>
      <w:r>
        <w:rPr>
          <w:color w:val="000000"/>
          <w:sz w:val="22"/>
          <w:szCs w:val="22"/>
          <w:vertAlign w:val="superscript"/>
        </w:rPr>
        <w:t>(ФИО)</w:t>
      </w:r>
    </w:p>
    <w:p>
      <w:pPr>
        <w:pStyle w:val="Normal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</w:r>
    </w:p>
    <w:p>
      <w:pPr>
        <w:pStyle w:val="Normal"/>
        <w:rPr>
          <w:color w:val="000000"/>
        </w:rPr>
      </w:pPr>
      <w:r>
        <w:rPr>
          <w:color w:val="000000"/>
          <w:sz w:val="22"/>
          <w:szCs w:val="22"/>
        </w:rPr>
        <w:t xml:space="preserve">Студент </w:t>
        <w:tab/>
        <w:tab/>
        <w:tab/>
        <w:tab/>
        <w:tab/>
        <w:tab/>
        <w:t xml:space="preserve"> ___________________   Мальцева А.А.</w:t>
      </w:r>
    </w:p>
    <w:p>
      <w:pPr>
        <w:pStyle w:val="Normal"/>
        <w:rPr>
          <w:color w:val="FFFFFF"/>
          <w:sz w:val="22"/>
          <w:szCs w:val="22"/>
          <w:vertAlign w:val="superscript"/>
        </w:rPr>
      </w:pP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</w:r>
      <w:r>
        <w:rPr>
          <w:color w:val="000000"/>
          <w:position w:val="-2"/>
          <w:sz w:val="22"/>
          <w:szCs w:val="22"/>
        </w:rPr>
        <w:t>(подпись)</w:t>
        <w:tab/>
        <w:tab/>
        <w:tab/>
        <w:t>(ФИО)</w:t>
      </w:r>
      <w:r>
        <w:rPr>
          <w:color w:val="FFFFFF"/>
          <w:position w:val="-2"/>
          <w:sz w:val="22"/>
          <w:szCs w:val="22"/>
        </w:rPr>
        <w:t>.</w:t>
      </w:r>
      <w:r>
        <w:br w:type="page"/>
      </w:r>
    </w:p>
    <w:p>
      <w:pPr>
        <w:pStyle w:val="Normal"/>
        <w:spacing w:lineRule="auto" w:line="360" w:before="113" w:after="0"/>
        <w:jc w:val="center"/>
        <w:rPr>
          <w:color w:val="FFFFFF"/>
          <w:sz w:val="22"/>
          <w:szCs w:val="22"/>
          <w:vertAlign w:val="superscript"/>
        </w:rPr>
      </w:pPr>
      <w:r>
        <w:rPr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r>
            <w:fldChar w:fldCharType="begin"/>
          </w:r>
          <w:r>
            <w:rPr>
              <w:webHidden/>
              <w:rStyle w:val="Style13"/>
            </w:rPr>
            <w:instrText xml:space="preserve"> TOC \z \o "1-9" \u \h</w:instrText>
          </w:r>
          <w:r>
            <w:rPr>
              <w:webHidden/>
              <w:rStyle w:val="Style13"/>
            </w:rPr>
            <w:fldChar w:fldCharType="separate"/>
          </w:r>
          <w:hyperlink w:anchor="__RefHeading___Toc1052_1288035551">
            <w:r>
              <w:rPr>
                <w:webHidden/>
                <w:rStyle w:val="Style13"/>
              </w:rPr>
              <w:t>1 Общая часть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54_1288035551">
            <w:r>
              <w:rPr>
                <w:webHidden/>
                <w:rStyle w:val="Style13"/>
                <w:i w:val="false"/>
              </w:rPr>
              <w:t xml:space="preserve">1.1 </w:t>
            </w:r>
            <w:r>
              <w:rPr>
                <w:rStyle w:val="Style13"/>
                <w:i w:val="false"/>
              </w:rPr>
              <w:t>Описание проектируемой предметной области</w:t>
            </w:r>
            <w:r>
              <w:rPr>
                <w:rStyle w:val="Style13"/>
              </w:rPr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56_1288035551">
            <w:r>
              <w:rPr>
                <w:webHidden/>
                <w:rStyle w:val="Style13"/>
                <w:i w:val="false"/>
              </w:rPr>
              <w:t>1.2 Анализ существующих решений</w:t>
            </w:r>
            <w:r>
              <w:rPr>
                <w:rStyle w:val="Style13"/>
              </w:rPr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58_1288035551">
            <w:r>
              <w:rPr>
                <w:webHidden/>
                <w:rStyle w:val="Style13"/>
                <w:i w:val="false"/>
              </w:rPr>
              <w:t>2.1 Проектирование функциональной архитектуры программного средства</w:t>
            </w:r>
            <w:r>
              <w:rPr>
                <w:rStyle w:val="Style13"/>
              </w:rPr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60_1288035551">
            <w:r>
              <w:rPr>
                <w:webHidden/>
                <w:rStyle w:val="Style13"/>
                <w:i w:val="false"/>
              </w:rPr>
              <w:t>2.2 Проектирование структуры базы данных</w:t>
            </w:r>
            <w:r>
              <w:rPr>
                <w:rStyle w:val="Style13"/>
              </w:rPr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62_1288035551">
            <w:r>
              <w:rPr>
                <w:webHidden/>
                <w:rStyle w:val="Style13"/>
                <w:i w:val="false"/>
              </w:rPr>
              <w:t>2.3 Формирование спецификации требований программного средства</w:t>
            </w:r>
            <w:r>
              <w:rPr>
                <w:rStyle w:val="Style13"/>
              </w:rPr>
              <w:tab/>
              <w:t>15</w:t>
            </w:r>
          </w:hyperlink>
        </w:p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hyperlink w:anchor="__RefHeading___Toc1064_1288035551">
            <w:r>
              <w:rPr>
                <w:webHidden/>
                <w:rStyle w:val="Style13"/>
              </w:rPr>
              <w:t>3 Разработка программного модуля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66_1288035551">
            <w:r>
              <w:rPr>
                <w:webHidden/>
                <w:rStyle w:val="Style13"/>
                <w:i w:val="false"/>
              </w:rPr>
              <w:t>3.1 Разработка объектов базы данных в выбранной СУБД</w:t>
            </w:r>
            <w:r>
              <w:rPr>
                <w:rStyle w:val="Style13"/>
              </w:rPr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68_1288035551">
            <w:r>
              <w:rPr>
                <w:webHidden/>
                <w:rStyle w:val="Style13"/>
                <w:i w:val="false"/>
              </w:rPr>
              <w:t>3.2 Разработка функциональной архитектуры программного средства</w:t>
            </w:r>
            <w:r>
              <w:rPr>
                <w:rStyle w:val="Style13"/>
              </w:rPr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hyperlink w:anchor="__RefHeading___Toc1070_1288035551">
            <w:r>
              <w:rPr>
                <w:webHidden/>
                <w:rStyle w:val="Style13"/>
              </w:rPr>
              <w:t>4 Тестирование программного модуля</w:t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72_1288035551">
            <w:r>
              <w:rPr>
                <w:webHidden/>
                <w:rStyle w:val="Style13"/>
                <w:i w:val="false"/>
              </w:rPr>
              <w:t>4.1 Разработка тест-кейсов</w:t>
            </w:r>
            <w:r>
              <w:rPr>
                <w:rStyle w:val="Style13"/>
              </w:rPr>
              <w:tab/>
              <w:t>16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074_1288035551">
            <w:r>
              <w:rPr>
                <w:webHidden/>
                <w:rStyle w:val="Style13"/>
                <w:i w:val="false"/>
              </w:rPr>
              <w:t>4.2 Проведение модульного тестирования</w:t>
            </w:r>
            <w:r>
              <w:rPr>
                <w:rStyle w:val="Style13"/>
              </w:rPr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hyperlink w:anchor="__RefHeading___Toc1076_1288035551">
            <w:r>
              <w:rPr>
                <w:webHidden/>
                <w:rStyle w:val="Style13"/>
              </w:rPr>
              <w:t>Заключение</w:t>
              <w:tab/>
              <w:t>17</w:t>
            </w:r>
          </w:hyperlink>
        </w:p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hyperlink w:anchor="__RefHeading___Toc1078_1288035551">
            <w:r>
              <w:rPr>
                <w:webHidden/>
                <w:rStyle w:val="Style13"/>
              </w:rPr>
              <w:t>Список использованных источников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752" w:leader="dot"/>
            </w:tabs>
            <w:rPr/>
          </w:pPr>
          <w:hyperlink w:anchor="__RefHeading___Toc1080_1288035551">
            <w:r>
              <w:rPr>
                <w:webHidden/>
                <w:rStyle w:val="Style13"/>
              </w:rPr>
              <w:t>Приложение А</w:t>
              <w:tab/>
              <w:t>19</w:t>
            </w:r>
          </w:hyperlink>
        </w:p>
        <w:p>
          <w:pPr>
            <w:pStyle w:val="TOC2"/>
            <w:tabs>
              <w:tab w:val="clear" w:pos="708"/>
              <w:tab w:val="right" w:pos="9752" w:leader="dot"/>
            </w:tabs>
            <w:rPr/>
          </w:pPr>
          <w:hyperlink w:anchor="__RefHeading___Toc1846_2175425561">
            <w:r>
              <w:rPr>
                <w:webHidden/>
                <w:rStyle w:val="Style13"/>
              </w:rPr>
              <w:t>Система контроля версий</w:t>
              <w:tab/>
              <w:t>19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right" w:pos="9742" w:leader="dot"/>
        </w:tabs>
        <w:jc w:val="center"/>
        <w:rPr>
          <w:b/>
          <w:bCs/>
        </w:rPr>
      </w:pPr>
      <w:r>
        <w:br w:type="page"/>
      </w:r>
      <w:r>
        <w:rPr>
          <w:b/>
          <w:bCs/>
          <w:caps/>
          <w:sz w:val="28"/>
          <w:szCs w:val="28"/>
        </w:rPr>
        <w:t>Введение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Данная курсовая работа является завершающим этапом МДК.01.01 «В Разработка модулей программного обеспечения для компьютерных систем».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Объект исследования: предметная область «Разработка приложения для учета заявок по неисправностям техники в ГБУЗ РХ «АМКБ»».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Предмет исследования: разработка объекта исследования ««Разработка приложения для учета заявок по неисправностям техники в ГБУЗ РХ «АМКБ»».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Основная цель — разработка и поддержка программного обеспечения учета заявок на исправление технических неисправностей техники.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Цели: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Выполнять разработку программного обеспечения учета заявок;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Выполнять отдельные виды работы на этапе разработки программного обеспечения учета заявок;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Модифицировать отдельные компоненты программного обеспечения в соответствии с требованиями заказчика;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/>
      </w:pPr>
      <w:r>
        <w:rPr>
          <w:rFonts w:eastAsia="Times New Roman" w:ascii="Times New Roman" w:hAnsi="Times New Roman"/>
          <w:sz w:val="24"/>
          <w:szCs w:val="24"/>
        </w:rPr>
        <w:t>Обеспечивать защиту программного обеспечения авторизацией базы данных.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Задачи: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Изучение проектируемой предметной области;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Анализировать существующие решения;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Проектировать функциональную архитектуру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Проектировать структуру базы данных;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Формировать спецификацию требований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Разрабатывать объекты базы данных;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Реализовывать функционал архитектуры программного средства;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/>
      </w:pPr>
      <w:r>
        <w:rPr>
          <w:rFonts w:eastAsia="Times New Roman" w:ascii="Times New Roman" w:hAnsi="Times New Roman"/>
          <w:sz w:val="24"/>
          <w:szCs w:val="24"/>
        </w:rPr>
        <w:t>Разрабатывать тест-кейсы;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right" w:pos="9742" w:leader="dot"/>
        </w:tabs>
        <w:spacing w:lineRule="auto" w:line="360" w:before="0" w:after="0"/>
        <w:ind w:hanging="360" w:left="1368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Проводить модульное тестирование;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В условиях цифровой трансформации современных предприятий и организаций эффективное управление внутренними процессами, включая техническое обслуживание и ремонт оборудования, становится ключевым фактором обеспечения непрерывности бизнес-процессов. Особенно остро эта задача стоит в компаниях, где парк техники значителен, а своевременное устранение неисправностей напрямую влияет на производительность труда сотрудников и качество предоставляемых услуг.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Курсовая работа состоит из: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Пояснительной записки.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Пояснительная записка включает следующие разделы - введение, общая часть, анализ и проектирование, реализация программного модуля, тестирование программного модуля, заключение, список использованных источников, приложения.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Раздел «Введение» содержит актуальность работы, цели, задачи, объекты исследования и предмет исследования предметной области.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Раздел «Общая часть» содержит описание проектируемой предметной области, обоснованной выбором темы, описанием бизнес –процессов, направленных на достижение поставленной цели. Перечень документов, лиц, их задачи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Раздел «Анализ и проектирование содержит информацию о проектировании функциональной архитектуры программного средства, включающую в себя описание функциональных задач, решаемых с помощью проектируемой системы или модуля с помощью диаграмм: диаграмма IDEF0, 0 и 1 уровней. Описание типа архитектуры, расположения уровня бизнес-логики, UML-диаграммы классов, диаграмма вариантов использования, диаграмма последовательности. Проектирование базы данных с помощью ER- диаграммы и формирование спецификации требований программного средства, указывая системные характеристики, пользовательские требования, бизнес-правила, функциональные требования.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Раздел «Реализация программного модуля» содержит информацию о разработке объектов базы данных в выбранной системе управления базой данных, включающую в себя писание объектов: таблиц, хранимых процедур, триггеров, представлений, функций, а также реализация функциональной архитектуры программного средства с разработкой форм, фрагментов программного кода и запросов.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Раздел «Тестирование программного модуля» содержит информацию о разработанных тест-кейсах с использованием специального инструментального средства для разработанного программного модуля с описанием и представленными тест-кейсами.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Список используемых источников состоит из 6 книг, 4 статей и 4 официальных документах по технологиям.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Заключение содержит итоги проведенной работы.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Пояснительная записка содержит следующие приложения: А – Система контроля версий.</w:t>
      </w:r>
    </w:p>
    <w:p>
      <w:pPr>
        <w:pStyle w:val="Normal"/>
        <w:tabs>
          <w:tab w:val="clear" w:pos="708"/>
          <w:tab w:val="right" w:pos="9742" w:leader="dot"/>
        </w:tabs>
        <w:spacing w:lineRule="auto" w:line="360"/>
        <w:ind w:firstLine="709"/>
        <w:jc w:val="both"/>
        <w:rPr/>
      </w:pPr>
      <w:r>
        <w:rPr/>
        <w:t>Пояснительная записка состоит из  стр,  рисунков,  таблиц.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lineRule="auto" w:line="360" w:before="0" w:after="240"/>
        <w:rPr>
          <w:caps/>
          <w:sz w:val="28"/>
        </w:rPr>
      </w:pPr>
      <w:bookmarkStart w:id="14" w:name="__RefHeading___Toc1052_1288035551"/>
      <w:bookmarkStart w:id="15" w:name="_Toc192767327"/>
      <w:bookmarkStart w:id="16" w:name="_Toc192767460"/>
      <w:bookmarkStart w:id="17" w:name="_Toc192767496"/>
      <w:bookmarkStart w:id="18" w:name="_Toc1587151272"/>
      <w:bookmarkEnd w:id="14"/>
      <w:r>
        <w:rPr>
          <w:caps/>
          <w:sz w:val="28"/>
          <w:lang w:val="en-US"/>
        </w:rPr>
        <w:t xml:space="preserve">1 </w:t>
      </w:r>
      <w:r>
        <w:rPr>
          <w:caps/>
          <w:sz w:val="28"/>
        </w:rPr>
        <w:t>Общая часть</w:t>
      </w:r>
      <w:bookmarkEnd w:id="15"/>
      <w:bookmarkEnd w:id="16"/>
      <w:bookmarkEnd w:id="17"/>
      <w:bookmarkEnd w:id="18"/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19" w:name="__RefHeading___Toc1054_1288035551"/>
      <w:bookmarkStart w:id="20" w:name="_Toc192767328"/>
      <w:bookmarkStart w:id="21" w:name="_Toc192767461"/>
      <w:bookmarkStart w:id="22" w:name="_Toc192767497"/>
      <w:bookmarkStart w:id="23" w:name="_Toc821780914"/>
      <w:bookmarkEnd w:id="19"/>
      <w:r>
        <w:rPr>
          <w:rFonts w:cs="Times New Roman" w:ascii="Times New Roman" w:hAnsi="Times New Roman"/>
          <w:i w:val="false"/>
          <w:lang w:val="en-US"/>
        </w:rPr>
        <w:t xml:space="preserve">1.1 </w:t>
      </w:r>
      <w:r>
        <w:rPr>
          <w:rFonts w:cs="Times New Roman" w:ascii="Times New Roman" w:hAnsi="Times New Roman"/>
          <w:i w:val="false"/>
        </w:rPr>
        <w:t>Описание проектируемой предметной области</w:t>
      </w:r>
      <w:bookmarkEnd w:id="20"/>
      <w:bookmarkEnd w:id="21"/>
      <w:bookmarkEnd w:id="22"/>
      <w:bookmarkEnd w:id="23"/>
    </w:p>
    <w:p>
      <w:pPr>
        <w:pStyle w:val="Normal"/>
        <w:spacing w:lineRule="auto" w:line="360"/>
        <w:ind w:firstLine="709"/>
        <w:jc w:val="both"/>
        <w:rPr/>
      </w:pPr>
      <w:r>
        <w:rPr/>
        <w:t>Выбор темы курсовой работы обусловлен необходимостью автоматизации одного из ключевых, но часто недооценённых бизнес-процессов в современной организации — учёта и обработки заявок на устранение неисправностей техники. В ходе производственной практики по профессиональному модулю ПМ.01 «Разработка модулей программного обеспечения для компьютерных систем» было выявлено, что в организации данный процесс осуществляется не системно: используются электронные таблицы, устные обращения через телефонию. Это приводит к потере заявок, дублированию обращений, отсутствию контроля сроков и снижению общей эффективности технической поддержки.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Разработка программного модуля, специализированного на управлении заявками на неисправности техники, позволяет не только устранить указанные недостатки, но и заложить основу для последующей интеграции в более масштабные системы управления ИТ-инфраструктурой. Таким образом, тема работы является практически значимой, соответствует требованиям современной инженерии программного обеспечения и отражает актуальные задачи цифровой трансформации внутренних процессов.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Бизнес-процессы по проектируемой предметной области: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Регистрация заявки: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Заказчик (сотрудник организации, который может как быть техником, так и не быть им) сообщает о неисправности техники, указывая: уникальный инвентарный номер оборудования, описание проблемы, свои ФИО, комментарий что не так с работой техники. Система автоматически фиксирует дату подачи заявки.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Приём и первичная обработка заявки: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Сотрудник технического отдела принимает заявку, проверяет корректность данных и назначает исполнителя.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Исполнение заявки: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Назначенный исполнитель выполняет диагностику и ремонт оборудования. По завершении он указывает статус выполнения, дату завершения и, если это необходимо,  комментарий.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Документы: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Заявка на ремонт техники - основной документ, фиксирующий факт обращения. Содержит: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ФИО заказчика;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Инвентарный номер;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Описание неисправности;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Дата регистрации;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Назначенный исполнитель;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Комментарий исполнителя;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Дата подачи заявки и дата выполнения.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Лица и роли, участвующие в экосистеме программного средства можно посмотреть в соответствии с таблицей 1.1.</w:t>
      </w:r>
    </w:p>
    <w:p>
      <w:pPr>
        <w:pStyle w:val="Normal"/>
        <w:spacing w:lineRule="auto" w:line="360"/>
        <w:jc w:val="both"/>
        <w:rPr/>
      </w:pPr>
      <w:r>
        <w:rPr/>
        <w:t>Таблица 1.1 - Перечень участников бизнес-процесса, их роли и задачи</w:t>
      </w:r>
    </w:p>
    <w:tbl>
      <w:tblPr>
        <w:tblStyle w:val="afe"/>
        <w:tblW w:w="97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043"/>
        <w:gridCol w:w="2282"/>
        <w:gridCol w:w="4425"/>
      </w:tblGrid>
      <w:tr>
        <w:trPr>
          <w:trHeight w:val="300" w:hRule="atLeast"/>
        </w:trPr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Участник</w:t>
            </w:r>
          </w:p>
        </w:tc>
        <w:tc>
          <w:tcPr>
            <w:tcW w:w="22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Роль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ru-RU" w:bidi="ar-SA"/>
              </w:rPr>
              <w:t>Основные задачи</w:t>
            </w:r>
          </w:p>
        </w:tc>
      </w:tr>
      <w:tr>
        <w:trPr>
          <w:trHeight w:val="300" w:hRule="atLeast"/>
        </w:trPr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Заказчик</w:t>
            </w:r>
          </w:p>
        </w:tc>
        <w:tc>
          <w:tcPr>
            <w:tcW w:w="22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Инициатор заявки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Подача заявки на ремонт, указание характеристик неисправности и данных об оборудовании.</w:t>
            </w:r>
          </w:p>
        </w:tc>
      </w:tr>
      <w:tr>
        <w:trPr>
          <w:trHeight w:val="525" w:hRule="atLeast"/>
        </w:trPr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Сотрудник технического отдела</w:t>
            </w:r>
          </w:p>
        </w:tc>
        <w:tc>
          <w:tcPr>
            <w:tcW w:w="22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Диспетчер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Приём, проверка и первичная обработка заявок, назначение исполнителя.</w:t>
            </w:r>
          </w:p>
        </w:tc>
      </w:tr>
      <w:tr>
        <w:trPr>
          <w:trHeight w:val="750" w:hRule="atLeast"/>
        </w:trPr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Исполнитель</w:t>
            </w:r>
          </w:p>
        </w:tc>
        <w:tc>
          <w:tcPr>
            <w:tcW w:w="22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Ответственный за ремонт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Диагностика, устранение неисправности, фиксация результата в системе</w:t>
            </w:r>
          </w:p>
        </w:tc>
      </w:tr>
      <w:tr>
        <w:trPr>
          <w:trHeight w:val="720" w:hRule="atLeast"/>
        </w:trPr>
        <w:tc>
          <w:tcPr>
            <w:tcW w:w="304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Руководитель технического отдела</w:t>
            </w:r>
          </w:p>
        </w:tc>
        <w:tc>
          <w:tcPr>
            <w:tcW w:w="22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Аналитик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bidi="ar-SA"/>
              </w:rPr>
              <w:t>Мониторинг исполнения заявок</w:t>
            </w:r>
          </w:p>
        </w:tc>
      </w:tr>
    </w:tbl>
    <w:p>
      <w:pPr>
        <w:pStyle w:val="Normal"/>
        <w:spacing w:lineRule="auto" w:line="360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24" w:name="__RefHeading___Toc1056_1288035551"/>
      <w:bookmarkStart w:id="25" w:name="_Toc309693084"/>
      <w:bookmarkEnd w:id="24"/>
      <w:r>
        <w:rPr>
          <w:rFonts w:cs="Times New Roman" w:ascii="Times New Roman" w:hAnsi="Times New Roman"/>
          <w:i w:val="false"/>
        </w:rPr>
        <w:t xml:space="preserve">1.2 </w:t>
      </w:r>
      <w:bookmarkStart w:id="26" w:name="_Toc192767329"/>
      <w:bookmarkStart w:id="27" w:name="_Toc192767462"/>
      <w:bookmarkStart w:id="28" w:name="_Toc192767498"/>
      <w:r>
        <w:rPr>
          <w:rFonts w:cs="Times New Roman" w:ascii="Times New Roman" w:hAnsi="Times New Roman"/>
          <w:i w:val="false"/>
        </w:rPr>
        <w:t>Анализ существующих решений</w:t>
      </w:r>
      <w:bookmarkEnd w:id="25"/>
      <w:bookmarkEnd w:id="26"/>
      <w:bookmarkEnd w:id="27"/>
      <w:bookmarkEnd w:id="28"/>
    </w:p>
    <w:p>
      <w:pPr>
        <w:pStyle w:val="Normal"/>
        <w:spacing w:lineRule="auto" w:line="360"/>
        <w:ind w:firstLine="709"/>
        <w:jc w:val="both"/>
        <w:rPr/>
      </w:pPr>
      <w:r>
        <w:rPr/>
        <w:t>Первым аналогом программного средства является GLPI. GLPI расшифровывается как Gestionnaire Libre de Parc Informatique (Свободный менеджер ИТ-парка) и представляет собой бесплатный программный пакет для управления активами и ИТ-инфраструктурой, который предоставляет функции службы поддержки ITIL, отслеживание лицензий и аудит программного обеспечения.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Основной функционал: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Обработка запросов;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инцидентами и проблемами;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Система управления активами и конфигурациями;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изменениями;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знаниями;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контрактами;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финансами ИТ-услуг;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инфраструктурой центров обработки данных;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программным обеспечением и лицензиями;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Разделение организаций;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проектами;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Планирование мероприятий;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Посмотреть панель ресурсов можно в соответствии с рисунком 1.1.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200650" cy="267208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7208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  <w:t>Рисунок 1.1 - панель ресурсов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Посмотреть панель мониторинга можно в соответствии с рисунком 1.2.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921250" cy="255905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5590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  <w:t>Рисунок 1.2 - панель мониторинга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Вторым аналогом программного средства является Freshservice. Freshservice — это облачная платформа управления ИТ-услугами ITSM, разработанная компанией Freshworks. Решение построено в соответствии с лучшими практиками ITIL и ориентировано на автоматизацию и упрощение процессов ИТ-поддержки, управления активами и обслуживания пользователей в организациях любого масштаба, являясь коммерческой платформой.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Ценовые категории: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1 085 руб. мес. - Для небольших команд, которые только начинают внедрять свою первую службу поддержки и отказываются от общих почтовых ящиков;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4 655 руб. мес. Для ИТ-команд, формирующих базовые практики, чтобы перейти от реактивной поддержки к упорядоченной и эффективной доставке услуг;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9 405 руб. мес. - Для зрелых команд, разрушающих информационные «острова» и объединяющих управление сервисами между разными подразделениями.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Осуществляемый функционал: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Обработка запросов через многофункциональный сервис-деск;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инцидентами, проблемами и изменениями по ITIL</w:t>
      </w:r>
      <w:bookmarkStart w:id="29" w:name="_GoBack"/>
      <w:bookmarkEnd w:id="29"/>
      <w:r>
        <w:rPr>
          <w:rFonts w:eastAsia="Times New Roman" w:ascii="Times New Roman" w:hAnsi="Times New Roman"/>
          <w:sz w:val="24"/>
          <w:szCs w:val="24"/>
        </w:rPr>
        <w:t>-методологии;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Полноценная система управления ИТ-активами (ITAM) с автоматическим обнаружением оборудования и ПО;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Каталог услуг для конечных пользователей с возможностью самообслуживания;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Гибкие SLA-политики с контролем сроков исполнения заявок;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База знаний Knowledge Base для быстрого поиска решений и снижения нагрузки на поддержку;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заявками по категориям: ИТ, HR, административные вопросы и др.;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Автоматизация рутинных задач с помощью правил и workflow-сценариев;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Интеграция с популярными инструментами Microsoft Teams, Slack, Google Workspace, Zoom, Active Directory;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Мобильное приложение для агентов и пользователей;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Аналитика и отчёты в реальном времени по ключевым метрикам поддержки;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Поддержка нескольких организаций Multi-Tenant в рамках одного аккаунта.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Посмотреть окно управления можно в соответствии с рисунком 1.3.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rPr/>
        <w:drawing>
          <wp:inline distT="0" distB="0" distL="0" distR="0">
            <wp:extent cx="4679950" cy="27432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7432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/>
        <w:t>Рисунок 1.3 - окно управления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LiveSklad — это российская облачная система управления сервисными центрами и мастерскими, ориентированная на учёт заявок на ремонт техники, управление сотрудниками и контроль выполнения работ. Система разработана для компаний, оказывающих техническое обслуживание оборудования, и позволяет эффективно организовывать внутренние и внешние сервисные процессы. Данный продукт подходит лишь частично к проектируемой области.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Система предлагается по подписке с тарифами от 900 руб. мес. для 2 сотрудников и 1 мастерской до 14 500 руб. мес. до 80 сотрудников и 20 мастерских, а также доступен бесплатный пробный период на 7 дней.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Основной функционал: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Приём и регистрация заявок на ремонт техники;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Учёт оборудования с привязкой к инвентарным номерам и типам устройств;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Назначение исполнителей (мастеров, инженеров) и распределение задач по мастерским;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Контроль сроков выполнения заявок и отслеживание статусов («в работе», «ожидает запчасти», «выполнено»);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Поддержка составных заявок с несколькими устройствами и неисправностями;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Управление штатом сотрудников и распределение ролей;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Организация работы нескольких мастерских (подразделений) в единой системе;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Ведение истории обращений по каждому устройству или клиенту;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Гибкая тарифная модель с учётом числа сотрудников и мастерских;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Возможность адаптации под внутренние процессы организации в том числе для ИТ-поддержки сотрудников.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Посмотреть окно управления можно в соответствии с рисунком 1.4.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rPr/>
        <w:drawing>
          <wp:inline distT="0" distB="0" distL="0" distR="0">
            <wp:extent cx="5163820" cy="237553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20" cy="23755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/>
      </w:pPr>
      <w:r>
        <w:rPr/>
        <w:t>Рисунок 1.4 - окно заказов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bookmarkStart w:id="30" w:name="_Toc192767330"/>
      <w:bookmarkStart w:id="31" w:name="_Toc192767463"/>
      <w:bookmarkStart w:id="32" w:name="_Toc192767499"/>
      <w:r>
        <w:rPr>
          <w:b/>
          <w:bCs/>
          <w:caps/>
          <w:sz w:val="28"/>
          <w:szCs w:val="28"/>
        </w:rPr>
        <w:t>2 Анализ и проектирование</w:t>
      </w:r>
      <w:bookmarkEnd w:id="30"/>
      <w:bookmarkEnd w:id="31"/>
      <w:bookmarkEnd w:id="32"/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33" w:name="__RefHeading___Toc1058_1288035551"/>
      <w:bookmarkStart w:id="34" w:name="_Toc556783649"/>
      <w:bookmarkEnd w:id="33"/>
      <w:r>
        <w:rPr>
          <w:rFonts w:cs="Times New Roman" w:ascii="Times New Roman" w:hAnsi="Times New Roman"/>
          <w:i w:val="false"/>
        </w:rPr>
        <w:t xml:space="preserve">2.1 </w:t>
      </w:r>
      <w:bookmarkStart w:id="35" w:name="_Toc192767464"/>
      <w:bookmarkStart w:id="36" w:name="_Toc192767500"/>
      <w:bookmarkStart w:id="37" w:name="_Toc192767331"/>
      <w:r>
        <w:rPr>
          <w:rFonts w:cs="Times New Roman" w:ascii="Times New Roman" w:hAnsi="Times New Roman"/>
          <w:i w:val="false"/>
        </w:rPr>
        <w:t>Проектирование функциональной архитектуры программного средства</w:t>
      </w:r>
      <w:bookmarkEnd w:id="34"/>
      <w:bookmarkEnd w:id="35"/>
      <w:bookmarkEnd w:id="36"/>
      <w:bookmarkEnd w:id="37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38" w:name="__RefHeading___Toc1060_1288035551"/>
      <w:bookmarkStart w:id="39" w:name="_Toc581154945"/>
      <w:bookmarkEnd w:id="38"/>
      <w:r>
        <w:rPr>
          <w:rFonts w:cs="Times New Roman" w:ascii="Times New Roman" w:hAnsi="Times New Roman"/>
          <w:i w:val="false"/>
        </w:rPr>
        <w:t xml:space="preserve">2.2 </w:t>
      </w:r>
      <w:bookmarkStart w:id="40" w:name="_Toc192767332"/>
      <w:bookmarkStart w:id="41" w:name="_Toc192767465"/>
      <w:bookmarkStart w:id="42" w:name="_Toc192767501"/>
      <w:r>
        <w:rPr>
          <w:rFonts w:cs="Times New Roman" w:ascii="Times New Roman" w:hAnsi="Times New Roman"/>
          <w:i w:val="false"/>
        </w:rPr>
        <w:t>Проектирование структуры базы данных</w:t>
      </w:r>
      <w:bookmarkEnd w:id="39"/>
      <w:bookmarkEnd w:id="40"/>
      <w:bookmarkEnd w:id="41"/>
      <w:bookmarkEnd w:id="42"/>
      <w:r>
        <w:rPr>
          <w:rFonts w:cs="Times New Roman" w:ascii="Times New Roman" w:hAnsi="Times New Roman"/>
          <w:i w:val="false"/>
        </w:rPr>
        <w:t xml:space="preserve"> 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ходе проектирования структуры базы данных была собрана ER-диаграмма для реализации учета заявок неисправностей с оборудованием в организации. Посмотреть детально ER-диаграмму можно в соответствии с рисунком 2..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2520" cy="4112260"/>
            <wp:effectExtent l="0" t="0" r="0" b="0"/>
            <wp:wrapTopAndBottom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16" t="-175" r="-116" b="-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1122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/>
        <w:t>Рисунок 2. — ER-диаграмма</w:t>
      </w:r>
    </w:p>
    <w:p>
      <w:pPr>
        <w:pStyle w:val="Normal"/>
        <w:spacing w:lineRule="auto" w:line="360"/>
        <w:ind w:firstLine="709"/>
        <w:jc w:val="center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  <w:t>ER-диаграмма состоит из 7 таблиц: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Должность включает в себя «ID» и «Наименование должности». «ID» — первичный ключ. Должность может быть как у одного, так и у нескольких сотрудников при этом, она обязательно есть.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Отдел включает в себя «ID» и «Наименование отдела». «ID» — первичный ключ. Отдел может включать в себя как одного, так и нескольких сотрудников, при этом обязательно привязаны к определенному отделу.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Кабинет состоит только из первичного ключа. Кабинет может быть выделен как одному, так и нескольким сотрудникам, и, обязательно выделен. В кабинете может быть одно оборудование, несколько или вообще не быть оборудования. 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Сотрудник состоит из следующих полей: «ИНН» - первичный ключ, «Номер телефона», «Фамилия», «Имя», «Отчество», «Должность» - внешний ключ, «Отдел» - внешний ключ, «Рабочее место» - внешний ключ. Сотруднику соответствуют только одна должность, один отдел и один кабинет и обязательно соответствует. Сотрудник может быть как заказчиком, так и техником в одном лице и быть в одном или нескольких листах заявки, при этом обязательно быть в листе заявки.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Оборудование состоит из «Инвентарного номера» - первичный ключ, «Закрепленный кабинет» - внешний ключ, «Тип» - внешний ключ, «Комплектация». Оборудованию соответствует только один кабинет, и только один тип, при этом, обязательно соответствует. Оборудование может быть как в одном листе заявки, так и в не скольких.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Лист заявки состоит из «Номер акта» - первичный ключ, «Заказчик» - внешний ключ, «Описание неисправности», «Дата регистрации», «Назначенный исполнитель» - внешний ключ, «Дата выполнения», «Оборудование» - внешний ключ, «Комментарий исполнителя». Листу заявки соответствует только один сотрудник, только один исполнитель и только одно оборудование.</w:t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43" w:name="__RefHeading___Toc1062_1288035551"/>
      <w:bookmarkStart w:id="44" w:name="_Toc655361585"/>
      <w:bookmarkEnd w:id="43"/>
      <w:r>
        <w:rPr>
          <w:rFonts w:cs="Times New Roman" w:ascii="Times New Roman" w:hAnsi="Times New Roman"/>
          <w:i w:val="false"/>
        </w:rPr>
        <w:t xml:space="preserve">2.3 </w:t>
      </w:r>
      <w:bookmarkStart w:id="45" w:name="_Toc192767333"/>
      <w:bookmarkStart w:id="46" w:name="_Toc192767466"/>
      <w:bookmarkStart w:id="47" w:name="_Toc192767502"/>
      <w:r>
        <w:rPr>
          <w:rFonts w:cs="Times New Roman" w:ascii="Times New Roman" w:hAnsi="Times New Roman"/>
          <w:i w:val="false"/>
        </w:rPr>
        <w:t>Формирование спецификации требований программного средства</w:t>
      </w:r>
      <w:bookmarkEnd w:id="44"/>
      <w:bookmarkEnd w:id="45"/>
      <w:bookmarkEnd w:id="46"/>
      <w:bookmarkEnd w:id="47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Heading1"/>
        <w:numPr>
          <w:ilvl w:val="0"/>
          <w:numId w:val="0"/>
        </w:numPr>
        <w:spacing w:lineRule="auto" w:line="360" w:before="240" w:after="240"/>
        <w:ind w:hanging="0" w:left="0"/>
        <w:rPr>
          <w:caps/>
          <w:sz w:val="28"/>
        </w:rPr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lineRule="auto" w:line="360" w:before="240" w:after="240"/>
        <w:rPr>
          <w:caps/>
          <w:sz w:val="28"/>
        </w:rPr>
      </w:pPr>
      <w:bookmarkStart w:id="48" w:name="__RefHeading___Toc1064_1288035551"/>
      <w:bookmarkStart w:id="49" w:name="_Toc192767503"/>
      <w:bookmarkStart w:id="50" w:name="_Toc192767334"/>
      <w:bookmarkStart w:id="51" w:name="_Toc192767467"/>
      <w:bookmarkStart w:id="52" w:name="_Toc522317531"/>
      <w:bookmarkEnd w:id="48"/>
      <w:r>
        <w:rPr>
          <w:caps/>
          <w:sz w:val="28"/>
        </w:rPr>
        <w:t>3 Разработка программного модуля</w:t>
      </w:r>
      <w:bookmarkEnd w:id="49"/>
      <w:bookmarkEnd w:id="50"/>
      <w:bookmarkEnd w:id="51"/>
      <w:bookmarkEnd w:id="52"/>
      <w:r>
        <w:rPr>
          <w:caps/>
          <w:sz w:val="28"/>
        </w:rPr>
        <w:t xml:space="preserve"> </w:t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53" w:name="__RefHeading___Toc1066_1288035551"/>
      <w:bookmarkStart w:id="54" w:name="_Toc1459103984"/>
      <w:bookmarkEnd w:id="53"/>
      <w:r>
        <w:rPr>
          <w:rFonts w:cs="Times New Roman" w:ascii="Times New Roman" w:hAnsi="Times New Roman"/>
          <w:i w:val="false"/>
        </w:rPr>
        <w:t xml:space="preserve">3.1 </w:t>
      </w:r>
      <w:bookmarkStart w:id="55" w:name="_Toc192767335"/>
      <w:bookmarkStart w:id="56" w:name="_Toc192767468"/>
      <w:bookmarkStart w:id="57" w:name="_Toc192767504"/>
      <w:r>
        <w:rPr>
          <w:rFonts w:cs="Times New Roman" w:ascii="Times New Roman" w:hAnsi="Times New Roman"/>
          <w:i w:val="false"/>
        </w:rPr>
        <w:t>Разработка объектов базы данных в выбранной СУБД</w:t>
      </w:r>
      <w:bookmarkEnd w:id="54"/>
      <w:bookmarkEnd w:id="55"/>
      <w:bookmarkEnd w:id="56"/>
      <w:bookmarkEnd w:id="57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58" w:name="__RefHeading___Toc1068_1288035551"/>
      <w:bookmarkStart w:id="59" w:name="_Toc1526728651"/>
      <w:bookmarkEnd w:id="58"/>
      <w:r>
        <w:rPr>
          <w:rFonts w:cs="Times New Roman" w:ascii="Times New Roman" w:hAnsi="Times New Roman"/>
          <w:i w:val="false"/>
        </w:rPr>
        <w:t xml:space="preserve">3.2 </w:t>
      </w:r>
      <w:bookmarkStart w:id="60" w:name="_Toc192767336"/>
      <w:bookmarkStart w:id="61" w:name="_Toc192767469"/>
      <w:bookmarkStart w:id="62" w:name="_Toc192767505"/>
      <w:r>
        <w:rPr>
          <w:rFonts w:cs="Times New Roman" w:ascii="Times New Roman" w:hAnsi="Times New Roman"/>
          <w:i w:val="false"/>
        </w:rPr>
        <w:t>Разработка функциональной архитектуры программного средства</w:t>
      </w:r>
      <w:bookmarkEnd w:id="59"/>
      <w:bookmarkEnd w:id="60"/>
      <w:bookmarkEnd w:id="61"/>
      <w:bookmarkEnd w:id="62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Heading1"/>
        <w:numPr>
          <w:ilvl w:val="0"/>
          <w:numId w:val="7"/>
        </w:numPr>
        <w:spacing w:lineRule="auto" w:line="360" w:before="240" w:after="240"/>
        <w:rPr>
          <w:caps/>
          <w:sz w:val="28"/>
        </w:rPr>
      </w:pPr>
      <w:bookmarkStart w:id="63" w:name="__RefHeading___Toc1070_1288035551"/>
      <w:bookmarkStart w:id="64" w:name="_Toc192767337"/>
      <w:bookmarkStart w:id="65" w:name="_Toc192767470"/>
      <w:bookmarkStart w:id="66" w:name="_Toc192767506"/>
      <w:bookmarkStart w:id="67" w:name="_Toc2029306423"/>
      <w:bookmarkEnd w:id="63"/>
      <w:r>
        <w:rPr>
          <w:caps/>
          <w:sz w:val="28"/>
        </w:rPr>
        <w:t>4 Тестирование программного модуля</w:t>
      </w:r>
      <w:bookmarkEnd w:id="64"/>
      <w:bookmarkEnd w:id="65"/>
      <w:bookmarkEnd w:id="66"/>
      <w:bookmarkEnd w:id="67"/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</w:rPr>
      </w:pPr>
      <w:bookmarkStart w:id="68" w:name="__RefHeading___Toc1072_1288035551"/>
      <w:bookmarkStart w:id="69" w:name="_Toc1691673834"/>
      <w:bookmarkEnd w:id="68"/>
      <w:r>
        <w:rPr>
          <w:rFonts w:cs="Times New Roman" w:ascii="Times New Roman" w:hAnsi="Times New Roman"/>
          <w:i w:val="false"/>
        </w:rPr>
        <w:t xml:space="preserve">4.1 </w:t>
      </w:r>
      <w:bookmarkStart w:id="70" w:name="_Toc192767471"/>
      <w:bookmarkStart w:id="71" w:name="_Toc192767507"/>
      <w:bookmarkStart w:id="72" w:name="_Toc192767338"/>
      <w:r>
        <w:rPr>
          <w:rFonts w:cs="Times New Roman" w:ascii="Times New Roman" w:hAnsi="Times New Roman"/>
          <w:i w:val="false"/>
        </w:rPr>
        <w:t>Разработка тест-кейсов</w:t>
      </w:r>
      <w:bookmarkEnd w:id="69"/>
      <w:bookmarkEnd w:id="70"/>
      <w:bookmarkEnd w:id="71"/>
      <w:bookmarkEnd w:id="72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Heading2"/>
        <w:numPr>
          <w:ilvl w:val="1"/>
          <w:numId w:val="7"/>
        </w:numPr>
        <w:spacing w:lineRule="auto" w:line="360" w:before="240" w:after="240"/>
        <w:jc w:val="both"/>
        <w:rPr>
          <w:rFonts w:ascii="Times New Roman" w:hAnsi="Times New Roman" w:cs="Times New Roman"/>
          <w:i w:val="false"/>
          <w:i w:val="false"/>
          <w:sz w:val="22"/>
          <w:szCs w:val="22"/>
        </w:rPr>
      </w:pPr>
      <w:bookmarkStart w:id="73" w:name="__RefHeading___Toc1074_1288035551"/>
      <w:bookmarkStart w:id="74" w:name="_Toc1947498387"/>
      <w:bookmarkEnd w:id="73"/>
      <w:r>
        <w:rPr>
          <w:rFonts w:cs="Times New Roman" w:ascii="Times New Roman" w:hAnsi="Times New Roman"/>
          <w:i w:val="false"/>
        </w:rPr>
        <w:t xml:space="preserve">4.2 </w:t>
      </w:r>
      <w:bookmarkStart w:id="75" w:name="_Toc192767339"/>
      <w:bookmarkStart w:id="76" w:name="_Toc192767472"/>
      <w:bookmarkStart w:id="77" w:name="_Toc192767508"/>
      <w:r>
        <w:rPr>
          <w:rFonts w:cs="Times New Roman" w:ascii="Times New Roman" w:hAnsi="Times New Roman"/>
          <w:i w:val="false"/>
        </w:rPr>
        <w:t>Проведение модульного тестирования</w:t>
      </w:r>
      <w:bookmarkEnd w:id="74"/>
      <w:bookmarkEnd w:id="75"/>
      <w:bookmarkEnd w:id="76"/>
      <w:bookmarkEnd w:id="77"/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spacing w:lineRule="auto" w:line="360" w:before="240" w:after="240"/>
        <w:rPr>
          <w:caps/>
          <w:sz w:val="28"/>
        </w:rPr>
      </w:pPr>
      <w:bookmarkStart w:id="78" w:name="__RefHeading___Toc1076_1288035551"/>
      <w:bookmarkStart w:id="79" w:name="_Toc192767340"/>
      <w:bookmarkStart w:id="80" w:name="_Toc192767473"/>
      <w:bookmarkStart w:id="81" w:name="_Toc192767509"/>
      <w:bookmarkStart w:id="82" w:name="_Toc710051062"/>
      <w:bookmarkEnd w:id="78"/>
      <w:r>
        <w:rPr>
          <w:caps/>
          <w:sz w:val="28"/>
        </w:rPr>
        <w:t>Заключение</w:t>
      </w:r>
      <w:bookmarkEnd w:id="79"/>
      <w:bookmarkEnd w:id="80"/>
      <w:bookmarkEnd w:id="81"/>
      <w:bookmarkEnd w:id="82"/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В ходе выполнения курсовой работы по МДК 01.01 «Разработка модулей программного обеспечения для компьютерных систем» была успешно решена задача </w:t>
      </w:r>
      <w:r>
        <w:rPr/>
        <w:t>р</w:t>
      </w:r>
      <w:r>
        <w:rPr/>
        <w:t>азработк</w:t>
      </w:r>
      <w:r>
        <w:rPr/>
        <w:t>и</w:t>
      </w:r>
      <w:r>
        <w:rPr/>
        <w:t xml:space="preserve"> приложения для учета заявок по неисправностям техники в ГБУЗ РХ «АМКБ».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Были решены следующие задачи</w:t>
      </w:r>
      <w:r>
        <w:rPr/>
        <w:t>: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Изучена предметная область и проанализированы существующие решения по учёту технических неисправностей;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Спроектирована функциональная архитектура программного средства;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Разработана структура базы данных;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Сформирована спецификация требований к программному средству, фиксирующая функциональные и нефункциональные характеристики системы;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Реализованы объекты базы данных и основной функционал приложения;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Разработаны тест-кейсы и проведено модульное тестирование;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ru-RU" w:eastAsia="zh-CN" w:bidi="ar-SA"/>
        </w:rPr>
        <w:t>Обеспечена защита программного обеспечения посредством реализации механизма авторизации базы данных;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Достигнутые результаты полностью соответствуют поставленной цели — созданию и поддержке программного обеспечения для учёта заявок на исправление технических неисправностей. Разработанное приложение позволяет автоматизировать ключевые процессы, сократить время обработки заявок и повысить прозрачность взаимодействия между подразделениями ГБУЗ РХ «АМКБ».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курсовая работа продемонстрировала не только теоретическую подготовку, но и практические навыки в области проектирования, разработки и тестирования программного обеспечения. Полученные результаты могут служить основой для дальнейшего развития системы, включая добавление новых функциональных модулей и интеграцию с другими информационными системами учреждения.</w:t>
      </w:r>
      <w:r>
        <w:br w:type="page"/>
      </w:r>
    </w:p>
    <w:p>
      <w:pPr>
        <w:pStyle w:val="Heading1"/>
        <w:numPr>
          <w:ilvl w:val="0"/>
          <w:numId w:val="7"/>
        </w:numPr>
        <w:spacing w:lineRule="auto" w:line="360" w:before="240" w:after="240"/>
        <w:rPr>
          <w:caps/>
          <w:sz w:val="28"/>
        </w:rPr>
      </w:pPr>
      <w:bookmarkStart w:id="83" w:name="__RefHeading___Toc1078_1288035551"/>
      <w:bookmarkStart w:id="84" w:name="_Toc192767341"/>
      <w:bookmarkStart w:id="85" w:name="_Toc192767474"/>
      <w:bookmarkStart w:id="86" w:name="_Toc192767510"/>
      <w:bookmarkStart w:id="87" w:name="_Toc1067839410"/>
      <w:bookmarkEnd w:id="83"/>
      <w:r>
        <w:rPr>
          <w:caps/>
          <w:sz w:val="28"/>
        </w:rPr>
        <w:t>Список использованных источников</w:t>
      </w:r>
      <w:bookmarkEnd w:id="84"/>
      <w:bookmarkEnd w:id="85"/>
      <w:bookmarkEnd w:id="86"/>
      <w:bookmarkEnd w:id="87"/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Соммервилл И. Проектирование программного обеспечения: пер. с англ. — 10-е изд. — М.: Вильямс, 2022. — 784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Буч Г., Рамбо Дж., Якобсон И. Язык UML. Руководство пользователя: пер. с англ. — 2-е изд. — М.: ДМК Пресс, 2020. — 496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Коннелли Дж. Реляционные базы данных: теория и практика: пер. с англ. — М.: Вильямс, 2019. — 416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Глушаков С.В., Ломотько Д.В. Проектирование информационных систем. — Харьков: Фолио, 2004. — 432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Маклаков С.В. BPwin и ERwin. CASE-средства разработки информационных систем. — М.: Диалог-МИФИ, 2003. — 320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Орлов С.А., Цилькер Б.Я. Технологии разработки программного обеспечения. — 3-е изд., испр. — СПб.: Питер, 2020. — 608 с.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Маклаков С.В. Моделирование бизнес-процессов с использованием IDEF0 // Компьютерные инструменты в образовании. — 2002. — № 2. — С. 45–58.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Шабанов Д.А., Симонов А.А. Подходы к проектированию архитектуры информационных систем // Вестник ЮУрГУ. Серия «Вычислительная математика и информатика». — 2018. — Т. 7, № 3. — С. 82–95.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Davis A.M. Software Requirements: Objects, Functions, and States // Communications of the ACM. — 1993. — Vol. 36, № 3. — P. 68–83.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Yourdon E. Modern Structured Analysis: A Retrospective // IEEE Software. — 1988. — Vol. 5, № 6. — P. 11–18.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Django Documentation [Электронный ресурс]. — URL: https://docs.djangoproject.com/ (дата обращения: 23.01.2026).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PostgreSQL Documentation [Электронный ресурс]. — URL: https://www.postgresql.org/docs/ (дата обращения: 06.03.2026).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UML Specification. Version 2.5.1 / Object Management Group (OMG) [</w:t>
      </w:r>
      <w:r>
        <w:rPr>
          <w:rFonts w:eastAsia="Times New Roman" w:ascii="Times New Roman" w:hAnsi="Times New Roman"/>
          <w:sz w:val="24"/>
          <w:szCs w:val="24"/>
        </w:rPr>
        <w:t>Электронный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ресурс</w:t>
      </w:r>
      <w:r>
        <w:rPr>
          <w:rFonts w:eastAsia="Times New Roman" w:ascii="Times New Roman" w:hAnsi="Times New Roman"/>
          <w:sz w:val="24"/>
          <w:szCs w:val="24"/>
          <w:lang w:val="en-US"/>
        </w:rPr>
        <w:t>]. — URL: https://www.omg.org/spec/UML/ (</w:t>
      </w:r>
      <w:r>
        <w:rPr>
          <w:rFonts w:eastAsia="Times New Roman" w:ascii="Times New Roman" w:hAnsi="Times New Roman"/>
          <w:sz w:val="24"/>
          <w:szCs w:val="24"/>
        </w:rPr>
        <w:t>дата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обращения</w:t>
      </w:r>
      <w:r>
        <w:rPr>
          <w:rFonts w:eastAsia="Times New Roman" w:ascii="Times New Roman" w:hAnsi="Times New Roman"/>
          <w:sz w:val="24"/>
          <w:szCs w:val="24"/>
          <w:lang w:val="en-US"/>
        </w:rPr>
        <w:t>: 19.12.2025).</w:t>
      </w:r>
    </w:p>
    <w:p>
      <w:pPr>
        <w:pStyle w:val="ListParagraph"/>
        <w:numPr>
          <w:ilvl w:val="0"/>
          <w:numId w:val="5"/>
        </w:numPr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 xml:space="preserve">0 </w:t>
      </w:r>
      <w:r>
        <w:rPr>
          <w:rFonts w:eastAsia="Times New Roman" w:ascii="Times New Roman" w:hAnsi="Times New Roman"/>
          <w:sz w:val="24"/>
          <w:szCs w:val="24"/>
          <w:lang w:val="en-US"/>
        </w:rPr>
        <w:t>Standard</w:t>
      </w:r>
      <w:r>
        <w:rPr>
          <w:rFonts w:eastAsia="Times New Roman" w:ascii="Times New Roman" w:hAnsi="Times New Roman"/>
          <w:sz w:val="24"/>
          <w:szCs w:val="24"/>
        </w:rPr>
        <w:t xml:space="preserve"> (</w:t>
      </w:r>
      <w:r>
        <w:rPr>
          <w:rFonts w:eastAsia="Times New Roman" w:ascii="Times New Roman" w:hAnsi="Times New Roman"/>
          <w:sz w:val="24"/>
          <w:szCs w:val="24"/>
          <w:lang w:val="en-US"/>
        </w:rPr>
        <w:t>FIPS</w:t>
      </w:r>
      <w:r>
        <w:rPr>
          <w:rFonts w:eastAsia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  <w:lang w:val="en-US"/>
        </w:rPr>
        <w:t>PUB</w:t>
      </w:r>
      <w:r>
        <w:rPr>
          <w:rFonts w:eastAsia="Times New Roman" w:ascii="Times New Roman" w:hAnsi="Times New Roman"/>
          <w:sz w:val="24"/>
          <w:szCs w:val="24"/>
        </w:rPr>
        <w:t xml:space="preserve"> 183) [Электронный ресурс]. — </w:t>
      </w:r>
      <w:r>
        <w:rPr>
          <w:rFonts w:eastAsia="Times New Roman" w:ascii="Times New Roman" w:hAnsi="Times New Roman"/>
          <w:sz w:val="24"/>
          <w:szCs w:val="24"/>
          <w:lang w:val="en-US"/>
        </w:rPr>
        <w:t>URL</w:t>
      </w:r>
      <w:r>
        <w:rPr>
          <w:rFonts w:eastAsia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ascii="Times New Roman" w:hAnsi="Times New Roman"/>
          <w:sz w:val="24"/>
          <w:szCs w:val="24"/>
          <w:lang w:val="en-US"/>
        </w:rPr>
        <w:t>https</w:t>
      </w:r>
      <w:r>
        <w:rPr>
          <w:rFonts w:eastAsia="Times New Roman" w:ascii="Times New Roman" w:hAnsi="Times New Roman"/>
          <w:sz w:val="24"/>
          <w:szCs w:val="24"/>
        </w:rPr>
        <w:t>://</w:t>
      </w:r>
      <w:r>
        <w:rPr>
          <w:rFonts w:eastAsia="Times New Roman" w:ascii="Times New Roman" w:hAnsi="Times New Roman"/>
          <w:sz w:val="24"/>
          <w:szCs w:val="24"/>
          <w:lang w:val="en-US"/>
        </w:rPr>
        <w:t>www</w:t>
      </w:r>
      <w:r>
        <w:rPr>
          <w:rFonts w:eastAsia="Times New Roman" w:ascii="Times New Roman" w:hAnsi="Times New Roman"/>
          <w:sz w:val="24"/>
          <w:szCs w:val="24"/>
        </w:rPr>
        <w:t>.</w:t>
      </w: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>.</w:t>
      </w:r>
      <w:r>
        <w:rPr>
          <w:rFonts w:eastAsia="Times New Roman" w:ascii="Times New Roman" w:hAnsi="Times New Roman"/>
          <w:sz w:val="24"/>
          <w:szCs w:val="24"/>
          <w:lang w:val="en-US"/>
        </w:rPr>
        <w:t>com</w:t>
      </w:r>
      <w:r>
        <w:rPr>
          <w:rFonts w:eastAsia="Times New Roman" w:ascii="Times New Roman" w:hAnsi="Times New Roman"/>
          <w:sz w:val="24"/>
          <w:szCs w:val="24"/>
        </w:rPr>
        <w:t>/</w:t>
      </w:r>
      <w:r>
        <w:rPr>
          <w:rFonts w:eastAsia="Times New Roman" w:ascii="Times New Roman" w:hAnsi="Times New Roman"/>
          <w:sz w:val="24"/>
          <w:szCs w:val="24"/>
          <w:lang w:val="en-US"/>
        </w:rPr>
        <w:t>idef</w:t>
      </w:r>
      <w:r>
        <w:rPr>
          <w:rFonts w:eastAsia="Times New Roman" w:ascii="Times New Roman" w:hAnsi="Times New Roman"/>
          <w:sz w:val="24"/>
          <w:szCs w:val="24"/>
        </w:rPr>
        <w:t>0/ (дата обращения: 10.04.2026).</w:t>
      </w:r>
    </w:p>
    <w:p>
      <w:pPr>
        <w:pStyle w:val="ListParagraph"/>
        <w:spacing w:lineRule="auto" w:line="360"/>
        <w:ind w:hanging="360" w:left="1368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Heading1"/>
        <w:numPr>
          <w:ilvl w:val="0"/>
          <w:numId w:val="7"/>
        </w:numPr>
        <w:spacing w:lineRule="auto" w:line="360" w:before="240" w:after="240"/>
        <w:rPr>
          <w:caps/>
          <w:sz w:val="28"/>
        </w:rPr>
      </w:pPr>
      <w:bookmarkStart w:id="88" w:name="__RefHeading___Toc1080_1288035551"/>
      <w:bookmarkStart w:id="89" w:name="_Toc192767342"/>
      <w:bookmarkStart w:id="90" w:name="_Toc192767475"/>
      <w:bookmarkStart w:id="91" w:name="_Toc192767511"/>
      <w:bookmarkStart w:id="92" w:name="_Toc655720913"/>
      <w:bookmarkEnd w:id="88"/>
      <w:r>
        <w:rPr>
          <w:caps/>
          <w:sz w:val="28"/>
        </w:rPr>
        <w:t>П</w:t>
      </w:r>
      <w:r>
        <w:rPr>
          <w:caps/>
          <w:sz w:val="28"/>
        </w:rPr>
        <w:t>риложение</w:t>
      </w:r>
      <w:r>
        <w:rPr>
          <w:caps/>
          <w:sz w:val="28"/>
        </w:rPr>
        <w:t xml:space="preserve"> А</w:t>
      </w:r>
      <w:bookmarkEnd w:id="89"/>
      <w:bookmarkEnd w:id="90"/>
      <w:bookmarkEnd w:id="91"/>
      <w:bookmarkEnd w:id="92"/>
    </w:p>
    <w:p>
      <w:pPr>
        <w:pStyle w:val="Heading2"/>
        <w:numPr>
          <w:ilvl w:val="1"/>
          <w:numId w:val="7"/>
        </w:numPr>
        <w:ind w:hanging="0" w:left="0"/>
        <w:jc w:val="center"/>
        <w:rPr>
          <w:rFonts w:ascii="Times New Roman" w:hAnsi="Times New Roman" w:eastAsia="Times New Roman" w:cs="Times New Roman"/>
          <w:b/>
          <w:i w:val="false"/>
          <w:i w:val="false"/>
          <w:iCs w:val="false"/>
          <w:caps/>
          <w:color w:val="auto"/>
          <w:kern w:val="0"/>
          <w:sz w:val="28"/>
          <w:szCs w:val="28"/>
          <w:lang w:val="ru-RU" w:eastAsia="zh-CN" w:bidi="ar-SA"/>
        </w:rPr>
      </w:pPr>
      <w:bookmarkStart w:id="93" w:name="__RefHeading___Toc1846_2175425561"/>
      <w:bookmarkEnd w:id="93"/>
      <w:r>
        <w:rPr>
          <w:rFonts w:eastAsia="Times New Roman" w:cs="Times New Roman" w:ascii="Times New Roman" w:hAnsi="Times New Roman"/>
          <w:b/>
          <w:i w:val="false"/>
          <w:iCs w:val="false"/>
          <w:caps/>
          <w:color w:val="auto"/>
          <w:kern w:val="0"/>
          <w:sz w:val="28"/>
          <w:szCs w:val="28"/>
          <w:lang w:val="ru-RU" w:eastAsia="zh-CN" w:bidi="ar-SA"/>
        </w:rPr>
        <w:t>Система контроля версий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>
          <w:smallCaps/>
          <w:color w:themeColor="text1" w:val="000000"/>
          <w:sz w:val="28"/>
          <w:szCs w:val="28"/>
        </w:rPr>
        <w:t>ГОСУДАРСТВЕННОЕ БЮДЖЕТНОЕ УЧЕРЕЖДЕНИЕ ЗДРАВООХРАНЕНИЯ РЕСПУБЛИКИ ХАКАСИЯ</w:t>
      </w:r>
    </w:p>
    <w:p>
      <w:pPr>
        <w:pStyle w:val="Normal"/>
        <w:spacing w:before="240" w:after="0"/>
        <w:jc w:val="center"/>
        <w:rPr/>
      </w:pPr>
      <w:r>
        <w:rPr>
          <w:smallCaps/>
          <w:color w:themeColor="text1" w:val="000000"/>
          <w:sz w:val="28"/>
          <w:szCs w:val="28"/>
        </w:rPr>
        <w:t>«АБАКАНСКАЯ МЕЖРАЙОНАЯ КЛИНИЧЕСКАЯ БОЛЬНИЦА»</w:t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bidi w:val="1"/>
        <w:spacing w:before="24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КОНТРОЛЯ ВЕРСИЙ</w:t>
      </w:r>
    </w:p>
    <w:p>
      <w:pPr>
        <w:pStyle w:val="Normal"/>
        <w:spacing w:before="240" w:after="0"/>
        <w:jc w:val="center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lang w:val="en-US"/>
        </w:rPr>
      </w:pPr>
      <w:r>
        <w:rPr>
          <w:lang w:val="en-US"/>
        </w:rPr>
        <w:t>GIT - https://github.com/SnezhiK000/Accounting_equipment_requests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474" w:right="680" w:gutter="0" w:header="0" w:top="1021" w:footer="709" w:bottom="1021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>
        <w:dstrike w:val="false"/>
        <w:strike w:val="fals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hanging="0"/>
      </w:pPr>
      <w:rPr>
        <w:dstrike w:val="false"/>
        <w:strike w:val="false"/>
      </w:rPr>
    </w:lvl>
  </w:abstractNum>
  <w:abstractNum w:abstractNumId="10">
    <w:lvl w:ilvl="0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gutterAtTop/>
  <w:embedSystemFont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7"/>
      </w:numPr>
      <w:tabs>
        <w:tab w:val="clear" w:pos="708"/>
        <w:tab w:val="left" w:pos="0" w:leader="none"/>
      </w:tabs>
      <w:jc w:val="center"/>
      <w:outlineLvl w:val="0"/>
    </w:pPr>
    <w:rPr>
      <w:b/>
      <w:sz w:val="36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7"/>
      </w:numPr>
      <w:tabs>
        <w:tab w:val="clear" w:pos="708"/>
        <w:tab w:val="left" w:pos="0" w:leader="none"/>
      </w:tabs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7"/>
      </w:numPr>
      <w:tabs>
        <w:tab w:val="clear" w:pos="708"/>
        <w:tab w:val="left" w:pos="0" w:leader="none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7"/>
      </w:numPr>
      <w:tabs>
        <w:tab w:val="clear" w:pos="708"/>
        <w:tab w:val="left" w:pos="0" w:leader="none"/>
      </w:tabs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7"/>
      </w:numPr>
      <w:tabs>
        <w:tab w:val="clear" w:pos="708"/>
        <w:tab w:val="left" w:pos="0" w:leader="none"/>
      </w:tabs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7"/>
      </w:numPr>
      <w:tabs>
        <w:tab w:val="clear" w:pos="708"/>
        <w:tab w:val="left" w:pos="0" w:leader="none"/>
      </w:tabs>
      <w:spacing w:before="240" w:after="60"/>
      <w:outlineLvl w:val="5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3z0" w:customStyle="1">
    <w:name w:val="WW8Num3z0"/>
    <w:basedOn w:val="DefaultParagraphFont"/>
    <w:qFormat/>
    <w:rPr>
      <w:rFonts w:ascii="Times New Roman" w:hAnsi="Times New Roman" w:cs="Times New Roman"/>
    </w:rPr>
  </w:style>
  <w:style w:type="character" w:styleId="WW8Num4z0" w:customStyle="1">
    <w:name w:val="WW8Num4z0"/>
    <w:basedOn w:val="DefaultParagraphFont"/>
    <w:qFormat/>
    <w:rPr>
      <w:rFonts w:ascii="Symbol" w:hAnsi="Symbol" w:cs="Symbol"/>
    </w:rPr>
  </w:style>
  <w:style w:type="character" w:styleId="WW8Num7z0" w:customStyle="1">
    <w:name w:val="WW8Num7z0"/>
    <w:basedOn w:val="DefaultParagraphFont"/>
    <w:qFormat/>
    <w:rPr/>
  </w:style>
  <w:style w:type="character" w:styleId="2" w:customStyle="1">
    <w:name w:val="Основной шрифт абзаца2"/>
    <w:basedOn w:val="DefaultParagraphFont"/>
    <w:qFormat/>
    <w:rPr/>
  </w:style>
  <w:style w:type="character" w:styleId="WW8Num3z1" w:customStyle="1">
    <w:name w:val="WW8Num3z1"/>
    <w:basedOn w:val="DefaultParagraphFont"/>
    <w:qFormat/>
    <w:rPr>
      <w:rFonts w:ascii="Courier New" w:hAnsi="Courier New" w:cs="Courier New"/>
    </w:rPr>
  </w:style>
  <w:style w:type="character" w:styleId="WW8Num3z2" w:customStyle="1">
    <w:name w:val="WW8Num3z2"/>
    <w:basedOn w:val="DefaultParagraphFont"/>
    <w:qFormat/>
    <w:rPr>
      <w:rFonts w:ascii="Wingdings" w:hAnsi="Wingdings" w:cs="Wingdings"/>
    </w:rPr>
  </w:style>
  <w:style w:type="character" w:styleId="WW8Num6z0" w:customStyle="1">
    <w:name w:val="WW8Num6z0"/>
    <w:basedOn w:val="DefaultParagraphFont"/>
    <w:qFormat/>
    <w:rPr>
      <w:rFonts w:ascii="Times New Roman" w:hAnsi="Times New Roman" w:eastAsia="Times New Roman" w:cs="Times New Roman"/>
    </w:rPr>
  </w:style>
  <w:style w:type="character" w:styleId="WW8Num6z1" w:customStyle="1">
    <w:name w:val="WW8Num6z1"/>
    <w:basedOn w:val="DefaultParagraphFont"/>
    <w:qFormat/>
    <w:rPr>
      <w:rFonts w:ascii="Courier New" w:hAnsi="Courier New" w:cs="Courier New"/>
    </w:rPr>
  </w:style>
  <w:style w:type="character" w:styleId="WW8Num6z2" w:customStyle="1">
    <w:name w:val="WW8Num6z2"/>
    <w:basedOn w:val="DefaultParagraphFont"/>
    <w:qFormat/>
    <w:rPr>
      <w:rFonts w:ascii="Wingdings" w:hAnsi="Wingdings" w:cs="Wingdings"/>
    </w:rPr>
  </w:style>
  <w:style w:type="character" w:styleId="WW8Num6z3" w:customStyle="1">
    <w:name w:val="WW8Num6z3"/>
    <w:basedOn w:val="DefaultParagraphFont"/>
    <w:qFormat/>
    <w:rPr>
      <w:rFonts w:ascii="Symbol" w:hAnsi="Symbol" w:cs="Symbol"/>
    </w:rPr>
  </w:style>
  <w:style w:type="character" w:styleId="WW8Num7z1" w:customStyle="1">
    <w:name w:val="WW8Num7z1"/>
    <w:basedOn w:val="DefaultParagraphFont"/>
    <w:qFormat/>
    <w:rPr>
      <w:rFonts w:ascii="Courier New" w:hAnsi="Courier New" w:cs="Courier New"/>
    </w:rPr>
  </w:style>
  <w:style w:type="character" w:styleId="WW8Num7z2" w:customStyle="1">
    <w:name w:val="WW8Num7z2"/>
    <w:basedOn w:val="DefaultParagraphFont"/>
    <w:qFormat/>
    <w:rPr>
      <w:rFonts w:ascii="Wingdings" w:hAnsi="Wingdings" w:cs="Wingdings"/>
    </w:rPr>
  </w:style>
  <w:style w:type="character" w:styleId="WW8Num9z0" w:customStyle="1">
    <w:name w:val="WW8Num9z0"/>
    <w:basedOn w:val="DefaultParagraphFont"/>
    <w:qFormat/>
    <w:rPr>
      <w:rFonts w:ascii="Symbol" w:hAnsi="Symbol" w:cs="Symbol"/>
    </w:rPr>
  </w:style>
  <w:style w:type="character" w:styleId="WW8Num9z1" w:customStyle="1">
    <w:name w:val="WW8Num9z1"/>
    <w:basedOn w:val="DefaultParagraphFont"/>
    <w:qFormat/>
    <w:rPr>
      <w:rFonts w:ascii="Courier New" w:hAnsi="Courier New" w:cs="Courier New"/>
    </w:rPr>
  </w:style>
  <w:style w:type="character" w:styleId="WW8Num9z2" w:customStyle="1">
    <w:name w:val="WW8Num9z2"/>
    <w:basedOn w:val="DefaultParagraphFont"/>
    <w:qFormat/>
    <w:rPr>
      <w:rFonts w:ascii="Wingdings" w:hAnsi="Wingdings" w:cs="Wingdings"/>
    </w:rPr>
  </w:style>
  <w:style w:type="character" w:styleId="WW8Num10z0" w:customStyle="1">
    <w:name w:val="WW8Num10z0"/>
    <w:basedOn w:val="DefaultParagraphFont"/>
    <w:qFormat/>
    <w:rPr>
      <w:rFonts w:ascii="Symbol" w:hAnsi="Symbol" w:cs="Symbol"/>
    </w:rPr>
  </w:style>
  <w:style w:type="character" w:styleId="WW8Num10z1" w:customStyle="1">
    <w:name w:val="WW8Num10z1"/>
    <w:basedOn w:val="DefaultParagraphFont"/>
    <w:qFormat/>
    <w:rPr>
      <w:rFonts w:ascii="Courier New" w:hAnsi="Courier New" w:cs="Courier New"/>
    </w:rPr>
  </w:style>
  <w:style w:type="character" w:styleId="WW8Num10z2" w:customStyle="1">
    <w:name w:val="WW8Num10z2"/>
    <w:basedOn w:val="DefaultParagraphFont"/>
    <w:qFormat/>
    <w:rPr>
      <w:rFonts w:ascii="Wingdings" w:hAnsi="Wingdings" w:cs="Wingdings"/>
    </w:rPr>
  </w:style>
  <w:style w:type="character" w:styleId="WW8Num12z0" w:customStyle="1">
    <w:name w:val="WW8Num12z0"/>
    <w:basedOn w:val="DefaultParagraphFont"/>
    <w:qFormat/>
    <w:rPr/>
  </w:style>
  <w:style w:type="character" w:styleId="WW8Num12z1" w:customStyle="1">
    <w:name w:val="WW8Num12z1"/>
    <w:basedOn w:val="DefaultParagraphFont"/>
    <w:qFormat/>
    <w:rPr>
      <w:rFonts w:ascii="Courier New" w:hAnsi="Courier New" w:cs="Courier New"/>
    </w:rPr>
  </w:style>
  <w:style w:type="character" w:styleId="WW8Num12z2" w:customStyle="1">
    <w:name w:val="WW8Num12z2"/>
    <w:basedOn w:val="DefaultParagraphFont"/>
    <w:qFormat/>
    <w:rPr>
      <w:rFonts w:ascii="Wingdings" w:hAnsi="Wingdings" w:cs="Wingdings"/>
    </w:rPr>
  </w:style>
  <w:style w:type="character" w:styleId="WW8Num12z3" w:customStyle="1">
    <w:name w:val="WW8Num12z3"/>
    <w:basedOn w:val="DefaultParagraphFont"/>
    <w:qFormat/>
    <w:rPr>
      <w:rFonts w:ascii="Symbol" w:hAnsi="Symbol" w:cs="Symbol"/>
    </w:rPr>
  </w:style>
  <w:style w:type="character" w:styleId="WW8Num13z0" w:customStyle="1">
    <w:name w:val="WW8Num13z0"/>
    <w:basedOn w:val="DefaultParagraphFont"/>
    <w:qFormat/>
    <w:rPr>
      <w:rFonts w:ascii="Symbol" w:hAnsi="Symbol" w:cs="Symbol"/>
    </w:rPr>
  </w:style>
  <w:style w:type="character" w:styleId="WW8Num13z1" w:customStyle="1">
    <w:name w:val="WW8Num13z1"/>
    <w:basedOn w:val="DefaultParagraphFont"/>
    <w:qFormat/>
    <w:rPr>
      <w:rFonts w:ascii="Times New Roman" w:hAnsi="Times New Roman" w:cs="Times New Roman"/>
    </w:rPr>
  </w:style>
  <w:style w:type="character" w:styleId="WW8Num13z2" w:customStyle="1">
    <w:name w:val="WW8Num13z2"/>
    <w:basedOn w:val="DefaultParagraphFont"/>
    <w:qFormat/>
    <w:rPr>
      <w:rFonts w:ascii="Wingdings" w:hAnsi="Wingdings" w:cs="Wingdings"/>
    </w:rPr>
  </w:style>
  <w:style w:type="character" w:styleId="WW8Num13z4" w:customStyle="1">
    <w:name w:val="WW8Num13z4"/>
    <w:basedOn w:val="DefaultParagraphFont"/>
    <w:qFormat/>
    <w:rPr>
      <w:rFonts w:ascii="Courier New" w:hAnsi="Courier New" w:cs="Courier New"/>
    </w:rPr>
  </w:style>
  <w:style w:type="character" w:styleId="WW8Num15z0" w:customStyle="1">
    <w:name w:val="WW8Num15z0"/>
    <w:basedOn w:val="DefaultParagraphFont"/>
    <w:qFormat/>
    <w:rPr>
      <w:rFonts w:ascii="Symbol" w:hAnsi="Symbol" w:cs="Symbol"/>
    </w:rPr>
  </w:style>
  <w:style w:type="character" w:styleId="WW8Num15z1" w:customStyle="1">
    <w:name w:val="WW8Num15z1"/>
    <w:basedOn w:val="DefaultParagraphFont"/>
    <w:qFormat/>
    <w:rPr>
      <w:rFonts w:ascii="Courier New" w:hAnsi="Courier New" w:cs="Courier New"/>
    </w:rPr>
  </w:style>
  <w:style w:type="character" w:styleId="WW8Num15z2" w:customStyle="1">
    <w:name w:val="WW8Num15z2"/>
    <w:basedOn w:val="DefaultParagraphFont"/>
    <w:qFormat/>
    <w:rPr>
      <w:rFonts w:ascii="Wingdings" w:hAnsi="Wingdings" w:cs="Wingdings"/>
    </w:rPr>
  </w:style>
  <w:style w:type="character" w:styleId="WW8Num16z0" w:customStyle="1">
    <w:name w:val="WW8Num16z0"/>
    <w:basedOn w:val="DefaultParagraphFont"/>
    <w:qFormat/>
    <w:rPr>
      <w:rFonts w:ascii="Symbol" w:hAnsi="Symbol" w:cs="Symbol"/>
    </w:rPr>
  </w:style>
  <w:style w:type="character" w:styleId="WW8Num16z1" w:customStyle="1">
    <w:name w:val="WW8Num16z1"/>
    <w:basedOn w:val="DefaultParagraphFont"/>
    <w:qFormat/>
    <w:rPr>
      <w:rFonts w:ascii="Courier New" w:hAnsi="Courier New" w:cs="Courier New"/>
    </w:rPr>
  </w:style>
  <w:style w:type="character" w:styleId="WW8Num16z2" w:customStyle="1">
    <w:name w:val="WW8Num16z2"/>
    <w:basedOn w:val="DefaultParagraphFont"/>
    <w:qFormat/>
    <w:rPr>
      <w:rFonts w:ascii="Wingdings" w:hAnsi="Wingdings" w:cs="Wingdings"/>
    </w:rPr>
  </w:style>
  <w:style w:type="character" w:styleId="WW8Num17z0" w:customStyle="1">
    <w:name w:val="WW8Num17z0"/>
    <w:basedOn w:val="DefaultParagraphFont"/>
    <w:qFormat/>
    <w:rPr>
      <w:rFonts w:ascii="Symbol" w:hAnsi="Symbol" w:cs="Symbol"/>
      <w:sz w:val="28"/>
    </w:rPr>
  </w:style>
  <w:style w:type="character" w:styleId="WW8Num17z1" w:customStyle="1">
    <w:name w:val="WW8Num17z1"/>
    <w:basedOn w:val="DefaultParagraphFont"/>
    <w:qFormat/>
    <w:rPr/>
  </w:style>
  <w:style w:type="character" w:styleId="WW8Num17z2" w:customStyle="1">
    <w:name w:val="WW8Num17z2"/>
    <w:basedOn w:val="DefaultParagraphFont"/>
    <w:qFormat/>
    <w:rPr>
      <w:rFonts w:ascii="Wingdings" w:hAnsi="Wingdings" w:cs="Wingdings"/>
    </w:rPr>
  </w:style>
  <w:style w:type="character" w:styleId="WW8Num17z3" w:customStyle="1">
    <w:name w:val="WW8Num17z3"/>
    <w:basedOn w:val="DefaultParagraphFont"/>
    <w:qFormat/>
    <w:rPr>
      <w:rFonts w:ascii="Symbol" w:hAnsi="Symbol" w:cs="Symbol"/>
    </w:rPr>
  </w:style>
  <w:style w:type="character" w:styleId="WW8Num17z4" w:customStyle="1">
    <w:name w:val="WW8Num17z4"/>
    <w:basedOn w:val="DefaultParagraphFont"/>
    <w:qFormat/>
    <w:rPr>
      <w:rFonts w:ascii="Courier New" w:hAnsi="Courier New" w:cs="Courier New"/>
    </w:rPr>
  </w:style>
  <w:style w:type="character" w:styleId="WW8Num19z0" w:customStyle="1">
    <w:name w:val="WW8Num19z0"/>
    <w:basedOn w:val="DefaultParagraphFont"/>
    <w:qFormat/>
    <w:rPr/>
  </w:style>
  <w:style w:type="character" w:styleId="WW8Num19z1" w:customStyle="1">
    <w:name w:val="WW8Num19z1"/>
    <w:basedOn w:val="DefaultParagraphFont"/>
    <w:qFormat/>
    <w:rPr>
      <w:rFonts w:ascii="Courier New" w:hAnsi="Courier New" w:cs="Courier New"/>
    </w:rPr>
  </w:style>
  <w:style w:type="character" w:styleId="WW8Num19z2" w:customStyle="1">
    <w:name w:val="WW8Num19z2"/>
    <w:basedOn w:val="DefaultParagraphFont"/>
    <w:qFormat/>
    <w:rPr>
      <w:rFonts w:ascii="Wingdings" w:hAnsi="Wingdings" w:cs="Wingdings"/>
    </w:rPr>
  </w:style>
  <w:style w:type="character" w:styleId="WW8Num19z3" w:customStyle="1">
    <w:name w:val="WW8Num19z3"/>
    <w:basedOn w:val="DefaultParagraphFont"/>
    <w:qFormat/>
    <w:rPr>
      <w:rFonts w:ascii="Symbol" w:hAnsi="Symbol" w:cs="Symbol"/>
    </w:rPr>
  </w:style>
  <w:style w:type="character" w:styleId="WW8Num20z0" w:customStyle="1">
    <w:name w:val="WW8Num20z0"/>
    <w:basedOn w:val="DefaultParagraphFont"/>
    <w:qFormat/>
    <w:rPr/>
  </w:style>
  <w:style w:type="character" w:styleId="WW8Num20z1" w:customStyle="1">
    <w:name w:val="WW8Num20z1"/>
    <w:basedOn w:val="DefaultParagraphFont"/>
    <w:qFormat/>
    <w:rPr>
      <w:rFonts w:ascii="Courier New" w:hAnsi="Courier New" w:cs="Courier New"/>
    </w:rPr>
  </w:style>
  <w:style w:type="character" w:styleId="WW8Num20z2" w:customStyle="1">
    <w:name w:val="WW8Num20z2"/>
    <w:basedOn w:val="DefaultParagraphFont"/>
    <w:qFormat/>
    <w:rPr>
      <w:rFonts w:ascii="Wingdings" w:hAnsi="Wingdings" w:cs="Wingdings"/>
    </w:rPr>
  </w:style>
  <w:style w:type="character" w:styleId="WW8Num20z3" w:customStyle="1">
    <w:name w:val="WW8Num20z3"/>
    <w:basedOn w:val="DefaultParagraphFont"/>
    <w:qFormat/>
    <w:rPr>
      <w:rFonts w:ascii="Symbol" w:hAnsi="Symbol" w:cs="Symbol"/>
    </w:rPr>
  </w:style>
  <w:style w:type="character" w:styleId="WW8Num22z1" w:customStyle="1">
    <w:name w:val="WW8Num22z1"/>
    <w:basedOn w:val="DefaultParagraphFont"/>
    <w:qFormat/>
    <w:rPr>
      <w:rFonts w:ascii="Times New Roman" w:hAnsi="Times New Roman" w:cs="Times New Roman"/>
    </w:rPr>
  </w:style>
  <w:style w:type="character" w:styleId="WW8Num24z0" w:customStyle="1">
    <w:name w:val="WW8Num24z0"/>
    <w:basedOn w:val="DefaultParagraphFont"/>
    <w:qFormat/>
    <w:rPr>
      <w:rFonts w:ascii="Symbol" w:hAnsi="Symbol" w:cs="Symbol"/>
    </w:rPr>
  </w:style>
  <w:style w:type="character" w:styleId="WW8Num24z1" w:customStyle="1">
    <w:name w:val="WW8Num24z1"/>
    <w:basedOn w:val="DefaultParagraphFont"/>
    <w:qFormat/>
    <w:rPr/>
  </w:style>
  <w:style w:type="character" w:styleId="WW8Num24z2" w:customStyle="1">
    <w:name w:val="WW8Num24z2"/>
    <w:basedOn w:val="DefaultParagraphFont"/>
    <w:qFormat/>
    <w:rPr>
      <w:rFonts w:ascii="Wingdings" w:hAnsi="Wingdings" w:cs="Wingdings"/>
    </w:rPr>
  </w:style>
  <w:style w:type="character" w:styleId="WW8Num24z4" w:customStyle="1">
    <w:name w:val="WW8Num24z4"/>
    <w:basedOn w:val="DefaultParagraphFont"/>
    <w:qFormat/>
    <w:rPr>
      <w:rFonts w:ascii="Courier New" w:hAnsi="Courier New" w:cs="Courier New"/>
    </w:rPr>
  </w:style>
  <w:style w:type="character" w:styleId="WW8Num25z0" w:customStyle="1">
    <w:name w:val="WW8Num25z0"/>
    <w:basedOn w:val="DefaultParagraphFont"/>
    <w:qFormat/>
    <w:rPr/>
  </w:style>
  <w:style w:type="character" w:styleId="WW8Num26z0" w:customStyle="1">
    <w:name w:val="WW8Num26z0"/>
    <w:basedOn w:val="DefaultParagraphFont"/>
    <w:qFormat/>
    <w:rPr>
      <w:rFonts w:ascii="Symbol" w:hAnsi="Symbol" w:cs="Symbol"/>
    </w:rPr>
  </w:style>
  <w:style w:type="character" w:styleId="WW8Num26z1" w:customStyle="1">
    <w:name w:val="WW8Num26z1"/>
    <w:basedOn w:val="DefaultParagraphFont"/>
    <w:qFormat/>
    <w:rPr>
      <w:rFonts w:ascii="Courier New" w:hAnsi="Courier New" w:cs="Courier New"/>
    </w:rPr>
  </w:style>
  <w:style w:type="character" w:styleId="WW8Num26z2" w:customStyle="1">
    <w:name w:val="WW8Num26z2"/>
    <w:basedOn w:val="DefaultParagraphFont"/>
    <w:qFormat/>
    <w:rPr>
      <w:rFonts w:ascii="Wingdings" w:hAnsi="Wingdings" w:cs="Wingdings"/>
    </w:rPr>
  </w:style>
  <w:style w:type="character" w:styleId="WW8Num27z0" w:customStyle="1">
    <w:name w:val="WW8Num27z0"/>
    <w:basedOn w:val="DefaultParagraphFont"/>
    <w:qFormat/>
    <w:rPr>
      <w:rFonts w:ascii="Symbol" w:hAnsi="Symbol" w:cs="Symbol"/>
    </w:rPr>
  </w:style>
  <w:style w:type="character" w:styleId="WW8Num27z1" w:customStyle="1">
    <w:name w:val="WW8Num27z1"/>
    <w:basedOn w:val="DefaultParagraphFont"/>
    <w:qFormat/>
    <w:rPr>
      <w:rFonts w:ascii="Courier New" w:hAnsi="Courier New" w:cs="Courier New"/>
    </w:rPr>
  </w:style>
  <w:style w:type="character" w:styleId="WW8Num27z2" w:customStyle="1">
    <w:name w:val="WW8Num27z2"/>
    <w:basedOn w:val="DefaultParagraphFont"/>
    <w:qFormat/>
    <w:rPr>
      <w:rFonts w:ascii="Wingdings" w:hAnsi="Wingdings" w:cs="Wingdings"/>
    </w:rPr>
  </w:style>
  <w:style w:type="character" w:styleId="WW8Num28z0" w:customStyle="1">
    <w:name w:val="WW8Num28z0"/>
    <w:basedOn w:val="DefaultParagraphFont"/>
    <w:qFormat/>
    <w:rPr/>
  </w:style>
  <w:style w:type="character" w:styleId="WW8Num30z0" w:customStyle="1">
    <w:name w:val="WW8Num30z0"/>
    <w:basedOn w:val="DefaultParagraphFont"/>
    <w:qFormat/>
    <w:rPr/>
  </w:style>
  <w:style w:type="character" w:styleId="WW8Num30z1" w:customStyle="1">
    <w:name w:val="WW8Num30z1"/>
    <w:basedOn w:val="DefaultParagraphFont"/>
    <w:qFormat/>
    <w:rPr>
      <w:rFonts w:ascii="Courier New" w:hAnsi="Courier New" w:cs="Courier New"/>
    </w:rPr>
  </w:style>
  <w:style w:type="character" w:styleId="WW8Num30z2" w:customStyle="1">
    <w:name w:val="WW8Num30z2"/>
    <w:basedOn w:val="DefaultParagraphFont"/>
    <w:qFormat/>
    <w:rPr>
      <w:rFonts w:ascii="Wingdings" w:hAnsi="Wingdings" w:cs="Wingdings"/>
    </w:rPr>
  </w:style>
  <w:style w:type="character" w:styleId="WW8Num30z3" w:customStyle="1">
    <w:name w:val="WW8Num30z3"/>
    <w:basedOn w:val="DefaultParagraphFont"/>
    <w:qFormat/>
    <w:rPr>
      <w:rFonts w:ascii="Symbol" w:hAnsi="Symbol" w:cs="Symbol"/>
    </w:rPr>
  </w:style>
  <w:style w:type="character" w:styleId="WW8Num32z0" w:customStyle="1">
    <w:name w:val="WW8Num32z0"/>
    <w:basedOn w:val="DefaultParagraphFont"/>
    <w:qFormat/>
    <w:rPr>
      <w:rFonts w:ascii="Symbol" w:hAnsi="Symbol" w:cs="Symbol"/>
    </w:rPr>
  </w:style>
  <w:style w:type="character" w:styleId="WW8Num32z1" w:customStyle="1">
    <w:name w:val="WW8Num32z1"/>
    <w:basedOn w:val="DefaultParagraphFont"/>
    <w:qFormat/>
    <w:rPr>
      <w:rFonts w:ascii="Courier New" w:hAnsi="Courier New" w:cs="Courier New"/>
    </w:rPr>
  </w:style>
  <w:style w:type="character" w:styleId="WW8Num32z2" w:customStyle="1">
    <w:name w:val="WW8Num32z2"/>
    <w:basedOn w:val="DefaultParagraphFont"/>
    <w:qFormat/>
    <w:rPr>
      <w:rFonts w:ascii="Wingdings" w:hAnsi="Wingdings" w:cs="Wingdings"/>
    </w:rPr>
  </w:style>
  <w:style w:type="character" w:styleId="WW8Num34z0" w:customStyle="1">
    <w:name w:val="WW8Num34z0"/>
    <w:basedOn w:val="DefaultParagraphFont"/>
    <w:qFormat/>
    <w:rPr>
      <w:rFonts w:ascii="Symbol" w:hAnsi="Symbol" w:cs="Symbol"/>
    </w:rPr>
  </w:style>
  <w:style w:type="character" w:styleId="WW8Num34z1" w:customStyle="1">
    <w:name w:val="WW8Num34z1"/>
    <w:basedOn w:val="DefaultParagraphFont"/>
    <w:qFormat/>
    <w:rPr>
      <w:rFonts w:ascii="Courier New" w:hAnsi="Courier New" w:cs="Courier New"/>
    </w:rPr>
  </w:style>
  <w:style w:type="character" w:styleId="WW8Num34z2" w:customStyle="1">
    <w:name w:val="WW8Num34z2"/>
    <w:basedOn w:val="DefaultParagraphFont"/>
    <w:qFormat/>
    <w:rPr>
      <w:rFonts w:ascii="Wingdings" w:hAnsi="Wingdings" w:cs="Wingdings"/>
    </w:rPr>
  </w:style>
  <w:style w:type="character" w:styleId="WW8Num36z0" w:customStyle="1">
    <w:name w:val="WW8Num36z0"/>
    <w:basedOn w:val="DefaultParagraphFont"/>
    <w:qFormat/>
    <w:rPr/>
  </w:style>
  <w:style w:type="character" w:styleId="WW8Num37z0" w:customStyle="1">
    <w:name w:val="WW8Num37z0"/>
    <w:basedOn w:val="DefaultParagraphFont"/>
    <w:qFormat/>
    <w:rPr>
      <w:rFonts w:ascii="Symbol" w:hAnsi="Symbol" w:cs="Symbol"/>
    </w:rPr>
  </w:style>
  <w:style w:type="character" w:styleId="WW8Num37z2" w:customStyle="1">
    <w:name w:val="WW8Num37z2"/>
    <w:basedOn w:val="DefaultParagraphFont"/>
    <w:qFormat/>
    <w:rPr>
      <w:rFonts w:ascii="Wingdings" w:hAnsi="Wingdings" w:cs="Wingdings"/>
    </w:rPr>
  </w:style>
  <w:style w:type="character" w:styleId="WW8Num37z4" w:customStyle="1">
    <w:name w:val="WW8Num37z4"/>
    <w:basedOn w:val="DefaultParagraphFont"/>
    <w:qFormat/>
    <w:rPr>
      <w:rFonts w:ascii="Courier New" w:hAnsi="Courier New" w:cs="Courier New"/>
    </w:rPr>
  </w:style>
  <w:style w:type="character" w:styleId="WW8Num38z0" w:customStyle="1">
    <w:name w:val="WW8Num38z0"/>
    <w:basedOn w:val="DefaultParagraphFont"/>
    <w:qFormat/>
    <w:rPr>
      <w:rFonts w:ascii="Symbol" w:hAnsi="Symbol" w:cs="Symbol"/>
    </w:rPr>
  </w:style>
  <w:style w:type="character" w:styleId="WW8Num38z1" w:customStyle="1">
    <w:name w:val="WW8Num38z1"/>
    <w:basedOn w:val="DefaultParagraphFont"/>
    <w:qFormat/>
    <w:rPr>
      <w:rFonts w:ascii="Courier New" w:hAnsi="Courier New" w:cs="Courier New"/>
    </w:rPr>
  </w:style>
  <w:style w:type="character" w:styleId="WW8Num38z2" w:customStyle="1">
    <w:name w:val="WW8Num38z2"/>
    <w:basedOn w:val="DefaultParagraphFont"/>
    <w:qFormat/>
    <w:rPr>
      <w:rFonts w:ascii="Wingdings" w:hAnsi="Wingdings" w:cs="Wingdings"/>
    </w:rPr>
  </w:style>
  <w:style w:type="character" w:styleId="WW8Num39z0" w:customStyle="1">
    <w:name w:val="WW8Num39z0"/>
    <w:basedOn w:val="DefaultParagraphFont"/>
    <w:qFormat/>
    <w:rPr/>
  </w:style>
  <w:style w:type="character" w:styleId="WW8Num39z1" w:customStyle="1">
    <w:name w:val="WW8Num39z1"/>
    <w:basedOn w:val="DefaultParagraphFont"/>
    <w:qFormat/>
    <w:rPr>
      <w:rFonts w:ascii="Courier New" w:hAnsi="Courier New" w:cs="Courier New"/>
    </w:rPr>
  </w:style>
  <w:style w:type="character" w:styleId="WW8Num39z2" w:customStyle="1">
    <w:name w:val="WW8Num39z2"/>
    <w:basedOn w:val="DefaultParagraphFont"/>
    <w:qFormat/>
    <w:rPr>
      <w:rFonts w:ascii="Wingdings" w:hAnsi="Wingdings" w:cs="Wingdings"/>
    </w:rPr>
  </w:style>
  <w:style w:type="character" w:styleId="WW8Num39z3" w:customStyle="1">
    <w:name w:val="WW8Num39z3"/>
    <w:basedOn w:val="DefaultParagraphFont"/>
    <w:qFormat/>
    <w:rPr>
      <w:rFonts w:ascii="Symbol" w:hAnsi="Symbol" w:cs="Symbol"/>
    </w:rPr>
  </w:style>
  <w:style w:type="character" w:styleId="WW8Num40z0" w:customStyle="1">
    <w:name w:val="WW8Num40z0"/>
    <w:basedOn w:val="DefaultParagraphFont"/>
    <w:qFormat/>
    <w:rPr/>
  </w:style>
  <w:style w:type="character" w:styleId="1" w:customStyle="1">
    <w:name w:val="Основной шрифт абзаца1"/>
    <w:basedOn w:val="DefaultParagraphFont"/>
    <w:qFormat/>
    <w:rPr/>
  </w:style>
  <w:style w:type="character" w:styleId="Pagenumber">
    <w:name w:val="page number"/>
    <w:basedOn w:val="DefaultParagraphFont"/>
    <w:qFormat/>
    <w:rPr/>
  </w:style>
  <w:style w:type="character" w:styleId="Style8" w:customStyle="1">
    <w:name w:val="Текст Знак"/>
    <w:basedOn w:val="DefaultParagraphFont"/>
    <w:qFormat/>
    <w:rPr>
      <w:rFonts w:ascii="Courier New" w:hAnsi="Courier New" w:cs="Courier New"/>
    </w:rPr>
  </w:style>
  <w:style w:type="character" w:styleId="Style9" w:customStyle="1">
    <w:name w:val="Нижний колонтитул Знак"/>
    <w:basedOn w:val="DefaultParagraphFont"/>
    <w:qFormat/>
    <w:rPr>
      <w:sz w:val="24"/>
      <w:szCs w:val="24"/>
    </w:rPr>
  </w:style>
  <w:style w:type="character" w:styleId="Apple-converted-space" w:customStyle="1">
    <w:name w:val="apple-converted-space"/>
    <w:basedOn w:val="DefaultParagraphFont"/>
    <w:qFormat/>
    <w:rPr/>
  </w:style>
  <w:style w:type="character" w:styleId="Strong">
    <w:name w:val="Strong"/>
    <w:basedOn w:val="DefaultParagraphFont"/>
    <w:qFormat/>
    <w:rPr>
      <w:b/>
      <w:bCs w:val="false"/>
    </w:rPr>
  </w:style>
  <w:style w:type="character" w:styleId="11" w:customStyle="1">
    <w:name w:val="Знак примечания1"/>
    <w:basedOn w:val="DefaultParagraphFont"/>
    <w:qFormat/>
    <w:rPr>
      <w:sz w:val="16"/>
      <w:szCs w:val="16"/>
    </w:rPr>
  </w:style>
  <w:style w:type="character" w:styleId="Style10" w:customStyle="1">
    <w:name w:val="Текст примечания Знак"/>
    <w:basedOn w:val="DefaultParagraphFont"/>
    <w:qFormat/>
    <w:rPr/>
  </w:style>
  <w:style w:type="character" w:styleId="Style11" w:customStyle="1">
    <w:name w:val="Тема примечания Знак"/>
    <w:basedOn w:val="DefaultParagraphFont"/>
    <w:qFormat/>
    <w:rPr>
      <w:b/>
      <w:bCs w:val="false"/>
    </w:rPr>
  </w:style>
  <w:style w:type="character" w:styleId="Style12" w:customStyle="1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rPr>
      <w:color w:val="auto"/>
      <w:u w:val="single"/>
    </w:rPr>
  </w:style>
  <w:style w:type="character" w:styleId="Style13" w:customStyle="1">
    <w:name w:val="Ссылка указателя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6" w:customStyle="1">
    <w:name w:val="Указатель"/>
    <w:basedOn w:val="Normal"/>
    <w:qFormat/>
    <w:pPr>
      <w:suppressLineNumbers/>
    </w:pPr>
    <w:rPr>
      <w:rFonts w:cs="Unifont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Indexheading1">
    <w:name w:val="index heading1"/>
    <w:basedOn w:val="Style15"/>
    <w:qFormat/>
    <w:pPr/>
    <w:rPr/>
  </w:style>
  <w:style w:type="paragraph" w:styleId="12" w:customStyle="1">
    <w:name w:val="Заголовок1"/>
    <w:basedOn w:val="Normal"/>
    <w:next w:val="BodyText"/>
    <w:qFormat/>
    <w:pPr>
      <w:spacing w:lineRule="auto" w:line="360"/>
      <w:jc w:val="center"/>
    </w:pPr>
    <w:rPr>
      <w:b/>
      <w:sz w:val="28"/>
      <w:szCs w:val="28"/>
    </w:rPr>
  </w:style>
  <w:style w:type="paragraph" w:styleId="21" w:customStyle="1">
    <w:name w:val="Указатель2"/>
    <w:basedOn w:val="Normal"/>
    <w:qFormat/>
    <w:pPr>
      <w:suppressLineNumbers/>
    </w:pPr>
    <w:rPr>
      <w:rFonts w:cs="Droid Sans Devanagari"/>
    </w:rPr>
  </w:style>
  <w:style w:type="paragraph" w:styleId="13" w:customStyle="1">
    <w:name w:val="Название объекта1"/>
    <w:basedOn w:val="Normal"/>
    <w:qFormat/>
    <w:pPr>
      <w:suppressLineNumbers/>
      <w:spacing w:before="120" w:after="120"/>
    </w:pPr>
    <w:rPr>
      <w:rFonts w:cs="Droid Sans Devanagari"/>
      <w:i/>
    </w:rPr>
  </w:style>
  <w:style w:type="paragraph" w:styleId="14" w:customStyle="1">
    <w:name w:val="Указатель1"/>
    <w:basedOn w:val="Normal"/>
    <w:qFormat/>
    <w:pPr>
      <w:suppressLineNumbers/>
    </w:pPr>
    <w:rPr/>
  </w:style>
  <w:style w:type="paragraph" w:styleId="BodyTextIndent">
    <w:name w:val="Body Text Indent"/>
    <w:basedOn w:val="Normal"/>
    <w:pPr>
      <w:spacing w:before="0" w:after="120"/>
      <w:ind w:left="283"/>
    </w:pPr>
    <w:rPr/>
  </w:style>
  <w:style w:type="paragraph" w:styleId="31" w:customStyle="1">
    <w:name w:val="Основной текст с отступом 31"/>
    <w:basedOn w:val="Normal"/>
    <w:qFormat/>
    <w:pPr>
      <w:spacing w:before="0" w:after="120"/>
      <w:ind w:left="283"/>
    </w:pPr>
    <w:rPr>
      <w:sz w:val="16"/>
      <w:szCs w:val="16"/>
    </w:rPr>
  </w:style>
  <w:style w:type="paragraph" w:styleId="15" w:customStyle="1">
    <w:name w:val="Цитата1"/>
    <w:basedOn w:val="Normal"/>
    <w:qFormat/>
    <w:pPr>
      <w:shd w:val="clear" w:color="000000" w:fill="FFFFFF"/>
      <w:spacing w:lineRule="auto" w:line="360"/>
      <w:ind w:firstLine="675" w:left="29" w:right="24"/>
      <w:jc w:val="both"/>
    </w:pPr>
    <w:rPr>
      <w:spacing w:val="-3"/>
      <w:sz w:val="28"/>
      <w:lang w:eastAsia="ru-RU"/>
    </w:rPr>
  </w:style>
  <w:style w:type="paragraph" w:styleId="Style17" w:customStyle="1">
    <w:name w:val="Колонтитул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11" w:customStyle="1">
    <w:name w:val="Основной текст с отступом 21"/>
    <w:basedOn w:val="Normal"/>
    <w:qFormat/>
    <w:pPr>
      <w:spacing w:lineRule="auto" w:line="480" w:before="0" w:after="120"/>
      <w:ind w:left="283"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</w:rPr>
  </w:style>
  <w:style w:type="paragraph" w:styleId="16" w:customStyle="1">
    <w:name w:val="Текст1"/>
    <w:basedOn w:val="Normal"/>
    <w:qFormat/>
    <w:pPr>
      <w:widowControl w:val="false"/>
      <w:spacing w:lineRule="auto" w:line="360"/>
      <w:ind w:firstLine="851"/>
      <w:jc w:val="both"/>
    </w:pPr>
    <w:rPr>
      <w:rFonts w:ascii="Courier New" w:hAnsi="Courier New" w:cs="Courier New"/>
      <w:sz w:val="20"/>
      <w:szCs w:val="20"/>
    </w:rPr>
  </w:style>
  <w:style w:type="paragraph" w:styleId="Style18" w:customStyle="1">
    <w:name w:val="Таблицы (моноширинный)"/>
    <w:basedOn w:val="Normal"/>
    <w:next w:val="Normal"/>
    <w:qFormat/>
    <w:pPr>
      <w:widowControl w:val="false"/>
      <w:jc w:val="both"/>
    </w:pPr>
    <w:rPr>
      <w:rFonts w:ascii="Courier New" w:hAnsi="Courier New" w:cs="Courier New"/>
      <w:sz w:val="20"/>
      <w:szCs w:val="20"/>
    </w:rPr>
  </w:style>
  <w:style w:type="paragraph" w:styleId="17" w:customStyle="1">
    <w:name w:val="Текст примечания1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17"/>
    <w:next w:val="17"/>
    <w:qFormat/>
    <w:pPr/>
    <w:rPr>
      <w:b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0" w:customStyle="1">
    <w:name w:val="Заголовок таблицы"/>
    <w:basedOn w:val="Style19"/>
    <w:qFormat/>
    <w:pPr>
      <w:jc w:val="center"/>
    </w:pPr>
    <w:rPr>
      <w:b/>
    </w:rPr>
  </w:style>
  <w:style w:type="paragraph" w:styleId="Style21" w:customStyle="1">
    <w:name w:val="Содержимое врезки"/>
    <w:basedOn w:val="Normal"/>
    <w:qFormat/>
    <w:pPr/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uppressAutoHyphens w:val="false"/>
      <w:spacing w:lineRule="auto" w:line="259" w:before="240" w:after="0"/>
      <w:jc w:val="left"/>
      <w:outlineLvl w:val="9"/>
    </w:pPr>
    <w:rPr>
      <w:rFonts w:ascii="Calibri Light" w:hAnsi="Calibri Light"/>
      <w:b w:val="false"/>
      <w:sz w:val="32"/>
      <w:szCs w:val="32"/>
      <w:lang w:eastAsia="ru-RU"/>
    </w:rPr>
  </w:style>
  <w:style w:type="paragraph" w:styleId="TOC1">
    <w:name w:val="TOC 1"/>
    <w:basedOn w:val="Normal"/>
    <w:next w:val="Normal"/>
    <w:pPr>
      <w:spacing w:lineRule="auto" w:line="360"/>
    </w:pPr>
    <w:rPr/>
  </w:style>
  <w:style w:type="paragraph" w:styleId="TOC2">
    <w:name w:val="TOC 2"/>
    <w:basedOn w:val="Normal"/>
    <w:next w:val="Normal"/>
    <w:pPr>
      <w:ind w:left="240"/>
    </w:pPr>
    <w:rPr/>
  </w:style>
  <w:style w:type="numbering" w:styleId="Style22" w:customStyle="1">
    <w:name w:val="Без списка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1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LibreOffice/7.6.4.1$Linux_X86_64 LibreOffice_project/60$Build-1</Application>
  <AppVersion>15.0000</AppVersion>
  <Pages>22</Pages>
  <Words>2386</Words>
  <Characters>17266</Characters>
  <CharactersWithSpaces>19582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2025-12-13T03:27:00Z</dcterms:created>
  <dc:creator>?????????</dc:creator>
  <dc:description/>
  <dc:language>ru-RU</dc:language>
  <cp:lastModifiedBy/>
  <cp:lastPrinted>1899-12-31T17:00:00Z</cp:lastPrinted>
  <dcterms:modified xsi:type="dcterms:W3CDTF">2026-03-10T10:53:03Z</dcterms:modified>
  <cp:revision>54</cp:revision>
  <dc:subject/>
  <dc:title>???????????? ??????????? ? ????? ??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