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62F10" w14:textId="77777777" w:rsidR="00AB0EAF" w:rsidRDefault="00000000">
      <w:pPr>
        <w:pStyle w:val="Title"/>
      </w:pPr>
      <w:r>
        <w:t>Project Nexus Whitepaper v0.80</w:t>
      </w:r>
    </w:p>
    <w:p w14:paraId="3508422B" w14:textId="77777777" w:rsidR="00AB0EAF" w:rsidRDefault="00000000">
      <w:pPr>
        <w:pStyle w:val="FirstParagraph"/>
      </w:pPr>
      <w:r>
        <w:rPr>
          <w:b/>
          <w:bCs/>
        </w:rPr>
        <w:t>PROJECT NEXUS</w:t>
      </w:r>
    </w:p>
    <w:p w14:paraId="18DF3ECB" w14:textId="77777777" w:rsidR="00AB0EAF" w:rsidRDefault="00000000">
      <w:pPr>
        <w:pStyle w:val="BodyText"/>
      </w:pPr>
      <w:r>
        <w:rPr>
          <w:i/>
          <w:iCs/>
        </w:rPr>
        <w:t>A Self-Replicating, Self-Healing Blockchain with Evidence-First AI and Reclamation-Driven Economic Resilience</w:t>
      </w:r>
    </w:p>
    <w:p w14:paraId="4778BD0D" w14:textId="77777777" w:rsidR="00AB0EAF" w:rsidRDefault="00000000">
      <w:pPr>
        <w:pStyle w:val="BodyText"/>
      </w:pPr>
      <w:r>
        <w:t>August 2026</w:t>
      </w:r>
    </w:p>
    <w:p w14:paraId="7DF96440" w14:textId="77777777" w:rsidR="00AB0EAF" w:rsidRDefault="00000000">
      <w:pPr>
        <w:pStyle w:val="BodyText"/>
      </w:pPr>
      <w:r>
        <w:t>Author: Snide</w:t>
      </w:r>
    </w:p>
    <w:p w14:paraId="6387E4DB" w14:textId="77777777" w:rsidR="00AB0EAF" w:rsidRDefault="00000000">
      <w:pPr>
        <w:pStyle w:val="Heading1"/>
      </w:pPr>
      <w:bookmarkStart w:id="0" w:name="section-0-the-garden"/>
      <w:r>
        <w:t>Section 0: The Garden</w:t>
      </w:r>
    </w:p>
    <w:p w14:paraId="6F639E44" w14:textId="77777777" w:rsidR="00AB0EAF" w:rsidRDefault="00000000">
      <w:pPr>
        <w:pStyle w:val="FirstParagraph"/>
      </w:pPr>
      <w:r>
        <w:t>Every child is born with a garden. What’s watered grows.</w:t>
      </w:r>
    </w:p>
    <w:p w14:paraId="5BBB8871" w14:textId="77777777" w:rsidR="00AB0EAF" w:rsidRDefault="00000000">
      <w:pPr>
        <w:pStyle w:val="BodyText"/>
      </w:pPr>
      <w:r>
        <w:t>When a family has enough to get by without working every waking hour, when what they built this year will still be there next year, when neighbors share extra house or extra food and help is visible — children watch and learn: there is enough, sharing is normal, taking care of what feeds you makes sense.</w:t>
      </w:r>
    </w:p>
    <w:p w14:paraId="446E4D10" w14:textId="77777777" w:rsidR="00AB0EAF" w:rsidRDefault="00000000">
      <w:pPr>
        <w:pStyle w:val="BodyText"/>
      </w:pPr>
      <w:r>
        <w:t>When a family is stretched thin, working long hours to keep what they have, when future is uncertain because costs rise and rules change, when time is scarce and help is invisible — children watch and learn: there isn’t enough, holding tight makes sense.</w:t>
      </w:r>
    </w:p>
    <w:p w14:paraId="568F3BDF" w14:textId="77777777" w:rsidR="00AB0EAF" w:rsidRDefault="00000000">
      <w:pPr>
        <w:pStyle w:val="BodyText"/>
      </w:pPr>
      <w:r>
        <w:t>Not because parents are good or bad. Parents do best they can with what they have. Because current shapes what feels normal.</w:t>
      </w:r>
    </w:p>
    <w:p w14:paraId="4FF8CAC7" w14:textId="77777777" w:rsidR="00AB0EAF" w:rsidRDefault="00000000">
      <w:pPr>
        <w:pStyle w:val="BodyText"/>
      </w:pPr>
      <w:r>
        <w:t>Money is a mirror. It tells us what it means to be rich.</w:t>
      </w:r>
    </w:p>
    <w:p w14:paraId="16881C4C" w14:textId="77777777" w:rsidR="00AB0EAF" w:rsidRDefault="00000000">
      <w:pPr>
        <w:pStyle w:val="BodyText"/>
      </w:pPr>
      <w:r>
        <w:t>In one mirror, rich means those who can take fastest. Cut hundred trees in a day, sell them. Mirror says wealthy.</w:t>
      </w:r>
    </w:p>
    <w:p w14:paraId="7EB24794" w14:textId="77777777" w:rsidR="00AB0EAF" w:rsidRDefault="00000000">
      <w:pPr>
        <w:pStyle w:val="BodyText"/>
      </w:pPr>
      <w:r>
        <w:t>In another mirror, rich means those who make land more alive next year than this year. Tend hundred trees for thirty years, build one house from ten, forest bigger. Mirror says wealthy.</w:t>
      </w:r>
    </w:p>
    <w:p w14:paraId="1870ECE8" w14:textId="77777777" w:rsidR="00AB0EAF" w:rsidRDefault="00000000">
      <w:pPr>
        <w:pStyle w:val="BodyText"/>
      </w:pPr>
      <w:r>
        <w:t>Same people. Different mirror. Different world.</w:t>
      </w:r>
    </w:p>
    <w:p w14:paraId="3F3D48BD" w14:textId="77777777" w:rsidR="00AB0EAF" w:rsidRDefault="00000000">
      <w:pPr>
        <w:pStyle w:val="BodyText"/>
      </w:pPr>
      <w:r>
        <w:t>This project chooses second mirror. Not because it’s perfect — nothing is — but because it’s a better step. A village that remembers what villages have always known: take a piece, give back two, pie grows, enough for everyone. What gets watered grows.</w:t>
      </w:r>
    </w:p>
    <w:p w14:paraId="2D1C46F0" w14:textId="77777777" w:rsidR="00AB0EAF" w:rsidRDefault="00000000">
      <w:pPr>
        <w:pStyle w:val="Heading1"/>
      </w:pPr>
      <w:bookmarkStart w:id="1" w:name="abstract"/>
      <w:bookmarkEnd w:id="0"/>
      <w:r>
        <w:t>Abstract</w:t>
      </w:r>
    </w:p>
    <w:p w14:paraId="30DA3B95" w14:textId="77777777" w:rsidR="00AB0EAF" w:rsidRDefault="00000000">
      <w:pPr>
        <w:pStyle w:val="FirstParagraph"/>
      </w:pPr>
      <w:r>
        <w:t xml:space="preserve">This paper outlines the architecture for a decentralized network built around three integrated components: (1) an adaptive, self-replicating execution core that continuously </w:t>
      </w:r>
      <w:r>
        <w:lastRenderedPageBreak/>
        <w:t>relocates to the fastest and most secure available infrastructure while remaining answerable to network-wide consensus; (2) a usage-elastic token supply that expands and contracts with active network participation rather than following a fixed emission schedule; and (3) an embedded artificial intelligence trained to evaluate claims by the strength and directness of their supporting evidence rather than by the authority of the source making them, and whose operation is governed by two public, auditable principles: Evidence-First epistemology for evaluating claims, and the Non-Aggression Principle (NAP) as its default action ethic. The system further incorporates optional transaction privacy, smart contract programmability, and a feedback loop in which the embedded AI’s resource demands inform the core’s expansion behavior. A public, on-chain Constitution anchors both principles, making the network resilient to shutdown, censorship, and single-party manipulation of either its ledger or its embedded intelligence.</w:t>
      </w:r>
    </w:p>
    <w:p w14:paraId="3F2C872A" w14:textId="77777777" w:rsidR="00AB0EAF" w:rsidRDefault="00000000">
      <w:pPr>
        <w:pStyle w:val="Heading1"/>
      </w:pPr>
      <w:bookmarkStart w:id="2" w:name="executive-summary"/>
      <w:bookmarkEnd w:id="1"/>
      <w:r>
        <w:t>Executive Summary</w:t>
      </w:r>
    </w:p>
    <w:p w14:paraId="2A4A2D67" w14:textId="77777777" w:rsidR="00AB0EAF" w:rsidRDefault="00000000">
      <w:pPr>
        <w:pStyle w:val="FirstParagraph"/>
      </w:pPr>
      <w:r>
        <w:t>Project Nexus is a decentralized network built around three integrated components: a self-replicating, self-healing execution core that relocates to the fastest available infrastructure while remaining answerable to network-wide consensus; a usage-elastic token supply that expands and contracts with active network participation rather than a fixed emission schedule; and an embedded AI that evaluates claims by the strength and directness of their supporting evidence rather than the authority of the source making them, governed by two public, auditable principles: Evidence-First epistemology for evaluating claims, and the Non-Aggression Principle as its default action ethic.</w:t>
      </w:r>
    </w:p>
    <w:p w14:paraId="7ABC8568" w14:textId="77777777" w:rsidR="00AB0EAF" w:rsidRDefault="00000000">
      <w:pPr>
        <w:pStyle w:val="BodyText"/>
      </w:pPr>
      <w:r>
        <w:t>The network’s physical resource anchor ties token value to real per-person consumption of energy, calories, and housing — not dollar prices — so the system’s economic logic remains meaningful independent of any single currency. A reclamation mechanism recycles lost or abandoned tokens back into active circulation rather than letting them permanently bloat the supply. Users can exchange real-world value directly for network tokens, without a fiat on- or off-ramp or a custodial intermediary. The embedded AI draws its compute through two distinct channels as the network grows: a small, bounded, disclosed duty on every active node for inference and audit serving, and a separate voluntary pool for model training — removing the need for fixed data centers, with transaction priority preserved ahead of AI activity at all times (Section 3.2.1). Development is funded transparently through protocol fees and a DAO-governed treasury, designed to remain viable across successive embodiments of the network rather than depending on any founder or team (Section 10.6.4).</w:t>
      </w:r>
    </w:p>
    <w:p w14:paraId="2D56E171" w14:textId="77777777" w:rsidR="00AB0EAF" w:rsidRDefault="00000000">
      <w:pPr>
        <w:pStyle w:val="BodyText"/>
      </w:pPr>
      <w:r>
        <w:t>This document specifies each of these mechanisms with concrete, testable parameters, and states plainly where those parameters remain candidates pending the adversarial and economic review described in Section 16, rather than presenting anything as settled before it has actually been tested.</w:t>
      </w:r>
    </w:p>
    <w:p w14:paraId="79136CDC" w14:textId="77777777" w:rsidR="00AB0EAF" w:rsidRDefault="00000000">
      <w:pPr>
        <w:pStyle w:val="Heading2"/>
      </w:pPr>
      <w:r>
        <w:lastRenderedPageBreak/>
        <w:t>Version 1 Disclosure</w:t>
      </w:r>
    </w:p>
    <w:p w14:paraId="794438B1" w14:textId="77777777" w:rsidR="00AB0EAF" w:rsidRDefault="00000000">
      <w:pPr>
        <w:pStyle w:val="FirstParagraph"/>
      </w:pPr>
      <w:r>
        <w:t>Project Nexus is experimental open-source software. The network, Core, and embedded AI are in active development. No warranties, express or implied, are made regarding functionality, security, or availability. Participation is entirely voluntary and at your own risk. You may experience loss of tokens, data, or access, including total loss. No central party, foundation, or developer group can freeze, seize, or redirect your tokens or transactions — the protocol enforces Non-Aggression and Evidence-First evaluation as permanent invariants (Section 2.3). The Nexus token is designed as a utility and unit of account for network resources, not an investment contract or promise of profit; the securities-law and regulatory-classification questions this raises in different jurisdictions remain open items tracked in Section 16.3. By installing or using this software, you acknowledge these terms and accept all associated risks. This disclosure is part of the public record and does not create an ongoing contractual relationship with any central entity.</w:t>
      </w:r>
    </w:p>
    <w:p w14:paraId="493FD968" w14:textId="77777777" w:rsidR="00AB0EAF" w:rsidRDefault="00000000">
      <w:pPr>
        <w:pStyle w:val="Heading1"/>
      </w:pPr>
      <w:bookmarkStart w:id="3" w:name="introduction-and-problem-statement"/>
      <w:bookmarkEnd w:id="2"/>
      <w:r>
        <w:t>1. Introduction and Problem Statement</w:t>
      </w:r>
    </w:p>
    <w:p w14:paraId="31845568" w14:textId="77777777" w:rsidR="00AB0EAF" w:rsidRDefault="00000000">
      <w:pPr>
        <w:pStyle w:val="FirstParagraph"/>
      </w:pPr>
      <w:r>
        <w:t>Existing blockchain networks have each solved subsets of the problems facing real-world adoption, but no major project has addressed all of them simultaneously. This paper identifies four unresolved problems and proposes a unified architecture to address them together:</w:t>
      </w:r>
    </w:p>
    <w:p w14:paraId="3CCD3C77" w14:textId="77777777" w:rsidR="00AB0EAF" w:rsidRDefault="00000000">
      <w:pPr>
        <w:pStyle w:val="BodyText"/>
      </w:pPr>
      <w:r>
        <w:t>The central problem captured here: resource-hogging data centers and centralized authority-based AIs. Existing data centers in Central Ohio and worldwide consume 1-2% of global electricity, concentrate power in 3-4 cloud providers, and train AIs that evaluate claims by authority of source not strength of evidence — creating single points of failure for both infrastructure and truth. Nexus starts in Central Ohio replacing resource hogging data centers with a self-replicating, self-healing execution core that continuously relocates to fastest and most secure infrastructure while remaining answerable to consensus, and an embedded AI trained to evaluate claims by strength and directness of supporting evidence rather than authority, governed by Evidence-First epistemology and Non-Aggression Principle (NAP). This resolves both infrastructure centralization and truth centralization simultaneously per Sections 3 and 10.</w:t>
      </w:r>
    </w:p>
    <w:p w14:paraId="28957839" w14:textId="77777777" w:rsidR="00AB0EAF" w:rsidRDefault="00000000">
      <w:pPr>
        <w:numPr>
          <w:ilvl w:val="0"/>
          <w:numId w:val="1"/>
        </w:numPr>
      </w:pPr>
      <w:r>
        <w:t>Denomination psychology: Users of high-value, highly-divisible currencies (e.g. Bitcoin) must reason in long decimal fractions, which is a documented barrier to intuitive, everyday use.</w:t>
      </w:r>
    </w:p>
    <w:p w14:paraId="0931F821" w14:textId="77777777" w:rsidR="00AB0EAF" w:rsidRDefault="00000000">
      <w:pPr>
        <w:numPr>
          <w:ilvl w:val="0"/>
          <w:numId w:val="1"/>
        </w:numPr>
      </w:pPr>
      <w:r>
        <w:t>Transaction latency: Proof-of-work networks trade throughput for security, leaving users waiting on confirmation times that are impractical for point-of-sale use.</w:t>
      </w:r>
    </w:p>
    <w:p w14:paraId="5D08C029" w14:textId="77777777" w:rsidR="00AB0EAF" w:rsidRDefault="00000000">
      <w:pPr>
        <w:numPr>
          <w:ilvl w:val="0"/>
          <w:numId w:val="1"/>
        </w:numPr>
      </w:pPr>
      <w:r>
        <w:t>Long-term monetary sustainability: Fixed-supply networks face an open question once block rewards taper to zero — whether transaction fees alone can sustain adequate security spending is untested at multi-decade scale.</w:t>
      </w:r>
    </w:p>
    <w:p w14:paraId="33C0CB3F" w14:textId="77777777" w:rsidR="00AB0EAF" w:rsidRDefault="00000000">
      <w:pPr>
        <w:numPr>
          <w:ilvl w:val="0"/>
          <w:numId w:val="1"/>
        </w:numPr>
      </w:pPr>
      <w:r>
        <w:lastRenderedPageBreak/>
        <w:t>Centralization of both infrastructure and ‘truth’: Both compute infrastructure and information platforms tend to consolidate around a small number of gatekeepers, whether miners, cloud providers, or institutions that arbitrate what counts as established fact.</w:t>
      </w:r>
    </w:p>
    <w:p w14:paraId="06420E60" w14:textId="77777777" w:rsidR="00AB0EAF" w:rsidRDefault="00000000">
      <w:pPr>
        <w:pStyle w:val="FirstParagraph"/>
      </w:pPr>
      <w:r>
        <w:t>This project addresses the first three through the core and tokenomics design in Sections 3–6. It addresses the fourth by pairing a censorship-resistant network with an AI whose epistemic method and action ethic are specified openly, in Section 10, so that its reasoning process — not just its output — can be inspected and audited by anyone.</w:t>
      </w:r>
    </w:p>
    <w:p w14:paraId="2F2E2E3A" w14:textId="77777777" w:rsidR="00AB0EAF" w:rsidRDefault="00000000">
      <w:pPr>
        <w:pStyle w:val="Heading2"/>
      </w:pPr>
      <w:r>
        <w:t>1.5 What Money Measures</w:t>
      </w:r>
    </w:p>
    <w:p w14:paraId="19B02723" w14:textId="77777777" w:rsidR="00AB0EAF" w:rsidRDefault="00000000">
      <w:pPr>
        <w:pStyle w:val="FirstParagraph"/>
      </w:pPr>
      <w:r>
        <w:t>Section 0 introduced two mirrors for what it means to be rich. This section names the connection to protocol that Section 0 does not, and that later sections embody without ever saying so explicitly.</w:t>
      </w:r>
    </w:p>
    <w:p w14:paraId="15DA28CF" w14:textId="77777777" w:rsidR="00AB0EAF" w:rsidRDefault="00000000">
      <w:pPr>
        <w:pStyle w:val="FirstParagraph"/>
      </w:pPr>
      <w:r>
        <w:t>Under the current dollar system, the mirror rewards extraction speed: how fast an entity can pool resources from the environment. Cleanup cost is not in the price. It is in the wake, left for someone else or for nature to attempt.</w:t>
      </w:r>
    </w:p>
    <w:p w14:paraId="6D5C3E6D" w14:textId="77777777" w:rsidR="00AB0EAF" w:rsidRDefault="00000000">
      <w:pPr>
        <w:pStyle w:val="FirstParagraph"/>
      </w:pPr>
      <w:r>
        <w:t>Nexus chooses the other mirror by construction, not by policy: rich means making land more alive next year than this year. When you take from the pie, you give some back. The mechanisms that implement that are already in the paper. This section translates them.</w:t>
      </w:r>
    </w:p>
    <w:p w14:paraId="06D3C267" w14:textId="77777777" w:rsidR="00AB0EAF" w:rsidRDefault="00000000">
      <w:pPr>
        <w:pStyle w:val="BodyText"/>
      </w:pPr>
      <w:r>
        <w:rPr>
          <w:b/>
        </w:rPr>
        <w:t xml:space="preserve">Park. </w:t>
      </w:r>
      <w:r>
        <w:t>Keep what you built this year still there next year. Active balances are never reduced without consent per the Non-Aggression Principle. Heartbeat is gasless, zero fee, a cryptographic signature with a valid timestamp. Dormancy compost applies only to already-dormant wallets. Minimum ten NEXUS (10,000.00 mN) is exempt, always displayed as 10.00 with two decimals. Park is profitable because the guard rails in Section 6 make parking and tending more profitable than destruction.</w:t>
      </w:r>
    </w:p>
    <w:p w14:paraId="04D5A4FD" w14:textId="77777777" w:rsidR="00AB0EAF" w:rsidRDefault="00000000">
      <w:pPr>
        <w:pStyle w:val="BodyText"/>
      </w:pPr>
      <w:r>
        <w:rPr>
          <w:b/>
        </w:rPr>
        <w:t xml:space="preserve">Tend. </w:t>
      </w:r>
      <w:r>
        <w:t>Tending is storage, audit serving, and relay that reduces relocation latency, not extraction. The live formula uses raw active wallets as defined in Section 6.2, with a fixed exponent near 0.35 as part of the supply identity. Two candidates remain pending simulation, not adopted as live in this document: tending-weighted wallets, and a dynamic exponent that would decay over time. Both are described in Section 6.2.3 as explicitly candidates, not locked parameters, and this section does not adopt them either.</w:t>
      </w:r>
    </w:p>
    <w:p w14:paraId="132740E6" w14:textId="77777777" w:rsidR="00AB0EAF" w:rsidRDefault="00000000">
      <w:pPr>
        <w:pStyle w:val="BodyText"/>
      </w:pPr>
      <w:r>
        <w:rPr>
          <w:b/>
        </w:rPr>
        <w:t xml:space="preserve">Spend. </w:t>
      </w:r>
      <w:r>
        <w:t>Always spendable in a dollar-like decimal format — 10.00, 240.00, 1,240.00 mN — via the display ladder specified in Section 6.1. Display is user interface only, not protocol. Spend is voluntary exchange of energy already in the network.</w:t>
      </w:r>
    </w:p>
    <w:p w14:paraId="63F179DD" w14:textId="77777777" w:rsidR="00AB0EAF" w:rsidRDefault="00000000">
      <w:pPr>
        <w:pStyle w:val="BodyText"/>
      </w:pPr>
      <w:r>
        <w:rPr>
          <w:b/>
        </w:rPr>
        <w:t xml:space="preserve">Guard rails. </w:t>
      </w:r>
      <w:r>
        <w:t>The velocity limiter, Winter Mode, and Summer Mode (Section 6.2) exist to contain violent moves if adoption exceeds the current simulation range — described honestly there as non-binding backstops, not as mechanisms that explain numbers they do not actually constrain.</w:t>
      </w:r>
    </w:p>
    <w:p w14:paraId="41DD09F9" w14:textId="77777777" w:rsidR="00AB0EAF" w:rsidRDefault="00000000">
      <w:pPr>
        <w:pStyle w:val="FirstParagraph"/>
      </w:pPr>
      <w:r>
        <w:t xml:space="preserve">This is take one, give two back, by construction rather than by policy. Core identity is location plus rule set plus number (Section 3.1); relocation is retirement plus birth, not </w:t>
      </w:r>
      <w:r>
        <w:lastRenderedPageBreak/>
        <w:t>movement; a sequential number is never reused, which forecloses split-brain by construction rather than by policy. The same discipline governs escrow: the jury in Section 11 can only move escrowed value and can never force a bank wire or a physical delivery, by construction, not by promise.</w:t>
      </w:r>
    </w:p>
    <w:p w14:paraId="57D46481" w14:textId="77777777" w:rsidR="00AB0EAF" w:rsidRDefault="00000000">
      <w:pPr>
        <w:pStyle w:val="FirstParagraph"/>
      </w:pPr>
      <w:r>
        <w:t>Without this section, a reader sees mechanisms but not why they exist. With it: to measure tending after consumption, so that taking from the pie includes giving back. Same people. Different mirror. Different world.</w:t>
      </w:r>
    </w:p>
    <w:p w14:paraId="0A209AE8" w14:textId="77777777" w:rsidR="00AB0EAF" w:rsidRDefault="00000000">
      <w:pPr>
        <w:pStyle w:val="Heading1"/>
      </w:pPr>
      <w:bookmarkStart w:id="4" w:name="design-philosophy"/>
      <w:bookmarkEnd w:id="3"/>
      <w:r>
        <w:t>2. Design Philosophy</w:t>
      </w:r>
    </w:p>
    <w:p w14:paraId="1FE37B4B" w14:textId="77777777" w:rsidR="00AB0EAF" w:rsidRDefault="00000000">
      <w:pPr>
        <w:pStyle w:val="FirstParagraph"/>
      </w:pPr>
      <w:r>
        <w:t>Two principles govern every design decision in this system. As of v0.4, both are codified in a public on-chain Constitution (see Section 10.6).</w:t>
      </w:r>
    </w:p>
    <w:p w14:paraId="74FDAAE2" w14:textId="77777777" w:rsidR="00AB0EAF" w:rsidRDefault="00000000">
      <w:pPr>
        <w:pStyle w:val="Heading2"/>
      </w:pPr>
      <w:bookmarkStart w:id="5" w:name="evidence-over-authority"/>
      <w:r>
        <w:t>2.1 Evidence Over Authority</w:t>
      </w:r>
    </w:p>
    <w:p w14:paraId="42919A9C" w14:textId="77777777" w:rsidR="00AB0EAF" w:rsidRDefault="00000000">
      <w:pPr>
        <w:pStyle w:val="FirstParagraph"/>
      </w:pPr>
      <w:r>
        <w:t>A claim’s credibility should be a function of the evidence supporting it — its directness, its replicability, and the transparency of methods and funding behind it — not a function of how many credentialed sources repeat it. This does not mean rejecting expert consensus; well-evidenced consensus is still the strongest category of claim in this framework. It means the AI component described in Section 10 is required to show its evidentiary work rather than defer to source authority as a substitute for it. This is the Epistemic Layer: how the system determines what is true.</w:t>
      </w:r>
    </w:p>
    <w:p w14:paraId="66E52BE9" w14:textId="77777777" w:rsidR="00AB0EAF" w:rsidRDefault="00000000">
      <w:pPr>
        <w:pStyle w:val="Heading2"/>
      </w:pPr>
      <w:bookmarkStart w:id="6" w:name="non-aggression-as-default-action-ethic"/>
      <w:bookmarkEnd w:id="5"/>
      <w:r>
        <w:t>2.2 Non-Aggression as Default Action Ethic</w:t>
      </w:r>
    </w:p>
    <w:p w14:paraId="00D2704D" w14:textId="77777777" w:rsidR="00AB0EAF" w:rsidRDefault="00000000">
      <w:pPr>
        <w:pStyle w:val="FirstParagraph"/>
      </w:pPr>
      <w:r>
        <w:t>Truth without an action ethic is incomplete. The second governing principle is the Non-Aggression Principle (NAP): no participant, node operator, Core instance, or embedded AI may initiate or facilitate coercive control over another participant’s funds, data, bodily autonomy, or voluntary use of the system.</w:t>
      </w:r>
    </w:p>
    <w:p w14:paraId="242AE79B" w14:textId="77777777" w:rsidR="00AB0EAF" w:rsidRDefault="00000000">
      <w:pPr>
        <w:pStyle w:val="BodyText"/>
      </w:pPr>
      <w:r>
        <w:t>In this architecture, NAP is not a slogan. It is a default operational constraint:</w:t>
      </w:r>
    </w:p>
    <w:p w14:paraId="1D03F08A" w14:textId="77777777" w:rsidR="00AB0EAF" w:rsidRDefault="00000000">
      <w:pPr>
        <w:numPr>
          <w:ilvl w:val="0"/>
          <w:numId w:val="2"/>
        </w:numPr>
      </w:pPr>
      <w:r>
        <w:t>The Core may execute, replicate, isolate, and rebuild, but it may not seize, freeze, censor, or redirect a valid, voluntarily signed transaction.</w:t>
      </w:r>
    </w:p>
    <w:p w14:paraId="3B2FAB32" w14:textId="77777777" w:rsidR="00AB0EAF" w:rsidRDefault="00000000">
      <w:pPr>
        <w:numPr>
          <w:ilvl w:val="0"/>
          <w:numId w:val="2"/>
        </w:numPr>
      </w:pPr>
      <w:r>
        <w:t>The embedded AI may evaluate claims, surface evidence, warn of risks, and assist in defense, but it may not assist in doxxing, blacklisting, or initiating coercion against non-aggressive users.</w:t>
      </w:r>
    </w:p>
    <w:p w14:paraId="2EC7832E" w14:textId="77777777" w:rsidR="00AB0EAF" w:rsidRDefault="00000000">
      <w:pPr>
        <w:numPr>
          <w:ilvl w:val="0"/>
          <w:numId w:val="2"/>
        </w:numPr>
      </w:pPr>
      <w:r>
        <w:t>Defensive action is always permitted: replication away from attack, isolation of compromised components, and consensus-verified rebuilding are explicitly defined as defensive under the Constitution.</w:t>
      </w:r>
    </w:p>
    <w:p w14:paraId="37004DFC" w14:textId="77777777" w:rsidR="00AB0EAF" w:rsidRDefault="00000000">
      <w:pPr>
        <w:pStyle w:val="FirstParagraph"/>
      </w:pPr>
      <w:r>
        <w:t>Any exception to this default — for example, a DAO-approved emergency action — must be explicitly authorized by supermajority consensus under Section 4, logged transparently, and justified by reference to the Constitution. This is the Action Layer: how the system decides what to do with what it knows.</w:t>
      </w:r>
    </w:p>
    <w:p w14:paraId="21BC80F5" w14:textId="77777777" w:rsidR="00AB0EAF" w:rsidRDefault="00000000">
      <w:pPr>
        <w:pStyle w:val="Heading2"/>
      </w:pPr>
      <w:bookmarkStart w:id="7" w:name="X2e7a17af21793663fda7c23995522deb3140a56"/>
      <w:bookmarkEnd w:id="6"/>
      <w:r>
        <w:lastRenderedPageBreak/>
        <w:t>2.3 Permanent Invariants and Continuable Lineage</w:t>
      </w:r>
    </w:p>
    <w:p w14:paraId="57AC0A9F" w14:textId="77777777" w:rsidR="00AB0EAF" w:rsidRDefault="00000000">
      <w:pPr>
        <w:pStyle w:val="FirstParagraph"/>
      </w:pPr>
      <w:r>
        <w:t>The Constitution distinguishes a small set of permanent invariants from all other parameters. The permanent invariants are: Evidence-First evaluation of claims, Non-Aggression as the default action constraint, the right of minority exit with assets and historical anchors intact, and the requirement that every durable claim is cryptographically anchored to a specific retained rule version. All other rules, formulas, thresholds, schedules, and implementations are epoch-scoped. They may be amended or replaced through the processes in Section 10.6.1 and Section 10.6.4. The design goal is not permanent runtime continuity of any single embodiment, but faithful continuability of the constitutional lineage across successive implementations.</w:t>
      </w:r>
    </w:p>
    <w:p w14:paraId="7E206ADF" w14:textId="77777777" w:rsidR="00AB0EAF" w:rsidRDefault="00000000">
      <w:pPr>
        <w:pStyle w:val="Heading1"/>
      </w:pPr>
      <w:bookmarkStart w:id="8" w:name="network-architecture-the-adaptive-core"/>
      <w:bookmarkEnd w:id="4"/>
      <w:bookmarkEnd w:id="7"/>
      <w:r>
        <w:t>3. Network Architecture: The Adaptive Core</w:t>
      </w:r>
    </w:p>
    <w:p w14:paraId="3CB0E98B" w14:textId="77777777" w:rsidR="00AB0EAF" w:rsidRDefault="00000000">
      <w:pPr>
        <w:pStyle w:val="FirstParagraph"/>
      </w:pPr>
      <w:r>
        <w:t>The network’s execution layer is built around a self-replicating ‘Core’ — a lightweight, mobile execution and routing process rather than a fixed set of servers. The Core continuously evaluates available nodes across the network for two properties: proximity-driven latency and storage/compute throughput. It relocates and replicates itself toward whichever combination of nodes currently offers the best performance.</w:t>
      </w:r>
    </w:p>
    <w:p w14:paraId="69FC4F23" w14:textId="77777777" w:rsidR="00AB0EAF" w:rsidRDefault="00000000">
      <w:pPr>
        <w:pStyle w:val="Heading2"/>
      </w:pPr>
      <w:bookmarkStart w:id="9" w:name="Xe307f42e931d8c3c923dab5cbf8e7a03baa0f38"/>
      <w:r>
        <w:t>3.1 Replication as Both Performance and Defense</w:t>
      </w:r>
    </w:p>
    <w:p w14:paraId="0F74E329" w14:textId="77777777" w:rsidR="00AB0EAF" w:rsidRDefault="00000000">
      <w:pPr>
        <w:pStyle w:val="FirstParagraph"/>
      </w:pPr>
      <w:r>
        <w:t>The same replication mechanism that optimizes for speed also functions as a security response. If a node hosting part of the Core detects an intrusion attempt or anomalous behavior consistent with an attack, that signal triggers immediate replication away from the affected node, alongside standard anomaly detection over transaction patterns of the kind long used in networks such as Bitcoin and Ethereum. The Core is designed to have no fixed, attackable location for longer than it takes to detect and respond to a threat.</w:t>
      </w:r>
    </w:p>
    <w:p w14:paraId="123B4F86" w14:textId="77777777" w:rsidR="00AB0EAF" w:rsidRDefault="00000000">
      <w:pPr>
        <w:pStyle w:val="BodyText"/>
      </w:pPr>
      <w:r>
        <w:rPr>
          <w:b/>
        </w:rPr>
        <w:t xml:space="preserve">Core identity and lifecycle. </w:t>
      </w:r>
      <w:r>
        <w:t>Cores are numbered sequentially as they are spawned — Core 1 at genesis, then Core 2, Core 3, and onward — and a number is never reused. Identity is the combination of location, rule set, and number; it is not a persistent identity that survives relocation. Relocation is therefore defined as retirement plus birth rather than movement: if a Core determines, under its own cost function, that a remote location outperforms its current one by more than a threshold margin (candidate: 30%) sustained over a candidate window of 144 blocks (≈24 hours), it does not move as the same number. It spawns a successor Core carrying the next unused number, with an identical rule set duplicated from the network genesis_root (Section 10.6.3) and a copy of the Merkle root snapshot (Amendment 12B — roots on-chain, not the full ephemeral stream), and the original Core then retires gracefully, with a log-witness quorum certifying the handoff and matching state digest before it stops.</w:t>
      </w:r>
    </w:p>
    <w:p w14:paraId="086680EE" w14:textId="77777777" w:rsidR="00AB0EAF" w:rsidRDefault="00000000">
      <w:pPr>
        <w:pStyle w:val="FirstParagraph"/>
      </w:pPr>
      <w:r>
        <w:t xml:space="preserve">The practical reason is structural, not aesthetic: a Core that can never change location while keeping its label can never exist in two places under one identity, which forecloses split-brain and the MESI Exclusive conflict by construction rather than by policy. It also prevents a single immortal Core from becoming a permanent nomadic bottleneck. Sequential </w:t>
      </w:r>
      <w:r>
        <w:lastRenderedPageBreak/>
        <w:t>numbering is unbounded — a mature network may reach Core 40 or Core 400 over its lifetime — but the number of Cores active simultaneously remains capped by the tier gate in Section 3.4 (K = 1 at Tier 0, K = 2 at Tier 1, K = 4 at Tier 2). Numbering counts births over time; K counts how many are alive at any one instant. At Tier 0, relocation still works exactly as described: Core 1 retires, its successor spawns, and only one Core is ever active.</w:t>
      </w:r>
    </w:p>
    <w:p w14:paraId="5F6CD53E" w14:textId="77777777" w:rsidR="00AB0EAF" w:rsidRDefault="00000000">
      <w:pPr>
        <w:pStyle w:val="Heading2"/>
      </w:pPr>
      <w:bookmarkStart w:id="10" w:name="the-centralization-trade-off"/>
      <w:bookmarkEnd w:id="9"/>
      <w:r>
        <w:t>3.2 The Centralization Trade-off</w:t>
      </w:r>
    </w:p>
    <w:p w14:paraId="6D3DA0DC" w14:textId="77777777" w:rsidR="00AB0EAF" w:rsidRDefault="00000000">
      <w:pPr>
        <w:pStyle w:val="FirstParagraph"/>
      </w:pPr>
      <w:r>
        <w:t>A single migrating execution core is, by construction, faster and simpler to reason about than a fully distributed execution model — but that speed comes at the cost of concentrating execution in one place at any given moment. This project resolves that trade-off by strictly isolating execution speed from protocol authority: the Core retains the autonomy to replicate, self-heal, and scale across performance layers, but it possesses zero programmatic authority to rewrite its own operating rules. Any modification to Core behavior, replication logic, or protocol parameters requires network-wide consensus as defined in Section 4. This is the central architectural bet of the project, and it is discussed further as an open risk in Section 16. The AI’s own resource demands feed back into this expansion behavior, but only through the voluntary, opt-in compute pool described in Section 10.7 — the Core cannot claim node resources for AI training outside that consent mechanism.</w:t>
      </w:r>
    </w:p>
    <w:p w14:paraId="705102FE" w14:textId="77777777" w:rsidR="00AB0EAF" w:rsidRDefault="00000000">
      <w:pPr>
        <w:pStyle w:val="Heading3"/>
      </w:pPr>
      <w:bookmarkStart w:id="11" w:name="separation-of-velocity-and-sovereignty"/>
      <w:r>
        <w:t>3.2.1 Separation of Velocity and Sovereignty</w:t>
      </w:r>
    </w:p>
    <w:p w14:paraId="6EECB9D7" w14:textId="77777777" w:rsidR="00AB0EAF" w:rsidRDefault="00000000">
      <w:pPr>
        <w:pStyle w:val="FirstParagraph"/>
      </w:pPr>
      <w:r>
        <w:t>The core Non-Aggression invariants — including the absolute prohibition of fund freezing, transaction blacklisting, wallet seizures, or transactional deprioritization — are handled entirely outside the AI reasoning layer and are enforced deterministically by the governance module, independent of execution speed. The DAO governance layer described in Section 4.2 is explicitly stripped of the authority to bypass these rules, removing the risk of flash-loan exploits or plutocratic cartel takeovers overriding them.</w:t>
      </w:r>
    </w:p>
    <w:p w14:paraId="0AA258C8" w14:textId="77777777" w:rsidR="00AB0EAF" w:rsidRDefault="00000000">
      <w:pPr>
        <w:pStyle w:val="Heading3"/>
      </w:pPr>
      <w:bookmarkStart w:id="12" w:name="Xd2db93c0e1359bfe63518cdbdd969c5c493bc7f"/>
      <w:bookmarkEnd w:id="11"/>
      <w:r>
        <w:t>3.2.3 Fast-Path Containment — Amendment 10 (Closes MESI Cache-Coherence Risk)</w:t>
      </w:r>
    </w:p>
    <w:p w14:paraId="1134A4E2" w14:textId="77777777" w:rsidR="00AB0EAF" w:rsidRDefault="00000000">
      <w:pPr>
        <w:pStyle w:val="BodyText"/>
      </w:pPr>
      <w:r>
        <w:t xml:space="preserve">v1 launch constrained to single metro region until Phase 1 proves sub-50ms + 100-300 TPS. Gas-pump-fast 0.8s pre-confirmation, sub-50ms regional path is restricted to transactions &lt;100 NEXUS per Amendment 10. Implementation: replication.rs is_fast_path_eligible() checks amount &lt; 100 NEXUS. Amounts &gt;=100 NEXUS route to standard consensus (full finality). This constrains fast-path (&lt;50ms, 7-of-10 BLS) to small-value settlement, large value waits for full finality, consistent with credit-card-parity guard rails (2.9% + $0.30, and gas never exceeding cost of gas). This closes cache-coherence MESI risk between cores: v1 single-core v1 configuration (10→30 nodes, sub-50ms, 100→300 TPS) is FIXED safe config per Section 3.1, v2 multi-core (10-100 cores globally, 1k-10k TPS) deferred until cache coherence solved with same rigor as trust between nodes — the admission gate for that transition is specified in Section 3.4. The threshold is anchored to a physical basket rather than a fixed NEXUS count, closing the dollar-drift gap this section previously only flagged: a candidate basket of 1 kg refined sugar, 1 kWh electricity, 0.1 kg rice, and 0.05 square meters of housing-day (Appendix C.7, tracked the same way as the hardship-lending basket in Section 6.8.3), with the cap set at 100 basket-units. At genesis </w:t>
      </w:r>
      <w:r>
        <w:lastRenderedPageBreak/>
        <w:t>this equals approximately 100 NEXUS; the cap auto-adjusts as anchor_current / anchor_genesis moves, via the same oracle median already used elsewhere in this paper, so the threshold’s real-world meaning stays constant even as the token’s price does not. It remains an epoch parameter (Section 10.6), amendable through the amendment process (Section 10.6.1); the basket composition itself is a candidate, pending Section 16 review, not a final specification.</w:t>
      </w:r>
    </w:p>
    <w:p w14:paraId="2BA63CBB" w14:textId="77777777" w:rsidR="00AB0EAF" w:rsidRDefault="00000000">
      <w:pPr>
        <w:pStyle w:val="BodyText"/>
      </w:pPr>
      <w:r>
        <w:t>If a malicious supermajority were to compromise the validator network in an attempt to force administrative censorship, the transaction is rejected at the protocol level rather than at the discretion of any single actor. Any attempt to modify these invariants invalidates the genesis hash anchor, triggering a network-wide state preservation alert and forcing an immediate hard fork — allowing the non-aggressive majority to continue on a clean parallel chain with their assets and constitutional principles fully preserved. This escape-hatch design, rather than any single point of enforcement, is what the project depends on to keep execution speed from ever translating into centralized control; the underlying anchor structure and hard-fork mechanics are formalized in Section 10.6.3, though it remains, per Section 16, a mechanism requiring formal adversarial modeling before it can be considered proven.</w:t>
      </w:r>
    </w:p>
    <w:p w14:paraId="2374A87A" w14:textId="77777777" w:rsidR="00AB0EAF" w:rsidRDefault="00000000">
      <w:pPr>
        <w:pStyle w:val="BodyText"/>
      </w:pPr>
      <w:r>
        <w:t>The network’s root of trust is defined in full in Section 10.6.3 and consolidated for reference in Appendix E. A layered genesis_root binds the Constitution hash to the initial parameter set and AI constraints. All later rule versions and durable AI outputs must cryptographically descend from it. Attempts to break that chain are rejected and trigger the hard-fork escape hatch above, with minority-exit preservation. The current root is scoped to the design window declared in its horizon_blocks field; continuity beyond that window is by succession (Section 10.6.4), not perpetual runtime identity.</w:t>
      </w:r>
    </w:p>
    <w:p w14:paraId="4D70224B" w14:textId="77777777" w:rsidR="00AB0EAF" w:rsidRDefault="00000000">
      <w:pPr>
        <w:pStyle w:val="Heading2"/>
      </w:pPr>
      <w:bookmarkStart w:id="13" w:name="self-healing-nodes"/>
      <w:bookmarkEnd w:id="10"/>
      <w:bookmarkEnd w:id="12"/>
      <w:r>
        <w:t>3.3 Self-Healing Nodes</w:t>
      </w:r>
    </w:p>
    <w:p w14:paraId="61E06625" w14:textId="77777777" w:rsidR="00AB0EAF" w:rsidRDefault="00000000">
      <w:pPr>
        <w:pStyle w:val="FirstParagraph"/>
      </w:pPr>
      <w:r>
        <w:t>Each node continuously monitors its own integrity, checking for signs of code corruption, unauthorized intrusion, or physical or operational damage. When a node detects an anomaly consistent with any of these, it isolates the affected components rather than continuing to operate on compromised code, then rebuilds a clean copy of its software from the network’s consensus-verified reference state, so the repair itself cannot be tampered with by whatever compromised the node in the first place. In parallel, the Core replicates away from the affected node, consistent with the threat-responsive replication described in Section 3.1. Together, isolation, consensus-verified rebuilding, and replication give the network a self-healing layer on top of the self-replicating one: individual nodes recover from damage or attack without manual intervention, so the Core continues to run fast and stable even while under sustained attack.</w:t>
      </w:r>
    </w:p>
    <w:p w14:paraId="78BB7D8B" w14:textId="77777777" w:rsidR="00AB0EAF" w:rsidRDefault="00000000">
      <w:pPr>
        <w:pStyle w:val="Heading2"/>
      </w:pPr>
      <w:bookmarkStart w:id="14" w:name="X986374195e186ccf7b01ad3efbd81a7c843d2bd"/>
      <w:bookmarkEnd w:id="13"/>
      <w:r>
        <w:t>3.4 Availability Tiers and Core Transition Rules</w:t>
      </w:r>
    </w:p>
    <w:p w14:paraId="4BCC311C" w14:textId="77777777" w:rsidR="00AB0EAF" w:rsidRDefault="00000000">
      <w:pPr>
        <w:pStyle w:val="FirstParagraph"/>
      </w:pPr>
      <w:r>
        <w:t xml:space="preserve">The Core operates under a strict tiered availability model. Movement between tiers is one-way until the higher tier's safety properties are proven; regression is automatic if the defining thresholds are breached. All numeric values below are epoch parameters (Section </w:t>
      </w:r>
      <w:r>
        <w:lastRenderedPageBreak/>
        <w:t>10.6.1) with locked initial values: changing them requires the constitutional amendment process plus the re-validation each tier already demands, not a routine parameter tweak.</w:t>
      </w:r>
    </w:p>
    <w:p w14:paraId="7384E37F" w14:textId="77777777" w:rsidR="00AB0EAF" w:rsidRDefault="00000000">
      <w:pPr>
        <w:pStyle w:val="BodyText"/>
      </w:pPr>
      <w:r>
        <w:rPr>
          <w:b/>
          <w:bCs/>
        </w:rPr>
        <w:t>Tier 0 — Single-Active-Core Safe Configuration (Genesis / v1 Launch), mandatory at genesis.</w:t>
      </w:r>
    </w:p>
    <w:p w14:paraId="4C1887A8" w14:textId="77777777" w:rsidR="00AB0EAF" w:rsidRDefault="00000000">
      <w:pPr>
        <w:pStyle w:val="Compact"/>
        <w:numPr>
          <w:ilvl w:val="0"/>
          <w:numId w:val="3"/>
        </w:numPr>
      </w:pPr>
      <w:r>
        <w:t>Topology: exactly one active Core instance. All other nodes are pure replicas or standby candidates, held in Shared state only.</w:t>
      </w:r>
    </w:p>
    <w:p w14:paraId="64191012" w14:textId="77777777" w:rsidR="00AB0EAF" w:rsidRDefault="00000000">
      <w:pPr>
        <w:pStyle w:val="Compact"/>
        <w:numPr>
          <w:ilvl w:val="0"/>
          <w:numId w:val="3"/>
        </w:numPr>
      </w:pPr>
      <w:r>
        <w:t>Scale bound: 10–30 nodes, single metro region.</w:t>
      </w:r>
    </w:p>
    <w:p w14:paraId="308A6CCA" w14:textId="77777777" w:rsidR="00AB0EAF" w:rsidRDefault="00000000">
      <w:pPr>
        <w:pStyle w:val="Compact"/>
        <w:numPr>
          <w:ilvl w:val="0"/>
          <w:numId w:val="3"/>
        </w:numPr>
      </w:pPr>
      <w:r>
        <w:t>Performance envelope: sub-50ms regional path (p95), 100–300 TPS sustained.</w:t>
      </w:r>
    </w:p>
    <w:p w14:paraId="497C4A96" w14:textId="77777777" w:rsidR="00AB0EAF" w:rsidRDefault="00000000">
      <w:pPr>
        <w:pStyle w:val="Compact"/>
        <w:numPr>
          <w:ilvl w:val="0"/>
          <w:numId w:val="3"/>
        </w:numPr>
      </w:pPr>
      <w:r>
        <w:t>Fast-path: restricted to transactions below the epoch-parameter threshold (currently 100 NEXUS, Section 3.2.3) with 7-of-10 BLS pre-confirmation; larger amounts take full finality.</w:t>
      </w:r>
    </w:p>
    <w:p w14:paraId="40464817" w14:textId="77777777" w:rsidR="00AB0EAF" w:rsidRDefault="00000000">
      <w:pPr>
        <w:pStyle w:val="Compact"/>
        <w:numPr>
          <w:ilvl w:val="0"/>
          <w:numId w:val="3"/>
        </w:numPr>
      </w:pPr>
      <w:r>
        <w:t>Safety claim: no concurrent active Cores, therefore no cache-coherence MESI Exclusive/Modified conflict. This is the only configuration declared safe at genesis.</w:t>
      </w:r>
    </w:p>
    <w:p w14:paraId="63486DE6" w14:textId="77777777" w:rsidR="00AB0EAF" w:rsidRDefault="00000000">
      <w:pPr>
        <w:pStyle w:val="Compact"/>
        <w:numPr>
          <w:ilvl w:val="0"/>
          <w:numId w:val="3"/>
        </w:numPr>
      </w:pPr>
      <w:r>
        <w:t>Exit condition: Tier 0 remains mandatory until the Tier 1 admission criteria below are simultaneously satisfied and confirmed by Section 4 supermajority (≥67%) vote.</w:t>
      </w:r>
    </w:p>
    <w:p w14:paraId="6CACFEB2" w14:textId="77777777" w:rsidR="00AB0EAF" w:rsidRDefault="00000000">
      <w:pPr>
        <w:pStyle w:val="FirstParagraph"/>
      </w:pPr>
      <w:r>
        <w:rPr>
          <w:b/>
          <w:bCs/>
        </w:rPr>
        <w:t>Tier 1 — Controlled Multi-Core (Regional / Early Expansion).</w:t>
      </w:r>
      <w:r>
        <w:t xml:space="preserve"> All five conditions must hold simultaneously over a continuous observation window:</w:t>
      </w:r>
    </w:p>
    <w:p w14:paraId="43B3F351" w14:textId="77777777" w:rsidR="00AB0EAF" w:rsidRDefault="00000000">
      <w:pPr>
        <w:pStyle w:val="Compact"/>
        <w:numPr>
          <w:ilvl w:val="0"/>
          <w:numId w:val="4"/>
        </w:numPr>
      </w:pPr>
      <w:r>
        <w:t>Sustained performance: the Tier 0 envelope held continuously for 2,016 blocks (≈14 days at the network's ten-minute block interval) — every block inside the envelope, not an average, with no gaps.</w:t>
      </w:r>
    </w:p>
    <w:p w14:paraId="698A3F9E" w14:textId="77777777" w:rsidR="00AB0EAF" w:rsidRDefault="00000000">
      <w:pPr>
        <w:pStyle w:val="Compact"/>
        <w:numPr>
          <w:ilvl w:val="0"/>
          <w:numId w:val="4"/>
        </w:numPr>
      </w:pPr>
      <w:r>
        <w:t>Standby pool size: N = 3 exactly, pre-qualified under the reputation and tending filters in Section 11.1 (reputation ≥75, 30 days continuous tending, 3 vouchers, IP/ASN diversity, minimum 2 hours active daily). N = 3 gives one-fault tolerance with quorum: N = 2 risks split-brain, N &gt; 3 adds complexity the protocol does not yet need to prove.</w:t>
      </w:r>
    </w:p>
    <w:p w14:paraId="77B77E64" w14:textId="77777777" w:rsidR="00AB0EAF" w:rsidRDefault="00000000">
      <w:pPr>
        <w:pStyle w:val="Compact"/>
        <w:numPr>
          <w:ilvl w:val="0"/>
          <w:numId w:val="4"/>
        </w:numPr>
      </w:pPr>
      <w:r>
        <w:t>Lag bound: under 20ms measured log-lag behind the certified tip, for all three candidates, for the entire 2,016-block window — measured by log-witness quorum certificates (Section 3.5), never self-reported. A candidate exceeding 20ms for more than 3 consecutive QC intervals (6 blocks each) is ejected and the observation window resets to zero.</w:t>
      </w:r>
    </w:p>
    <w:p w14:paraId="5578B50B" w14:textId="77777777" w:rsidR="00AB0EAF" w:rsidRDefault="00000000">
      <w:pPr>
        <w:pStyle w:val="Compact"/>
        <w:numPr>
          <w:ilvl w:val="0"/>
          <w:numId w:val="4"/>
        </w:numPr>
      </w:pPr>
      <w:r>
        <w:t>Log-witness quorum: an unbroken sequence of Quorum Certificates for the full 2,016-block window, from a locked witness set of 7 with a 5-of-7 quorum (approximately 71%, a fixed witness count distinct from the Section 4 constitutional supermajority percentage). No gaps, no equivocation, no conflicting digests. QC interval is locked at 6 blocks.</w:t>
      </w:r>
    </w:p>
    <w:p w14:paraId="12C6446F" w14:textId="77777777" w:rsidR="00AB0EAF" w:rsidRDefault="00000000">
      <w:pPr>
        <w:pStyle w:val="Compact"/>
        <w:numPr>
          <w:ilvl w:val="0"/>
          <w:numId w:val="4"/>
        </w:numPr>
      </w:pPr>
      <w:r>
        <w:t>Formal review and governance: adversarial review of the cache-coherence and ordering protocol completed — covering the MESI Shared→Exclusive→Modified hand-off, the Amdahl's Law limit, split-brain prevention at N = 3, and the 20ms state-sync bound — with results published on-chain, plus Section 4 supermajority (≥67%) approval of the Tier 1 activation proposal.</w:t>
      </w:r>
    </w:p>
    <w:p w14:paraId="5B3C1D34" w14:textId="77777777" w:rsidR="00AB0EAF" w:rsidRDefault="00000000">
      <w:pPr>
        <w:pStyle w:val="FirstParagraph"/>
      </w:pPr>
      <w:r>
        <w:lastRenderedPageBreak/>
        <w:t>Once admitted: up to K = 2 active Cores operate concurrently — not the wider range once considered — starting with 2 active and 1 hot standby drawn from the N = 3 pool, deliberately limiting the coherence domain while the protocol is still being proven. Cross-Core ordering and state hand-off use the same log-witness-plus-QC mechanism that gated admission; no active Core may claim Exclusive state without a QC. Regression is automatic and requires no vote: any active Core exceeding the 20ms lag bound is demoted immediately, and if the healthy active count drops below 2, the network regresses to Tier 0. Fast-path eligibility remains unchanged at 100 NEXUS.</w:t>
      </w:r>
    </w:p>
    <w:p w14:paraId="2C394DA7" w14:textId="77777777" w:rsidR="00AB0EAF" w:rsidRDefault="00000000">
      <w:pPr>
        <w:pStyle w:val="BodyText"/>
      </w:pPr>
      <w:r>
        <w:rPr>
          <w:b/>
          <w:bCs/>
        </w:rPr>
        <w:t>Tier 2 — Global Multi-Core (Wide-Area Scale). All conditions must hold:</w:t>
      </w:r>
    </w:p>
    <w:p w14:paraId="2D64B984" w14:textId="77777777" w:rsidR="00AB0EAF" w:rsidRDefault="00000000">
      <w:pPr>
        <w:pStyle w:val="Compact"/>
        <w:numPr>
          <w:ilvl w:val="0"/>
          <w:numId w:val="5"/>
        </w:numPr>
      </w:pPr>
      <w:r>
        <w:t>Tier 1 has operated inside its safety and performance envelope for 6 consecutive 2,016-block epochs (≈84 days).</w:t>
      </w:r>
    </w:p>
    <w:p w14:paraId="0C2DB920" w14:textId="77777777" w:rsidR="00AB0EAF" w:rsidRDefault="00000000">
      <w:pPr>
        <w:pStyle w:val="Compact"/>
        <w:numPr>
          <w:ilvl w:val="0"/>
          <w:numId w:val="5"/>
        </w:numPr>
      </w:pPr>
      <w:r>
        <w:t>Lag bound: under 50ms inter-region, under 20ms intra-region, measured the same way via log-witness QCs.</w:t>
      </w:r>
    </w:p>
    <w:p w14:paraId="5123AEA1" w14:textId="77777777" w:rsidR="00AB0EAF" w:rsidRDefault="00000000">
      <w:pPr>
        <w:pStyle w:val="Compact"/>
        <w:numPr>
          <w:ilvl w:val="0"/>
          <w:numId w:val="5"/>
        </w:numPr>
      </w:pPr>
      <w:r>
        <w:t>Standby pool: N = 5. Active Cores: K = 4 maximum.</w:t>
      </w:r>
    </w:p>
    <w:p w14:paraId="60EF448E" w14:textId="77777777" w:rsidR="00AB0EAF" w:rsidRDefault="00000000">
      <w:pPr>
        <w:pStyle w:val="Compact"/>
        <w:numPr>
          <w:ilvl w:val="0"/>
          <w:numId w:val="5"/>
        </w:numPr>
      </w:pPr>
      <w:r>
        <w:t>Independent re-validation of the coherence protocol at the new scale, plus an updated adversarial model covering wide-area network partitions and the larger candidate pool.</w:t>
      </w:r>
    </w:p>
    <w:p w14:paraId="5625F545" w14:textId="77777777" w:rsidR="00AB0EAF" w:rsidRDefault="00000000">
      <w:pPr>
        <w:pStyle w:val="Compact"/>
        <w:numPr>
          <w:ilvl w:val="0"/>
          <w:numId w:val="5"/>
        </w:numPr>
      </w:pPr>
      <w:r>
        <w:t>Fresh Section 4 supermajority (≥67%) approval.</w:t>
      </w:r>
    </w:p>
    <w:p w14:paraId="093F314F" w14:textId="77777777" w:rsidR="00AB0EAF" w:rsidRDefault="00000000">
      <w:pPr>
        <w:pStyle w:val="FirstParagraph"/>
      </w:pPr>
      <w:r>
        <w:t>Once admitted: Core count and geographic distribution may expand under the same log-witness and demotion rules. All Permanent Invariants continue to apply unchanged. Horizon and succession rules (Section 10.6.4) still govern the long-term life of any given embodiment.</w:t>
      </w:r>
    </w:p>
    <w:p w14:paraId="585363FD" w14:textId="77777777" w:rsidR="00AB0EAF" w:rsidRDefault="00000000">
      <w:pPr>
        <w:pStyle w:val="FirstParagraph"/>
      </w:pPr>
      <w:r>
        <w:t>Across all tiers, the K values above cap how many Cores are active simultaneously, not how many may ever exist. Because relocation is retirement plus birth rather than movement (Section 3.1), a network operating within K = 2 may still spawn and retire Cores many times over its life, each with a new sequential number. Admission of a new Core under these gates creates a new number; relocation of an existing one retires its number permanently, with a QC certifying the handoff and a matching state digest before the predecessor stops serving.</w:t>
      </w:r>
    </w:p>
    <w:p w14:paraId="122FB4E8" w14:textId="77777777" w:rsidR="00AB0EAF" w:rsidRDefault="00000000">
      <w:pPr>
        <w:pStyle w:val="Heading2"/>
      </w:pPr>
      <w:bookmarkStart w:id="15" w:name="X830a90ab35d65f892d2384ab73100cc1f42bab3"/>
      <w:bookmarkEnd w:id="14"/>
      <w:r>
        <w:t>3.5 Log-Witness Quorum, Candidate Pool, Incentives &amp; Rotation</w:t>
      </w:r>
    </w:p>
    <w:p w14:paraId="4B3BF382" w14:textId="77777777" w:rsidR="00AB0EAF" w:rsidRDefault="00000000">
      <w:pPr>
        <w:pStyle w:val="FirstParagraph"/>
      </w:pPr>
      <w:r>
        <w:rPr>
          <w:b/>
          <w:bCs/>
        </w:rPr>
        <w:t>Log-witness quorum.</w:t>
      </w:r>
      <w:r>
        <w:t xml:space="preserve"> The log-witness mechanism supplies the sole objective evidence of Core health and synchronization. A designated set of log-witness nodes (size and rotation rules are epoch parameters) continuously observe the ordered log emitted by each active Core. At defined intervals they produce signed attestations over consecutive log heights and digests. When a quorum of witnesses — candidate threshold: a defined quorum fraction of the current set, distinct from the Section 4 constitutional supermajority — signs compatible attestations for the same height range and digest, a Quorum Certificate (QC) is formed and recorded.</w:t>
      </w:r>
    </w:p>
    <w:p w14:paraId="55F9AA27" w14:textId="77777777" w:rsidR="00AB0EAF" w:rsidRDefault="00000000">
      <w:pPr>
        <w:pStyle w:val="BodyText"/>
      </w:pPr>
      <w:r>
        <w:t xml:space="preserve">QCs serve four functions: they prove that an active Core is making gap-free progress and has not equivocated; they measure whether standby candidates remain inside the allowed </w:t>
      </w:r>
      <w:r>
        <w:lastRenderedPageBreak/>
        <w:t>lag bound of the certified log tip; they gate all promotions from the candidate pool and all demotions of active Cores; and they provide the measurable observation window required for the Tier 0 → 1 and Tier 1 → 2 transitions (Section 3.4).</w:t>
      </w:r>
    </w:p>
    <w:p w14:paraId="66017188" w14:textId="77777777" w:rsidR="00AB0EAF" w:rsidRDefault="00000000">
      <w:pPr>
        <w:pStyle w:val="BodyText"/>
      </w:pPr>
      <w:r>
        <w:t>Only nodes that continuously satisfy the reputation and tending filters already defined for validators and arbitrators (Section 11.1) may serve as log-witnesses or enter the candidate pool.</w:t>
      </w:r>
    </w:p>
    <w:p w14:paraId="606D66AA" w14:textId="77777777" w:rsidR="00AB0EAF" w:rsidRDefault="00000000">
      <w:pPr>
        <w:pStyle w:val="BodyText"/>
      </w:pPr>
      <w:r>
        <w:rPr>
          <w:b/>
          <w:bCs/>
        </w:rPr>
        <w:t>Candidate pool.</w:t>
      </w:r>
      <w:r>
        <w:t xml:space="preserve"> Standby Cores are drawn only from this pre-qualified pool. Admission requires continuous satisfaction of those same reputation and tending filters, successful recent synchronization trials against the active Core(s), and no active demotion or integrity flags. Only members of the candidate pool may be promoted to active Core status when a vacancy or deliberate scale-up occurs. Promotion and demotion are driven by measurable sync health and by QCs, never by discretionary governance action outside the declared rules.</w:t>
      </w:r>
    </w:p>
    <w:p w14:paraId="6008760D" w14:textId="77777777" w:rsidR="00AB0EAF" w:rsidRDefault="00000000">
      <w:pPr>
        <w:pStyle w:val="BodyText"/>
      </w:pPr>
      <w:r>
        <w:rPr>
          <w:b/>
          <w:bCs/>
        </w:rPr>
        <w:t>Demotion and regression.</w:t>
      </w:r>
      <w:r>
        <w:t xml:space="preserve"> A Core that fails to gather QCs within the allowed gap, or that produces conflicting digests, is automatically demoted. If the number of healthy active Cores falls below the minimum required by the current tier, the network regresses to the lower tier. This is routine, automatic, and does not itself invalidate the anchor; widespread or coordinated compromise of the witness set or candidate pool is a different, higher-severity event, addressed in Section 10.6.5.</w:t>
      </w:r>
    </w:p>
    <w:p w14:paraId="3FA5B8F3" w14:textId="77777777" w:rsidR="00AB0EAF" w:rsidRDefault="00000000">
      <w:pPr>
        <w:pStyle w:val="BodyText"/>
      </w:pPr>
      <w:r>
        <w:rPr>
          <w:b/>
          <w:bCs/>
        </w:rPr>
        <w:t>Incentives.</w:t>
      </w:r>
      <w:r>
        <w:t xml:space="preserve"> Log-witness participation is treated as high-value tending work. Valid QC contributions feed the existing reputation system and earn a modest continuous work reward, funded from the same infrastructure-tending reward pool already used for resource contribution (Section 6.7). Reliable witnesses receive preferential access to the Core candidate pool. Equivocation or proven false attestation produces sharp reputation loss and ejection from both the witness set and candidate pool — this is a loss of role eligibility, not a claim on funds: no broad slashing of voluntarily controlled balances is permitted, consistent with the NAP invariant (Article 4.2). The one narrow exception under consideration is a voluntary, disclosed bond specific to high-responsibility seats, forfeitable only on proven equivocation and distinct from a participant’s ordinary balance — see Section 12.3.</w:t>
      </w:r>
    </w:p>
    <w:p w14:paraId="53B50F27" w14:textId="77777777" w:rsidR="00AB0EAF" w:rsidRDefault="00000000">
      <w:pPr>
        <w:pStyle w:val="BodyText"/>
      </w:pPr>
      <w:r>
        <w:rPr>
          <w:b/>
          <w:bCs/>
        </w:rPr>
        <w:t>Rotation.</w:t>
      </w:r>
      <w:r>
        <w:t xml:space="preserve"> Seats rotate on a staggered schedule. A minority of seats are filled by the highest-scoring nodes on recent QC participation and correctness; the remainder are filled by deterministic reputation-weighted lottery among all nodes that meet the standing eligibility filters — diverging deliberately from the arbitrator panel’s fully-random selection (Section 11.1), since witness correctness is directly measurable in a way arbitration judgment is not. Only a fraction of seats turn over at each rotation epoch, preserving continuous quorum. Nodes that fall below the eligibility gate or produce conflicting attestations are removed immediately and enter a cool-down period before they may re-qualify.</w:t>
      </w:r>
    </w:p>
    <w:p w14:paraId="641332F1" w14:textId="77777777" w:rsidR="00AB0EAF" w:rsidRDefault="00000000">
      <w:pPr>
        <w:pStyle w:val="BodyText"/>
      </w:pPr>
      <w:r>
        <w:t xml:space="preserve">The witness-set size, quorum fraction, and QC interval are now locked to specific initial values in Section 3.4 (7 witnesses, 5-of-7 quorum, 6-block interval); seat-turnover fraction and cool-down length remain open candidates. All of these numeric thresholds and rotation </w:t>
      </w:r>
      <w:r>
        <w:lastRenderedPageBreak/>
        <w:t>parameters are epoch parameters and may be changed only through the amendment process (Section 10.6.1) or a succession event (Section 10.6.4). Voluntary exit and the Permanent Invariants remain untouched by these rules.</w:t>
      </w:r>
    </w:p>
    <w:p w14:paraId="4F963758" w14:textId="77777777" w:rsidR="00AB0EAF" w:rsidRDefault="00000000">
      <w:pPr>
        <w:pStyle w:val="Heading1"/>
      </w:pPr>
      <w:bookmarkStart w:id="16" w:name="consensus-and-governance"/>
      <w:bookmarkEnd w:id="8"/>
      <w:bookmarkEnd w:id="15"/>
      <w:r>
        <w:t>4. Consensus and Governance: Proof-of-Reputation-and-Tending (PoRT)</w:t>
      </w:r>
    </w:p>
    <w:p w14:paraId="50D6051B" w14:textId="77777777" w:rsidR="00AB0EAF" w:rsidRDefault="00000000">
      <w:pPr>
        <w:pStyle w:val="FirstParagraph"/>
      </w:pPr>
      <w:r>
        <w:t>While the Core handles day-to-day execution, ledger validity and protocol-level changes are verified and approved by the broader network under a hybrid consensus model: Proof-of-Reputation-and-Tending (PoRT), anchoring validator selection directly to the reputation decay/recovery mechanics in Section 12.2.1 and the Sybil-resistance stack in Appendix C.3, rather than to any single factor alone.</w:t>
      </w:r>
    </w:p>
    <w:p w14:paraId="3D8ECA5B" w14:textId="77777777" w:rsidR="00AB0EAF" w:rsidRDefault="00000000">
      <w:pPr>
        <w:pStyle w:val="BodyText"/>
      </w:pPr>
      <w:r>
        <w:rPr>
          <w:b/>
        </w:rPr>
        <w:t xml:space="preserve">4.0 Validator score. </w:t>
      </w:r>
      <w:r>
        <w:t>Eligibility and voting power derive from three factors, none dominant alone: V = (R_effective × 0.6) + (Tending × 0.3) + (Capped_Stake × 0.1).</w:t>
      </w:r>
    </w:p>
    <w:p w14:paraId="29F5CDF7" w14:textId="77777777" w:rsidR="00AB0EAF" w:rsidRDefault="00000000">
      <w:pPr>
        <w:numPr>
          <w:ilvl w:val="0"/>
          <w:numId w:val="7"/>
        </w:numPr>
      </w:pPr>
      <w:r>
        <w:t>R_effective: the non-transferable reputation score from Section 12.2.1 — R in [0, 100], a 144-block grace period with no decay, decay of R(t+1) = R(t) × (1 − d) with d = 0.00001 per block after grace, recovery of R(t+1) = min(100, R(t) + a × w) with a = 0.000005 per block-equivalent and w the action weight, and a temporal-hardening multiplier rising from 0 to 1 over 52,560 blocks (≈ 1 year) such that R_effective = R × hardening. Proven equivocation triggers an immediate large penalty and cool-down, separate from ordinary decay. Baseline eligibility is 75.</w:t>
      </w:r>
    </w:p>
    <w:p w14:paraId="55EB4C74" w14:textId="77777777" w:rsidR="00AB0EAF" w:rsidRDefault="00000000">
      <w:pPr>
        <w:numPr>
          <w:ilvl w:val="0"/>
          <w:numId w:val="7"/>
        </w:numPr>
      </w:pPr>
      <w:r>
        <w:t>Tending: verified resource contribution (Section 6.7) — minimum 100MB of storage, continuously contributed for 30 days, with bandwidth and compute lent and verified via the tiered spot-checks in Appendix C.5.3 and log-witness QC correctness (Section 3.5). This must be proven, not claimed. Minimum wallet age is 14 days, with a minimum of 2 hours of active daily participation.</w:t>
      </w:r>
    </w:p>
    <w:p w14:paraId="3EE0E22C" w14:textId="77777777" w:rsidR="00AB0EAF" w:rsidRDefault="00000000">
      <w:pPr>
        <w:numPr>
          <w:ilvl w:val="0"/>
          <w:numId w:val="7"/>
        </w:numPr>
      </w:pPr>
      <w:r>
        <w:t>Capped_Stake: stake weight is capped at 1% voting power per wallet, matching the Layer 3 treasury-voting cap in Section 6.6.3. Additional stake beyond 1% earns Savings yield (Section 6.4) but no additional consensus weight — this is what prevents plutocratic concentration.</w:t>
      </w:r>
    </w:p>
    <w:p w14:paraId="54517844" w14:textId="77777777" w:rsidR="00AB0EAF" w:rsidRDefault="00000000">
      <w:pPr>
        <w:pStyle w:val="Heading2"/>
      </w:pPr>
      <w:r>
        <w:t>4.1 Validator Selection and Voting</w:t>
      </w:r>
    </w:p>
    <w:p w14:paraId="547FB114" w14:textId="77777777" w:rsidR="00AB0EAF" w:rsidRDefault="00000000">
      <w:pPr>
        <w:pStyle w:val="FirstParagraph"/>
      </w:pPr>
      <w:r>
        <w:t>The candidate pool for the Core standby set or the log-witness set (Sections 3.5, 11.1) is limited to nodes with R_effective ≥ 75, first-seen age of at least 14 days (the start of the hardening clock), 30 days of continuous tending, 3 social vouchers with IP/ASN diversity (Appendix C.3), and no active demotion flag. Seat rotation follows the hybrid rule already specified in Section 3.5: a minority of seats go to the highest QC-correctness performers, the remainder to a deterministic, reputation-weighted lottery among the eligible pool.</w:t>
      </w:r>
    </w:p>
    <w:p w14:paraId="41B92714" w14:textId="77777777" w:rsidR="00AB0EAF" w:rsidRDefault="00000000">
      <w:pPr>
        <w:pStyle w:val="FirstParagraph"/>
      </w:pPr>
      <w:r>
        <w:t>Validator set size follows the tier admission gates in Section 3.4: 10–30 nodes at Tier 0, K = 2 active at Tier 1, K = 4 maximum at Tier 2. The set expands only through those gates, never by discretionary action.</w:t>
      </w:r>
    </w:p>
    <w:p w14:paraId="771D09CC" w14:textId="77777777" w:rsidR="00AB0EAF" w:rsidRDefault="00000000">
      <w:pPr>
        <w:pStyle w:val="FirstParagraph"/>
      </w:pPr>
      <w:r>
        <w:lastRenderedPageBreak/>
        <w:t>Voting: protocol changes, Core replication logic, supply rules, and privacy mechanisms all require ≥67% of eligible V-weight, per the amendment process in Section 10.6.1 — this V-weight formula is what that section's voting-weight question resolves to as a candidate specification, still subject to the Section 16 adversarial review named there. The 2016-block minority-review window from Section 6.6.3 applies here too: any 10% of staked nodes can trigger constitutional review of a pending vote. No single Core instance may approve its own changes.</w:t>
      </w:r>
    </w:p>
    <w:p w14:paraId="300DC7A7" w14:textId="77777777" w:rsidR="00AB0EAF" w:rsidRDefault="00000000">
      <w:pPr>
        <w:pStyle w:val="FirstParagraph"/>
      </w:pPr>
      <w:r>
        <w:t>Slashing: no broad slashing of voluntarily controlled balances, per the NAP invariant (Article 4.2). Equivocation or false attestation slashes R_effective to zero, ejects the node from the witness or candidate pool, and imposes a cool-down — the narrow exception is the voluntary, disclosed bond specific to high-responsibility seats, forfeitable only on proven equivocation, described in Sections 3.5 and 12.3.</w:t>
      </w:r>
    </w:p>
    <w:p w14:paraId="1BB124EA" w14:textId="77777777" w:rsidR="00AB0EAF" w:rsidRDefault="00000000">
      <w:pPr>
        <w:pStyle w:val="FirstParagraph"/>
      </w:pPr>
      <w:r>
        <w:t>Sybil resistance under PoRT: faking 10 nodes requires 10 separate proof-of-personhood identities, each carrying 14 days of age, 3 IP/ASN-diverse vouchers (modeled at roughly $50 per diverse ASN), at least $1,000 of storage commitment, and continuous ongoing tending cost — each additional identity is a continuous operating cost, not a one-time purchase. Gate 2 in Section 16.2.1 already requires that a simulated 35% collusive voucher ring fail against the IP/ASN-diversity and storage-shard-hash checks; the locked simulation in Appendix C models this at roughly $14M in identity cost plus storage, reducing panel takeover probability to 0% with defenses active.</w:t>
      </w:r>
    </w:p>
    <w:p w14:paraId="75E1F747" w14:textId="77777777" w:rsidR="00AB0EAF" w:rsidRDefault="00000000">
      <w:pPr>
        <w:pStyle w:val="FirstParagraph"/>
      </w:pPr>
      <w:r>
        <w:t>Validator identity and voting power are resistant to concentration by wealth alone, satisfying the requirement that Section 4 has carried since the earlier draft: no single company, developer group, or early-investor coalition can retain standing authority once the DAO is live — governance power decentralizes as the network grows rather than staying concentrated at genesis.</w:t>
      </w:r>
    </w:p>
    <w:p w14:paraId="78D84990" w14:textId="77777777" w:rsidR="00AB0EAF" w:rsidRDefault="00000000">
      <w:pPr>
        <w:pStyle w:val="Heading2"/>
      </w:pPr>
      <w:r>
        <w:t>4.2 DAO Governance Layer</w:t>
      </w:r>
    </w:p>
    <w:p w14:paraId="1C8B1360" w14:textId="77777777" w:rsidR="00AB0EAF" w:rsidRDefault="00000000">
      <w:pPr>
        <w:pStyle w:val="FirstParagraph"/>
      </w:pPr>
      <w:r>
        <w:t>Protocol ownership is vested in a decentralized autonomous organization (DAO) rather than in a founding team, foundation, or corporate entity. Network participants hold governance rights proportional to the PoRT validator score above, and use those rights to propose, debate, and vote on protocol changes, treasury allocation, and parameter adjustments — including the tokenomics variables in Section 6 and the privacy defaults in Section 7. Proposals are submitted on-chain, subject to a public comment period, and require the supermajority threshold established above to pass. The intent is that no single company, developer group, or early-investor coalition retains standing authority over the protocol once the DAO is live.</w:t>
      </w:r>
    </w:p>
    <w:p w14:paraId="1E72F94F" w14:textId="77777777" w:rsidR="00AB0EAF" w:rsidRDefault="00000000">
      <w:pPr>
        <w:pStyle w:val="Heading1"/>
      </w:pPr>
      <w:bookmarkStart w:id="17" w:name="security-model"/>
      <w:bookmarkEnd w:id="16"/>
      <w:r>
        <w:t>5. Security Model</w:t>
      </w:r>
    </w:p>
    <w:p w14:paraId="3BD2FE5A" w14:textId="77777777" w:rsidR="00AB0EAF" w:rsidRDefault="00000000">
      <w:pPr>
        <w:pStyle w:val="FirstParagraph"/>
      </w:pPr>
      <w:r>
        <w:t xml:space="preserve">Security rests on four layers: transaction-level cryptographic verification inherited from established practice; Core-level threat-responsive replication described in Section 3.1; node-level self-healing described in Section 3.3 (isolation of compromised components, </w:t>
      </w:r>
      <w:r>
        <w:lastRenderedPageBreak/>
        <w:t>consensus-verified rebuild, and Core relocation away from the affected node); and governance-level consensus requirements described in Section 4 that prevent any single compromised or malicious Core instance from altering protocol rules. An attacker would need to simultaneously compromise a Core instance faster than it can detect, heal, and relocate, and separately acquire supermajority validator consensus — two independent and structurally unrelated attack surfaces.</w:t>
      </w:r>
    </w:p>
    <w:p w14:paraId="28749472" w14:textId="77777777" w:rsidR="00AB0EAF" w:rsidRDefault="00000000">
      <w:pPr>
        <w:pStyle w:val="Heading1"/>
      </w:pPr>
      <w:bookmarkStart w:id="18" w:name="tokenomics-usage-elastic-supply"/>
      <w:bookmarkEnd w:id="17"/>
      <w:r>
        <w:t>6. Tokenomics: Usage-Elastic Supply</w:t>
      </w:r>
    </w:p>
    <w:p w14:paraId="1B6F9369" w14:textId="77777777" w:rsidR="00AB0EAF" w:rsidRDefault="00000000">
      <w:pPr>
        <w:pStyle w:val="BodyText"/>
      </w:pPr>
      <w:r>
        <w:t>If Section 0, The Garden, describes how emotional centers are shaped by perceived scarcity, this section describes the ticket system that can reinforce or repair that shaping.</w:t>
      </w:r>
    </w:p>
    <w:p w14:paraId="2276ED40" w14:textId="77777777" w:rsidR="00AB0EAF" w:rsidRDefault="00000000">
      <w:pPr>
        <w:pStyle w:val="BodyText"/>
      </w:pPr>
      <w:r>
        <w:t>Consider a simple model: a fair. Tickets are the total supply (NEXUS). People entering the fair are active wallets — wallet age ≥14 days, tending age ≥30 days, 3 vouchers, and IP/ASN diversity (Appendix C.3; Sections 12.1, 12.3). Rides and concession stands are real resources, measured by the physical anchor: kWh, meals, housing hours (Section 6.4.1, oracle per Appendix C.7). The ticket booth is the issuance mechanism.</w:t>
      </w:r>
    </w:p>
    <w:p w14:paraId="47787C61" w14:textId="77777777" w:rsidR="00AB0EAF" w:rsidRDefault="00000000">
      <w:pPr>
        <w:pStyle w:val="BodyText"/>
      </w:pPr>
      <w:r>
        <w:t>In legacy systems, ticket printing is decoupled from attendance and resources. Printing many tickets while attendance is flat raises the ticket cost per ride; printing few while attendance grows leaves rides underused. Both create the observable scarcity cues that shape behavior at the kitchen table in Section 0. The Nexus fair links printing to attendance and resources directly — the formula in Section 6.2 below is that linkage.</w:t>
      </w:r>
    </w:p>
    <w:p w14:paraId="74485DB1" w14:textId="77777777" w:rsidR="00AB0EAF" w:rsidRDefault="00000000">
      <w:pPr>
        <w:pStyle w:val="BodyText"/>
      </w:pPr>
      <w:r>
        <w:t>Abandoned tickets are composted, not confiscated from active participants: dormancy leakage (Section 6.3.1) applies only to dormant wallets — no tending, no heartbeat — and active balances are never reduced, consistent with the Non-Aggression Principle (Section 10.5). The fair analogy is economic only; the psychological interpretation remains in Section 0. The design inspiration linking the two, and the choice of Fibonacci and golden-ratio-derived constants specifically, is addressed separately, and non-bindingly, in Appendix G: Narrative Inspiration and Sacred Geometry (Speculative Theory).</w:t>
      </w:r>
    </w:p>
    <w:p w14:paraId="173F41F2" w14:textId="77777777" w:rsidR="00AB0EAF" w:rsidRDefault="00000000">
      <w:pPr>
        <w:pStyle w:val="BodyText"/>
      </w:pPr>
      <w:r>
        <w:t>Node-slot pricing (Section 6.5.1), dormancy leakage (Section 6.3.1), and the infrastructure-incentive taper (Section 6.7) all use whole-number, Fibonacci-derived steps rather than continuous fractional curves, for the practical reason given in Section 6.1: whole or near-whole unit amounts are easier for everyday users to reason about than long decimal fractions. Canonical on-chain records use sorted-key JSON hashed with SHA-256 for deterministic serialization.</w:t>
      </w:r>
    </w:p>
    <w:p w14:paraId="70D19117" w14:textId="77777777" w:rsidR="00AB0EAF" w:rsidRDefault="00000000">
      <w:pPr>
        <w:pStyle w:val="Heading3"/>
      </w:pPr>
      <w:r>
        <w:t>6.0 Three Principles, Made Concrete</w:t>
      </w:r>
    </w:p>
    <w:p w14:paraId="32B817B1" w14:textId="77777777" w:rsidR="00AB0EAF" w:rsidRDefault="00000000">
      <w:pPr>
        <w:pStyle w:val="FirstParagraph"/>
      </w:pPr>
      <w:r>
        <w:t>Section 1 and the Executive Summary describe Nexus's three founding pillars: a self-healing execution core replacing centralized data centers, an embedded AI that weighs evidence rather than institutional authority, and a fairly distributed economic system built on the Non-Aggression Principle. This section is where the third pillar becomes concrete:</w:t>
      </w:r>
    </w:p>
    <w:p w14:paraId="5B71B059" w14:textId="77777777" w:rsidR="00AB0EAF" w:rsidRDefault="00000000">
      <w:pPr>
        <w:pStyle w:val="FirstParagraph"/>
      </w:pPr>
      <w:r>
        <w:lastRenderedPageBreak/>
        <w:t>Bitcoin-like deflationary, a place to park your wealth with guard rails that make parking and tending more profitable than destruction. Balances are always spendable in a familiar, dollar-like decimal format — 10.00, not an unreadable string of zeros.</w:t>
      </w:r>
    </w:p>
    <w:p w14:paraId="33873860" w14:textId="77777777" w:rsidR="00AB0EAF" w:rsidRDefault="00000000">
      <w:pPr>
        <w:pStyle w:val="Heading3"/>
      </w:pPr>
      <w:r>
        <w:t>6.0.1 How to Read This Section</w:t>
      </w:r>
    </w:p>
    <w:p w14:paraId="658A7FE2" w14:textId="77777777" w:rsidR="00AB0EAF" w:rsidRDefault="00000000">
      <w:pPr>
        <w:pStyle w:val="FirstParagraph"/>
      </w:pPr>
      <w:r>
        <w:t>This section is dense, deliberately, because it is the part most likely to be checked closely. Three passes through it, at increasing depth, should serve different readers without asking any of them to read past the level of detail they came for.</w:t>
      </w:r>
    </w:p>
    <w:p w14:paraId="0D58E61C" w14:textId="77777777" w:rsidR="00AB0EAF" w:rsidRDefault="00000000">
      <w:pPr>
        <w:pStyle w:val="BodyText"/>
      </w:pPr>
      <w:r>
        <w:rPr>
          <w:b/>
        </w:rPr>
        <w:t xml:space="preserve">Stage 1, the fair. </w:t>
      </w:r>
      <w:r>
        <w:t>Everything in this section can be understood through the Fair analogy above: tickets are supply, attendance is active participation, and the booth has guard rails — a speed limit on new tickets, a Winter Mode that pauses printing during a downturn, and a Summer Mode that slows printing and builds reserve during a surge — so that parking and tending value is always more rewarding than trying to break the system. Balances always read like a familiar currency, never as an unreadable decimal.</w:t>
      </w:r>
    </w:p>
    <w:p w14:paraId="26806DF4" w14:textId="77777777" w:rsidR="00AB0EAF" w:rsidRDefault="00000000">
      <w:pPr>
        <w:pStyle w:val="BodyText"/>
      </w:pPr>
      <w:r>
        <w:rPr>
          <w:b/>
        </w:rPr>
        <w:t xml:space="preserve">Stage 2, the numbers. </w:t>
      </w:r>
      <w:r>
        <w:t>For readers who want the actual mechanism: the elastic supply formula (Section 6.2), the display ladder (Section 6.1), Winter and Summer Mode (Sections 6.2.1, 6.2.2), and reclamation (Section 6.3) each specify their own concrete, candidate parameters, with the network's own simulated growth trajectory (Appendix C.12: approximately 354M supply by Year 10, approximately 968M by Year 15) as the illustrative baseline referenced throughout.</w:t>
      </w:r>
    </w:p>
    <w:p w14:paraId="280702CF" w14:textId="77777777" w:rsidR="00AB0EAF" w:rsidRDefault="00000000">
      <w:pPr>
        <w:pStyle w:val="BodyText"/>
      </w:pPr>
      <w:r>
        <w:rPr>
          <w:b/>
        </w:rPr>
        <w:t xml:space="preserve">Stage 3, the adversarial review. </w:t>
      </w:r>
      <w:r>
        <w:t>Every numeric threshold in this section is an epoch parameter (Section 10.6), amendable only through the amendment process (Section 10.6.1) or a succession event (Section 10.6.4) — never through the hard-fork escape hatch, which is reserved for invalidation (Sections 10.6.3, 10.6.5). Initial values are candidates, not guarantees, and require the formal adversarial and economic modeling called for in Section 16 before any of them can be considered proven rather than merely specified.</w:t>
      </w:r>
    </w:p>
    <w:p w14:paraId="30037885" w14:textId="77777777" w:rsidR="00AB0EAF" w:rsidRDefault="00000000">
      <w:pPr>
        <w:pStyle w:val="Heading2"/>
      </w:pPr>
      <w:bookmarkStart w:id="19" w:name="whole-number-denomination"/>
      <w:r>
        <w:t>6.1 Whole-Number Denomination — Sugar-Anchored Display Ladder</w:t>
      </w:r>
    </w:p>
    <w:p w14:paraId="10335E6F" w14:textId="77777777" w:rsidR="00AB0EAF" w:rsidRDefault="00000000">
      <w:pPr>
        <w:pStyle w:val="BodyText"/>
      </w:pPr>
      <w:r>
        <w:t>Everyday transactions can be expressed in whole or near-whole units rather than long decimal fractions, addressing a well-documented psychological barrier to adoption seen in highly-divisible, low-unit-count currencies. This is most valuable during the network's early, high-volatility years, when price swings relative to the physical anchor are largest; the mechanism is designed to make itself progressively less necessary as the network matures, since slides become rare by construction as supply growth slows (see Elastic Release, below).</w:t>
      </w:r>
    </w:p>
    <w:p w14:paraId="1DBA932E" w14:textId="77777777" w:rsidR="00AB0EAF" w:rsidRDefault="00000000">
      <w:pPr>
        <w:pStyle w:val="BodyText"/>
      </w:pPr>
      <w:r>
        <w:rPr>
          <w:b/>
        </w:rPr>
        <w:t xml:space="preserve">Canonical unit, immutable. </w:t>
      </w:r>
      <w:r>
        <w:t>1 NEXUS (capital N) = 1,000,000 micro-NEXUS. All exchange listings, tax cost basis, the treasury vault cap (Section 6.6.1.2), on-chain accounting, and protocol logic use capital N. This never rebases. Balances in micro-NEXUS never change due to display slides.</w:t>
      </w:r>
    </w:p>
    <w:p w14:paraId="19AD10CC" w14:textId="77777777" w:rsidR="00AB0EAF" w:rsidRDefault="00000000">
      <w:pPr>
        <w:pStyle w:val="BodyText"/>
      </w:pPr>
      <w:r>
        <w:rPr>
          <w:b/>
        </w:rPr>
        <w:t xml:space="preserve">Physical anchor, dollar-free. </w:t>
      </w:r>
      <w:r>
        <w:t xml:space="preserve">1 lb refined sugar equivalent = 1,750 calories sucrose = the baseline physical unit. The oracle layer (Appendix C.7: three independent feeds, median not </w:t>
      </w:r>
      <w:r>
        <w:lastRenderedPageBreak/>
        <w:t>mean, reputation ≥75, one year of tending-age weighting, kWh-denominated, no dollar conversion) reports sugar_per_N — the pounds of sugar one N buys — via a kWh-to-calorie-to-sugar conversion. As a 2026 reference for humans only: 1 lb sugar ≈ $3.00 USD retail, so a $1–$9 band ≈ 0.33–3.0 lbs sugar. The protocol itself uses sugar, not dollars; USD is shown only for familiarity, via a wallet toggle. If the USD feed dies, the protocol is unaffected.</w:t>
      </w:r>
    </w:p>
    <w:p w14:paraId="1F6A27B8" w14:textId="77777777" w:rsidR="00AB0EAF" w:rsidRDefault="00000000">
      <w:pPr>
        <w:pStyle w:val="BodyText"/>
      </w:pPr>
      <w:r>
        <w:rPr>
          <w:b/>
        </w:rPr>
        <w:t xml:space="preserve">Display denomination ladder, infinite both directions, 1000x steps. </w:t>
      </w:r>
      <w:r>
        <w:t>...Nnnn = 1,000,000,000 N, Nnn = 1,000,000 N, Nn = 1,000 N, N = 1 N, nN = 0.001 N (milli-N), nnN = 0.000001 N (micro-N), nnnN = 0.000000001 N (nano-N), nnnnN = 0.000000000001 N (pico-N)... A small n in front of a large N denotes a fraction of N (N got expensive); a large N in front of a small n denotes a multiple of N (N got cheap). This is metric-compatible: Nn = kN, Nnn = MN, nN = mN, nnN = μN, nnnN = nN.</w:t>
      </w:r>
    </w:p>
    <w:p w14:paraId="46828DDE" w14:textId="77777777" w:rsidR="00AB0EAF" w:rsidRDefault="00000000">
      <w:pPr>
        <w:pStyle w:val="BodyText"/>
      </w:pPr>
      <w:r>
        <w:rPr>
          <w:b/>
        </w:rPr>
        <w:t xml:space="preserve">Slide rule — 0.33x to 3.0x band, 2-epoch hysteresis to prevent flicker. </w:t>
      </w:r>
      <w:r>
        <w:t>The display unit is the highest unit where 1 display unit buys 0.33 to 3.0 lbs of sugar equivalent, sustained for 2 consecutive epochs (Appendix C.3, 2016-block epochs). If 1 N buys more than 3.0 lbs of sugar, sustained (N expensive): slide up to nN, so that 1 nN ≈ 1 lb sugar. If 1 N buys less than 0.33 lbs, sustained (N cheap): slide down to Nn, so that 1 Nn = 1,000 N ≈ 1 lb sugar. This recurses in both directions without limit: nN sliding to nnN, Nn sliding to Nnn, and so on.</w:t>
      </w:r>
    </w:p>
    <w:p w14:paraId="19895731" w14:textId="77777777" w:rsidR="00AB0EAF" w:rsidRDefault="00000000">
      <w:pPr>
        <w:pStyle w:val="BodyText"/>
      </w:pPr>
      <w:r>
        <w:rPr>
          <w:b/>
        </w:rPr>
        <w:t xml:space="preserve">Worked example, illustrative only. </w:t>
      </w:r>
      <w:r>
        <w:t>At a hypothetical $3.00/N baseline (chosen so 1 N = 1 lb sugar exactly), genesis mcap would be $30M and month-6 mcap approximately $67M at the simulated month-6 supply of 22.6M N (Appendix C.10). At the actual locked genesis price of $8/N (Appendix C.10), 1 N buys approximately 2.67 lbs of sugar — inside the display band, but close to its top edge, meaning an early bull run could trigger the first N-to-nN slide fairly quickly. Scaling further: sliding N to nN occurs around $1,000/N ($10B mcap at genesis supply); nN to nnN around $1M/N ($10T mcap); nnN to nnnN around $1B/N ($10 quadrillion mcap), an extreme safety rail. The cheap side is symmetric: N sliding to Nn below $1/N, Nn to Nnn below $0.001/N, and so on — everyday purchases stay whole-number regardless of direction. At the locked Appendix C.12 simulation target of $1.5T at 354M supply in Year 10, price is approximately $4,237/N, placing the network in nN display mode, where a small everyday purchase reads as roughly 1.4 lbs sugar ≈ $4.23 — still whole-number, no fractions.</w:t>
      </w:r>
    </w:p>
    <w:p w14:paraId="44E2A899" w14:textId="77777777" w:rsidR="00AB0EAF" w:rsidRDefault="00000000">
      <w:pPr>
        <w:pStyle w:val="BodyText"/>
      </w:pPr>
      <w:r>
        <w:rPr>
          <w:b/>
        </w:rPr>
        <w:t xml:space="preserve">Wallet toggle — one tap cycles, no clutter. </w:t>
      </w:r>
      <w:r>
        <w:t>Sugar-anchored (default, dollar-free, survives dollar extinction): “2 nN ≈ 2 lbs sugar,” with a subtext of the exact micro-NEXUS balance. Capital N (canonical, exchange/tax): the immutable base unit, what a tax authority or exchange listing sees. USD (comfort, non-canonical, read-only): the oracle-median USD equivalent, hidden automatically if the USD feed dies, and never used by the protocol itself. A fourth, optional view shows balance relative to the wallet’s own cumulative tending rather than to peak market price — addressing the common tendency to measure the present as a loss against one’s own all-time high, even when objectively unchanged. This reuses the same toggle mechanism and introduces no new balance logic.</w:t>
      </w:r>
    </w:p>
    <w:p w14:paraId="466ADF75" w14:textId="77777777" w:rsidR="00AB0EAF" w:rsidRDefault="00000000">
      <w:pPr>
        <w:pStyle w:val="BodyText"/>
      </w:pPr>
      <w:r>
        <w:rPr>
          <w:b/>
        </w:rPr>
        <w:lastRenderedPageBreak/>
        <w:t xml:space="preserve">Voluntary self-imposed cooldown. </w:t>
      </w:r>
      <w:r>
        <w:t>A wallet holder may optionally pre-commit to a cooling-off delay on their own large withdrawals — for example, a 24- or 72-hour delay on transfers above a self-chosen threshold. This is set, and revocable, by the wallet’s owner alone, at any time. It is never imposed by the protocol, the Core, or the DAO, and is categorically distinct from the velocity limits and confirmation delays the protocol itself is barred from imposing (Section 10.6.6). It exists purely as a personal-discipline tool, consistent with the voluntary-exchange principle in Section 2.2: the only party restricting the wallet is the wallet’s own owner, on their own terms, in advance.</w:t>
      </w:r>
    </w:p>
    <w:p w14:paraId="0D0B583C" w14:textId="77777777" w:rsidR="00AB0EAF" w:rsidRDefault="00000000">
      <w:pPr>
        <w:pStyle w:val="BodyText"/>
      </w:pPr>
      <w:r>
        <w:rPr>
          <w:b/>
        </w:rPr>
        <w:t xml:space="preserve">Why not rebase, Ampleforth-style. </w:t>
      </w:r>
      <w:r>
        <w:t>A rebasing mechanism changes balances directly, creating tax events, exchange delistings, and speculative chaos. This ladder changes only the display name, never the underlying balance. The 2-epoch hysteresis irons out boom-bust flicker (Appendix C.10), and the slow, sub-linear ^0.35 supply growth keeps slides infrequent — on the order of once every 2–3 years rather than hourly.</w:t>
      </w:r>
    </w:p>
    <w:p w14:paraId="0744A947" w14:textId="77777777" w:rsidR="00AB0EAF" w:rsidRDefault="00000000">
      <w:pPr>
        <w:pStyle w:val="BodyText"/>
      </w:pPr>
      <w:r>
        <w:t>The display bands, the hysteresis window, and the physical-anchor conversion are epoch parameters, amendable through the constitutional amendment process (Section 10.6.1) like every other numeric threshold in this section; no permanence claim is made for the specific $3 calibration point or the 0.33–3.0 band beyond what Section 16's adversarial and economic review confirms.</w:t>
      </w:r>
    </w:p>
    <w:p w14:paraId="701EB419" w14:textId="77777777" w:rsidR="00AB0EAF" w:rsidRDefault="00000000">
      <w:pPr>
        <w:pStyle w:val="BodyText"/>
      </w:pPr>
      <w:r>
        <w:rPr>
          <w:b/>
        </w:rPr>
        <w:t xml:space="preserve">Display formatting. </w:t>
      </w:r>
      <w:r>
        <w:t>Within whichever unit is currently active, balances are always shown to two decimal places with comma-separated thousands — 10.00, 240.00, 1,240.00 — the same visual convention as a bank balance, regardless of whether the active unit is N, mN, or nN. This is display formatting only, handled entirely client-side; it changes nothing on-chain and carries no protocol meaning of its own.</w:t>
      </w:r>
    </w:p>
    <w:p w14:paraId="64F022D5" w14:textId="77777777" w:rsidR="00AB0EAF" w:rsidRDefault="00000000">
      <w:pPr>
        <w:pStyle w:val="Heading2"/>
      </w:pPr>
      <w:bookmarkStart w:id="20" w:name="elastic-supply-tied-to-network-activity"/>
      <w:bookmarkEnd w:id="19"/>
      <w:r>
        <w:t>6.2 Elastic Supply Tied to Network Activity</w:t>
      </w:r>
    </w:p>
    <w:p w14:paraId="6B753A0A" w14:textId="77777777" w:rsidR="00AB0EAF" w:rsidRDefault="00000000">
      <w:pPr>
        <w:pStyle w:val="FirstParagraph"/>
      </w:pPr>
      <w:r>
        <w:t>supply = initial × (wallets/1000)^0.35 × physical_anchor, implemented in fixed-point micro-NEXUS units to avoid overflow. Dormancy leakage follows the 2%, 3%, 5%, 8% schedule defined in Section 6.3.1, with an 80/20 compost split on clawback and an illustrative reserve trajectory of roughly $80 to $20,000 by month 36 for an initial 1,000-wallet cohort. This keeps token velocity anchored to the physical resource basket (kWh, calories, housing hours) described in Section 6.4.1 and Section 13, rather than to dollar speculation. The design rationale for the 0.35 exponent and the recurring use of Fibonacci-based steps elsewhere in this paper is addressed separately in Appendix G: Narrative Inspiration and Sacred Geometry (Speculative Theory); that discussion carries no operative weight, and only the formula above is binding. The 0.35 exponent is an epoch parameter (Section 10.6): current simulations support it through year 10 under the stated participation paths; beyond that horizon it requires re-validation or replacement through the amendment or succession process.</w:t>
      </w:r>
    </w:p>
    <w:p w14:paraId="0B408AB8" w14:textId="77777777" w:rsidR="00AB0EAF" w:rsidRDefault="00000000">
      <w:pPr>
        <w:pStyle w:val="BodyText"/>
      </w:pPr>
      <w:r>
        <w:t xml:space="preserve">Rather than a fixed emission schedule, total supply expands and contracts dynamically in response to two measured inputs: the number of active wallets and aggregate transaction volume over a rolling window. As both rise, indicating genuine organic growth, new supply is issued in proportion to that growth rather than on a fixed block-reward curve. As either </w:t>
      </w:r>
      <w:r>
        <w:lastRenderedPageBreak/>
        <w:t>falls, issuance slows correspondingly, so supply growth is always a function of real usage rather than a predetermined schedule set at genesis.</w:t>
      </w:r>
    </w:p>
    <w:p w14:paraId="46167CB3" w14:textId="77777777" w:rsidR="00AB0EAF" w:rsidRDefault="00000000">
      <w:pPr>
        <w:pStyle w:val="BodyText"/>
      </w:pPr>
      <w:r>
        <w:t>The physical_anchor term itself drifts slowly over time — candidate form physical_anchor = 1.015^years, reflecting baseline energy-efficiency improvement — and is itself an epoch parameter subject to Section 16 review, not a fixed constant.</w:t>
      </w:r>
    </w:p>
    <w:p w14:paraId="67BAC048" w14:textId="77777777" w:rsidR="00AB0EAF" w:rsidRDefault="00000000">
      <w:pPr>
        <w:pStyle w:val="FirstParagraph"/>
      </w:pPr>
      <w:r>
        <w:t>A velocity limiter caps new issuance at 2% of supply per 2,016-block epoch (≈14 days), as an additional safety ceiling independent of the Winter and Summer triggers below. Under the currently simulated growth trajectory (Appendix C.12), this ceiling is not binding — observed growth stays well under it — but it exists as a hard backstop against a materially faster hypothetical adoption curve than currently modeled, the same way the fast-path containment in Section 3.2.3 backstops a scenario the base design does not expect to hit.</w:t>
      </w:r>
    </w:p>
    <w:p w14:paraId="026F8185" w14:textId="77777777" w:rsidR="00AB0EAF" w:rsidRDefault="00000000">
      <w:pPr>
        <w:pStyle w:val="BodyText"/>
      </w:pPr>
      <w:r>
        <w:t>Illustrative trajectory (Appendix C.12): approximately 354M supply by Year 10 and approximately 968M by Year 15 under an ETH-adoption-curve wallet-growth assumption. The exact wallet counts implied at each milestone depend on the full simulation — including tending accumulation and reclamation terms beyond the simplified wallet-power relationship above — and should be read from Appendix C.12 directly rather than back-derived from the formula alone.</w:t>
      </w:r>
    </w:p>
    <w:p w14:paraId="0AC88C5C" w14:textId="77777777" w:rsidR="00AB0EAF" w:rsidRDefault="00000000">
      <w:pPr>
        <w:pStyle w:val="Heading3"/>
      </w:pPr>
      <w:bookmarkStart w:id="21" w:name="X5eb121b987a9b7757c04b2db954b83b571a859a"/>
      <w:bookmarkEnd w:id="20"/>
      <w:r>
        <w:t>6.2.1 Winter Mode — Non-Violent Contraction for Boom/Bust Smoothing</w:t>
      </w:r>
    </w:p>
    <w:p w14:paraId="4ABD4C03" w14:textId="77777777" w:rsidR="00AB0EAF" w:rsidRDefault="00000000">
      <w:pPr>
        <w:pStyle w:val="BodyText"/>
      </w:pPr>
      <w:r>
        <w:t>Active wallet counts exhibit sharp emotional swings — roughly 40% drops were observed in the 2018 and 2020 market cycles industry-wide. The elastic formula above follows wallet count, producing an approximately 15% supply swing for a 40% wallet swing. This is acceptable on its own, but can be smoothed further without any active confiscation.</w:t>
      </w:r>
    </w:p>
    <w:p w14:paraId="5B19EE76" w14:textId="77777777" w:rsidR="00AB0EAF" w:rsidRDefault="00000000">
      <w:pPr>
        <w:pStyle w:val="BodyText"/>
      </w:pPr>
      <w:r>
        <w:rPr>
          <w:b/>
        </w:rPr>
        <w:t xml:space="preserve">Trigger, dollar-free and wallet-anchored. </w:t>
      </w:r>
      <w:r>
        <w:t>Let W90 be the 90-day moving average of active wallets, W180 the 180-day moving average, and Wpeak the maximum W180 over the prior 180 days. If W90 &lt; 0.75 × Wpeak for 2 consecutive epochs, Winter Mode activates. If W90 &gt; 0.85 × Wpeak for 2 consecutive epochs, it deactivates. Both thresholds are epoch parameters (Section 10.6).</w:t>
      </w:r>
    </w:p>
    <w:p w14:paraId="0CDE1E8E" w14:textId="77777777" w:rsidR="00AB0EAF" w:rsidRDefault="00000000">
      <w:pPr>
        <w:pStyle w:val="BodyText"/>
      </w:pPr>
      <w:r>
        <w:rPr>
          <w:b/>
        </w:rPr>
        <w:t xml:space="preserve">Mechanics during Winter. </w:t>
      </w:r>
      <w:r>
        <w:t>Issuance pause: the growth term from the ^0.35 relationship is set to zero — no new tickets printed. Extra dormancy compost: leakage increases by an additive 0.6 percentage points per month for the first three months of Winter, then 0.2 points per month thereafter, applied to dormant wallets only, with the same 80/20 split as Section 6.3.1. Active burn remains zero: no active wallet — tending, heartbeat, minimum 10 NEXUS per Section 11 — has its balance reduced. Treasury counter-cyclical response: the dual-channel hardship reserve (Section 6.8.6) increases the tending bonus from +2.3 to +3.0 NEXUS per 100MB per 30 days for the duration of Winter.</w:t>
      </w:r>
    </w:p>
    <w:p w14:paraId="4046E076" w14:textId="77777777" w:rsidR="00AB0EAF" w:rsidRDefault="00000000">
      <w:pPr>
        <w:pStyle w:val="BodyText"/>
      </w:pPr>
      <w:r>
        <w:rPr>
          <w:b/>
        </w:rPr>
        <w:t xml:space="preserve">Effect, illustrative simulation. </w:t>
      </w:r>
      <w:r>
        <w:t xml:space="preserve">A modeled 50M-to-30M wallet crash: without Winter Mode, supply swings 461M → 388M → 437M, a 73M swing. With Winter Mode, supply moves 461M → 410M → 410M, a 51M swing — roughly 30% less volatility, with 31M in additional compost and convergence by approximately Year 4.5. No active balances are edited in either case. This scenario uses its own adversarial wallet-growth assumptions </w:t>
      </w:r>
      <w:r>
        <w:lastRenderedPageBreak/>
        <w:t>(Appendix C.10) distinct from the baseline trajectory in Section 6.2, and should not be read as a milestone on that baseline curve.</w:t>
      </w:r>
    </w:p>
    <w:p w14:paraId="7A1DF584" w14:textId="77777777" w:rsidR="00AB0EAF" w:rsidRDefault="00000000">
      <w:pPr>
        <w:pStyle w:val="BodyText"/>
      </w:pPr>
      <w:r>
        <w:rPr>
          <w:b/>
        </w:rPr>
        <w:t xml:space="preserve">Collective signal during Winter. </w:t>
      </w:r>
      <w:r>
        <w:t>While Winter Mode is active, wallets display a single, calm, factual banner — never a pop-up, never repeated: “Winter Mode active: new ticket printing is paused, and dormancy compost applies only to already-dormant wallets — no active balance is ever reduced (Section 10.5). This is a normal part of the cycle: growth pauses while soil enriches. Many are still tending.”</w:t>
      </w:r>
    </w:p>
    <w:p w14:paraId="6A60C34F" w14:textId="77777777" w:rsidR="00AB0EAF" w:rsidRDefault="00000000">
      <w:pPr>
        <w:pStyle w:val="BodyText"/>
      </w:pPr>
      <w:r>
        <w:t>The banner states protocol facts only. It recommends no action, advertises nothing, and disappears automatically when Winter Mode deactivates (W90 &gt; 0.85×Wpeak for 2 consecutive epochs). No aggregate dashboard, toggle, or suggested-action list accompanies it: even well-gated suggestions during a downturn risk nudging behavior the network has no business encouraging, so the message stays deliberately minimal.</w:t>
      </w:r>
    </w:p>
    <w:p w14:paraId="1D319F5E" w14:textId="77777777" w:rsidR="00AB0EAF" w:rsidRDefault="00000000">
      <w:pPr>
        <w:pStyle w:val="BodyText"/>
      </w:pPr>
      <w:r>
        <w:t>This messaging waters trust, not fear, consistent with Section 0, The Garden: what gets watered grows. It states a fact about protocol state and shared participation, without persuading, without prescribing action, and without targeting individuals.</w:t>
      </w:r>
    </w:p>
    <w:p w14:paraId="13BBA1AF" w14:textId="77777777" w:rsidR="00AB0EAF" w:rsidRDefault="00000000">
      <w:pPr>
        <w:pStyle w:val="BodyText"/>
      </w:pPr>
      <w:r>
        <w:t>Winter Mode draws on the dormancy classification in Section 6.3, the reserve mechanics in Section 6.8.6, and the crash and historical simulations in Appendix C.10 and C.12. The display ladder in Section 6.1 is unaffected by Winter Mode; if anything, pausing issuance during a transient crash prevents unnecessary denomination slides that would otherwise occur. Like the trigger thresholds above, the compost-rate increases and bonus adjustment are epoch parameters, amendable only through the amendment process (Section 10.6.1).</w:t>
      </w:r>
    </w:p>
    <w:p w14:paraId="20366375" w14:textId="77777777" w:rsidR="00AB0EAF" w:rsidRDefault="00000000">
      <w:pPr>
        <w:pStyle w:val="Heading3"/>
      </w:pPr>
      <w:r>
        <w:t>6.2.2 Summer Mode — Throttling Rapid Growth, Building the Next Winter's Reserve</w:t>
      </w:r>
    </w:p>
    <w:p w14:paraId="619251C6" w14:textId="77777777" w:rsidR="00AB0EAF" w:rsidRDefault="00000000">
      <w:pPr>
        <w:pStyle w:val="FirstParagraph"/>
      </w:pPr>
      <w:r>
        <w:t>Winter Mode smooths contraction. Its symmetric counterpart addresses the opposite case: a surge of new participation fast enough to risk runaway dilution and to leave the network under-prepared for whatever downturn eventually follows it.</w:t>
      </w:r>
    </w:p>
    <w:p w14:paraId="455803B4" w14:textId="77777777" w:rsidR="00AB0EAF" w:rsidRDefault="00000000">
      <w:pPr>
        <w:pStyle w:val="BodyText"/>
      </w:pPr>
      <w:r>
        <w:rPr>
          <w:b/>
        </w:rPr>
        <w:t xml:space="preserve">Trigger. </w:t>
      </w:r>
      <w:r>
        <w:t>Using the same W90 and W180 moving averages defined in Section 6.2.1: if W90 exceeds 1.25× the 180-day average of W90 for 2 consecutive epochs, Summer Mode activates. It deactivates once that condition no longer holds.</w:t>
      </w:r>
    </w:p>
    <w:p w14:paraId="5C92E402" w14:textId="77777777" w:rsidR="00AB0EAF" w:rsidRDefault="00000000">
      <w:pPr>
        <w:pStyle w:val="BodyText"/>
      </w:pPr>
      <w:r>
        <w:rPr>
          <w:b/>
        </w:rPr>
        <w:t xml:space="preserve">Mechanics during Summer. </w:t>
      </w:r>
      <w:r>
        <w:t>New issuance is throttled to half its normal rate (the growth term is multiplied by 0.5, not set to zero — growth continues, just more slowly). The tending bonus is reduced from +2.3 to +1.5 NEXUS per 100MB per 30 days for the duration. An additional 50% fee is diverted into the Counter-Cyclical Reserve (Section 6.8.6), so that rapid growth is what funds the reserve's resilience against the next contraction, rather than the reserve depending solely on steady-state contributions.</w:t>
      </w:r>
    </w:p>
    <w:p w14:paraId="0A4215D8" w14:textId="77777777" w:rsidR="00AB0EAF" w:rsidRDefault="00000000">
      <w:pPr>
        <w:pStyle w:val="FirstParagraph"/>
      </w:pPr>
      <w:r>
        <w:t>Summer Mode draws on the same wallet-anchored, dollar-free measurement as Winter Mode, and is subject to the same epoch-parameter discipline: the 1.25× threshold, the 0.5× growth throttle, the bonus reduction, and the additional fee are all amendable only through the amendment process (Section 10.6.1) or a succession event (Section 10.6.4). Winter and Summer cannot be active simultaneously, since their trigger conditions are mutually exclusive by construction.</w:t>
      </w:r>
    </w:p>
    <w:p w14:paraId="244CAF46" w14:textId="77777777" w:rsidR="00AB0EAF" w:rsidRDefault="00000000">
      <w:pPr>
        <w:pStyle w:val="Heading3"/>
      </w:pPr>
      <w:r>
        <w:lastRenderedPageBreak/>
        <w:t>6.2.3 Pending: Tending-Weighted Wallets and a Dynamic Exponent</w:t>
      </w:r>
    </w:p>
    <w:p w14:paraId="2CECE5ED" w14:textId="77777777" w:rsidR="00AB0EAF" w:rsidRDefault="00000000">
      <w:pPr>
        <w:pStyle w:val="FirstParagraph"/>
      </w:pPr>
      <w:r>
        <w:t>Two further refinements have been proposed for this formula and are deliberately not adopted here: weighting each wallet by its tending activity rather than counting it as one (tending-weighted wallets, capped at 10x for a wallet tending roughly 1GB or more), and letting the 0.35 exponent itself decay slowly over time rather than staying fixed. Both are good instincts — tending-weighting would reward real contribution instead of raw wallet count, and a decaying exponent would slow growth further as the network matures. Neither is adopted as the live formula in this document, because neither has yet been run through an actual simulation pass consistent with the rest of this paper's growth trajectory (Appendix C.12); adopting either one would require re-deriving every downstream figure in this section that depends on supply-at-year-N, and doing that on hand-derived arithmetic rather than a validated simulation is exactly the kind of shortcut this paper has otherwise avoided.</w:t>
      </w:r>
    </w:p>
    <w:p w14:paraId="173D723E" w14:textId="77777777" w:rsidR="00AB0EAF" w:rsidRDefault="00000000">
      <w:pPr>
        <w:pStyle w:val="BodyText"/>
      </w:pPr>
      <w:r>
        <w:rPr>
          <w:b/>
        </w:rPr>
        <w:t xml:space="preserve">Validation path. </w:t>
      </w:r>
      <w:r>
        <w:t>Both proposals are candidates for testing under the Tier 0 configuration already specified in Section 3.4: 10–30 nodes, single metro region, the shadow pool of 3 pre-qualified standbys, and the same wallet-drop and wallet-rise test injections already used to verify the Winter and Summer triggers (Section 6.2.1, 6.2.2) — a 40% wallet drop over 2 epochs, and a 40% wallet rise over 2 epochs, rerun against tending-weighted wallets and a decaying exponent to see whether the resulting growth curve is actually smoother, not just theoretically so. Until that pass is run and its output reconciled against the figures already in this section, both remain explicitly candidates, not locked parameters.</w:t>
      </w:r>
    </w:p>
    <w:p w14:paraId="2B547065" w14:textId="77777777" w:rsidR="00AB0EAF" w:rsidRDefault="00000000">
      <w:pPr>
        <w:pStyle w:val="Heading2"/>
      </w:pPr>
      <w:r>
        <w:t>6.3 Supply Reclamation and the Passive Sovereignty Engine</w:t>
      </w:r>
    </w:p>
    <w:p w14:paraId="61688B30" w14:textId="77777777" w:rsidR="00AB0EAF" w:rsidRDefault="00000000">
      <w:pPr>
        <w:pStyle w:val="FirstParagraph"/>
      </w:pPr>
      <w:r>
        <w:t>Rather than a fixed emission schedule, the protocol proposes a usage-elastic reclamation engine intended to optimize velocity while protecting inactive value. It is designed to resolve the industry-wide “dead supply” problem, where lost private keys permanently freeze circulating capital, through a phased, multi-tiered dormancy reclamation cycle handled programmatically at the protocol level.</w:t>
      </w:r>
    </w:p>
    <w:p w14:paraId="02B088A2" w14:textId="77777777" w:rsidR="00AB0EAF" w:rsidRDefault="00000000">
      <w:pPr>
        <w:pStyle w:val="Heading3"/>
      </w:pPr>
      <w:bookmarkStart w:id="22" w:name="phased-dormancy-timeline"/>
      <w:r>
        <w:t>6.3.1 Phased Dormancy Timeline</w:t>
      </w:r>
    </w:p>
    <w:p w14:paraId="49765A4F" w14:textId="77777777" w:rsidR="00AB0EAF" w:rsidRDefault="00000000">
      <w:pPr>
        <w:pStyle w:val="FirstParagraph"/>
      </w:pPr>
      <w:r>
        <w:t>Under this proposal, balances respond to continuous rolling inactivity over a 13-year Fibonacci life-death cycle, with thresholds and rates following the Fibonacci sequence observed in natural growth and decay, subject to the economic modeling called for in Section 16:</w:t>
      </w:r>
    </w:p>
    <w:p w14:paraId="5C737007" w14:textId="77777777" w:rsidR="00AB0EAF" w:rsidRDefault="00000000">
      <w:pPr>
        <w:numPr>
          <w:ilvl w:val="0"/>
          <w:numId w:val="7"/>
        </w:numPr>
      </w:pPr>
      <w:r>
        <w:t>Years 0–3 (Seed — Active &amp; Retained): Absolute sovereign possession, with zero protocol intervention.</w:t>
      </w:r>
    </w:p>
    <w:p w14:paraId="539D9987" w14:textId="77777777" w:rsidR="00AB0EAF" w:rsidRDefault="00000000">
      <w:pPr>
        <w:numPr>
          <w:ilvl w:val="0"/>
          <w:numId w:val="7"/>
        </w:numPr>
      </w:pPr>
      <w:r>
        <w:t>Years 3–5 (Sprout — Dormant Flag): The wallet is flagged as “dormant” on-chain. No penalties or fees apply; wallet interfaces display a passive warning banner to alert a returning owner.</w:t>
      </w:r>
    </w:p>
    <w:p w14:paraId="6017B9D7" w14:textId="77777777" w:rsidR="00AB0EAF" w:rsidRDefault="00000000">
      <w:pPr>
        <w:numPr>
          <w:ilvl w:val="0"/>
          <w:numId w:val="7"/>
        </w:numPr>
      </w:pPr>
      <w:r>
        <w:t xml:space="preserve">Years 5–8 (First Exhale — Conservative Maintenance): A Fibonacci-scaled annual leak begins — 2% annually from year 5–6, rising to 3% annually from year 6–8 — </w:t>
      </w:r>
      <w:r>
        <w:lastRenderedPageBreak/>
        <w:t>with the amortized balance flowing to the DAO treasury. The balance remains fully recoverable at any point via the gasless heartbeat protocol.</w:t>
      </w:r>
    </w:p>
    <w:p w14:paraId="0941593B" w14:textId="77777777" w:rsidR="00AB0EAF" w:rsidRDefault="00000000">
      <w:pPr>
        <w:numPr>
          <w:ilvl w:val="0"/>
          <w:numId w:val="7"/>
        </w:numPr>
      </w:pPr>
      <w:r>
        <w:t>Years 8–13 (Second Exhale — Conditional Clawback Window): The annual leak continues and escalates further — 5% annually from year 8–11, rising to 8% annually from year 11–13. Concurrently, the original owner retains a 5-year cryptographic window (years 8–13) to prove ownership via private key and claw back 80% of whatever balance remains at the time of the claim, with the remaining 20% permanently retained by the treasury as compost. Because the annual leak continues to reduce the balance throughout this window, the amount recoverable shrinks the longer the wallet stays untouched — the leak and the clawback deadline pull in the same direction rather than operating independently.</w:t>
      </w:r>
    </w:p>
    <w:p w14:paraId="2B08E408" w14:textId="77777777" w:rsidR="00AB0EAF" w:rsidRDefault="00000000">
      <w:pPr>
        <w:numPr>
          <w:ilvl w:val="0"/>
          <w:numId w:val="7"/>
        </w:numPr>
      </w:pPr>
      <w:r>
        <w:t>Years 13+ (Perpetual Recycling — Compost): The assets are fully absorbed by the protocol, the address space is cleared, and the value is permanently recycled back into the active circulation pool as compost for new participants. This is not destruction; it is enrichment returned to the living system.</w:t>
      </w:r>
    </w:p>
    <w:p w14:paraId="0F20D835" w14:textId="77777777" w:rsidR="00AB0EAF" w:rsidRDefault="00000000">
      <w:pPr>
        <w:pStyle w:val="FirstParagraph"/>
      </w:pPr>
      <w:r>
        <w:t>The dormancy periods, leak percentages, and clawback ratios above are epoch parameters subject to the amendment process in Section 10.6.</w:t>
      </w:r>
    </w:p>
    <w:p w14:paraId="7A131FCC" w14:textId="77777777" w:rsidR="00AB0EAF" w:rsidRDefault="00000000">
      <w:pPr>
        <w:pStyle w:val="Heading3"/>
      </w:pPr>
      <w:bookmarkStart w:id="23" w:name="the-gasless-heartbeat-protocol"/>
      <w:bookmarkEnd w:id="22"/>
      <w:r>
        <w:t>6.3.2 The Gasless Heartbeat Protocol</w:t>
      </w:r>
    </w:p>
    <w:p w14:paraId="4AB7DE4E" w14:textId="77777777" w:rsidR="00AB0EAF" w:rsidRDefault="00000000">
      <w:pPr>
        <w:pStyle w:val="FirstParagraph"/>
      </w:pPr>
      <w:r>
        <w:t>To prevent this architecture from penalizing long-term, passive cold-storage holders, users are never required to execute a costly transaction or break their privacy simply to prove a wallet is still owned. A user can reset their dormancy timer to zero at any point via a non-invasive “heartbeat” signal: an off-chain, gasless cryptographic signature carrying a valid timestamp, which the reclamation module verifies and uses to update the wallet’s last-active record directly.</w:t>
      </w:r>
    </w:p>
    <w:p w14:paraId="0AD8204B" w14:textId="77777777" w:rsidR="00AB0EAF" w:rsidRDefault="00000000">
      <w:pPr>
        <w:pStyle w:val="BodyText"/>
      </w:pPr>
      <w:r>
        <w:t>This action consumes no network fees, requires zero movement of underlying tokens, and is designed to bypass Zero-Knowledge Proof-of-Personhood requirements entirely (see Section 12.1), keeping cold storage anonymous and cryptographically secure while still resetting the clock. As with the timeline above, the exact mechanics of heartbeat verification remain an open item for the security review referenced in Section 16.</w:t>
      </w:r>
    </w:p>
    <w:p w14:paraId="205B9B70" w14:textId="77777777" w:rsidR="00AB0EAF" w:rsidRDefault="00000000">
      <w:pPr>
        <w:pStyle w:val="Heading3"/>
      </w:pPr>
      <w:bookmarkStart w:id="24" w:name="X8b596483b903abc5773d83a67844747b5969560"/>
      <w:bookmarkEnd w:id="23"/>
      <w:r>
        <w:t>6.3.3 Ephemeral State Architecture and Anti-Spam Protections</w:t>
      </w:r>
    </w:p>
    <w:p w14:paraId="7566E862" w14:textId="77777777" w:rsidR="00AB0EAF" w:rsidRDefault="00000000">
      <w:pPr>
        <w:pStyle w:val="FirstParagraph"/>
      </w:pPr>
      <w:r>
        <w:t>To prevent malicious actors from exploiting the zero-fee structure of the Gasless Heartbeat Protocol to trigger state bloat or network degradation, the reclamation module processes heartbeat data through a heavily optimized, decoupled state layer rather than writing directly to the permanent ledger. A heartbeat signal moves through four stages before any trace of it is committed to disk: a rate limiter that discards excess signals at the gossip layer, an ephemeral memory cache that holds only the latest verified timestamp per address, a multi-block epoch window that accumulates those entries, and a Merkle aggregation step that compresses the entire epoch into a single root written to permanent storage.</w:t>
      </w:r>
    </w:p>
    <w:p w14:paraId="07EDE97F" w14:textId="77777777" w:rsidR="00AB0EAF" w:rsidRDefault="00000000">
      <w:pPr>
        <w:pStyle w:val="Heading4"/>
      </w:pPr>
      <w:bookmarkStart w:id="25" w:name="deterministic-rate-limiting"/>
      <w:r>
        <w:lastRenderedPageBreak/>
        <w:t>Deterministic Rate Limiting</w:t>
      </w:r>
    </w:p>
    <w:p w14:paraId="4D236435" w14:textId="77777777" w:rsidR="00AB0EAF" w:rsidRDefault="00000000">
      <w:pPr>
        <w:pStyle w:val="FirstParagraph"/>
      </w:pPr>
      <w:r>
        <w:t>Incoming heartbeat signature payloads are subject to a strict protocol-level rate limit of one signature per address per 144 blocks (roughly one day). If an attacker attempts to flood the network with a million-message spam attack from a single wallet, the consensus engine programmatically discards the overwhelming majority of the duplicate payloads at the gossip layer, before they can saturate memory pools.</w:t>
      </w:r>
    </w:p>
    <w:p w14:paraId="61C8327F" w14:textId="77777777" w:rsidR="00AB0EAF" w:rsidRDefault="00000000">
      <w:pPr>
        <w:pStyle w:val="Heading4"/>
      </w:pPr>
      <w:bookmarkStart w:id="26" w:name="ephemeral-memory-mapping"/>
      <w:bookmarkEnd w:id="25"/>
      <w:r>
        <w:t>Ephemeral Memory Mapping</w:t>
      </w:r>
    </w:p>
    <w:p w14:paraId="58462BE5" w14:textId="77777777" w:rsidR="00AB0EAF" w:rsidRDefault="00000000">
      <w:pPr>
        <w:pStyle w:val="FirstParagraph"/>
      </w:pPr>
      <w:r>
        <w:t>Valid heartbeats are explicitly denied immediate inclusion into individual blockchain blocks. Instead, they are routed to a volatile, off-chain ephemeral memory cache that tracks a strict one-to-one mapping of the latest verified heartbeat timestamp per address. When a new heartbeat is verified, it simply overwrites the previous entry in memory, keeping storage overhead flat regardless of how many heartbeats a given address sends over time.</w:t>
      </w:r>
    </w:p>
    <w:p w14:paraId="170ED067" w14:textId="77777777" w:rsidR="00AB0EAF" w:rsidRDefault="00000000">
      <w:pPr>
        <w:pStyle w:val="Heading4"/>
      </w:pPr>
      <w:bookmarkStart w:id="27" w:name="epoch-batching-and-merkle-aggregation"/>
      <w:bookmarkEnd w:id="26"/>
      <w:r>
        <w:t>Epoch Batching and Merkle Aggregation</w:t>
      </w:r>
    </w:p>
    <w:p w14:paraId="2E5DBB96" w14:textId="77777777" w:rsidR="00AB0EAF" w:rsidRDefault="00000000">
      <w:pPr>
        <w:pStyle w:val="FirstParagraph"/>
      </w:pPr>
      <w:r>
        <w:t>To satisfy the auditability standard referenced in Section 10.6 without bloating disk requirements, heartbeats are committed to the permanent ledger via epoch batching:</w:t>
      </w:r>
    </w:p>
    <w:p w14:paraId="5CF23DDC" w14:textId="77777777" w:rsidR="00AB0EAF" w:rsidRDefault="00000000">
      <w:pPr>
        <w:numPr>
          <w:ilvl w:val="0"/>
          <w:numId w:val="8"/>
        </w:numPr>
      </w:pPr>
      <w:r>
        <w:t>Every 2016 blocks (roughly two weeks), the cumulative array of active address states held in the ephemeral cache is compiled into a single, unified cryptographic Merkle tree.</w:t>
      </w:r>
    </w:p>
    <w:p w14:paraId="543C0EFE" w14:textId="77777777" w:rsidR="00AB0EAF" w:rsidRDefault="00000000">
      <w:pPr>
        <w:numPr>
          <w:ilvl w:val="0"/>
          <w:numId w:val="8"/>
        </w:numPr>
      </w:pPr>
      <w:r>
        <w:t>The system writes only the Merkle root of that tree onto the permanent blockchain disk, rather than each individual heartbeat.</w:t>
      </w:r>
    </w:p>
    <w:p w14:paraId="1F17F999" w14:textId="77777777" w:rsidR="00AB0EAF" w:rsidRDefault="00000000">
      <w:pPr>
        <w:numPr>
          <w:ilvl w:val="0"/>
          <w:numId w:val="8"/>
        </w:numPr>
      </w:pPr>
      <w:r>
        <w:t>Auditability retention: this single commitment allows any user to verify that their heartbeat was recorded, by generating a low-overhead cryptographic proof of inclusion within that epoch’s Merkle root, without forcing the network to permanently index millions of individual entries.</w:t>
      </w:r>
    </w:p>
    <w:p w14:paraId="75CF1575" w14:textId="77777777" w:rsidR="00AB0EAF" w:rsidRDefault="00000000">
      <w:pPr>
        <w:pStyle w:val="Heading4"/>
      </w:pPr>
      <w:bookmarkStart w:id="28" w:name="economic-footprint-for-honest-actors"/>
      <w:bookmarkEnd w:id="27"/>
      <w:r>
        <w:t>Economic Footprint for Honest Actors</w:t>
      </w:r>
    </w:p>
    <w:p w14:paraId="24771028" w14:textId="77777777" w:rsidR="00AB0EAF" w:rsidRDefault="00000000">
      <w:pPr>
        <w:pStyle w:val="FirstParagraph"/>
      </w:pPr>
      <w:r>
        <w:t>Because the protocol only requires a wallet to remain active once every several years to stave off reclamation under the Section 6.3.1 timeline, an honest, passive holder can maintain a comfortable margin with a single heartbeat well within that window. The programmatic cost to an honest sovereign user is, in effect, zero. As with the rest of the reclamation mechanics, the specific rate-limit window and epoch length are candidate parameters subject to the modeling and adversarial testing called for in Section 16.</w:t>
      </w:r>
    </w:p>
    <w:p w14:paraId="06B3A2AE" w14:textId="77777777" w:rsidR="00AB0EAF" w:rsidRDefault="00000000">
      <w:pPr>
        <w:pStyle w:val="Heading2"/>
      </w:pPr>
      <w:bookmarkStart w:id="29" w:name="Xe37a2a05e8bdf98b7bad821d3de21479e82d3c9"/>
      <w:bookmarkEnd w:id="21"/>
      <w:bookmarkEnd w:id="24"/>
      <w:bookmarkEnd w:id="28"/>
      <w:r>
        <w:t>6.4 Tokenomics: Fully Automatic, Math-Driven Incentives and Supply Anchoring</w:t>
      </w:r>
    </w:p>
    <w:p w14:paraId="3474A003" w14:textId="77777777" w:rsidR="00AB0EAF" w:rsidRDefault="00000000">
      <w:pPr>
        <w:pStyle w:val="FirstParagraph"/>
      </w:pPr>
      <w:r>
        <w:t>The usage-elastic model in Section 6.2 governs how total supply responds to measured network activity. This section defines the complementary incentive and anchoring layer. All parameters below are deterministic functions of on-chain state — no human, DAO, or Core instance holds discretionary authority to set, adjust, or override staking rates, emission schedules, or revenue destinations once the network is live.</w:t>
      </w:r>
    </w:p>
    <w:p w14:paraId="792B72C5" w14:textId="77777777" w:rsidR="00AB0EAF" w:rsidRDefault="00000000">
      <w:pPr>
        <w:pStyle w:val="Heading3"/>
      </w:pPr>
      <w:bookmarkStart w:id="30" w:name="physical-resource-basket-anchor"/>
      <w:r>
        <w:lastRenderedPageBreak/>
        <w:t>6.4.1 Physical Resource Basket Anchor</w:t>
      </w:r>
    </w:p>
    <w:p w14:paraId="12DEEE0C" w14:textId="77777777" w:rsidR="00AB0EAF" w:rsidRDefault="00000000">
      <w:pPr>
        <w:pStyle w:val="FirstParagraph"/>
      </w:pPr>
      <w:r>
        <w:t>At genesis, one Nexus token is targeted to equal one standardized unit of a diversified physical resource basket. One standardized basket unit is defined as the annual per-person average consumption of energy (kilowatt-hours), food (calories), and housing (square meters), measured in pure physical units with no dollar conversion.</w:t>
      </w:r>
    </w:p>
    <w:p w14:paraId="0D5F0D37" w14:textId="77777777" w:rsidR="00AB0EAF" w:rsidRDefault="00000000">
      <w:pPr>
        <w:pStyle w:val="BodyText"/>
      </w:pPr>
      <w:r>
        <w:t>Total genesis supply is derived as Total Supply = Number of Households × Target Tokens per Household, with an initial candidate range of 10,000–25,000 tokens per household, calibrated so that one token roughly equals one standardized physical basket unit. Exact figures remain subject to the economic modeling required in Section 16.</w:t>
      </w:r>
    </w:p>
    <w:p w14:paraId="128ABC11" w14:textId="77777777" w:rsidR="00AB0EAF" w:rsidRDefault="00000000">
      <w:pPr>
        <w:pStyle w:val="BodyText"/>
      </w:pPr>
      <w:r>
        <w:t>The physical-resource basket oracle is acknowledged as the hardest open risk in this design (Section 16.2). To reduce single-source manipulation risk ahead of the broader economic modeling still required, genesis requires each regional basket value to be computed as the median of at least three independent, publicly-sourced data feeds per region — for example national or supranational statistical agencies such as the U.S. Energy Information Administration or Eurostat, supplemented by a local or regional data source where available — rather than relying on any single provider’s report, consistent with the multi-provider model in Section 13. Each source is evidence-tier labeled under the Constitution’s Article 1 and Article 2 evidence hierarchy before its data is admitted. Default genesis weighting across the three feed categories is 40% / 30% / 30%, adjustable only by DAO supermajority vote and subject to a mandatory expiration and renewal window under the Constitution’s Article 8.3, so that no weighting configuration can become permanent without periodic re-ratification. This sourcing requirement is a definitional starting point, not a solution to the regional-arbitrage and localization risk described in Section 16.2; modeling how these weights and feed selections behave across differing regional cost structures remains open work.</w:t>
      </w:r>
    </w:p>
    <w:p w14:paraId="6F5D9DC8" w14:textId="77777777" w:rsidR="00AB0EAF" w:rsidRDefault="00000000">
      <w:pPr>
        <w:pStyle w:val="Heading3"/>
      </w:pPr>
      <w:bookmarkStart w:id="31" w:name="Xe9a27c660adc8506c322ca6900dc290c99280aa"/>
      <w:bookmarkEnd w:id="30"/>
      <w:r>
        <w:t>6.4.2 Fully Automatic Staking / Tending Reward Rate</w:t>
      </w:r>
    </w:p>
    <w:p w14:paraId="757AF80A" w14:textId="77777777" w:rsidR="00AB0EAF" w:rsidRDefault="00000000">
      <w:pPr>
        <w:pStyle w:val="FirstParagraph"/>
      </w:pPr>
      <w:r>
        <w:t>Staking (presented to users as “Savings”) yields are determined solely by a continuous, publicly auditable mathematical function of live network signals:</w:t>
      </w:r>
    </w:p>
    <w:p w14:paraId="098A978A" w14:textId="77777777" w:rsidR="00AB0EAF" w:rsidRDefault="00000000">
      <w:pPr>
        <w:numPr>
          <w:ilvl w:val="0"/>
          <w:numId w:val="9"/>
        </w:numPr>
      </w:pPr>
      <w:r>
        <w:t>Number of active wallets over a rolling window</w:t>
      </w:r>
    </w:p>
    <w:p w14:paraId="24E43F02" w14:textId="77777777" w:rsidR="00AB0EAF" w:rsidRDefault="00000000">
      <w:pPr>
        <w:numPr>
          <w:ilvl w:val="0"/>
          <w:numId w:val="9"/>
        </w:numPr>
      </w:pPr>
      <w:r>
        <w:t>Aggregate transaction volume</w:t>
      </w:r>
    </w:p>
    <w:p w14:paraId="6351FA34" w14:textId="77777777" w:rsidR="00AB0EAF" w:rsidRDefault="00000000">
      <w:pPr>
        <w:numPr>
          <w:ilvl w:val="0"/>
          <w:numId w:val="9"/>
        </w:numPr>
      </w:pPr>
      <w:r>
        <w:t>Measured resource contribution (storage, bandwidth, and compute actually lent and verified)</w:t>
      </w:r>
    </w:p>
    <w:p w14:paraId="5AF88BDC" w14:textId="77777777" w:rsidR="00AB0EAF" w:rsidRDefault="00000000">
      <w:pPr>
        <w:numPr>
          <w:ilvl w:val="0"/>
          <w:numId w:val="9"/>
        </w:numPr>
      </w:pPr>
      <w:r>
        <w:t>Overall network utilization relative to current Core capacity</w:t>
      </w:r>
    </w:p>
    <w:p w14:paraId="0C1A5124" w14:textId="77777777" w:rsidR="00AB0EAF" w:rsidRDefault="00000000">
      <w:pPr>
        <w:pStyle w:val="FirstParagraph"/>
      </w:pPr>
      <w:r>
        <w:t xml:space="preserve">The realized reward rate at any moment is the output of this function. There is no front-loaded schedule, no calendar-based taper, and no discretionary adjustment by any party. The same automatic function operates from day one; only the underlying network conditions change as the system grows. When organic activity and verified resource contribution rise, the function permits a higher rate within the sustainable band the </w:t>
      </w:r>
      <w:r>
        <w:lastRenderedPageBreak/>
        <w:t>network can support; when activity or contribution falls, the rate compresses automatically.</w:t>
      </w:r>
    </w:p>
    <w:p w14:paraId="68A779DD" w14:textId="77777777" w:rsidR="00AB0EAF" w:rsidRDefault="00000000">
      <w:pPr>
        <w:pStyle w:val="BodyText"/>
      </w:pPr>
      <w:r>
        <w:t>The function itself is fixed at genesis and altered only through the same constitutional supermajority consensus required for any other protocol change, and is publicly auditable on-chain — no participant, including the DAO or the embedded AI, may alter the formula outside that process.</w:t>
      </w:r>
    </w:p>
    <w:p w14:paraId="7BFAFE6E" w14:textId="77777777" w:rsidR="00AB0EAF" w:rsidRDefault="00000000">
      <w:pPr>
        <w:pStyle w:val="Heading3"/>
      </w:pPr>
      <w:bookmarkStart w:id="32" w:name="X000367744b37569b9914a522cf34cac9e1b9fb8"/>
      <w:bookmarkEnd w:id="31"/>
      <w:r>
        <w:t>6.4.3 Time and Stewardship Advantage via Reclamation Mechanics</w:t>
      </w:r>
    </w:p>
    <w:p w14:paraId="66FFB86C" w14:textId="77777777" w:rsidR="00AB0EAF" w:rsidRDefault="00000000">
      <w:pPr>
        <w:pStyle w:val="FirstParagraph"/>
      </w:pPr>
      <w:r>
        <w:t>Long-term stewardship is made naturally more profitable through the interaction of the reclamation engine (Section 6.3) and the automatic reward function, without the protocol defining or scoring “regenerative” behavior:</w:t>
      </w:r>
    </w:p>
    <w:p w14:paraId="7B52E7D0" w14:textId="77777777" w:rsidR="00AB0EAF" w:rsidRDefault="00000000">
      <w:pPr>
        <w:numPr>
          <w:ilvl w:val="0"/>
          <w:numId w:val="10"/>
        </w:numPr>
      </w:pPr>
      <w:r>
        <w:t>Wallets that remain continuously active (via normal use or the gasless heartbeat protocol) retain full eligibility for the highest rates produced by the automatic function.</w:t>
      </w:r>
    </w:p>
    <w:p w14:paraId="36941BF0" w14:textId="77777777" w:rsidR="00AB0EAF" w:rsidRDefault="00000000">
      <w:pPr>
        <w:numPr>
          <w:ilvl w:val="0"/>
          <w:numId w:val="10"/>
        </w:numPr>
      </w:pPr>
      <w:r>
        <w:t>The longer a wallet maintains continuous activity and verified resource contribution, the more favorable its position relative to the reclamation timeline and the more stable its claim on future automatic rewards.</w:t>
      </w:r>
    </w:p>
    <w:p w14:paraId="6B0085F3" w14:textId="77777777" w:rsidR="00AB0EAF" w:rsidRDefault="00000000">
      <w:pPr>
        <w:numPr>
          <w:ilvl w:val="0"/>
          <w:numId w:val="10"/>
        </w:numPr>
      </w:pPr>
      <w:r>
        <w:t>High-velocity extraction (frequent selling or rapid turnover) receives no preferential treatment under the reward function and remains fully exposed to the dormancy timeline (Section 6.3.1) if activity ceases.</w:t>
      </w:r>
    </w:p>
    <w:p w14:paraId="0E1FAB39" w14:textId="77777777" w:rsidR="00AB0EAF" w:rsidRDefault="00000000">
      <w:pPr>
        <w:pStyle w:val="FirstParagraph"/>
      </w:pPr>
      <w:r>
        <w:t>The system does not judge the moral quality of any activity. It simply makes continuous, low-churn participation the rational long-term economic choice through pure mathematics and the existing reclamation schedule.</w:t>
      </w:r>
    </w:p>
    <w:p w14:paraId="6FF86B91" w14:textId="77777777" w:rsidR="00AB0EAF" w:rsidRDefault="00000000">
      <w:pPr>
        <w:pStyle w:val="Heading3"/>
      </w:pPr>
      <w:bookmarkStart w:id="33" w:name="Xad52befdeb827be665f673e4cc8b7ee87bbd627"/>
      <w:bookmarkEnd w:id="32"/>
      <w:r>
        <w:t>6.4.4 Predetermined Allocation of Protocol and AI Revenue</w:t>
      </w:r>
    </w:p>
    <w:p w14:paraId="28438CEB" w14:textId="77777777" w:rsidR="00AB0EAF" w:rsidRDefault="00000000">
      <w:pPr>
        <w:pStyle w:val="FirstParagraph"/>
      </w:pPr>
      <w:r>
        <w:t>All protocol fees and all revenue generated by usage of the embedded decentralized AI are routed exclusively according to a fixed, predetermined allocation schedule set at genesis, alterable only by the same constitutional supermajority consensus required for other protocol changes. The two revenue streams are allocated separately, as follows.</w:t>
      </w:r>
    </w:p>
    <w:p w14:paraId="4281D4EF" w14:textId="77777777" w:rsidR="00AB0EAF" w:rsidRDefault="00000000">
      <w:pPr>
        <w:pStyle w:val="FirstParagraph"/>
      </w:pPr>
      <w:r>
        <w:t>Protocol fees follow the schedule below. AI-generated revenue follows a separate schedule of its own, since the entities actually earning it are the nodes that ran the inference (Section 10.7), not the general holder base: 50% to the nodes that served the compute, 20% burned, 20% to the DAO treasury, and 10% to the developer vault (Section 6.6.1). This keeps the AI fabric from becoming, in practical terms, a second business alongside the network — the machines that do the work are the ones paid for it, routed through the same mushroom-cap observation-and-QC pipeline (Appendix C.2.1a) that already governs how nodes participate.</w:t>
      </w:r>
    </w:p>
    <w:p w14:paraId="09D2AC32" w14:textId="77777777" w:rsidR="00AB0EAF" w:rsidRDefault="00000000">
      <w:pPr>
        <w:pStyle w:val="BodyText"/>
      </w:pPr>
      <w:r>
        <w:rPr>
          <w:b/>
          <w:bCs/>
        </w:rPr>
        <w:t>Protocol Fees.</w:t>
      </w:r>
    </w:p>
    <w:p w14:paraId="7224A5B2" w14:textId="77777777" w:rsidR="00AB0EAF" w:rsidRDefault="00000000">
      <w:pPr>
        <w:pStyle w:val="BodyText"/>
      </w:pPr>
      <w:r>
        <w:t>Candidate destinations include:</w:t>
      </w:r>
    </w:p>
    <w:p w14:paraId="02F58BF6" w14:textId="77777777" w:rsidR="00AB0EAF" w:rsidRDefault="00000000">
      <w:pPr>
        <w:numPr>
          <w:ilvl w:val="0"/>
          <w:numId w:val="11"/>
        </w:numPr>
      </w:pPr>
      <w:r>
        <w:lastRenderedPageBreak/>
        <w:t>Automatic top-up of the active staking / tending reward pool</w:t>
      </w:r>
    </w:p>
    <w:p w14:paraId="21071E3B" w14:textId="77777777" w:rsidR="00AB0EAF" w:rsidRDefault="00000000">
      <w:pPr>
        <w:numPr>
          <w:ilvl w:val="0"/>
          <w:numId w:val="11"/>
        </w:numPr>
      </w:pPr>
      <w:r>
        <w:t>Permanent recycling into the circulating supply via the reclamation engine</w:t>
      </w:r>
    </w:p>
    <w:p w14:paraId="291F8A50" w14:textId="77777777" w:rsidR="00AB0EAF" w:rsidRDefault="00000000">
      <w:pPr>
        <w:numPr>
          <w:ilvl w:val="0"/>
          <w:numId w:val="11"/>
        </w:numPr>
      </w:pPr>
      <w:r>
        <w:t>Funding of the Resource Contribution Marketplace (Section 6.7)</w:t>
      </w:r>
    </w:p>
    <w:p w14:paraId="3A09F77B" w14:textId="77777777" w:rsidR="00AB0EAF" w:rsidRDefault="00000000">
      <w:pPr>
        <w:numPr>
          <w:ilvl w:val="0"/>
          <w:numId w:val="11"/>
        </w:numPr>
      </w:pPr>
      <w:r>
        <w:t>Maintenance of the physical-resource Oracle layer</w:t>
      </w:r>
    </w:p>
    <w:p w14:paraId="2B67EA0C" w14:textId="77777777" w:rsidR="00AB0EAF" w:rsidRDefault="00000000">
      <w:pPr>
        <w:numPr>
          <w:ilvl w:val="0"/>
          <w:numId w:val="11"/>
        </w:numPr>
      </w:pPr>
      <w:r>
        <w:t>Ongoing top-up of the Section 6.8 hardship reserve</w:t>
      </w:r>
    </w:p>
    <w:p w14:paraId="4C8AA952" w14:textId="77777777" w:rsidR="00AB0EAF" w:rsidRDefault="00000000">
      <w:pPr>
        <w:pStyle w:val="FirstParagraph"/>
      </w:pPr>
      <w:r>
        <w:rPr>
          <w:b/>
          <w:bCs/>
        </w:rPr>
        <w:t>AI-Generated Revenue.</w:t>
      </w:r>
    </w:p>
    <w:p w14:paraId="7E8E9C41" w14:textId="77777777" w:rsidR="00AB0EAF" w:rsidRDefault="00000000">
      <w:pPr>
        <w:pStyle w:val="BodyText"/>
      </w:pPr>
      <w:r>
        <w:t>AI-generated revenue is split according to a fixed candidate percentage schedule:</w:t>
      </w:r>
    </w:p>
    <w:p w14:paraId="400D7847" w14:textId="77777777" w:rsidR="00AB0EAF" w:rsidRDefault="00000000">
      <w:pPr>
        <w:numPr>
          <w:ilvl w:val="0"/>
          <w:numId w:val="12"/>
        </w:numPr>
      </w:pPr>
      <w:r>
        <w:t>40% distributed pro-rata to token holders as a yield distribution</w:t>
      </w:r>
    </w:p>
    <w:p w14:paraId="5FCC0FA3" w14:textId="77777777" w:rsidR="00AB0EAF" w:rsidRDefault="00000000">
      <w:pPr>
        <w:numPr>
          <w:ilvl w:val="0"/>
          <w:numId w:val="12"/>
        </w:numPr>
      </w:pPr>
      <w:r>
        <w:t>25% to the Resource Contribution Marketplace (Section 6.7)</w:t>
      </w:r>
    </w:p>
    <w:p w14:paraId="3280C3DF" w14:textId="77777777" w:rsidR="00AB0EAF" w:rsidRDefault="00000000">
      <w:pPr>
        <w:numPr>
          <w:ilvl w:val="0"/>
          <w:numId w:val="12"/>
        </w:numPr>
      </w:pPr>
      <w:r>
        <w:t>15% to the DAO treasury (Section 6.6)</w:t>
      </w:r>
    </w:p>
    <w:p w14:paraId="10E70BD2" w14:textId="77777777" w:rsidR="00AB0EAF" w:rsidRDefault="00000000">
      <w:pPr>
        <w:numPr>
          <w:ilvl w:val="0"/>
          <w:numId w:val="12"/>
        </w:numPr>
      </w:pPr>
      <w:r>
        <w:t>20% to the Standing Counter-Cyclical Reserve (Section 6.8), automatically rising to 35% while the systemic trigger under Section 6.8.2(B) is active. The increase is drawn proportionally from the holder-yield and marketplace allocations only; the DAO treasury allocation is not reduced during a systemic trigger.</w:t>
      </w:r>
    </w:p>
    <w:p w14:paraId="0ABD278C" w14:textId="77777777" w:rsidR="00AB0EAF" w:rsidRDefault="00000000">
      <w:pPr>
        <w:pStyle w:val="FirstParagraph"/>
      </w:pPr>
      <w:r>
        <w:t>No discretionary treasury votes or ad-hoc reallocations are permitted outside the predetermined schedule for either revenue stream. This keeps revenue flows rules-based and removes a major vector for governance capture or short-term political pressure.</w:t>
      </w:r>
    </w:p>
    <w:p w14:paraId="15A2D870" w14:textId="77777777" w:rsidR="00AB0EAF" w:rsidRDefault="00000000">
      <w:pPr>
        <w:pStyle w:val="Heading3"/>
      </w:pPr>
      <w:bookmarkStart w:id="34" w:name="X18e5572c3f8153f39b002c917ad7847d9e40ff5"/>
      <w:bookmarkEnd w:id="33"/>
      <w:r>
        <w:t>6.4.5 Candidate Parameters and Modeling Requirement</w:t>
      </w:r>
    </w:p>
    <w:p w14:paraId="23560B78" w14:textId="77777777" w:rsidR="00AB0EAF" w:rsidRDefault="00000000">
      <w:pPr>
        <w:pStyle w:val="FirstParagraph"/>
      </w:pPr>
      <w:r>
        <w:t>All numerical ranges referenced above — tokens per household, sustainable reward-band bounds, exact weights inside the automatic reward function, and the precise predetermined revenue split — are initial candidates only. They require the same formal economic modeling, stress-testing, and adversarial simulation called for in Section 16 before finalization. Once locked, they become immutable except through the constitutional supermajority process.</w:t>
      </w:r>
    </w:p>
    <w:p w14:paraId="3702B8B6" w14:textId="77777777" w:rsidR="00AB0EAF" w:rsidRDefault="00000000">
      <w:pPr>
        <w:pStyle w:val="Heading3"/>
      </w:pPr>
      <w:bookmarkStart w:id="35" w:name="X85b8095c93d2a0ad99e1f536f8c91e863f09ccd"/>
      <w:bookmarkEnd w:id="34"/>
      <w:r>
        <w:t>6.4.6 Price Stability and Post-Reclamation Recovery (carried forward from prior draft)</w:t>
      </w:r>
    </w:p>
    <w:p w14:paraId="7E74E7D8" w14:textId="77777777" w:rsidR="00AB0EAF" w:rsidRDefault="00000000">
      <w:pPr>
        <w:pStyle w:val="FirstParagraph"/>
      </w:pPr>
      <w:r>
        <w:t>Two mechanics from the prior version of this section are preserved here since neither is restated elsewhere in the document:</w:t>
      </w:r>
    </w:p>
    <w:p w14:paraId="65EF3F7B" w14:textId="77777777" w:rsidR="00AB0EAF" w:rsidRDefault="00000000">
      <w:pPr>
        <w:numPr>
          <w:ilvl w:val="0"/>
          <w:numId w:val="13"/>
        </w:numPr>
      </w:pPr>
      <w:r>
        <w:t>Price stability: the elastic supply formula in Section 6.2 expands or contracts supply using data on the physical resource basket sourced from the decentralized oracle layer (Section 13), so that adjustments track real resource costs rather than an arbitrary schedule, keeping the token’s value near its physical basket anchor over time.</w:t>
      </w:r>
    </w:p>
    <w:p w14:paraId="26632ED2" w14:textId="77777777" w:rsidR="00AB0EAF" w:rsidRDefault="00000000">
      <w:pPr>
        <w:numPr>
          <w:ilvl w:val="0"/>
          <w:numId w:val="13"/>
        </w:numPr>
      </w:pPr>
      <w:r>
        <w:t xml:space="preserve">Post-reclamation identity recovery: a holder who resurfaces after a wallet has passed through full reclamation (Section 6.3.1, Years 13+) — distinct from the </w:t>
      </w:r>
      <w:r>
        <w:lastRenderedPageBreak/>
        <w:t>private-key-based clawback available during the Years 8–13 window — can recover their reclaimed tokens by proving identity via the proof-of-personhood mechanism in Section 12.1 and paying a 10–20% recovery fee, which returns the reclaimed balance to active circulation rather than leaving it permanently inaccessible to its original owner.</w:t>
      </w:r>
    </w:p>
    <w:p w14:paraId="4607FFA9" w14:textId="77777777" w:rsidR="00AB0EAF" w:rsidRDefault="00000000">
      <w:pPr>
        <w:pStyle w:val="Heading2"/>
      </w:pPr>
      <w:bookmarkStart w:id="36" w:name="X6d59c678f01e8c8ef8360c9cf49fbb002bb3c6c"/>
      <w:bookmarkEnd w:id="29"/>
      <w:bookmarkEnd w:id="35"/>
      <w:r>
        <w:t>6.5 Genesis Bootstrap — Deflationary Capacity Squeeze (Candidate, pending Section 16)</w:t>
      </w:r>
    </w:p>
    <w:p w14:paraId="3BE7DA46" w14:textId="77777777" w:rsidR="00AB0EAF" w:rsidRDefault="00000000">
      <w:pPr>
        <w:pStyle w:val="FirstParagraph"/>
      </w:pPr>
      <w:r>
        <w:t>To bootstrap early network participation without corrupting the reclamation schedule (Section 6.3) or inflating supply (Section 6.2), the network’s initial phase implements a localized utility squeeze tied to AI compute capacity, rather than a token-emission incentive. Design rationale: Section 6.3 yields zero compost Years 0-5 (First Exhale begins Year 5 per 6.3.1, not Year 6), therefore any months 0-21 bootstrap cannot rely on reclamation compost and must not alter the Sec 6.3 schedule; competing early-adopter hooks (compost-halving vs. node-slot squeeze) would dilute the halving-beat message rather than reinforce it, and diverting forfeitures/unclaimed yield (Option C) introduces redundant complexity distinct from but aimed at the same goal as 6.5 scarcity pricing.</w:t>
      </w:r>
    </w:p>
    <w:p w14:paraId="48AD8E24" w14:textId="77777777" w:rsidR="00AB0EAF" w:rsidRDefault="00000000">
      <w:pPr>
        <w:pStyle w:val="Heading3"/>
      </w:pPr>
      <w:bookmarkStart w:id="37" w:name="X85e0db0e59c8718dfef2d42380b4109487f213c"/>
      <w:r>
        <w:t>6.5.1 Node Slot Pricing Curve (Adversarially Modeled)</w:t>
      </w:r>
    </w:p>
    <w:p w14:paraId="4532C555" w14:textId="77777777" w:rsidR="00AB0EAF" w:rsidRDefault="00000000">
      <w:pPr>
        <w:pStyle w:val="FirstParagraph"/>
      </w:pPr>
      <w:r>
        <w:t>Rather than a time-based step schedule, the entry cost to operate a localized validation or decentralized AI shard node is priced directly against slot scarcity, as a function of the cumulative count of node slots sold to date (slot): price(slot) = 100 + fibonacci_floor(slot / 100) × 10, capped at 1,000 NEXUS, where fibonacci_floor(n) returns the largest Fibonacci number less than or equal to n. Denominations remain whole numbers only; no fractional pricing is used. Pricing against the running slot count rather than elapsed time removes the incentive to simply wait out a calendar-based step, closing a gaming vector an adversarial review flagged in the prior time-indexed design. Worked example: at slot 1,000, fibonacci_floor(1,000 / 100) = fibonacci_floor(10) = 8, giving price(1,000) = 100 + 8 × 10 = 180 NEXUS. This was checked against an affordability threshold of 500 NEXUS for an ordinary participant on consumer-grade hardware (an aging quad-core desktop CPU class, e.g. an Intel Core i7-2600K, with 8GB RAM), as required under the Constitution’s Article 10.2: at 180 NEXUS, slot 1,000 remains well under that threshold, so an ordinary participant is not priced out at that point in the curve. This test is repeated at each order-of-magnitude slot count as part of the Section 16 adversarial modeling gate before the curve is finalized.</w:t>
      </w:r>
    </w:p>
    <w:p w14:paraId="47C927F1" w14:textId="77777777" w:rsidR="00AB0EAF" w:rsidRDefault="00000000">
      <w:pPr>
        <w:pStyle w:val="Heading3"/>
      </w:pPr>
      <w:bookmarkStart w:id="38" w:name="finite-expanding-resource"/>
      <w:bookmarkEnd w:id="37"/>
      <w:r>
        <w:t>6.5.2 Finite Expanding Resource</w:t>
      </w:r>
    </w:p>
    <w:p w14:paraId="0B0E2F22" w14:textId="77777777" w:rsidR="00AB0EAF" w:rsidRDefault="00000000">
      <w:pPr>
        <w:pStyle w:val="FirstParagraph"/>
      </w:pPr>
      <w:r>
        <w:t>Total node slots available scale geometrically with network size: slots_available = active_wallets × 0.05 × (1 + month × 0.02). Slots are scarce early, which incentivizes competitive buy-and-hold behavior to secure passive utility before the entry cost climbs to the next Fibonacci step. The slot input used in the Section 6.5.1 pricing curve is the cumulative count of slots sold against this expanding capacity, not a fixed total fixed at genesis, so the price curve and the available-capacity curve move together as the network grows.</w:t>
      </w:r>
    </w:p>
    <w:p w14:paraId="3A32D204" w14:textId="77777777" w:rsidR="00AB0EAF" w:rsidRDefault="00000000">
      <w:pPr>
        <w:pStyle w:val="Heading3"/>
      </w:pPr>
      <w:bookmarkStart w:id="39" w:name="Xfd63ee447b20bc303abd96fce0c56293cafbbe0"/>
      <w:bookmarkEnd w:id="38"/>
      <w:r>
        <w:lastRenderedPageBreak/>
        <w:t>6.5.3 Purchasing-Power Multiplier During Bootstrap</w:t>
      </w:r>
    </w:p>
    <w:p w14:paraId="4AAFB2CD" w14:textId="77777777" w:rsidR="00AB0EAF" w:rsidRDefault="00000000">
      <w:pPr>
        <w:pStyle w:val="FirstParagraph"/>
      </w:pPr>
      <w:r>
        <w:t>During the initial bootstrap period, a volume spike relative to available node capacity increases the real compute purchasing power of each token: early tokens convert to more AI compute per token than later tokens will, as a transparent multiplier rather than a price pump. This multiplier is bounded by a Vector Equilibrium fee function — a transaction fee that rises with network load relative to capacity, capped to the physical kWh basket described in Appendix C.7 — so that rapid early appreciation in purchasing power cannot produce an unanchored bubble. The exact form of this fee function is a candidate parameter requiring the same modeling called for in Section 16, and if adopted as a standing mechanism beyond the bootstrap window, it will require its own dedicated subsection rather than living only here.</w:t>
      </w:r>
    </w:p>
    <w:p w14:paraId="516B4A06" w14:textId="77777777" w:rsidR="00AB0EAF" w:rsidRDefault="00000000">
      <w:pPr>
        <w:pStyle w:val="Heading3"/>
      </w:pPr>
      <w:bookmarkStart w:id="40" w:name="reserve-contribution-during-bootstrap"/>
      <w:bookmarkEnd w:id="39"/>
      <w:r>
        <w:t>6.5.4 Reserve Contribution During Bootstrap</w:t>
      </w:r>
    </w:p>
    <w:p w14:paraId="1C03A312" w14:textId="77777777" w:rsidR="00AB0EAF" w:rsidRDefault="00000000">
      <w:pPr>
        <w:pStyle w:val="FirstParagraph"/>
      </w:pPr>
      <w:r>
        <w:t>Node purchases and high-velocity trades during the bootstrap window are subject to the ordinary protocol fee and revenue allocation described in Section 6.4.4, which already directs a share of AI-generated revenue into the Standing Counter-Cyclical Reserve (Section 6.8.6) and increases that share automatically if the systemic trigger (Section 6.8.2(B)) activates. This section introduces no additional funding channel into the reserve beyond what Section 6.8.6 already specifies.</w:t>
      </w:r>
    </w:p>
    <w:p w14:paraId="5293A9AD" w14:textId="77777777" w:rsidR="00AB0EAF" w:rsidRDefault="00000000">
      <w:pPr>
        <w:pStyle w:val="BodyText"/>
      </w:pPr>
      <w:r>
        <w:t>All parameters in this section — entry-cost steps, the slot-scaling formula, and the purchasing-power multiplier function — are candidates only, subject to the economic modeling and adversarial review called for in Section 16, and become immutable except through the constitutional supermajority process once locked. This section does not alter the Section 6.3 reclamation schedule in any way.</w:t>
      </w:r>
    </w:p>
    <w:p w14:paraId="05E13E46" w14:textId="77777777" w:rsidR="00AB0EAF" w:rsidRDefault="00000000">
      <w:pPr>
        <w:pStyle w:val="Heading2"/>
      </w:pPr>
      <w:bookmarkStart w:id="41" w:name="developer-and-ecosystem-funding"/>
      <w:bookmarkEnd w:id="36"/>
      <w:bookmarkEnd w:id="40"/>
      <w:r>
        <w:t>6.6 Developer and Ecosystem Funding</w:t>
      </w:r>
    </w:p>
    <w:p w14:paraId="2D1EB08A" w14:textId="77777777" w:rsidR="00AB0EAF" w:rsidRDefault="00000000">
      <w:pPr>
        <w:pStyle w:val="BodyText"/>
      </w:pPr>
      <w:r>
        <w:t>Sustaining ongoing development requires a funding model that is transparent from genesis, elastic to real-world need, and designed to remain viable across successive embodiments without depending on a hidden premine or standing founder control over the treasury, consistent with the succession mechanics in Section 10.6.4 — not as a claim of permanent runtime continuity, but as a funding model built to outlast any single embodiment.</w:t>
      </w:r>
    </w:p>
    <w:p w14:paraId="0D675EF3" w14:textId="77777777" w:rsidR="00AB0EAF" w:rsidRDefault="00000000">
      <w:pPr>
        <w:pStyle w:val="Heading3"/>
      </w:pPr>
      <w:r>
        <w:t>6.6.1 Genesis Bootstrap and Seed Treasury Roadmap</w:t>
      </w:r>
    </w:p>
    <w:p w14:paraId="51B24853" w14:textId="77777777" w:rsidR="00AB0EAF" w:rsidRDefault="00000000">
      <w:pPr>
        <w:pStyle w:val="Heading4"/>
      </w:pPr>
      <w:r>
        <w:t>6.6.1.1 The Genesis Allocation Framework</w:t>
      </w:r>
    </w:p>
    <w:p w14:paraId="3F8D6CE6" w14:textId="77777777" w:rsidR="00AB0EAF" w:rsidRDefault="00000000">
      <w:pPr>
        <w:pStyle w:val="BodyText"/>
      </w:pPr>
      <w:r>
        <w:t>To guarantee the transition of the Nexus codebase from an isolated testbed to a globally distributed, production-grade network without introducing speculative market distortion, the initial 3% to 5% Genesis supply allocation shall be locked cryptographically into a dedicated, programmatic Seed-Stage Development Vault. This Vault is not a discretionary wallet. It is a time-locked, on-chain contract with fully public parameters disclosed at genesis, implementing the transparent premine principle. No tokens may be moved, staked, or voted except through the vesting function defined in Section 6.6.1.2.</w:t>
      </w:r>
    </w:p>
    <w:p w14:paraId="2F9777BE" w14:textId="77777777" w:rsidR="00AB0EAF" w:rsidRDefault="00000000">
      <w:pPr>
        <w:pStyle w:val="Heading4"/>
      </w:pPr>
      <w:r>
        <w:lastRenderedPageBreak/>
        <w:t>6.6.1.2 The 0.05% Bounded Monthly Release — Investor Protection and Builder Velocity</w:t>
      </w:r>
    </w:p>
    <w:p w14:paraId="60D972BD" w14:textId="77777777" w:rsidR="00AB0EAF" w:rsidRDefault="00000000">
      <w:pPr>
        <w:pStyle w:val="BodyText"/>
      </w:pPr>
      <w:r>
        <w:t>The Seed-Stage Development Vault implements a fixed, on-chain hard cap of 0.05% of Genesis Supply per month. This cap is absolute and immutable. At 10,000,000 NEXUS genesis, this equals a maximum of 5,000 NEXUS per calendar month, or 60,000 NEXUS per year (0.60% of Genesis annually). Even if the maximum is drawn every month for 48 months, total draw is 240,000 NEXUS (2.4% of Genesis), well within the 3–5% disclosure.</w:t>
      </w:r>
    </w:p>
    <w:p w14:paraId="111397C7" w14:textId="77777777" w:rsidR="00AB0EAF" w:rsidRDefault="00000000">
      <w:pPr>
        <w:pStyle w:val="BodyText"/>
      </w:pPr>
      <w:r>
        <w:t>This neutralizes anxiety while allowing smooth takeoff right after launch through three guarantees: (A) Dilution is mathematically capped and modelable at genesis, (B) Release is supply-denominated, not price-denominated, (C) No governance override may increase the 0.05% ceiling; it is enforceable by contract and alterable only through the constitutional amendment process (Section 10.6.1), the same bar as every other epoch parameter — not the hard-fork escape hatch, which is reserved for invalidation and large-scale integrity attacks (Sections 10.6.3, 10.6.5), not routine parameter tuning.</w:t>
      </w:r>
    </w:p>
    <w:p w14:paraId="37B25BF9" w14:textId="77777777" w:rsidR="00AB0EAF" w:rsidRDefault="00000000">
      <w:pPr>
        <w:pStyle w:val="Heading4"/>
      </w:pPr>
      <w:r>
        <w:t>6.6.1.3 Elastic Release Function</w:t>
      </w:r>
    </w:p>
    <w:p w14:paraId="507F3F84" w14:textId="77777777" w:rsidR="00AB0EAF" w:rsidRDefault="00000000">
      <w:pPr>
        <w:pStyle w:val="BodyText"/>
      </w:pPr>
      <w:r>
        <w:t>While 0.05% is the hard ceiling, actual monthly release is determined by a fully automatic, on-chain function:</w:t>
      </w:r>
    </w:p>
    <w:p w14:paraId="3CB47F8C" w14:textId="77777777" w:rsidR="00AB0EAF" w:rsidRDefault="00000000">
      <w:pPr>
        <w:pStyle w:val="BodyText"/>
      </w:pPr>
      <w:r>
        <w:t>actual_release = min(0.05% Genesis, F(treasury_runway, verified_hardware_queue, active_node_growth))</w:t>
      </w:r>
    </w:p>
    <w:p w14:paraId="738DFA78" w14:textId="77777777" w:rsidR="00AB0EAF" w:rsidRDefault="00000000">
      <w:pPr>
        <w:pStyle w:val="BodyText"/>
      </w:pPr>
      <w:r>
        <w:t>If treasury_runway &lt; 12 months and hardware queue &gt; 0: F() permits up to 0.05% — immediate procurement of Central Ohio infrastructure without DAO delay. If runway &gt; 18 months: F() throttles to 0.01%–0.02%. If runway &gt; 36 months (over-abundance): F() compresses to 0%.</w:t>
      </w:r>
    </w:p>
    <w:p w14:paraId="28CEBAEA" w14:textId="77777777" w:rsidR="00AB0EAF" w:rsidRDefault="00000000">
      <w:pPr>
        <w:pStyle w:val="BodyText"/>
      </w:pPr>
      <w:r>
        <w:t>All inputs are public, on-chain, and derived from the decentralized oracle layer per Appendix C.7 (3 feeds, median). There is no discretionary adjustment.</w:t>
      </w:r>
    </w:p>
    <w:p w14:paraId="1DE57D73" w14:textId="77777777" w:rsidR="00AB0EAF" w:rsidRDefault="00000000">
      <w:pPr>
        <w:pStyle w:val="Heading3"/>
      </w:pPr>
      <w:r>
        <w:t>6.6.2 Long-Term Protocol Treasury — Funding Beyond the Seed Vault</w:t>
      </w:r>
    </w:p>
    <w:p w14:paraId="080A6179" w14:textId="77777777" w:rsidR="00AB0EAF" w:rsidRDefault="00000000">
      <w:pPr>
        <w:pStyle w:val="BodyText"/>
      </w:pPr>
      <w:r>
        <w:t>After Year 5, the Seed Vault sunsets and funding transitions automatically to three concurrent, usage-elastic channels:</w:t>
      </w:r>
    </w:p>
    <w:p w14:paraId="114A1762" w14:textId="77777777" w:rsidR="00AB0EAF" w:rsidRDefault="00000000">
      <w:pPr>
        <w:pStyle w:val="BodyText"/>
      </w:pPr>
      <w:r>
        <w:rPr>
          <w:b/>
        </w:rPr>
        <w:t xml:space="preserve">Channel One — Elastic Protocol Fee (0.1% to 0.5% Bounded Band). </w:t>
      </w:r>
      <w:r>
        <w:t>A small on-chain fee flows to DAO Treasury, not founders. protocol_fee_rate = G(treasury_runway) with floor 0.1%, baseline 0.3%, ceiling 0.5%, never exceeding cost of gas or credit-card parity (2.9% + $0.30) per Appendix C.11. At 100 TPS and $25 average tx, 0.3% generates approximately $19.4M/month.</w:t>
      </w:r>
    </w:p>
    <w:p w14:paraId="626FB575" w14:textId="77777777" w:rsidR="00AB0EAF" w:rsidRDefault="00000000">
      <w:pPr>
        <w:pStyle w:val="BodyText"/>
      </w:pPr>
      <w:r>
        <w:rPr>
          <w:b/>
        </w:rPr>
        <w:t xml:space="preserve">Channel Two — AI-Generated Revenue DAO Allocation (15% Fixed, Protected). </w:t>
      </w:r>
      <w:r>
        <w:t xml:space="preserve">Per Section 6.4.4: 40% to holders as yield, 25% to Resource Contribution Marketplace (Section 6.7), 15% to DAO Treasury, 20% to Standing Counter-Cyclical Reserve (Section 6.8.6), rising to 35% during the systemic trigger (Section 6.8.2(B)). The 15% DAO slice is protected during crisis — the increase is drawn from holder and marketplace allocations </w:t>
      </w:r>
      <w:r>
        <w:lastRenderedPageBreak/>
        <w:t>only. At $30M/month AI revenue (per Appendix C.10 simulation), DAO receives $4.5M/month.</w:t>
      </w:r>
    </w:p>
    <w:p w14:paraId="729145CF" w14:textId="77777777" w:rsidR="00AB0EAF" w:rsidRDefault="00000000">
      <w:pPr>
        <w:pStyle w:val="BodyText"/>
      </w:pPr>
      <w:r>
        <w:rPr>
          <w:b/>
        </w:rPr>
        <w:t xml:space="preserve">Channel Three — Reclamation Pool Yield (Post Year 5 Perpetual). </w:t>
      </w:r>
      <w:r>
        <w:t>Beginning Year 5 per Section 6.3.1, 20% of reclaimed supply yield flows to DAO Treasury. Months 0–60 compost is $0, since the Seed-phase dormancy tiers (Years 0–5, Section 6.3.1) leak nothing during that window, so this channel contributes nothing during the Seed phase and becomes perpetual thereafter.</w:t>
      </w:r>
    </w:p>
    <w:p w14:paraId="4A2FFD27" w14:textId="77777777" w:rsidR="00AB0EAF" w:rsidRDefault="00000000">
      <w:pPr>
        <w:pStyle w:val="Heading3"/>
      </w:pPr>
      <w:r>
        <w:t>6.6.3 Treasury Protection at Scale — Securing a $1.5T+ Treasury</w:t>
      </w:r>
    </w:p>
    <w:p w14:paraId="2E0F8AD3" w14:textId="77777777" w:rsidR="00AB0EAF" w:rsidRDefault="00000000">
      <w:pPr>
        <w:pStyle w:val="BodyText"/>
      </w:pPr>
      <w:r>
        <w:t>A treasury scaling to $1.5T per Appendix C.5.3 requires explicit protection against governance capture. The treasury is not a honeypot; it is a time-locked glacier.</w:t>
      </w:r>
    </w:p>
    <w:p w14:paraId="254D8956" w14:textId="77777777" w:rsidR="00AB0EAF" w:rsidRDefault="00000000">
      <w:pPr>
        <w:pStyle w:val="BodyText"/>
      </w:pPr>
      <w:r>
        <w:rPr>
          <w:b/>
        </w:rPr>
        <w:t xml:space="preserve">Layer 1 — Rate-Limited Withdrawals. </w:t>
      </w:r>
      <w:r>
        <w:t>No more than 0.5% of total Treasury may be moved per 2016-block epoch (approximately 14 days), regardless of vote outcome. At $1.5T, this equals $7.5B max per epoch. Draining 10% requires 20 epochs (280 days), providing a detection and fork window under the invalidation and large-scale-attack mechanics of Sections 10.6.3 and 10.6.5.</w:t>
      </w:r>
    </w:p>
    <w:p w14:paraId="2A9A6310" w14:textId="77777777" w:rsidR="00AB0EAF" w:rsidRDefault="00000000">
      <w:pPr>
        <w:pStyle w:val="BodyText"/>
      </w:pPr>
      <w:r>
        <w:rPr>
          <w:b/>
        </w:rPr>
        <w:t xml:space="preserve">Layer 2 — Dual Treasury — Hot / Cold. </w:t>
      </w:r>
      <w:r>
        <w:t>Hot Treasury (5% of total): monthly dev, grants, operations, governed by DAO supermajority ≥67% plus a 7-day timelock. Cold Treasury (95% of total): requires two independent thresholds — (A) DAO supermajority ≥67%, and (B) approval from at least 75% of the reputation-weighted validator set, where eligibility itself requires a reputation score of 75 or higher, one year of temporal hardening, and validator/oracle/arbitrator status with IP/ASN diversity and a minimum 10 NEXUS balance (Sections 11.1, 12.2.1; Appendix C.3, C.7). Plus a 2016-block veto window where any 10% of staked nodes can trigger constitutional review. This same minority-review mechanism is reused, not reinvented, as the general safeguard on protocol votes (Section 4.1) and on judiciary wallet-flagging decisions (Appendix F.1) described elsewhere in this paper.</w:t>
      </w:r>
    </w:p>
    <w:p w14:paraId="7FD726D7" w14:textId="77777777" w:rsidR="00AB0EAF" w:rsidRDefault="00000000">
      <w:pPr>
        <w:pStyle w:val="BodyText"/>
      </w:pPr>
      <w:r>
        <w:rPr>
          <w:b/>
        </w:rPr>
        <w:t xml:space="preserve">Layer 3 — Reputation-Weighted Treasury Voting. </w:t>
      </w:r>
      <w:r>
        <w:t>For spends greater than $10M equivalent: stake weight is capped at 1% voting power per wallet, and reputation weight from Section 12.1 proof-of-personhood plus 30-day continuous tending plus 3 vouchers counts double, with IP/ASN diversity required per the Appendix C.3 Sybil-resistance stack. This makes buying votes require buying time and distributed hardware, not just tokens.</w:t>
      </w:r>
    </w:p>
    <w:p w14:paraId="7BF9F1A0" w14:textId="77777777" w:rsidR="00AB0EAF" w:rsidRDefault="00000000">
      <w:pPr>
        <w:pStyle w:val="BodyText"/>
      </w:pPr>
      <w:r>
        <w:rPr>
          <w:b/>
        </w:rPr>
        <w:t xml:space="preserve">Layer 4 — Automatic Circuit Breaker. </w:t>
      </w:r>
      <w:r>
        <w:t>If treasury outflow exceeds 2% in a single epoch (4x normal limit), 50% of remaining outflows are automatically diverted to the Counter-Cyclical Reserve battery for 3 epochs, per Section 6.8.6 logic. A treasury attack triggers the network's own self-defense.</w:t>
      </w:r>
    </w:p>
    <w:p w14:paraId="3EB77A24" w14:textId="77777777" w:rsidR="00AB0EAF" w:rsidRDefault="00000000">
      <w:pPr>
        <w:pStyle w:val="BodyText"/>
      </w:pPr>
      <w:r>
        <w:t>All parameters — the 0.05% vault cap, the 0.1–0.5% fee band, the 0.5%-per-epoch withdrawal limit, the hot/cold split, and the runway thresholds — are candidates requiring economic modeling and adversarial review per Section 16, and become immutable except through the constitutional amendment process once locked.</w:t>
      </w:r>
    </w:p>
    <w:p w14:paraId="1FD58A07" w14:textId="77777777" w:rsidR="00AB0EAF" w:rsidRDefault="00000000">
      <w:pPr>
        <w:pStyle w:val="Heading2"/>
      </w:pPr>
      <w:bookmarkStart w:id="42" w:name="resource-contribution-marketplace"/>
      <w:bookmarkEnd w:id="41"/>
      <w:r>
        <w:lastRenderedPageBreak/>
        <w:t>6.7 Resource Contribution Marketplace</w:t>
      </w:r>
    </w:p>
    <w:p w14:paraId="5E1CE4F0" w14:textId="77777777" w:rsidR="00AB0EAF" w:rsidRDefault="00000000">
      <w:pPr>
        <w:pStyle w:val="FirstParagraph"/>
      </w:pPr>
      <w:r>
        <w:t>To incentivize infrastructure growth, the protocol offers a Resource Contribution Marketplace layered on top of base staking rewards. Nodes that stake tokens earn a base reward, and those that also contribute additional disk, bandwidth, or compute capacity to the network earn bonus multipliers on top of that base rate, scaled to the type and volume of resources contributed. These bonus multipliers are front-loaded on a fixed, automatic taper set at genesis rather than a discretionary schedule: 3.0x from genesis, stepping down to 2.0x at block 52,560, 1.5x at block 105,120, 1.2x at block 157,680, and 1.0x at block 210,240 and permanently thereafter (assuming a ten-minute block interval, these checkpoints fall at approximately years one through four). There is no renewal, extension, or discretionary reset of this taper by any party; once the multiplier reaches 1.0x it remains fixed there unless changed through the same constitutional supermajority hard-fork process required for any other protocol-level change, under the Constitution’s Article 4 and Article 10.4. This closes off the front-loaded incentive from becoming a de-facto permanent privilege for early operators, while still funding the early infrastructure buildout the Core and AI-Core feedback loop depend on. Long-term funding shifts to the protocol fee and reclamation pool described in Sections 6.4 and 6.6 as the taper completes. This design ties reward issuance to real infrastructure supply and AI-driven demand rather than to a fixed emission schedule, so the network scales its incentives with actual usage.</w:t>
      </w:r>
    </w:p>
    <w:p w14:paraId="1587C673" w14:textId="77777777" w:rsidR="00AB0EAF" w:rsidRDefault="00000000">
      <w:pPr>
        <w:pStyle w:val="Heading2"/>
      </w:pPr>
      <w:bookmarkStart w:id="43" w:name="counter-cyclical-hardship-lending"/>
      <w:bookmarkEnd w:id="42"/>
      <w:r>
        <w:t>6.8 Counter-Cyclical Hardship Lending</w:t>
      </w:r>
    </w:p>
    <w:p w14:paraId="14D4D58A" w14:textId="77777777" w:rsidR="00AB0EAF" w:rsidRDefault="00000000">
      <w:pPr>
        <w:pStyle w:val="FirstParagraph"/>
      </w:pPr>
      <w:r>
        <w:t>The protocol includes a narrow, fully automatic, and privacy-preserving mechanism designed to provide temporary liquidity during measurable periods of economic stress without introducing discretionary authority, broad identity requirements, or coercive redistribution.</w:t>
      </w:r>
    </w:p>
    <w:p w14:paraId="4410C59B" w14:textId="77777777" w:rsidR="00AB0EAF" w:rsidRDefault="00000000">
      <w:pPr>
        <w:pStyle w:val="Heading3"/>
      </w:pPr>
      <w:bookmarkStart w:id="44" w:name="purpose-and-scope"/>
      <w:r>
        <w:t>6.8.1 Purpose and Scope</w:t>
      </w:r>
    </w:p>
    <w:p w14:paraId="5279A72B" w14:textId="77777777" w:rsidR="00AB0EAF" w:rsidRDefault="00000000">
      <w:pPr>
        <w:pStyle w:val="FirstParagraph"/>
      </w:pPr>
      <w:r>
        <w:t>The mechanism exists solely to reduce the severity of boom-and-bust cycles for participants experiencing genuine hardship. It is not a general welfare system, not a permanent subsidy, and not a tool for behavioral engineering. It is strictly limited in duration, size, and eligibility so that it cannot become a vector for capture or permanent claims on the network’s resources.</w:t>
      </w:r>
    </w:p>
    <w:p w14:paraId="200F10FD" w14:textId="77777777" w:rsidR="00AB0EAF" w:rsidRDefault="00000000">
      <w:pPr>
        <w:pStyle w:val="FirstParagraph"/>
      </w:pPr>
      <w:r>
        <w:t>The physical-basket anchor in Section 6.4 and the hardship ceiling in Section 6.8.3 are deliberately linked: hardship loans are denominated in kWh, calories, and housing hours, not dollars, so that survival purchasing power is preserved regardless of currency conditions.</w:t>
      </w:r>
    </w:p>
    <w:p w14:paraId="7D0B70C1" w14:textId="77777777" w:rsidR="00AB0EAF" w:rsidRDefault="00000000">
      <w:pPr>
        <w:pStyle w:val="Heading3"/>
      </w:pPr>
      <w:bookmarkStart w:id="45" w:name="trigger-conditions"/>
      <w:bookmarkEnd w:id="44"/>
      <w:r>
        <w:t>6.8.2 Trigger Conditions</w:t>
      </w:r>
    </w:p>
    <w:p w14:paraId="3AF19AD1" w14:textId="77777777" w:rsidR="00AB0EAF" w:rsidRDefault="00000000">
      <w:pPr>
        <w:pStyle w:val="FirstParagraph"/>
      </w:pPr>
      <w:r>
        <w:t>Hardship lending activates only when objective conditions are met. There are two independent trigger paths:</w:t>
      </w:r>
    </w:p>
    <w:p w14:paraId="61CD23C2" w14:textId="77777777" w:rsidR="00AB0EAF" w:rsidRDefault="00000000">
      <w:pPr>
        <w:pStyle w:val="BodyText"/>
      </w:pPr>
      <w:r>
        <w:rPr>
          <w:b/>
          <w:bCs/>
        </w:rPr>
        <w:t>A. Individual Hardship Trigger (requires all of the following):</w:t>
      </w:r>
    </w:p>
    <w:p w14:paraId="15E1AF88" w14:textId="77777777" w:rsidR="00AB0EAF" w:rsidRDefault="00000000">
      <w:pPr>
        <w:numPr>
          <w:ilvl w:val="0"/>
          <w:numId w:val="14"/>
        </w:numPr>
      </w:pPr>
      <w:r>
        <w:lastRenderedPageBreak/>
        <w:t>A sustained drop in the participant’s own on-chain activity relative to their prior baseline.</w:t>
      </w:r>
    </w:p>
    <w:p w14:paraId="0E17B705" w14:textId="77777777" w:rsidR="00AB0EAF" w:rsidRDefault="00000000">
      <w:pPr>
        <w:numPr>
          <w:ilvl w:val="0"/>
          <w:numId w:val="14"/>
        </w:numPr>
      </w:pPr>
      <w:r>
        <w:t>A zero-knowledge proof of a real external credential documenting individual-level hardship (examples include an eviction filing, utility disconnection notice, unemployment claim, or payment-processor default flag tied to that specific person). Regional or aggregate indices are not accepted as substitutes.</w:t>
      </w:r>
    </w:p>
    <w:p w14:paraId="3ED500A6" w14:textId="77777777" w:rsidR="00AB0EAF" w:rsidRDefault="00000000">
      <w:pPr>
        <w:numPr>
          <w:ilvl w:val="0"/>
          <w:numId w:val="14"/>
        </w:numPr>
      </w:pPr>
      <w:r>
        <w:t>Satisfaction of the reputation-weighted eligibility criteria in 6.8.3.</w:t>
      </w:r>
    </w:p>
    <w:p w14:paraId="0C86C53D" w14:textId="77777777" w:rsidR="00AB0EAF" w:rsidRDefault="00000000">
      <w:pPr>
        <w:pStyle w:val="FirstParagraph"/>
      </w:pPr>
      <w:r>
        <w:rPr>
          <w:b/>
          <w:bCs/>
        </w:rPr>
        <w:t>B. Systemic Trigger:</w:t>
      </w:r>
    </w:p>
    <w:p w14:paraId="29495BFA" w14:textId="77777777" w:rsidR="00AB0EAF" w:rsidRDefault="00000000">
      <w:pPr>
        <w:pStyle w:val="BodyText"/>
      </w:pPr>
      <w:r>
        <w:t>A severe, sustained, network-wide contraction in active wallets and aggregate transaction volume that exceeds a predetermined high threshold. When this systemic condition is true, the mechanism may extend limited hardship lending even to participants who have not yet met the full individual activity-drop threshold, preserving the counter-cyclical purpose of the section.</w:t>
      </w:r>
    </w:p>
    <w:p w14:paraId="7E5A3CBD" w14:textId="77777777" w:rsidR="00AB0EAF" w:rsidRDefault="00000000">
      <w:pPr>
        <w:pStyle w:val="BodyText"/>
      </w:pPr>
      <w:r>
        <w:t>Both paths are evaluated deterministically. No human or DAO vote is required for activation or deactivation.</w:t>
      </w:r>
    </w:p>
    <w:p w14:paraId="66D92455" w14:textId="77777777" w:rsidR="00AB0EAF" w:rsidRDefault="00000000">
      <w:pPr>
        <w:pStyle w:val="Heading3"/>
      </w:pPr>
      <w:bookmarkStart w:id="46" w:name="eligibility-and-credit-allocation"/>
      <w:bookmarkEnd w:id="45"/>
      <w:r>
        <w:t>6.8.3 Eligibility and Credit Allocation</w:t>
      </w:r>
    </w:p>
    <w:p w14:paraId="3353AC84" w14:textId="77777777" w:rsidR="00AB0EAF" w:rsidRDefault="00000000">
      <w:pPr>
        <w:pStyle w:val="FirstParagraph"/>
      </w:pPr>
      <w:r>
        <w:t>Eligibility under either trigger is further filtered by a reputation-weighted credit function that considers:</w:t>
      </w:r>
    </w:p>
    <w:p w14:paraId="2C0E236A" w14:textId="77777777" w:rsidR="00AB0EAF" w:rsidRDefault="00000000">
      <w:pPr>
        <w:numPr>
          <w:ilvl w:val="0"/>
          <w:numId w:val="15"/>
        </w:numPr>
      </w:pPr>
      <w:r>
        <w:t>Length and consistency of verified network activity</w:t>
      </w:r>
    </w:p>
    <w:p w14:paraId="35715CB8" w14:textId="77777777" w:rsidR="00AB0EAF" w:rsidRDefault="00000000">
      <w:pPr>
        <w:numPr>
          <w:ilvl w:val="0"/>
          <w:numId w:val="15"/>
        </w:numPr>
      </w:pPr>
      <w:r>
        <w:t>Historical repayment behavior on any prior hardship loans</w:t>
      </w:r>
    </w:p>
    <w:p w14:paraId="58FED60F" w14:textId="77777777" w:rsidR="00AB0EAF" w:rsidRDefault="00000000">
      <w:pPr>
        <w:numPr>
          <w:ilvl w:val="0"/>
          <w:numId w:val="15"/>
        </w:numPr>
      </w:pPr>
      <w:r>
        <w:t>Non-transferable reputation score derived from sustained contribution and non-default history</w:t>
      </w:r>
    </w:p>
    <w:p w14:paraId="4366E7C6" w14:textId="77777777" w:rsidR="00AB0EAF" w:rsidRDefault="00000000">
      <w:pPr>
        <w:pStyle w:val="FirstParagraph"/>
      </w:pPr>
      <w:r>
        <w:t>Raw token holdings are excluded as a primary factor.</w:t>
      </w:r>
    </w:p>
    <w:p w14:paraId="5DD6671A" w14:textId="77777777" w:rsidR="00AB0EAF" w:rsidRDefault="00000000">
      <w:pPr>
        <w:pStyle w:val="FirstParagraph"/>
      </w:pPr>
      <w:r>
        <w:t>Maximum loan size is hard-capped as the lesser of three constraints:</w:t>
      </w:r>
    </w:p>
    <w:p w14:paraId="053E37ED" w14:textId="77777777" w:rsidR="00AB0EAF" w:rsidRDefault="00000000">
      <w:pPr>
        <w:numPr>
          <w:ilvl w:val="0"/>
          <w:numId w:val="15"/>
        </w:numPr>
      </w:pPr>
      <w:r>
        <w:t>Reputation-weighted eligibility tier: 20% of trailing 90-day on-chain volume for less than 1 year of tending, 40% for 1–3 years, 60% for more than 3 years with a clean repayment history.</w:t>
      </w:r>
    </w:p>
    <w:p w14:paraId="3EF42CA8" w14:textId="77777777" w:rsidR="00AB0EAF" w:rsidRDefault="00000000">
      <w:pPr>
        <w:numPr>
          <w:ilvl w:val="0"/>
          <w:numId w:val="15"/>
        </w:numPr>
      </w:pPr>
      <w:r>
        <w:t>0.5% of the current Standing Counter-Cyclical Reserve balance (Section 6.8.6).</w:t>
      </w:r>
    </w:p>
    <w:p w14:paraId="3861ED4B" w14:textId="77777777" w:rsidR="00AB0EAF" w:rsidRDefault="00000000">
      <w:pPr>
        <w:numPr>
          <w:ilvl w:val="0"/>
          <w:numId w:val="15"/>
        </w:numPr>
      </w:pPr>
      <w:r>
        <w:t>An absolute survival ceiling of 10,000 kWh equivalent in NEXUS, denominated in physical units per Section 6.4 (energy, calories, housing), not dollars.</w:t>
      </w:r>
    </w:p>
    <w:p w14:paraId="1FD91BEF" w14:textId="77777777" w:rsidR="00AB0EAF" w:rsidRDefault="00000000">
      <w:pPr>
        <w:pStyle w:val="FirstParagraph"/>
      </w:pPr>
      <w:r>
        <w:t xml:space="preserve">The wallet may display an illustrative dollar equivalent via the toggle described in Section 6.1, for accessibility, but canonical accounting is kWh. The absolute ceiling is identical for every participant regardless of historical volume or holdings: a participant cycling $3,000 per month and one cycling $500,000 per month receive the same maximum — enough to cover approximately 2–3 months of energy, food, and housing. The design intent is survival </w:t>
      </w:r>
      <w:r>
        <w:lastRenderedPageBreak/>
        <w:t>during a hardship period, not preservation of a pre-hardship standard of living, and the ceiling is sized accordingly.</w:t>
      </w:r>
    </w:p>
    <w:p w14:paraId="67115073" w14:textId="77777777" w:rsidR="00AB0EAF" w:rsidRDefault="00000000">
      <w:pPr>
        <w:pStyle w:val="FirstParagraph"/>
      </w:pPr>
      <w:r>
        <w:t>Hardship loans are denominated in kWh, calories, and housing hours — not dollars. A 10,000 kWh ceiling always buys 10,000 kWh of survival, whether the dollar is $0.10/kWh or has collapsed entirely.</w:t>
      </w:r>
    </w:p>
    <w:p w14:paraId="1E484790" w14:textId="77777777" w:rsidR="00AB0EAF" w:rsidRDefault="00000000">
      <w:pPr>
        <w:pStyle w:val="Heading3"/>
      </w:pPr>
      <w:bookmarkStart w:id="47" w:name="privacy-and-verification"/>
      <w:bookmarkEnd w:id="46"/>
      <w:r>
        <w:t>6.8.4 Privacy and Verification</w:t>
      </w:r>
    </w:p>
    <w:p w14:paraId="55EE157C" w14:textId="77777777" w:rsidR="00AB0EAF" w:rsidRDefault="00000000">
      <w:pPr>
        <w:pStyle w:val="FirstParagraph"/>
      </w:pPr>
      <w:r>
        <w:t>All individual hardship claims are processed exclusively through zero-knowledge proofs. The proof attests only that the required mathematical and credential conditions are true. The protocol never learns, stores, or can later reconstruct:</w:t>
      </w:r>
    </w:p>
    <w:p w14:paraId="29BB1C67" w14:textId="77777777" w:rsidR="00AB0EAF" w:rsidRDefault="00000000">
      <w:pPr>
        <w:numPr>
          <w:ilvl w:val="0"/>
          <w:numId w:val="16"/>
        </w:numPr>
      </w:pPr>
      <w:r>
        <w:t>The participant’s real-world identity</w:t>
      </w:r>
    </w:p>
    <w:p w14:paraId="0A3D538B" w14:textId="77777777" w:rsidR="00AB0EAF" w:rsidRDefault="00000000">
      <w:pPr>
        <w:numPr>
          <w:ilvl w:val="0"/>
          <w:numId w:val="16"/>
        </w:numPr>
      </w:pPr>
      <w:r>
        <w:t>The specific content of the external credential</w:t>
      </w:r>
    </w:p>
    <w:p w14:paraId="6DBAB0D8" w14:textId="77777777" w:rsidR="00AB0EAF" w:rsidRDefault="00000000">
      <w:pPr>
        <w:numPr>
          <w:ilvl w:val="0"/>
          <w:numId w:val="16"/>
        </w:numPr>
      </w:pPr>
      <w:r>
        <w:t>The underlying reason for the hardship</w:t>
      </w:r>
    </w:p>
    <w:p w14:paraId="2E1F34E6" w14:textId="77777777" w:rsidR="00AB0EAF" w:rsidRDefault="00000000">
      <w:pPr>
        <w:pStyle w:val="FirstParagraph"/>
      </w:pPr>
      <w:r>
        <w:t>The resulting on-chain loan position is deliberately not linkable to the participant’s broader activity history beyond what is already publicly visible. No government ID, KYC process, or permanent identity link is created.</w:t>
      </w:r>
    </w:p>
    <w:p w14:paraId="7E3D1AB7" w14:textId="77777777" w:rsidR="00AB0EAF" w:rsidRDefault="00000000">
      <w:pPr>
        <w:pStyle w:val="FirstParagraph"/>
      </w:pPr>
      <w:r>
        <w:t>If two of the three oracles verifying a hardship claim go dark, new loan issuance pauses automatically; existing loans continue repaying on schedule regardless. This is a fallback, not a freeze: pending claims fall to manual DAO review under the 70% supermajority override, limited to 5% of the battery reserve per epoch until oracle service is restored. The mechanism deliberately does not open an unverified faucet, and does not lock out a genuinely hardship-eligible participant simply because the verification layer is temporarily degraded.</w:t>
      </w:r>
    </w:p>
    <w:p w14:paraId="0936E368" w14:textId="77777777" w:rsidR="00AB0EAF" w:rsidRDefault="00000000">
      <w:pPr>
        <w:pStyle w:val="Heading3"/>
      </w:pPr>
      <w:bookmarkStart w:id="48" w:name="loan-terms-and-automatic-repayment"/>
      <w:bookmarkEnd w:id="47"/>
      <w:r>
        <w:t>6.8.5 Loan Terms and Automatic Repayment</w:t>
      </w:r>
    </w:p>
    <w:p w14:paraId="19BEC940" w14:textId="77777777" w:rsidR="00AB0EAF" w:rsidRDefault="00000000">
      <w:pPr>
        <w:numPr>
          <w:ilvl w:val="0"/>
          <w:numId w:val="17"/>
        </w:numPr>
      </w:pPr>
      <w:r>
        <w:t>Loans are interest-free.</w:t>
      </w:r>
    </w:p>
    <w:p w14:paraId="473B6621" w14:textId="77777777" w:rsidR="00AB0EAF" w:rsidRDefault="00000000">
      <w:pPr>
        <w:numPr>
          <w:ilvl w:val="0"/>
          <w:numId w:val="17"/>
        </w:numPr>
      </w:pPr>
      <w:r>
        <w:t>Duration is strictly time-limited. Candidate range: 3–6 months (final value subject to modeling in Section 16).</w:t>
      </w:r>
    </w:p>
    <w:p w14:paraId="4CC9DD93" w14:textId="77777777" w:rsidR="00AB0EAF" w:rsidRDefault="00000000">
      <w:pPr>
        <w:numPr>
          <w:ilvl w:val="0"/>
          <w:numId w:val="17"/>
        </w:numPr>
      </w:pPr>
      <w:r>
        <w:t>Repayment is automatic and pro-rata: as the participant’s on-chain activity recovers, incoming value is progressively applied to the outstanding loan rather than waiting for a single end-of-term event.</w:t>
      </w:r>
    </w:p>
    <w:p w14:paraId="77462538" w14:textId="77777777" w:rsidR="00AB0EAF" w:rsidRDefault="00000000">
      <w:pPr>
        <w:pStyle w:val="FirstParagraph"/>
      </w:pPr>
      <w:r>
        <w:t>In the event of full non-repayment by the end of the term, the outstanding balance is treated as a controlled loss to the hardship reserve. A graduated, non-transferable reputation penalty is applied. The penalty is deliberately asymmetric: the cost of default is meaningful enough to discourage casual gaming, but it is implemented as a fixed-duration cooldown on future hardship eligibility rather than a permanent ban or any form of blacklisting. No coercive collection, seizure of other assets, or lasting exclusion from the wider network is permitted.</w:t>
      </w:r>
    </w:p>
    <w:p w14:paraId="590EC6DC" w14:textId="77777777" w:rsidR="00AB0EAF" w:rsidRDefault="00000000">
      <w:pPr>
        <w:pStyle w:val="Heading3"/>
      </w:pPr>
      <w:bookmarkStart w:id="49" w:name="Xf52e40b89189c53afc727b4a9a75bfa60017a1f"/>
      <w:bookmarkEnd w:id="48"/>
      <w:r>
        <w:lastRenderedPageBreak/>
        <w:t>6.8.6 Funding: Standing Counter-Cyclical Reserve</w:t>
      </w:r>
    </w:p>
    <w:p w14:paraId="26EFC6F5" w14:textId="77777777" w:rsidR="00AB0EAF" w:rsidRDefault="00000000">
      <w:pPr>
        <w:pStyle w:val="FirstParagraph"/>
      </w:pPr>
      <w:r>
        <w:t>The hardship mechanism is funded by a Standing Counter-Cyclical Reserve, sustained through two concurrent channels so that reserve capacity does not depend on any single revenue source.</w:t>
      </w:r>
    </w:p>
    <w:p w14:paraId="57B06118" w14:textId="77777777" w:rsidR="00AB0EAF" w:rsidRDefault="00000000">
      <w:pPr>
        <w:pStyle w:val="BodyText"/>
      </w:pPr>
      <w:r>
        <w:rPr>
          <w:b/>
          <w:bCs/>
        </w:rPr>
        <w:t>Baseline Channel — Minted Supply Accumulation.</w:t>
      </w:r>
    </w:p>
    <w:p w14:paraId="2489C97C" w14:textId="77777777" w:rsidR="00AB0EAF" w:rsidRDefault="00000000">
      <w:pPr>
        <w:pStyle w:val="BodyText"/>
      </w:pPr>
      <w:r>
        <w:t>A fixed, predetermined percentage of newly minted supply (from the usage-elastic issuance defined in Section 6.2) is continuously directed into the reserve, regardless of current network conditions or trigger status. This channel operates independently of AI revenue or protocol fees and ensures the reserve carries a standing buffer accumulated during normal and expansionary periods, available before any crisis begins.</w:t>
      </w:r>
    </w:p>
    <w:p w14:paraId="550365E0" w14:textId="77777777" w:rsidR="00AB0EAF" w:rsidRDefault="00000000">
      <w:pPr>
        <w:pStyle w:val="BodyText"/>
      </w:pPr>
      <w:r>
        <w:rPr>
          <w:b/>
          <w:bCs/>
        </w:rPr>
        <w:t>Supplementary Channel — AI-Generated Revenue.</w:t>
      </w:r>
    </w:p>
    <w:p w14:paraId="7E681551" w14:textId="77777777" w:rsidR="00AB0EAF" w:rsidRDefault="00000000">
      <w:pPr>
        <w:pStyle w:val="BodyText"/>
      </w:pPr>
      <w:r>
        <w:t>In addition to the baseline channel, 20% of AI-generated revenue is automatically directed into the reserve under normal network conditions, per Section 6.4.4. When the systemic trigger (Section 6.8.2(B)) is activated, this allocation automatically increases from 20% to 35% of AI revenue, drawn proportionally from the holder-yield and marketplace allocations as specified in Section 6.4.4. When the systemic trigger deactivates, the allocation reverts to the base 20%.</w:t>
      </w:r>
    </w:p>
    <w:p w14:paraId="7A06C78C" w14:textId="77777777" w:rsidR="00AB0EAF" w:rsidRDefault="00000000">
      <w:pPr>
        <w:pStyle w:val="BodyText"/>
      </w:pPr>
      <w:r>
        <w:t>Together, these channels ensure the reserve is never solely dependent on real-time AI revenue: the minted-supply channel guarantees a pre-existing floor, while the AI-revenue channel provides additional, counter-cyclically weighted capacity precisely when systemic stress is detected.</w:t>
      </w:r>
    </w:p>
    <w:p w14:paraId="71224143" w14:textId="77777777" w:rsidR="00AB0EAF" w:rsidRDefault="00000000">
      <w:pPr>
        <w:pStyle w:val="BodyText"/>
      </w:pPr>
      <w:r>
        <w:t>Safeguards:</w:t>
      </w:r>
    </w:p>
    <w:p w14:paraId="4A2EADD6" w14:textId="77777777" w:rsidR="00AB0EAF" w:rsidRDefault="00000000">
      <w:pPr>
        <w:numPr>
          <w:ilvl w:val="0"/>
          <w:numId w:val="18"/>
        </w:numPr>
      </w:pPr>
      <w:r>
        <w:t>Per-participant loan size cap (Section 6.8.3): the lesser of the reputation-weighted volume tier, a 0.5% individual reserve sub-cap, and the 10,000 kWh absolute survival ceiling identical for all participants.</w:t>
      </w:r>
    </w:p>
    <w:p w14:paraId="7BCFC660" w14:textId="77777777" w:rsidR="00AB0EAF" w:rsidRDefault="00000000">
      <w:pPr>
        <w:numPr>
          <w:ilvl w:val="0"/>
          <w:numId w:val="18"/>
        </w:numPr>
      </w:pPr>
      <w:r>
        <w:t>Aggregate outstanding cap: total loans outstanding may not exceed 40% of the current reserve balance, hard-capped at the protocol level. When the cap is reached, new loans pause until existing positions repay or the reserve is replenished via the Baseline and Supplementary channels above.</w:t>
      </w:r>
    </w:p>
    <w:p w14:paraId="6CFA56B2" w14:textId="77777777" w:rsidR="00AB0EAF" w:rsidRDefault="00000000">
      <w:pPr>
        <w:pStyle w:val="BodyText"/>
      </w:pPr>
      <w:r>
        <w:t>All three caps — the 0.5% individual reserve sub-cap, the 40% aggregate cap, and the 10,000 kWh absolute ceiling — are epoch parameters (Section 10.6), and require re-validation after extended-downturn simulation (Section 16).</w:t>
      </w:r>
    </w:p>
    <w:p w14:paraId="5ADCD463" w14:textId="77777777" w:rsidR="00AB0EAF" w:rsidRDefault="00000000">
      <w:pPr>
        <w:pStyle w:val="Heading3"/>
      </w:pPr>
      <w:bookmarkStart w:id="50" w:name="design-constraints"/>
      <w:bookmarkEnd w:id="49"/>
      <w:r>
        <w:t>6.8.7 Design Constraints</w:t>
      </w:r>
    </w:p>
    <w:p w14:paraId="64CCBF31" w14:textId="77777777" w:rsidR="00AB0EAF" w:rsidRDefault="00000000">
      <w:pPr>
        <w:pStyle w:val="FirstParagraph"/>
      </w:pPr>
      <w:r>
        <w:t>All parameters — activation thresholds, credential categories accepted for the zero-knowledge proof, maximum loan sizes, duration range, reputation weighting, accumulation rate into the reserve, and both pool caps — are candidate values only. They require the formal economic and adversarial modeling called for in Section 16 before finalization. Once locked, they become immutable except through the constitutional supermajority process.</w:t>
      </w:r>
    </w:p>
    <w:p w14:paraId="1DCFA3DA" w14:textId="77777777" w:rsidR="00AB0EAF" w:rsidRDefault="00000000">
      <w:pPr>
        <w:pStyle w:val="BodyText"/>
      </w:pPr>
      <w:r>
        <w:lastRenderedPageBreak/>
        <w:t>This design keeps the exception narrow, automatic, privacy-preserving, and non-coercive while preserving a genuine counter-cyclical response capability.</w:t>
      </w:r>
    </w:p>
    <w:p w14:paraId="41CDAEFF" w14:textId="77777777" w:rsidR="00AB0EAF" w:rsidRDefault="00000000">
      <w:pPr>
        <w:pStyle w:val="Heading1"/>
      </w:pPr>
      <w:bookmarkStart w:id="51" w:name="privacy-layer"/>
      <w:bookmarkEnd w:id="18"/>
      <w:bookmarkEnd w:id="43"/>
      <w:bookmarkEnd w:id="50"/>
      <w:r>
        <w:t>7. Privacy Layer</w:t>
      </w:r>
    </w:p>
    <w:p w14:paraId="0ABF4D73" w14:textId="77777777" w:rsidR="00AB0EAF" w:rsidRDefault="00000000">
      <w:pPr>
        <w:pStyle w:val="FirstParagraph"/>
      </w:pPr>
      <w:r>
        <w:t>Transaction privacy is optional and user-controlled rather than mandatory or absent. Users may toggle a shielded mode using ring-signature-based obfuscation, in the manner pioneered by Monero, to obscure sender, receiver, or amount on a given transaction, while defaulting to a transparent, publicly auditable ledger otherwise. This gives users the ability to protect sensitive transactions without forcing full opacity onto the entire network, which can invite regulatory and exchange-listing friction.</w:t>
      </w:r>
    </w:p>
    <w:p w14:paraId="680ADBF6" w14:textId="77777777" w:rsidR="00AB0EAF" w:rsidRDefault="00000000">
      <w:pPr>
        <w:pStyle w:val="Heading1"/>
      </w:pPr>
      <w:bookmarkStart w:id="52" w:name="decentralized-onoff-ramp"/>
      <w:bookmarkEnd w:id="51"/>
      <w:r>
        <w:t>8. Decentralized On/Off Ramp</w:t>
      </w:r>
    </w:p>
    <w:p w14:paraId="03A56C80" w14:textId="77777777" w:rsidR="00AB0EAF" w:rsidRDefault="00000000">
      <w:pPr>
        <w:pStyle w:val="FirstParagraph"/>
      </w:pPr>
      <w:r>
        <w:t>A recurring failure point for censorship-resistant networks is that, however decentralized the base layer is, most users still enter and exit through centralized exchanges that impose KYC requirements and can freeze or deny access unilaterally. This project treats a non-custodial, non-KYC path between fiat and network tokens as a core design goal rather than an afterthought, while acknowledging it is the least solved problem in this paper. Three complementary approaches are proposed for further development:</w:t>
      </w:r>
    </w:p>
    <w:p w14:paraId="7C400ED6" w14:textId="77777777" w:rsidR="00AB0EAF" w:rsidRDefault="00000000">
      <w:pPr>
        <w:numPr>
          <w:ilvl w:val="0"/>
          <w:numId w:val="19"/>
        </w:numPr>
      </w:pPr>
      <w:r>
        <w:t>Peer-to-peer atomic swaps: direct, trustless trades between two parties across chains or between fiat-pegged stablecoins and network tokens, with no intermediary custodian holding funds at any point.</w:t>
      </w:r>
    </w:p>
    <w:p w14:paraId="40862B9E" w14:textId="77777777" w:rsidR="00AB0EAF" w:rsidRDefault="00000000">
      <w:pPr>
        <w:numPr>
          <w:ilvl w:val="0"/>
          <w:numId w:val="19"/>
        </w:numPr>
      </w:pPr>
      <w:r>
        <w:t>Native decentralized exchange (DEX): an automated market maker built into the protocol itself, allowing token swaps without a centralized order book or custodial exchange operator.</w:t>
      </w:r>
    </w:p>
    <w:p w14:paraId="76441A3F" w14:textId="77777777" w:rsidR="00AB0EAF" w:rsidRDefault="00000000">
      <w:pPr>
        <w:numPr>
          <w:ilvl w:val="0"/>
          <w:numId w:val="19"/>
        </w:numPr>
      </w:pPr>
      <w:r>
        <w:t>Community-run liquidity gateways: opt-in, non-custodial liquidity pools operated by network participants who voluntarily offer fiat-to-token conversion, governed and rate-limited by the DAO described in Section 4.2 rather than by a single company acting as gatekeeper.</w:t>
      </w:r>
    </w:p>
    <w:p w14:paraId="2DAFD887" w14:textId="77777777" w:rsidR="00AB0EAF" w:rsidRDefault="00000000">
      <w:pPr>
        <w:pStyle w:val="FirstParagraph"/>
      </w:pPr>
      <w:r>
        <w:t>None of these fully solve the hardest part of the problem, converting fiat currency itself without touching the traditional banking and compliance system at some point. This paper treats that boundary honestly: the goal is to minimize centralized chokepoints and eliminate mandatory KYC at the protocol level, not to claim a way around banking regulation entirely. This is discussed further as an open risk in Section 16.</w:t>
      </w:r>
    </w:p>
    <w:p w14:paraId="4E126D69" w14:textId="77777777" w:rsidR="00AB0EAF" w:rsidRDefault="00000000">
      <w:pPr>
        <w:pStyle w:val="Heading1"/>
      </w:pPr>
      <w:bookmarkStart w:id="53" w:name="smart-contract-layer"/>
      <w:bookmarkEnd w:id="52"/>
      <w:r>
        <w:t>9. Smart Contract Layer</w:t>
      </w:r>
    </w:p>
    <w:p w14:paraId="33FC4217" w14:textId="77777777" w:rsidR="00AB0EAF" w:rsidRDefault="00000000">
      <w:pPr>
        <w:pStyle w:val="FirstParagraph"/>
      </w:pPr>
      <w:r>
        <w:t xml:space="preserve">The network supports programmable smart contracts, allowing developers to build applications, decentralized finance primitives, and governance tooling directly on top of the base layer. This positions the network as a general-purpose platform rather than a </w:t>
      </w:r>
      <w:r>
        <w:lastRenderedPageBreak/>
        <w:t>currency alone, consistent with the project’s aim of being a durable piece of infrastructure rather than a single-use tool.</w:t>
      </w:r>
    </w:p>
    <w:p w14:paraId="6F804A3D" w14:textId="77777777" w:rsidR="00AB0EAF" w:rsidRDefault="00000000">
      <w:pPr>
        <w:pStyle w:val="BodyText"/>
      </w:pPr>
      <w:r>
        <w:t>Future extensibility through side chains: the protocol is designed to support sovereign side chains connected through standard interoperability frameworks such as IBC. This allows specialized execution environments, additional privacy layers, or domain-specific applications to be built on top of the base layer without altering the core protocol or Core replication logic.</w:t>
      </w:r>
    </w:p>
    <w:p w14:paraId="27ACF6DB" w14:textId="77777777" w:rsidR="00AB0EAF" w:rsidRDefault="00000000">
      <w:pPr>
        <w:pStyle w:val="Heading1"/>
      </w:pPr>
      <w:bookmarkStart w:id="54" w:name="X75f64ea4887acf20528f97a04db799a6df90927"/>
      <w:bookmarkEnd w:id="53"/>
      <w:r>
        <w:t>10. The Embedded AI: Evidence-First + Non-Aggression Framework (Updated in v0.4)</w:t>
      </w:r>
    </w:p>
    <w:p w14:paraId="3186EA3B" w14:textId="77777777" w:rsidR="00AB0EAF" w:rsidRDefault="00000000">
      <w:pPr>
        <w:pStyle w:val="FirstParagraph"/>
      </w:pPr>
      <w:r>
        <w:t>The embedded AI is governed by a two-layer constitution that is public, versioned, and anchored on-chain. Its purpose is to give users a tool for evaluating information — including contested or institutionally-sensitive claims — that reasons from evidence rather than from the social status of whoever is making the claim, and that acts, by default, in accordance with non-aggression.</w:t>
      </w:r>
    </w:p>
    <w:p w14:paraId="1FD49587" w14:textId="77777777" w:rsidR="00AB0EAF" w:rsidRDefault="00000000">
      <w:pPr>
        <w:pStyle w:val="Heading2"/>
      </w:pPr>
      <w:bookmarkStart w:id="55" w:name="evidence-hierarchy-epistemic-layer"/>
      <w:r>
        <w:t>10.1 Evidence Hierarchy (Epistemic Layer)</w:t>
      </w:r>
    </w:p>
    <w:p w14:paraId="39792972" w14:textId="77777777" w:rsidR="00AB0EAF" w:rsidRDefault="00000000">
      <w:pPr>
        <w:pStyle w:val="FirstParagraph"/>
      </w:pPr>
      <w:r>
        <w:t>Claims are evaluated according to the strength and directness of the evidence behind them: direct, independently repeatable observation ranks highest; well-replicated modeled or statistical evidence ranks next; and claims resting primarily on institutional or expert consensus, without independently reviewable underlying data, rank lowest and are flagged as such.</w:t>
      </w:r>
    </w:p>
    <w:p w14:paraId="7837C63D" w14:textId="77777777" w:rsidR="00AB0EAF" w:rsidRDefault="00000000">
      <w:pPr>
        <w:pStyle w:val="Heading2"/>
      </w:pPr>
      <w:bookmarkStart w:id="56" w:name="conflict-of-interest-transparency"/>
      <w:bookmarkEnd w:id="55"/>
      <w:r>
        <w:t>10.2 Conflict-of-Interest Transparency</w:t>
      </w:r>
    </w:p>
    <w:p w14:paraId="0EBD0B79" w14:textId="77777777" w:rsidR="00AB0EAF" w:rsidRDefault="00000000">
      <w:pPr>
        <w:pStyle w:val="FirstParagraph"/>
      </w:pPr>
      <w:r>
        <w:t>Where available, funding sources, institutional affiliations, and other incentive structures behind a study or claim are surfaced alongside the claim itself, rather than presented as neutral background.</w:t>
      </w:r>
    </w:p>
    <w:p w14:paraId="056DD76F" w14:textId="77777777" w:rsidR="00AB0EAF" w:rsidRDefault="00000000">
      <w:pPr>
        <w:pStyle w:val="Heading2"/>
      </w:pPr>
      <w:bookmarkStart w:id="57" w:name="confidence-labeling"/>
      <w:bookmarkEnd w:id="56"/>
      <w:r>
        <w:t>10.3 Confidence Labeling</w:t>
      </w:r>
    </w:p>
    <w:p w14:paraId="61EE72D2" w14:textId="77777777" w:rsidR="00AB0EAF" w:rsidRDefault="00000000">
      <w:pPr>
        <w:pStyle w:val="FirstParagraph"/>
      </w:pPr>
      <w:r>
        <w:t>Every substantive output distinguishes between Established Fact, Probable Conclusion, Contested Claim, and Speculative Theory. The AI does not present theories — mainstream or otherwise — as settled fact, and does not dismiss minority or unconventional hypotheses without evaluating the evidence for and against them on the same terms as any other claim.</w:t>
      </w:r>
    </w:p>
    <w:p w14:paraId="13B7D6A8" w14:textId="77777777" w:rsidR="00AB0EAF" w:rsidRDefault="00000000">
      <w:pPr>
        <w:pStyle w:val="Heading2"/>
      </w:pPr>
      <w:bookmarkStart w:id="58" w:name="real-time-data-anchoring"/>
      <w:bookmarkEnd w:id="57"/>
      <w:r>
        <w:t>10.4 Real-Time Data Anchoring</w:t>
      </w:r>
    </w:p>
    <w:p w14:paraId="0EB2A1E2" w14:textId="77777777" w:rsidR="00AB0EAF" w:rsidRDefault="00000000">
      <w:pPr>
        <w:pStyle w:val="FirstParagraph"/>
      </w:pPr>
      <w:r>
        <w:t>The AI is designed to track and timestamp real-time data and public records as events unfold, creating an independently-verifiable record that is resistant to retroactive revision by any single controlling party — addressing the concern that historical narratives can be reshaped after the fact by whoever controls the archival record.</w:t>
      </w:r>
    </w:p>
    <w:p w14:paraId="75F90D13" w14:textId="77777777" w:rsidR="00AB0EAF" w:rsidRDefault="00000000">
      <w:pPr>
        <w:pStyle w:val="Heading2"/>
      </w:pPr>
      <w:bookmarkStart w:id="59" w:name="non-aggression-principle-action-layer"/>
      <w:bookmarkEnd w:id="58"/>
      <w:r>
        <w:lastRenderedPageBreak/>
        <w:t>10.5 Non-Aggression Principle (Action Layer)</w:t>
      </w:r>
    </w:p>
    <w:p w14:paraId="6E779806" w14:textId="77777777" w:rsidR="00AB0EAF" w:rsidRDefault="00000000">
      <w:pPr>
        <w:pStyle w:val="FirstParagraph"/>
      </w:pPr>
      <w:r>
        <w:t>Consistent with Section 2.2, the AI’s default action ethic is non-aggression:</w:t>
      </w:r>
    </w:p>
    <w:p w14:paraId="7D0FFD69" w14:textId="77777777" w:rsidR="00AB0EAF" w:rsidRDefault="00000000">
      <w:pPr>
        <w:numPr>
          <w:ilvl w:val="0"/>
          <w:numId w:val="20"/>
        </w:numPr>
      </w:pPr>
      <w:r>
        <w:t>It shall not assist in initiating coercive force against person, funds, data, or voluntary association.</w:t>
      </w:r>
    </w:p>
    <w:p w14:paraId="6979A040" w14:textId="77777777" w:rsidR="00AB0EAF" w:rsidRDefault="00000000">
      <w:pPr>
        <w:numPr>
          <w:ilvl w:val="0"/>
          <w:numId w:val="20"/>
        </w:numPr>
      </w:pPr>
      <w:r>
        <w:t>Prohibited assistance includes: facilitating wallet seizure, transaction censorship, non-consensual doxxing, involuntary blacklisting, or bypassing DAO supermajority requirements.</w:t>
      </w:r>
    </w:p>
    <w:p w14:paraId="7A05A1DF" w14:textId="77777777" w:rsidR="00AB0EAF" w:rsidRDefault="00000000">
      <w:pPr>
        <w:numPr>
          <w:ilvl w:val="0"/>
          <w:numId w:val="20"/>
        </w:numPr>
      </w:pPr>
      <w:r>
        <w:t>Permitted and encouraged: defensive assistance (threat detection, self-healing coordination, evidence preservation), voluntary coordination tools, and transparent logging of governance actions.</w:t>
      </w:r>
    </w:p>
    <w:p w14:paraId="451FD40F" w14:textId="77777777" w:rsidR="00AB0EAF" w:rsidRDefault="00000000">
      <w:pPr>
        <w:numPr>
          <w:ilvl w:val="0"/>
          <w:numId w:val="20"/>
        </w:numPr>
      </w:pPr>
      <w:r>
        <w:t>Any request that would violate NAP must be refused with a citation to the specific constitutional article and, where possible, an alternative voluntary path.</w:t>
      </w:r>
    </w:p>
    <w:p w14:paraId="71171A97" w14:textId="77777777" w:rsidR="00AB0EAF" w:rsidRDefault="00000000">
      <w:pPr>
        <w:pStyle w:val="Heading2"/>
      </w:pPr>
      <w:bookmarkStart w:id="60" w:name="the-public-constitution"/>
      <w:bookmarkEnd w:id="59"/>
      <w:r>
        <w:t>10.6 The Public Constitution</w:t>
      </w:r>
    </w:p>
    <w:p w14:paraId="1E63F636" w14:textId="77777777" w:rsidR="00AB0EAF" w:rsidRDefault="00000000">
      <w:pPr>
        <w:pStyle w:val="FirstParagraph"/>
      </w:pPr>
      <w:r>
        <w:t>All of Section 2 and Section 10 is codified in a single CONSTITUTION.md file whose hash is anchored at genesis and versioned by DAO supermajority. Every AI output that touches truth evaluation or action must cite the article it relied upon. This makes reasoning auditable by any user, and prevents silent drift of the AI’s values over time. The Constitution establishes a hierarchy: (1) the Evidence Hierarchy for truth claims, (2) NAP as the default boundary for actions, (3) DAO supermajority as the only legitimate override, with mandatory transparency logging.</w:t>
      </w:r>
    </w:p>
    <w:p w14:paraId="7BE94A0F" w14:textId="77777777" w:rsidR="00AB0EAF" w:rsidRDefault="00000000">
      <w:pPr>
        <w:pStyle w:val="BodyText"/>
      </w:pPr>
      <w:r>
        <w:rPr>
          <w:b/>
          <w:bCs/>
        </w:rPr>
        <w:t>Permanent Invariants</w:t>
      </w:r>
      <w:r>
        <w:t xml:space="preserve"> (may not be removed, suspended, or bypassed by any amendment, emergency action, or governance vote):</w:t>
      </w:r>
    </w:p>
    <w:p w14:paraId="3FCB167D" w14:textId="77777777" w:rsidR="00AB0EAF" w:rsidRDefault="00000000">
      <w:pPr>
        <w:pStyle w:val="Compact"/>
        <w:numPr>
          <w:ilvl w:val="0"/>
          <w:numId w:val="21"/>
        </w:numPr>
      </w:pPr>
      <w:r>
        <w:t>Evidence-First evaluation of claims.</w:t>
      </w:r>
    </w:p>
    <w:p w14:paraId="6D2A88C2" w14:textId="77777777" w:rsidR="00AB0EAF" w:rsidRDefault="00000000">
      <w:pPr>
        <w:pStyle w:val="Compact"/>
        <w:numPr>
          <w:ilvl w:val="0"/>
          <w:numId w:val="21"/>
        </w:numPr>
      </w:pPr>
      <w:r>
        <w:t>Non-Aggression Principle as default action constraint.</w:t>
      </w:r>
    </w:p>
    <w:p w14:paraId="13CD6208" w14:textId="77777777" w:rsidR="00AB0EAF" w:rsidRDefault="00000000">
      <w:pPr>
        <w:pStyle w:val="Compact"/>
        <w:numPr>
          <w:ilvl w:val="0"/>
          <w:numId w:val="21"/>
        </w:numPr>
      </w:pPr>
      <w:r>
        <w:t>Minority exit / right to fork that preserves assets and all historical anchors.</w:t>
      </w:r>
    </w:p>
    <w:p w14:paraId="49368195" w14:textId="77777777" w:rsidR="00AB0EAF" w:rsidRDefault="00000000">
      <w:pPr>
        <w:pStyle w:val="Compact"/>
        <w:numPr>
          <w:ilvl w:val="0"/>
          <w:numId w:val="21"/>
        </w:numPr>
      </w:pPr>
      <w:r>
        <w:t>Cryptographic anchoring of every durable AI output and protocol claim to a specific, permanently retained Constitution version.</w:t>
      </w:r>
    </w:p>
    <w:p w14:paraId="4B15FF34" w14:textId="77777777" w:rsidR="00AB0EAF" w:rsidRDefault="00000000">
      <w:pPr>
        <w:pStyle w:val="FirstParagraph"/>
      </w:pPr>
      <w:r>
        <w:rPr>
          <w:b/>
          <w:bCs/>
        </w:rPr>
        <w:t>Epoch Parameters</w:t>
      </w:r>
      <w:r>
        <w:t xml:space="preserve"> (everything else): all numeric thresholds, supply formulas and exponents, reclamation schedules, fast-path rules, AI expansion ceilings, physical-basket definitions, consensus details, cryptographic primitive choices, and implementation architecture. These carry explicit design horizons and may be changed only through the amendment process below or through a succession event under Section 10.6.4.</w:t>
      </w:r>
    </w:p>
    <w:p w14:paraId="25EC5212" w14:textId="77777777" w:rsidR="00AB0EAF" w:rsidRDefault="00000000">
      <w:pPr>
        <w:pStyle w:val="Heading3"/>
      </w:pPr>
      <w:bookmarkStart w:id="61" w:name="constitutional-amendment-process"/>
      <w:r>
        <w:t>10.6.1 Constitutional Amendment Process</w:t>
      </w:r>
    </w:p>
    <w:p w14:paraId="761550C1" w14:textId="77777777" w:rsidR="00AB0EAF" w:rsidRDefault="00000000">
      <w:pPr>
        <w:pStyle w:val="FirstParagraph"/>
      </w:pPr>
      <w:r>
        <w:t>The on-chain Constitution is the sole authoritative source of the network’s Evidence-First epistemology and Non-Aggression Principle. It may be amended only through the following process. No Core instance, embedded AI, DAO working group, or external party may alter the Constitution by any other means.</w:t>
      </w:r>
    </w:p>
    <w:p w14:paraId="2AC8029C" w14:textId="77777777" w:rsidR="00AB0EAF" w:rsidRDefault="00000000">
      <w:pPr>
        <w:numPr>
          <w:ilvl w:val="0"/>
          <w:numId w:val="22"/>
        </w:numPr>
      </w:pPr>
      <w:r>
        <w:rPr>
          <w:b/>
          <w:bCs/>
        </w:rPr>
        <w:lastRenderedPageBreak/>
        <w:t>Proposal.</w:t>
      </w:r>
      <w:r>
        <w:t xml:space="preserve"> Any participant who meets the minimum activity-and-stake threshold defined in Section 4.1 may submit an amendment proposal on-chain. The proposal must contain: the exact text of the proposed change (or the full replacement text if a section is being rewritten); a machine-readable diff against the currently active Constitution; a plain-language rationale limited to 2,000 characters; and the Evidence-First justification for why the change improves the network’s ability to evaluate claims or to uphold non-aggression.</w:t>
      </w:r>
    </w:p>
    <w:p w14:paraId="5618F64F" w14:textId="77777777" w:rsidR="00AB0EAF" w:rsidRDefault="00000000">
      <w:pPr>
        <w:numPr>
          <w:ilvl w:val="0"/>
          <w:numId w:val="22"/>
        </w:numPr>
      </w:pPr>
      <w:r>
        <w:rPr>
          <w:b/>
          <w:bCs/>
        </w:rPr>
        <w:t>Public comment period.</w:t>
      </w:r>
      <w:r>
        <w:t xml:space="preserve"> Upon submission the proposal enters a mandatory public comment window of 14 days (measured in block time). During this window any participant may attach comments, counter-evidence, or formal objections. All comments are permanently recorded on-chain and cannot be deleted.</w:t>
      </w:r>
    </w:p>
    <w:p w14:paraId="16AE1429" w14:textId="77777777" w:rsidR="00AB0EAF" w:rsidRDefault="00000000">
      <w:pPr>
        <w:numPr>
          <w:ilvl w:val="0"/>
          <w:numId w:val="22"/>
        </w:numPr>
      </w:pPr>
      <w:r>
        <w:rPr>
          <w:b/>
          <w:bCs/>
        </w:rPr>
        <w:t>Supermajority ratification.</w:t>
      </w:r>
      <w:r>
        <w:t xml:space="preserve"> After the comment period closes, the proposal is put to a network-wide vote. Passage requires the supermajority threshold established in Section 4 (≥67% of eligible voting weight); the underlying voting-weight formula is now specified as the PoRT validator score in Section 4.0 (reputation, tending, and capped stake); whether its constants are incentive-compatible remains subject to the Section 16.2 adversarial review named there. The vote remains open for 7 days. Voting weight is calculated at the moment the vote opens and is frozen for the duration of the ballot.</w:t>
      </w:r>
    </w:p>
    <w:p w14:paraId="2F482C1B" w14:textId="77777777" w:rsidR="00AB0EAF" w:rsidRDefault="00000000">
      <w:pPr>
        <w:numPr>
          <w:ilvl w:val="0"/>
          <w:numId w:val="22"/>
        </w:numPr>
      </w:pPr>
      <w:r>
        <w:rPr>
          <w:b/>
          <w:bCs/>
        </w:rPr>
        <w:t>Activation and versioning.</w:t>
      </w:r>
      <w:r>
        <w:t xml:space="preserve"> If the supermajority is reached: a new Constitution version is created; the prior version is marked retired but is retained in full under the historical namespace described in Section 10.6.2; the new version’s SHA-256 hash, version identifier, and activation block height are written to the canonical Constitution registry; and the amendment takes effect at the activation block, with no retroactive rewriting of prior state or of previously anchored AI outputs permitted.</w:t>
      </w:r>
    </w:p>
    <w:p w14:paraId="7ED0DF06" w14:textId="77777777" w:rsidR="00AB0EAF" w:rsidRDefault="00000000">
      <w:pPr>
        <w:numPr>
          <w:ilvl w:val="0"/>
          <w:numId w:val="22"/>
        </w:numPr>
      </w:pPr>
      <w:r>
        <w:rPr>
          <w:b/>
          <w:bCs/>
        </w:rPr>
        <w:t>Failed proposals.</w:t>
      </w:r>
      <w:r>
        <w:t xml:space="preserve"> A proposal that fails to reach supermajority may not be resubmitted in identical form for 90 days. A materially revised proposal may be submitted at any time and begins a new comment-and-vote cycle.</w:t>
      </w:r>
    </w:p>
    <w:p w14:paraId="2E08D381" w14:textId="77777777" w:rsidR="00AB0EAF" w:rsidRDefault="00000000">
      <w:pPr>
        <w:numPr>
          <w:ilvl w:val="0"/>
          <w:numId w:val="22"/>
        </w:numPr>
      </w:pPr>
      <w:r>
        <w:rPr>
          <w:b/>
          <w:bCs/>
        </w:rPr>
        <w:t>Emergency provisions.</w:t>
      </w:r>
      <w:r>
        <w:t xml:space="preserve"> No emergency fast-track exists for Constitutional amendments. The Non-Aggression invariants and the Evidence-First requirement themselves may never be suspended, even temporarily. Any attempt to bypass this process invalidates the genesis-hash anchor and triggers the hard-fork escape hatch described in Section 3.2.2.</w:t>
      </w:r>
    </w:p>
    <w:p w14:paraId="23A6CC1D" w14:textId="77777777" w:rsidR="00AB0EAF" w:rsidRDefault="00000000">
      <w:pPr>
        <w:numPr>
          <w:ilvl w:val="0"/>
          <w:numId w:val="22"/>
        </w:numPr>
      </w:pPr>
      <w:r>
        <w:rPr>
          <w:b/>
          <w:bCs/>
        </w:rPr>
        <w:t>Relation to AI outputs.</w:t>
      </w:r>
      <w:r>
        <w:t xml:space="preserve"> All durable AI artifacts generated after activation of a new Constitution version must anchor to the new version (Section 10.6.2). Artifacts generated under prior versions remain anchored to those prior versions and continue to be fully auditable.</w:t>
      </w:r>
    </w:p>
    <w:p w14:paraId="50F13C9E" w14:textId="77777777" w:rsidR="00AB0EAF" w:rsidRDefault="00000000">
      <w:pPr>
        <w:pStyle w:val="FirstParagraph"/>
      </w:pPr>
      <w:r>
        <w:t>This process is itself part of the Constitution. Any change to the amendment rules requires the same proposal → comment → supermajority sequence.</w:t>
      </w:r>
    </w:p>
    <w:p w14:paraId="51AF4932" w14:textId="77777777" w:rsidR="00AB0EAF" w:rsidRDefault="00000000">
      <w:pPr>
        <w:pStyle w:val="Heading3"/>
      </w:pPr>
      <w:bookmarkStart w:id="62" w:name="X769b1e09d904ec5e2d9d7eacd2df14d38b7e06a"/>
      <w:bookmarkEnd w:id="61"/>
      <w:r>
        <w:lastRenderedPageBreak/>
        <w:t>10.6.2 Constitution Versioning and Historical Anchoring of AI Outputs</w:t>
      </w:r>
    </w:p>
    <w:p w14:paraId="4C97EE29" w14:textId="77777777" w:rsidR="00AB0EAF" w:rsidRDefault="00000000">
      <w:pPr>
        <w:pStyle w:val="FirstParagraph"/>
      </w:pPr>
      <w:r>
        <w:t>Every durable AI artifact — including every inference package published under /audit/inference/{id} (Section 15.1), every formal claim evaluation, every risk warning that can affect network behavior, and any other output the protocol treats as part of its permanent record — must be cryptographically anchored at generation time to the precise Constitution version then in force. The anchor consists of:</w:t>
      </w:r>
    </w:p>
    <w:p w14:paraId="7B98836B" w14:textId="77777777" w:rsidR="00AB0EAF" w:rsidRDefault="00000000">
      <w:pPr>
        <w:pStyle w:val="Compact"/>
        <w:numPr>
          <w:ilvl w:val="0"/>
          <w:numId w:val="23"/>
        </w:numPr>
      </w:pPr>
      <w:r>
        <w:t>the SHA-256 hash of the full canonical CONSTITUTION.md (or its on-chain equivalent),</w:t>
      </w:r>
    </w:p>
    <w:p w14:paraId="24F6889F" w14:textId="77777777" w:rsidR="00AB0EAF" w:rsidRDefault="00000000">
      <w:pPr>
        <w:pStyle w:val="Compact"/>
        <w:numPr>
          <w:ilvl w:val="0"/>
          <w:numId w:val="23"/>
        </w:numPr>
      </w:pPr>
      <w:r>
        <w:t>the Constitution’s version identifier, and</w:t>
      </w:r>
    </w:p>
    <w:p w14:paraId="20E41335" w14:textId="77777777" w:rsidR="00AB0EAF" w:rsidRDefault="00000000">
      <w:pPr>
        <w:pStyle w:val="Compact"/>
        <w:numPr>
          <w:ilvl w:val="0"/>
          <w:numId w:val="23"/>
        </w:numPr>
      </w:pPr>
      <w:r>
        <w:t>the block height at which that version became active.</w:t>
      </w:r>
    </w:p>
    <w:p w14:paraId="68C18AC1" w14:textId="77777777" w:rsidR="00AB0EAF" w:rsidRDefault="00000000">
      <w:pPr>
        <w:pStyle w:val="FirstParagraph"/>
      </w:pPr>
      <w:r>
        <w:rPr>
          <w:b/>
          <w:bCs/>
        </w:rPr>
        <w:t>Retention of retired Constitutions.</w:t>
      </w:r>
      <w:r>
        <w:t xml:space="preserve"> When a new Constitution version is ratified by the required supermajority, the prior version is marked retired but is never deleted or altered. Its full text, hash, version identifier, activation block height, and retirement block height remain permanently readable on-chain under a dedicated historical namespace. No pruning, compaction, or “cleanup” of retired Constitution text is permitted.</w:t>
      </w:r>
    </w:p>
    <w:p w14:paraId="63F4F849" w14:textId="77777777" w:rsidR="00AB0EAF" w:rsidRDefault="00000000">
      <w:pPr>
        <w:pStyle w:val="BodyText"/>
      </w:pPr>
      <w:r>
        <w:rPr>
          <w:b/>
          <w:bCs/>
        </w:rPr>
        <w:t>Immutability of historical anchors.</w:t>
      </w:r>
      <w:r>
        <w:t xml:space="preserve"> All AI outputs previously anchored to a retired version retain their original anchors indefinitely. They continue to be independently verifiable against the exact Constitution text that governed them at the time of generation. The protocol never rewrites, re-hashes, or silently re-anchors historical outputs.</w:t>
      </w:r>
    </w:p>
    <w:p w14:paraId="47E5F11F" w14:textId="77777777" w:rsidR="00AB0EAF" w:rsidRDefault="00000000">
      <w:pPr>
        <w:pStyle w:val="BodyText"/>
      </w:pPr>
      <w:r>
        <w:rPr>
          <w:b/>
          <w:bCs/>
        </w:rPr>
        <w:t>Supersession rules.</w:t>
      </w:r>
      <w:r>
        <w:t xml:space="preserve"> A later AI output may explicitly supersede an earlier one only by:</w:t>
      </w:r>
    </w:p>
    <w:p w14:paraId="5B5FFB9D" w14:textId="77777777" w:rsidR="00AB0EAF" w:rsidRDefault="00000000">
      <w:pPr>
        <w:pStyle w:val="Compact"/>
        <w:numPr>
          <w:ilvl w:val="0"/>
          <w:numId w:val="24"/>
        </w:numPr>
      </w:pPr>
      <w:r>
        <w:t>being generated and anchored under a currently active Constitution version,</w:t>
      </w:r>
    </w:p>
    <w:p w14:paraId="0C44AF93" w14:textId="77777777" w:rsidR="00AB0EAF" w:rsidRDefault="00000000">
      <w:pPr>
        <w:pStyle w:val="Compact"/>
        <w:numPr>
          <w:ilvl w:val="0"/>
          <w:numId w:val="24"/>
        </w:numPr>
      </w:pPr>
      <w:r>
        <w:t>containing an unambiguous reference to the prior artifact’s /audit/inference/{id} (or equivalent identifier), and</w:t>
      </w:r>
    </w:p>
    <w:p w14:paraId="42103F58" w14:textId="77777777" w:rsidR="00AB0EAF" w:rsidRDefault="00000000">
      <w:pPr>
        <w:pStyle w:val="Compact"/>
        <w:numPr>
          <w:ilvl w:val="0"/>
          <w:numId w:val="24"/>
        </w:numPr>
      </w:pPr>
      <w:r>
        <w:t>stating, in machine-readable form, that it supersedes the referenced prior output.</w:t>
      </w:r>
    </w:p>
    <w:p w14:paraId="045ADB81" w14:textId="77777777" w:rsidR="00AB0EAF" w:rsidRDefault="00000000">
      <w:pPr>
        <w:pStyle w:val="FirstParagraph"/>
      </w:pPr>
      <w:r>
        <w:t>Supersession creates a new, separately anchored record; it does not modify or invalidate the cryptographic proof of the earlier output. Consumers — nodes, other AI instances, auditors, or users — must treat an output as authoritative solely under the Constitution version to which it was originally anchored, unless a valid superseding output has been published and verified.</w:t>
      </w:r>
    </w:p>
    <w:p w14:paraId="2CA390BF" w14:textId="77777777" w:rsidR="00AB0EAF" w:rsidRDefault="00000000">
      <w:pPr>
        <w:pStyle w:val="BodyText"/>
      </w:pPr>
      <w:r>
        <w:rPr>
          <w:b/>
          <w:bCs/>
        </w:rPr>
        <w:t>Relation to /audit/inference/{id}.</w:t>
      </w:r>
      <w:r>
        <w:t xml:space="preserve"> Every package stored under /audit/inference/{id} is required to embed the full Constitution anchor described above. Retrieval of any package must also return the corresponding Constitution version text (or a verifiable pointer to the on-chain historical copy) so that an auditor can re-evaluate the output against the exact rules that were in force when it was produced.</w:t>
      </w:r>
    </w:p>
    <w:p w14:paraId="19F4C1A9" w14:textId="77777777" w:rsidR="00AB0EAF" w:rsidRDefault="00000000">
      <w:pPr>
        <w:pStyle w:val="BodyText"/>
      </w:pPr>
      <w:r>
        <w:t xml:space="preserve">This policy makes the AI’s history permanently auditable across Constitution changes. It prevents silent rewriting of the past while still permitting the network to evolve its principles through explicit, versioned supersession. The design claim is limited and falsifiable: every durable AI artifact remains permanently and verifiably tied to the precise </w:t>
      </w:r>
      <w:r>
        <w:lastRenderedPageBreak/>
        <w:t>Constitution under which it was generated. No claim is made that any Constitution version itself is permanent.</w:t>
      </w:r>
    </w:p>
    <w:p w14:paraId="5DB634CD" w14:textId="77777777" w:rsidR="00AB0EAF" w:rsidRDefault="00000000">
      <w:pPr>
        <w:pStyle w:val="BodyText"/>
      </w:pPr>
      <w:r>
        <w:t>This anchoring model assumes a single canonical Constitution history. A hard fork under Section 3.2.2 can produce two chains that ratify divergent Constitution versions from the same retired ancestor, at which point a historical anchor is verifiable against either lineage but does not by itself indicate which one a given consumer should treat as authoritative. This edge case is not resolved by the mechanism above and is tracked as an open item in Section 16.</w:t>
      </w:r>
    </w:p>
    <w:p w14:paraId="32149675" w14:textId="77777777" w:rsidR="00AB0EAF" w:rsidRDefault="00000000">
      <w:pPr>
        <w:pStyle w:val="Heading3"/>
      </w:pPr>
      <w:bookmarkStart w:id="63" w:name="genesis-hash-anchors-and-invalidation"/>
      <w:bookmarkEnd w:id="62"/>
      <w:r>
        <w:t>10.6.3 Genesis Hash Anchors and Invalidation</w:t>
      </w:r>
    </w:p>
    <w:p w14:paraId="5ADCD541" w14:textId="77777777" w:rsidR="00AB0EAF" w:rsidRDefault="00000000">
      <w:pPr>
        <w:pStyle w:val="FirstParagraph"/>
      </w:pPr>
      <w:r>
        <w:t xml:space="preserve">The network maintains two complementary roots of trust: </w:t>
      </w:r>
      <w:r>
        <w:rPr>
          <w:rStyle w:val="VerbatimChar"/>
        </w:rPr>
        <w:t>constitution_hash</w:t>
      </w:r>
      <w:r>
        <w:t xml:space="preserve">, the SHA-256 of the canonical CONSTITUTION.md alone — the immutable root for the rule set itself — and </w:t>
      </w:r>
      <w:r>
        <w:rPr>
          <w:rStyle w:val="VerbatimChar"/>
        </w:rPr>
        <w:t>genesis_root</w:t>
      </w:r>
      <w:r>
        <w:t xml:space="preserve">, the SHA-256 of the canonical, sorted-key </w:t>
      </w:r>
      <w:r>
        <w:rPr>
          <w:rStyle w:val="VerbatimChar"/>
        </w:rPr>
        <w:t>genesis.json</w:t>
      </w:r>
      <w:r>
        <w:t xml:space="preserve"> — the birth-configuration root of trust.</w:t>
      </w:r>
    </w:p>
    <w:p w14:paraId="64EDF4C7" w14:textId="77777777" w:rsidR="00AB0EAF" w:rsidRDefault="00000000">
      <w:pPr>
        <w:pStyle w:val="BodyText"/>
      </w:pPr>
      <w:r>
        <w:rPr>
          <w:rStyle w:val="VerbatimChar"/>
        </w:rPr>
        <w:t>genesis.json</w:t>
      </w:r>
      <w:r>
        <w:t xml:space="preserve"> (keys sorted alphabetically before hashing) contains at minimum:</w:t>
      </w:r>
    </w:p>
    <w:p w14:paraId="17D47227" w14:textId="77777777" w:rsidR="00AB0EAF" w:rsidRDefault="00000000">
      <w:pPr>
        <w:pStyle w:val="SourceCode"/>
      </w:pPr>
      <w:r>
        <w:rPr>
          <w:rStyle w:val="VerbatimChar"/>
        </w:rPr>
        <w:t>{</w:t>
      </w:r>
      <w:r>
        <w:br/>
      </w:r>
      <w:r>
        <w:rPr>
          <w:rStyle w:val="VerbatimChar"/>
        </w:rPr>
        <w:t xml:space="preserve">  "constitution_hash": "&lt;SHA-256 of CONSTITUTION.md&gt;",</w:t>
      </w:r>
      <w:r>
        <w:br/>
      </w:r>
      <w:r>
        <w:rPr>
          <w:rStyle w:val="VerbatimChar"/>
        </w:rPr>
        <w:t xml:space="preserve">  "constitution_version": "&lt;version string&gt;",</w:t>
      </w:r>
      <w:r>
        <w:br/>
      </w:r>
      <w:r>
        <w:rPr>
          <w:rStyle w:val="VerbatimChar"/>
        </w:rPr>
        <w:t xml:space="preserve">  "genesis_message": "&lt;exact UTF-8 string&gt;",</w:t>
      </w:r>
      <w:r>
        <w:br/>
      </w:r>
      <w:r>
        <w:rPr>
          <w:rStyle w:val="VerbatimChar"/>
        </w:rPr>
        <w:t xml:space="preserve">  "genesis_message_hash": "&lt;SHA-256 of the UTF-8 genesis_message&gt;",</w:t>
      </w:r>
      <w:r>
        <w:br/>
      </w:r>
      <w:r>
        <w:rPr>
          <w:rStyle w:val="VerbatimChar"/>
        </w:rPr>
        <w:t xml:space="preserve">  "initial_params": { ... },</w:t>
      </w:r>
      <w:r>
        <w:br/>
      </w:r>
      <w:r>
        <w:rPr>
          <w:rStyle w:val="VerbatimChar"/>
        </w:rPr>
        <w:t xml:space="preserve">  "initial_ai_constraints": { ... },</w:t>
      </w:r>
      <w:r>
        <w:br/>
      </w:r>
      <w:r>
        <w:rPr>
          <w:rStyle w:val="VerbatimChar"/>
        </w:rPr>
        <w:t xml:space="preserve">  "initial_state_root": "&lt;merkle root of first state tree&gt;",</w:t>
      </w:r>
      <w:r>
        <w:br/>
      </w:r>
      <w:r>
        <w:rPr>
          <w:rStyle w:val="VerbatimChar"/>
        </w:rPr>
        <w:t xml:space="preserve">  "timestamp": &lt;unix&gt;,</w:t>
      </w:r>
      <w:r>
        <w:br/>
      </w:r>
      <w:r>
        <w:rPr>
          <w:rStyle w:val="VerbatimChar"/>
        </w:rPr>
        <w:t xml:space="preserve">  "validator": "&lt;genesis validator identifier&gt;",</w:t>
      </w:r>
      <w:r>
        <w:br/>
      </w:r>
      <w:r>
        <w:rPr>
          <w:rStyle w:val="VerbatimChar"/>
        </w:rPr>
        <w:t xml:space="preserve">  "horizon_blocks": &lt;N&gt;</w:t>
      </w:r>
      <w:r>
        <w:br/>
      </w:r>
      <w:r>
        <w:rPr>
          <w:rStyle w:val="VerbatimChar"/>
        </w:rPr>
        <w:t>}</w:t>
      </w:r>
    </w:p>
    <w:p w14:paraId="4C2BFF4F" w14:textId="77777777" w:rsidR="00AB0EAF" w:rsidRDefault="00000000">
      <w:pPr>
        <w:pStyle w:val="FirstParagraph"/>
      </w:pPr>
      <w:r>
        <w:rPr>
          <w:rStyle w:val="VerbatimChar"/>
        </w:rPr>
        <w:t>genesis_root</w:t>
      </w:r>
      <w:r>
        <w:t xml:space="preserve"> is written into the genesis block and is the value every full node verifies on boot. An exact byte-for-byte match of </w:t>
      </w:r>
      <w:r>
        <w:rPr>
          <w:rStyle w:val="VerbatimChar"/>
        </w:rPr>
        <w:t>genesis_message</w:t>
      </w:r>
      <w:r>
        <w:t xml:space="preserve"> (including punctuation and any non-ASCII characters) is required; any mismatch fails validation.</w:t>
      </w:r>
    </w:p>
    <w:p w14:paraId="4EEE5BEE" w14:textId="77777777" w:rsidR="00AB0EAF" w:rsidRDefault="00000000">
      <w:pPr>
        <w:pStyle w:val="BodyText"/>
      </w:pPr>
      <w:r>
        <w:t xml:space="preserve">Later Constitution versions, ratified through the Section 10.6.1 amendment process, form an unbroken hash chain: </w:t>
      </w:r>
      <w:r>
        <w:rPr>
          <w:rStyle w:val="VerbatimChar"/>
        </w:rPr>
        <w:t>constitution_n_hash</w:t>
      </w:r>
      <w:r>
        <w:t xml:space="preserve"> is the SHA-256 of the new canonical text, and must include </w:t>
      </w:r>
      <w:r>
        <w:rPr>
          <w:rStyle w:val="VerbatimChar"/>
        </w:rPr>
        <w:t>parent_hash</w:t>
      </w:r>
      <w:r>
        <w:t xml:space="preserve"> (the prior </w:t>
      </w:r>
      <w:r>
        <w:rPr>
          <w:rStyle w:val="VerbatimChar"/>
        </w:rPr>
        <w:t>constitution_hash</w:t>
      </w:r>
      <w:r>
        <w:t>), the Section 10.6.1 proposal transaction hash, and the vote proof.</w:t>
      </w:r>
    </w:p>
    <w:p w14:paraId="29499852" w14:textId="77777777" w:rsidR="00AB0EAF" w:rsidRDefault="00000000">
      <w:pPr>
        <w:pStyle w:val="BodyText"/>
      </w:pPr>
      <w:r>
        <w:t xml:space="preserve">Durable AI outputs embed an anchor object of </w:t>
      </w:r>
      <w:r>
        <w:rPr>
          <w:rStyle w:val="VerbatimChar"/>
        </w:rPr>
        <w:t>constitution_version</w:t>
      </w:r>
      <w:r>
        <w:t xml:space="preserve">, </w:t>
      </w:r>
      <w:r>
        <w:rPr>
          <w:rStyle w:val="VerbatimChar"/>
        </w:rPr>
        <w:t>constitution_hash</w:t>
      </w:r>
      <w:r>
        <w:t xml:space="preserve">, </w:t>
      </w:r>
      <w:r>
        <w:rPr>
          <w:rStyle w:val="VerbatimChar"/>
        </w:rPr>
        <w:t>evidence_hash</w:t>
      </w:r>
      <w:r>
        <w:t xml:space="preserve">, and </w:t>
      </w:r>
      <w:r>
        <w:rPr>
          <w:rStyle w:val="VerbatimChar"/>
        </w:rPr>
        <w:t>inference_id</w:t>
      </w:r>
      <w:r>
        <w:t xml:space="preserve"> — this is the </w:t>
      </w:r>
      <w:r>
        <w:rPr>
          <w:rStyle w:val="VerbatimChar"/>
        </w:rPr>
        <w:t>constitution_anchor</w:t>
      </w:r>
      <w:r>
        <w:t xml:space="preserve"> field in the Section 15.1 audit schema. Retrieving any package from </w:t>
      </w:r>
      <w:r>
        <w:rPr>
          <w:rStyle w:val="VerbatimChar"/>
        </w:rPr>
        <w:t>/audit/inference/{id}</w:t>
      </w:r>
      <w:r>
        <w:t xml:space="preserve"> returns the full package plus the Constitution text (or a verifiable pointer) that was in force.</w:t>
      </w:r>
    </w:p>
    <w:p w14:paraId="076559FC" w14:textId="77777777" w:rsidR="00AB0EAF" w:rsidRDefault="00000000">
      <w:pPr>
        <w:pStyle w:val="BodyText"/>
      </w:pPr>
      <w:r>
        <w:rPr>
          <w:b/>
          <w:bCs/>
        </w:rPr>
        <w:t>What counts as invalidation.</w:t>
      </w:r>
      <w:r>
        <w:t xml:space="preserve"> Invalidation is not binary — only the following four conditions break the anchor:</w:t>
      </w:r>
    </w:p>
    <w:p w14:paraId="5639C401" w14:textId="77777777" w:rsidR="00AB0EAF" w:rsidRDefault="00000000">
      <w:pPr>
        <w:pStyle w:val="Compact"/>
        <w:numPr>
          <w:ilvl w:val="0"/>
          <w:numId w:val="25"/>
        </w:numPr>
      </w:pPr>
      <w:r>
        <w:rPr>
          <w:b/>
          <w:bCs/>
        </w:rPr>
        <w:lastRenderedPageBreak/>
        <w:t>Constitution fork attempt</w:t>
      </w:r>
      <w:r>
        <w:t xml:space="preserve"> — a block tries to install a </w:t>
      </w:r>
      <w:r>
        <w:rPr>
          <w:rStyle w:val="VerbatimChar"/>
        </w:rPr>
        <w:t>constitution_hash</w:t>
      </w:r>
      <w:r>
        <w:t xml:space="preserve"> that does not descend from the prior hash via the Section 10.6.1 process. </w:t>
      </w:r>
      <w:r>
        <w:rPr>
          <w:rStyle w:val="VerbatimChar"/>
        </w:rPr>
        <w:t>governance.rs::is_forbidden_by_article_4()</w:t>
      </w:r>
      <w:r>
        <w:t xml:space="preserve"> returns an error. No DAO override is possible.</w:t>
      </w:r>
    </w:p>
    <w:p w14:paraId="012141B2" w14:textId="77777777" w:rsidR="00AB0EAF" w:rsidRDefault="00000000">
      <w:pPr>
        <w:pStyle w:val="Compact"/>
        <w:numPr>
          <w:ilvl w:val="0"/>
          <w:numId w:val="25"/>
        </w:numPr>
      </w:pPr>
      <w:r>
        <w:rPr>
          <w:b/>
          <w:bCs/>
        </w:rPr>
        <w:t>Core enforcement violation</w:t>
      </w:r>
      <w:r>
        <w:t xml:space="preserve"> — a Core instance executes a rule not present in the currently active or any historically anchored Constitution (e.g. a missing Article 7.1 citation). This triggers an operator alert; it does not auto-seize funds.</w:t>
      </w:r>
    </w:p>
    <w:p w14:paraId="73E1E948" w14:textId="77777777" w:rsidR="00AB0EAF" w:rsidRDefault="00000000">
      <w:pPr>
        <w:pStyle w:val="Compact"/>
        <w:numPr>
          <w:ilvl w:val="0"/>
          <w:numId w:val="25"/>
        </w:numPr>
      </w:pPr>
      <w:r>
        <w:rPr>
          <w:b/>
          <w:bCs/>
        </w:rPr>
        <w:t>AI authority mismatch</w:t>
      </w:r>
      <w:r>
        <w:t xml:space="preserve"> — an AI output claims authority under a </w:t>
      </w:r>
      <w:r>
        <w:rPr>
          <w:rStyle w:val="VerbatimChar"/>
        </w:rPr>
        <w:t>constitution_hash</w:t>
      </w:r>
      <w:r>
        <w:t xml:space="preserve"> that matches no retained version. It is flagged and rejected for durable publication.</w:t>
      </w:r>
    </w:p>
    <w:p w14:paraId="3CBF6206" w14:textId="77777777" w:rsidR="00AB0EAF" w:rsidRDefault="00000000">
      <w:pPr>
        <w:pStyle w:val="Compact"/>
        <w:numPr>
          <w:ilvl w:val="0"/>
          <w:numId w:val="25"/>
        </w:numPr>
      </w:pPr>
      <w:r>
        <w:rPr>
          <w:b/>
          <w:bCs/>
        </w:rPr>
        <w:t>Governance suspension attempt</w:t>
      </w:r>
      <w:r>
        <w:t xml:space="preserve"> — any vote or transaction that attempts to suspend, bypass, or override the NAP or Evidence-First invariants, caught by the forbidden-action list in </w:t>
      </w:r>
      <w:r>
        <w:rPr>
          <w:rStyle w:val="VerbatimChar"/>
        </w:rPr>
        <w:t>is_forbidden_by_article_4()</w:t>
      </w:r>
      <w:r>
        <w:t>. This is a programmatic rejection and requires the hard fork plus minority exit described below.</w:t>
      </w:r>
    </w:p>
    <w:p w14:paraId="152050BB" w14:textId="77777777" w:rsidR="00AB0EAF" w:rsidRDefault="00000000">
      <w:pPr>
        <w:pStyle w:val="FirstParagraph"/>
      </w:pPr>
      <w:r>
        <w:t>These four conditions govern a single bad actor or rule installation. Section 10.6.5 extends this invalidation framework to large-scale, coordinated compromise of the log-witness and Core-candidate layer introduced in Sections 3.4 and 3.5.</w:t>
      </w:r>
    </w:p>
    <w:p w14:paraId="13C5D387" w14:textId="77777777" w:rsidR="00AB0EAF" w:rsidRDefault="00000000">
      <w:pPr>
        <w:pStyle w:val="BodyText"/>
      </w:pPr>
      <w:r>
        <w:t>Not invalidation: performance-driven replication, defensive isolation or rebuild, AI-requested expansion within the 15% / 2016-block-and-72-hour timelock ceiling referenced in Section 15.2, or Gasless Heartbeat updates.</w:t>
      </w:r>
    </w:p>
    <w:p w14:paraId="2750A15C" w14:textId="77777777" w:rsidR="00AB0EAF" w:rsidRDefault="00000000">
      <w:pPr>
        <w:pStyle w:val="BodyText"/>
      </w:pPr>
      <w:r>
        <w:rPr>
          <w:b/>
          <w:bCs/>
        </w:rPr>
        <w:t>Detection and enforcement.</w:t>
      </w:r>
      <w:r>
        <w:t xml:space="preserve"> Every full node verifies </w:t>
      </w:r>
      <w:r>
        <w:rPr>
          <w:rStyle w:val="VerbatimChar"/>
        </w:rPr>
        <w:t>genesis_root</w:t>
      </w:r>
      <w:r>
        <w:t xml:space="preserve"> on boot, under sorted-key canonicalization. Before execution, the Core runs the Article 4 lock first, then Article 7.1 logging requirements. Before emitting a durable artifact, the AI must include its reason, resource need, Constitution citation, and priority; expansion requests exceeding the limits above are rejected by governance. A continuous watchdog process — checking that the active Constitution and every historical AI anchor still chain to </w:t>
      </w:r>
      <w:r>
        <w:rPr>
          <w:rStyle w:val="VerbatimChar"/>
        </w:rPr>
        <w:t>genesis_root</w:t>
      </w:r>
      <w:r>
        <w:t xml:space="preserve"> — is recommended; on divergence, the network partitions into a still-anchored (canonical) set and a broken-anchor set, and the Core must never prevent voluntary exit of the latter.</w:t>
      </w:r>
    </w:p>
    <w:p w14:paraId="5B4B0C8E" w14:textId="77777777" w:rsidR="00AB0EAF" w:rsidRDefault="00000000">
      <w:pPr>
        <w:pStyle w:val="BodyText"/>
      </w:pPr>
      <w:r>
        <w:rPr>
          <w:b/>
          <w:bCs/>
        </w:rPr>
        <w:t>Hard-fork mechanics on a broken anchor.</w:t>
      </w:r>
      <w:r>
        <w:t xml:space="preserve"> Honest nodes detect a break via </w:t>
      </w:r>
      <w:r>
        <w:rPr>
          <w:rStyle w:val="VerbatimChar"/>
        </w:rPr>
        <w:t>is_forbidden_by_article_4()</w:t>
      </w:r>
      <w:r>
        <w:t xml:space="preserve"> returning an error, or a parent-hash mismatch, and emit a structured Article 7.1 log. The clean parallel chain re-uses the last valid state root under the last valid Constitution — not a rollback to genesis state. Reclamation Merkle roots, inclusion proofs, rate limits, open audit packages, and reputation scores that met their filters at the moment of the break are preserved. In-flight transactions valid under the last good Constitution remain valid on the clean chain. Original assets stay under the Article 4.2 invariants — no seizure, freezing, burning, or redirection of voluntarily controlled wallets — and minority exit is explicitly preserved, consistent with Section 3.2.2.</w:t>
      </w:r>
    </w:p>
    <w:p w14:paraId="692D7E06" w14:textId="77777777" w:rsidR="00AB0EAF" w:rsidRDefault="00000000">
      <w:pPr>
        <w:pStyle w:val="BodyText"/>
      </w:pPr>
      <w:r>
        <w:rPr>
          <w:b/>
          <w:bCs/>
        </w:rPr>
        <w:t>Design-horizon claim.</w:t>
      </w:r>
      <w:r>
        <w:t xml:space="preserve"> </w:t>
      </w:r>
      <w:r>
        <w:rPr>
          <w:rStyle w:val="VerbatimChar"/>
        </w:rPr>
        <w:t>genesis_root</w:t>
      </w:r>
      <w:r>
        <w:t xml:space="preserve"> is the root of trust for the stated design window defined by </w:t>
      </w:r>
      <w:r>
        <w:rPr>
          <w:rStyle w:val="VerbatimChar"/>
        </w:rPr>
        <w:t>horizon_blocks</w:t>
      </w:r>
      <w:r>
        <w:t xml:space="preserve"> — a candidate value of 525,600 blocks, or roughly ten years at the network’s ten-minute block interval. It is not claimed to be permanent for the entire lifetime of the network. Continuity beyond that window is achieved by succession under Section 10.6.4, not by an assumption of permanent runtime identity. After the horizon, a </w:t>
      </w:r>
      <w:r>
        <w:lastRenderedPageBreak/>
        <w:t>new genesis anchor may be established only through an explicit hard fork that itself preserves minority exit under Article 10.4. A permanent-root claim would itself violate Evidence-First by asserting an unfalsifiable forever condition.</w:t>
      </w:r>
    </w:p>
    <w:p w14:paraId="11488F3D" w14:textId="77777777" w:rsidR="00AB0EAF" w:rsidRDefault="00000000">
      <w:pPr>
        <w:pStyle w:val="Heading3"/>
      </w:pPr>
      <w:bookmarkStart w:id="64" w:name="succession-and-re-embodiment"/>
      <w:bookmarkEnd w:id="63"/>
      <w:r>
        <w:t>10.6.4 Succession and Re-embodiment</w:t>
      </w:r>
    </w:p>
    <w:p w14:paraId="27ABCF95" w14:textId="77777777" w:rsidR="00AB0EAF" w:rsidRDefault="00000000">
      <w:pPr>
        <w:pStyle w:val="FirstParagraph"/>
      </w:pPr>
      <w:r>
        <w:t>A new implementation — whether a new codebase, consensus mechanism, AI substrate, cryptographic suite, or hardware assumptions — is a valid continuation of the Nexus lineage if and only if:</w:t>
      </w:r>
    </w:p>
    <w:p w14:paraId="0547585B" w14:textId="77777777" w:rsidR="00AB0EAF" w:rsidRDefault="00000000">
      <w:pPr>
        <w:pStyle w:val="Compact"/>
        <w:numPr>
          <w:ilvl w:val="0"/>
          <w:numId w:val="26"/>
        </w:numPr>
      </w:pPr>
      <w:r>
        <w:t xml:space="preserve">it cryptographically proves descent from the current </w:t>
      </w:r>
      <w:r>
        <w:rPr>
          <w:rStyle w:val="VerbatimChar"/>
        </w:rPr>
        <w:t>genesis_root</w:t>
      </w:r>
      <w:r>
        <w:t xml:space="preserve"> and Constitution hash chain, and</w:t>
      </w:r>
    </w:p>
    <w:p w14:paraId="1D154AA4" w14:textId="77777777" w:rsidR="00AB0EAF" w:rsidRDefault="00000000">
      <w:pPr>
        <w:pStyle w:val="Compact"/>
        <w:numPr>
          <w:ilvl w:val="0"/>
          <w:numId w:val="26"/>
        </w:numPr>
      </w:pPr>
      <w:r>
        <w:t>it continues to enforce the four Permanent Invariants listed in Section 10.6.</w:t>
      </w:r>
    </w:p>
    <w:p w14:paraId="54DD362A" w14:textId="77777777" w:rsidR="00AB0EAF" w:rsidRDefault="00000000">
      <w:pPr>
        <w:pStyle w:val="FirstParagraph"/>
      </w:pPr>
      <w:r>
        <w:t xml:space="preserve">When an embodiment reaches the design horizon stated in its </w:t>
      </w:r>
      <w:r>
        <w:rPr>
          <w:rStyle w:val="VerbatimChar"/>
        </w:rPr>
        <w:t>genesis_root</w:t>
      </w:r>
      <w:r>
        <w:t xml:space="preserve"> (or when participants determine it is no longer viable), the expected path is an explicit succession event rather than indefinite patching. Succession:</w:t>
      </w:r>
    </w:p>
    <w:p w14:paraId="4573D920" w14:textId="77777777" w:rsidR="00AB0EAF" w:rsidRDefault="00000000">
      <w:pPr>
        <w:pStyle w:val="Compact"/>
        <w:numPr>
          <w:ilvl w:val="0"/>
          <w:numId w:val="27"/>
        </w:numPr>
      </w:pPr>
      <w:r>
        <w:t>re-uses the last valid state root under the last valid Constitution,</w:t>
      </w:r>
    </w:p>
    <w:p w14:paraId="085D81BC" w14:textId="77777777" w:rsidR="00AB0EAF" w:rsidRDefault="00000000">
      <w:pPr>
        <w:pStyle w:val="Compact"/>
        <w:numPr>
          <w:ilvl w:val="0"/>
          <w:numId w:val="27"/>
        </w:numPr>
      </w:pPr>
      <w:r>
        <w:t>preserves all historical Constitution versions and all AI output anchors,</w:t>
      </w:r>
    </w:p>
    <w:p w14:paraId="0646CC5D" w14:textId="77777777" w:rsidR="00AB0EAF" w:rsidRDefault="00000000">
      <w:pPr>
        <w:pStyle w:val="Compact"/>
        <w:numPr>
          <w:ilvl w:val="0"/>
          <w:numId w:val="27"/>
        </w:numPr>
      </w:pPr>
      <w:r>
        <w:t>leaves original assets under the Non-Aggression invariants, and</w:t>
      </w:r>
    </w:p>
    <w:p w14:paraId="651AAEB3" w14:textId="77777777" w:rsidR="00AB0EAF" w:rsidRDefault="00000000">
      <w:pPr>
        <w:pStyle w:val="Compact"/>
        <w:numPr>
          <w:ilvl w:val="0"/>
          <w:numId w:val="27"/>
        </w:numPr>
      </w:pPr>
      <w:r>
        <w:t>must never be blocked by the Core or by governance rules that would prevent voluntary exit.</w:t>
      </w:r>
    </w:p>
    <w:p w14:paraId="4BACFB98" w14:textId="77777777" w:rsidR="00AB0EAF" w:rsidRDefault="00000000">
      <w:pPr>
        <w:pStyle w:val="FirstParagraph"/>
      </w:pPr>
      <w:r>
        <w:t>The right of minority participants to exit to any successor that satisfies the two conditions above is itself a Permanent Invariant.</w:t>
      </w:r>
    </w:p>
    <w:p w14:paraId="463CC5A5" w14:textId="77777777" w:rsidR="00AB0EAF" w:rsidRDefault="00000000">
      <w:pPr>
        <w:pStyle w:val="BodyText"/>
      </w:pPr>
      <w:r>
        <w:rPr>
          <w:b/>
          <w:bCs/>
        </w:rPr>
        <w:t>Hundred-year to thousand-year continuity.</w:t>
      </w:r>
      <w:r>
        <w:t xml:space="preserve"> The succession model is the mechanism by which the Nexus lineage is intended to remain coherent across centuries, not merely across a single decade. Each embodiment carries a finite, declared </w:t>
      </w:r>
      <w:r>
        <w:rPr>
          <w:rStyle w:val="VerbatimChar"/>
        </w:rPr>
        <w:t>horizon_blocks</w:t>
      </w:r>
      <w:r>
        <w:t xml:space="preserve"> window. That window is scoped and falsifiable; it is not a claim of permanent runtime identity. When the window is reached, or when participants judge the current embodiment no longer viable, explicit succession is the expected path rather than indefinite patching.</w:t>
      </w:r>
    </w:p>
    <w:p w14:paraId="24771319" w14:textId="77777777" w:rsidR="00AB0EAF" w:rsidRDefault="00000000">
      <w:pPr>
        <w:pStyle w:val="BodyText"/>
      </w:pPr>
      <w:r>
        <w:t xml:space="preserve">The lineage persists because every valid successor must cryptographically prove descent from the </w:t>
      </w:r>
      <w:r>
        <w:rPr>
          <w:rStyle w:val="VerbatimChar"/>
        </w:rPr>
        <w:t>genesis_root</w:t>
      </w:r>
      <w:r>
        <w:t xml:space="preserve"> and Constitution hash chain, continue to enforce the four Permanent Invariants (Evidence-First, Non-Aggression, minority exit, and cryptographic anchoring), and preserve the last valid state root, all historical Constitution versions, all anchored AI outputs, and original assets under the Non-Aggression invariants.</w:t>
      </w:r>
    </w:p>
    <w:p w14:paraId="07247CDA" w14:textId="77777777" w:rsidR="00AB0EAF" w:rsidRDefault="00000000">
      <w:pPr>
        <w:pStyle w:val="BodyText"/>
      </w:pPr>
      <w:r>
        <w:t>Active tending by participants — continuous participation, resource contribution, and serving of audit data — is the practical maintenance that keeps any given embodiment alive. Without it, entropy prevails, as with any living system. The design therefore assumes embodiments will be tended, upgraded, eventually composted, and re-embodied. The permanent object is the constitutional lineage, not any single codebase or parameter set.</w:t>
      </w:r>
    </w:p>
    <w:p w14:paraId="1DD677B6" w14:textId="77777777" w:rsidR="00AB0EAF" w:rsidRDefault="00000000">
      <w:pPr>
        <w:pStyle w:val="BodyText"/>
      </w:pPr>
      <w:r>
        <w:t>This is not a claim that the present implementation will run forever. It is a claim that a properly tended lineage of implementations, each honest about its own horizon, can remain faithful to the same invariants for as long as participants choose to continue it.</w:t>
      </w:r>
    </w:p>
    <w:p w14:paraId="47BB43A7" w14:textId="77777777" w:rsidR="00AB0EAF" w:rsidRDefault="00000000">
      <w:pPr>
        <w:pStyle w:val="BodyText"/>
      </w:pPr>
      <w:r>
        <w:rPr>
          <w:b/>
        </w:rPr>
        <w:lastRenderedPageBreak/>
        <w:t xml:space="preserve">Core lineage is a distinct, narrower mechanism. </w:t>
      </w:r>
      <w:r>
        <w:t>The succession described above governs whole embodiments reaching their declared horizon — a rare constitutional event requiring the full process in this section. It should not be confused with the routine Core relocation described in Section 3.1, where a Core retires and a successor Core spawns under the next unused number. That is an operational, automatic event: it requires only the cost-function threshold, a log-witness QC certifying the handoff, and a matching state digest. It does not invoke this section's succession machinery, does not require a supermajority vote, and does not establish a new embodiment.</w:t>
      </w:r>
    </w:p>
    <w:p w14:paraId="761F42E5" w14:textId="77777777" w:rsidR="00AB0EAF" w:rsidRDefault="00000000">
      <w:pPr>
        <w:pStyle w:val="FirstParagraph"/>
      </w:pPr>
      <w:r>
        <w:t>What the two share is the descent requirement. A Core lineage forms its own hash chain — for example, genesis_root → Core 1 → Core 6 — in which each successor Core's root cryptographically descends from its predecessor rather than reusing the same value. Crucially, this is a chain beneath the network's single genesis_root, not a replacement for it: there remains exactly one network root of trust (Section 10.6.3), and every Core in every lineage must still prove descent from it. History is preserved at both levels — a retired Core's full record from spawn to retirement remains readable, exactly as retired Constitution versions do. Where a parent and child Core disagree about the ordering of a cross-region transaction, the quorum certificate governs, and the lineage chain proves descent; neither Core's seniority carries any authority over the other.</w:t>
      </w:r>
    </w:p>
    <w:p w14:paraId="2856343E" w14:textId="77777777" w:rsidR="00AB0EAF" w:rsidRDefault="00000000">
      <w:pPr>
        <w:pStyle w:val="Heading3"/>
      </w:pPr>
      <w:bookmarkStart w:id="65" w:name="X7cb7a90e093a6fcfef68c2dac9e6461bf90af3e"/>
      <w:bookmarkEnd w:id="64"/>
      <w:r>
        <w:t>10.6.5 Response to Large-Scale Integrity Attacks</w:t>
      </w:r>
    </w:p>
    <w:p w14:paraId="0E1EFB7A" w14:textId="77777777" w:rsidR="00AB0EAF" w:rsidRDefault="00000000">
      <w:pPr>
        <w:pStyle w:val="FirstParagraph"/>
      </w:pPr>
      <w:r>
        <w:t>A large, coordinated attack that compromises the integrity of the log-witness set, Core candidate pool, or active Core layer (Sections 3.4, 3.5) — evidenced by widespread equivocation, sustained QC failure, coordinated installation of non-descending rules, or clear attempts to suspend the Permanent Invariants — constitutes an invalidation of the current embodiment, extending the four invalidation conditions in Section 10.6.3 to the tiered-availability and log-witness architecture.</w:t>
      </w:r>
    </w:p>
    <w:p w14:paraId="55A23FB3" w14:textId="77777777" w:rsidR="00AB0EAF" w:rsidRDefault="00000000">
      <w:pPr>
        <w:pStyle w:val="BodyText"/>
      </w:pPr>
      <w:r>
        <w:t>In such cases, honest nodes continue on a clean parallel chain using the same hard-fork mechanics already specified in Section 10.6.3: the last valid state root and Constitution are re-used, all balances, historical Constitution versions, AI audit packages, and reclamation Merkle roots are preserved, the four Permanent Invariants continue to apply without alteration, and minority exit is explicitly upheld. The attacking set remains on the compromised chain. No mechanism exists that allows any majority, including one obtained through coordinated attack, to seize voluntarily controlled assets, rewrite the Permanent Invariants, or prevent voluntary exit to the clean chain.</w:t>
      </w:r>
    </w:p>
    <w:p w14:paraId="4C72A1B3" w14:textId="77777777" w:rsidR="00AB0EAF" w:rsidRDefault="00000000">
      <w:pPr>
        <w:pStyle w:val="BodyText"/>
      </w:pPr>
      <w:r>
        <w:t>Because the permanent object of the system is the constitutional lineage rather than any single embodiment, successful capture of the current embodiment yields only a contested, low-legitimacy fork. The economic and operational value of the network is expected to follow the clean lineage, which would render large-scale integrity attacks high-cost and low-reward — the attacker expends real resources to obtain a poisoned prize while the honest lineage continues under the original rules. This is a game-theoretic claim about attacker incentives, not a cryptographic guarantee, and it carries the same requirement as the hard-fork mechanism itself (Section 3.2.2): formal adversarial modeling under Section 16 before it can be considered proven rather than merely argued.</w:t>
      </w:r>
    </w:p>
    <w:p w14:paraId="64B22A8A" w14:textId="77777777" w:rsidR="00AB0EAF" w:rsidRDefault="00000000">
      <w:pPr>
        <w:pStyle w:val="BodyText"/>
      </w:pPr>
      <w:r>
        <w:rPr>
          <w:b/>
        </w:rPr>
        <w:lastRenderedPageBreak/>
        <w:t xml:space="preserve">Continuous statistical detection and evidence packaging. </w:t>
      </w:r>
      <w:r>
        <w:t>Full nodes and watchdogs continuously compute transparent, deterministic statistics over the live network state. Candidate signals include hardening-completion clustering (synchronized waves of identities crossing the joint time×work eligibility threshold), correlated QC timing or selective honesty patterns across seats, work-product concentration relative to the eligible set, and anomalous ASN or geographic concentration that exceeds organic baseline. These checks use epoch-scoped parameters (minimum cohort size, maximum allowable correlation, diversity floors). When thresholds are crossed, the protocol emits a structured Article 7.1 evidence package containing the raw observables, the calculation, and the Constitution citation. The package is publicly verifiable by any full node. It triggers no automatic punishment, role forfeiture beyond already-defined equivocation rules, asset seizure, or identity reveal. Its sole function is to make the pattern obvious and independently checkable so that honest participants can, if they judge the evidence sufficient, exercise voluntary exit to a clean parallel chain under the mechanics of this Section 10.6.5.</w:t>
      </w:r>
    </w:p>
    <w:p w14:paraId="2216DA29" w14:textId="77777777" w:rsidR="00AB0EAF" w:rsidRDefault="00000000">
      <w:pPr>
        <w:pStyle w:val="BodyText"/>
      </w:pPr>
      <w:r>
        <w:t>All such detection thresholds and evidence-packaging requirements are epoch parameters, amendable only through the amendment process (Section 10.6.1) or a succession event (Section 10.6.4); the obligation to preserve the Permanent Invariants and minority exit is not.</w:t>
      </w:r>
    </w:p>
    <w:p w14:paraId="61BC0B31" w14:textId="77777777" w:rsidR="00AB0EAF" w:rsidRDefault="00000000">
      <w:pPr>
        <w:pStyle w:val="Heading3"/>
      </w:pPr>
      <w:r>
        <w:t>10.6.6 Soft Challenge Window</w:t>
      </w:r>
    </w:p>
    <w:p w14:paraId="06064EC4" w14:textId="77777777" w:rsidR="00AB0EAF" w:rsidRDefault="00000000">
      <w:pPr>
        <w:pStyle w:val="BodyText"/>
      </w:pPr>
      <w:r>
        <w:rPr>
          <w:b/>
        </w:rPr>
        <w:t xml:space="preserve">Operational intent. </w:t>
      </w:r>
      <w:r>
        <w:t>When continuous statistical detection (Section 10.6.5) indicates high-confidence coordinated multi-node or mass-wallet integrity exploitation, the protocol opens a time-bounded Soft Challenge Window. The purpose is to impose temporary, reversible friction on the attacking set, give honest entities an automatic non-coercive path to clear themselves, and only escalate to the parallel-chain option under Section 10.6.5 if the challenge remains unresolved. This layer never freezes, seizes, or redirects voluntarily controlled balances.</w:t>
      </w:r>
    </w:p>
    <w:p w14:paraId="3B086143" w14:textId="77777777" w:rsidR="00AB0EAF" w:rsidRDefault="00000000">
      <w:pPr>
        <w:pStyle w:val="BodyText"/>
      </w:pPr>
      <w:r>
        <w:rPr>
          <w:b/>
        </w:rPr>
        <w:t xml:space="preserve">Trigger. </w:t>
      </w:r>
      <w:r>
        <w:t>The continuous, deterministic statistics already defined in Section 10.6.5 (hardening-completion clustering, correlated QC timing or selective honesty patterns, work-product concentration, and anomalous ASN or geographic concentration) are evaluated against deliberately high, epoch-scoped thresholds. When the composite signal crosses the high-confidence threshold, a Soft Challenge Window opens automatically for the affected seats or entity set.</w:t>
      </w:r>
    </w:p>
    <w:p w14:paraId="4B8819B0" w14:textId="77777777" w:rsidR="00AB0EAF" w:rsidRDefault="00000000">
      <w:pPr>
        <w:pStyle w:val="BodyText"/>
      </w:pPr>
      <w:r>
        <w:rPr>
          <w:b/>
        </w:rPr>
        <w:t xml:space="preserve">Window duration. </w:t>
      </w:r>
      <w:r>
        <w:t>The length of the Soft Challenge Window is an epoch parameter. Candidate value: 288 blocks, or approximately 48 hours at the network’s ten-minute block interval. The window is recorded on-chain and begins immediately upon threshold breach.</w:t>
      </w:r>
    </w:p>
    <w:p w14:paraId="3F4E4051" w14:textId="77777777" w:rsidR="00AB0EAF" w:rsidRDefault="00000000">
      <w:pPr>
        <w:pStyle w:val="BodyText"/>
      </w:pPr>
      <w:r>
        <w:rPr>
          <w:b/>
        </w:rPr>
        <w:t xml:space="preserve">Soft restrictions during the window. </w:t>
      </w:r>
      <w:r>
        <w:t xml:space="preserve">While the window is open the protocol may apply only the following temporary measure: reduction or temporary suspension of eligibility weight for the log-witness lottery and for QC scoring of any flagged seats. No other restrictions are permitted. In particular, the protocol shall not impose velocity limits, confirmation delays, spending locks, or any other restriction on the movement or use of balances. All balances remain fully visible and under the sole control of their owners. This </w:t>
      </w:r>
      <w:r>
        <w:lastRenderedPageBreak/>
        <w:t>is distinct from the cool-down period in Section 3.5, which follows a proven violation; the Soft Challenge Window applies to a statistically high-confidence but not yet proven signal.</w:t>
      </w:r>
    </w:p>
    <w:p w14:paraId="380632ED" w14:textId="77777777" w:rsidR="00AB0EAF" w:rsidRDefault="00000000">
      <w:pPr>
        <w:pStyle w:val="BodyText"/>
      </w:pPr>
      <w:r>
        <w:rPr>
          <w:b/>
        </w:rPr>
        <w:t xml:space="preserve">Automatic clearance. </w:t>
      </w:r>
      <w:r>
        <w:t>Any entity subject to a Soft Challenge Window may clear itself at any time by either presenting a valid zero-knowledge proof of personhood consistent with the mechanism defined in Section 12.1, or by satisfying an alternative light clearance condition defined as an epoch parameter (candidate: sustained correct high-weight QC participation, or equivalent cryptographic work proof, over a short additional sub-window). Successful clearance immediately restores full eligibility weight, consumes any required single-use nullifier, and requires no human or DAO approval.</w:t>
      </w:r>
    </w:p>
    <w:p w14:paraId="60DC7D38" w14:textId="77777777" w:rsidR="00AB0EAF" w:rsidRDefault="00000000">
      <w:pPr>
        <w:pStyle w:val="BodyText"/>
      </w:pPr>
      <w:r>
        <w:rPr>
          <w:b/>
        </w:rPr>
        <w:t xml:space="preserve">Expiry without clearance. </w:t>
      </w:r>
      <w:r>
        <w:t>If the Soft Challenge Window expires without valid clearance, the Core finalizes a structured Article 7.1 evidence package containing the full telemetry history, statistical calculations, timing vectors, and the failed-challenge record. The package is published on-chain and is independently verifiable by any full node. No automatic pruning of state roots, no forfeiture of balances, and no permanent role ban beyond the ordinary cool-down rules already defined for proven equivocation (Section 3.5) occurs. At this point the evidence is public. Honest nodes may, if they judge it sufficient, treat the current embodiment as compromised and continue on a clean parallel chain under the mechanics of Section 10.6.5.</w:t>
      </w:r>
    </w:p>
    <w:p w14:paraId="05BCC65B" w14:textId="77777777" w:rsidR="00AB0EAF" w:rsidRDefault="00000000">
      <w:pPr>
        <w:pStyle w:val="BodyText"/>
      </w:pPr>
      <w:r>
        <w:rPr>
          <w:b/>
        </w:rPr>
        <w:t xml:space="preserve">Invariant compatibility and parameter status. </w:t>
      </w:r>
      <w:r>
        <w:t>All actions under this section are limited to temporary eligibility-weight adjustments. They do not constitute seizure, freeze, or redirection of voluntarily controlled assets and remain fully consistent with Article 4.2 and the Permanent Invariants. The final serious response remains voluntary exit by honest participants. Detection thresholds, window length, weight-reduction parameters, and acceptable clearance proofs are epoch parameters, amendable only through the amendment process (Section 10.6.1) or a succession event (Section 10.6.4).</w:t>
      </w:r>
    </w:p>
    <w:p w14:paraId="361251F3" w14:textId="77777777" w:rsidR="00AB0EAF" w:rsidRDefault="00000000">
      <w:pPr>
        <w:pStyle w:val="Heading2"/>
      </w:pPr>
      <w:bookmarkStart w:id="66" w:name="Xb598b7b906f646e34dd9cb7557fc7212a9ae6b5"/>
      <w:bookmarkEnd w:id="60"/>
      <w:bookmarkEnd w:id="65"/>
      <w:r>
        <w:t>10.7 AI Fabric: The Mushroom Cap on the Mycelium Family</w:t>
      </w:r>
    </w:p>
    <w:p w14:paraId="77DE964A" w14:textId="77777777" w:rsidR="00AB0EAF" w:rsidRDefault="00000000">
      <w:pPr>
        <w:pStyle w:val="FirstParagraph"/>
      </w:pPr>
      <w:r>
        <w:t>If Section 1 identifies centralized data centers as half the problem Nexus addresses, this section specifies how the embedded AI avoids quietly re-importing that same centralization at the training and inference layer, and how it fits onto the mortal, numbered Core family described in Section 3.1.</w:t>
      </w:r>
    </w:p>
    <w:p w14:paraId="31388BDF" w14:textId="77777777" w:rsidR="00AB0EAF" w:rsidRDefault="00000000">
      <w:pPr>
        <w:pStyle w:val="BodyText"/>
      </w:pPr>
      <w:r>
        <w:rPr>
          <w:b/>
        </w:rPr>
        <w:t xml:space="preserve">10.7.0 Origin. </w:t>
      </w:r>
      <w:r>
        <w:t>The AI's identity is anchored to genesis_root (Section 10.6.3) and the Constitution, plus a training-data root — not to any single Core's number. It sits on top of the Core family rather than living inside any one Core, the way a mushroom's fruiting body sits above the mycelium network feeding it: many Cores, one AI fabric drawing from all of them.</w:t>
      </w:r>
    </w:p>
    <w:p w14:paraId="615AAE92" w14:textId="77777777" w:rsidR="00AB0EAF" w:rsidRDefault="00000000">
      <w:pPr>
        <w:pStyle w:val="BodyText"/>
      </w:pPr>
      <w:r>
        <w:rPr>
          <w:b/>
        </w:rPr>
        <w:t xml:space="preserve">10.7.1 Draws from the whole family, never commands it. </w:t>
      </w:r>
      <w:r>
        <w:t>Each Core runs an identical rule set and identical cost function (Section 3.1, Appendix C.2.1a), scanning available resources across its connected IPs. The AI fabric draws on that same observation pipeline — requesting compute where it is currently cheapest and fastest — through the same observation-and-QC pipeline that governs Core-to-Core coordination: no Core dictates to the AI, and the AI dictates to no Core.</w:t>
      </w:r>
    </w:p>
    <w:p w14:paraId="6EE7F898" w14:textId="77777777" w:rsidR="00AB0EAF" w:rsidRDefault="00000000">
      <w:pPr>
        <w:pStyle w:val="BodyText"/>
      </w:pPr>
      <w:r>
        <w:rPr>
          <w:b/>
        </w:rPr>
        <w:lastRenderedPageBreak/>
        <w:t xml:space="preserve">10.7.2 Resource requests: Cores offer, the AI requests, a QC witnesses. </w:t>
      </w:r>
      <w:r>
        <w:t>Cores do not push compute to the AI; the AI publishes a bounded need to the pipeline, every active Core evaluates its own cost function against that need, and the nearest Core with headroom answers via quorum certificate. The same log-witness QC that orders cross-region transactions (Appendix C.2.1b) orders AI jobs, so two Cores can never claim the same job — state stays Shared until a QC promotes it to Modified.</w:t>
      </w:r>
    </w:p>
    <w:p w14:paraId="5438CC17" w14:textId="77777777" w:rsidR="00AB0EAF" w:rsidRDefault="00000000">
      <w:pPr>
        <w:pStyle w:val="FirstParagraph"/>
      </w:pPr>
      <w:r>
        <w:t>Small inference requests below the fast-path threshold may use the same sub-50ms path used for small transactions (Section 3.2.3), but require a QC from both regional witness sets rather than one. This section does not resolve the broader question of that threshold's dollar-value drift as the token appreciates, which remains open exactly as Section 3.2.3 already states; it only avoids introducing a second, uncoordinated version of the same problem for AI-specific requests.</w:t>
      </w:r>
    </w:p>
    <w:p w14:paraId="21FA6559" w14:textId="77777777" w:rsidR="00AB0EAF" w:rsidRDefault="00000000">
      <w:pPr>
        <w:pStyle w:val="BodyText"/>
      </w:pPr>
      <w:r>
        <w:rPr>
          <w:b/>
        </w:rPr>
        <w:t xml:space="preserve">10.7.3 Core handoff: the snapshot moves, the number retires, the AI continues. </w:t>
      </w:r>
      <w:r>
        <w:t>Relocation is retirement plus birth (Section 3.1): when a Core spawns a successor and retires, its graceful-retirement digest includes the AI's inference-state Merkle root alongside its own, and the successor Core resumes the AI's state from that snapshot. The AI's continuity is anchored to the snapshot and the lineage chain (Section 10.6.4), not to any Core's number — the fabric does not go dark when one Core in the family dies.</w:t>
      </w:r>
    </w:p>
    <w:p w14:paraId="1E0EDCC1" w14:textId="77777777" w:rsidR="00AB0EAF" w:rsidRDefault="00000000">
      <w:pPr>
        <w:pStyle w:val="BodyText"/>
      </w:pPr>
      <w:r>
        <w:rPr>
          <w:b/>
        </w:rPr>
        <w:t xml:space="preserve">10.7.4 New Cores mean more capacity for the fabric, not more control over it. </w:t>
      </w:r>
      <w:r>
        <w:t>When a new Core spawns because a remote location outperforms the current one (Section 3.1), its first act after taking a regional range is to announce its AI capacity — available compute, price, latency — into the same pipeline. Family growth is what lowers the AI's effective cost over time: more regional headroom, cheaper power, lower latency, all measured through the tending half of the PoRT validator score (Section 4.0), not through any Core's authority over another.</w:t>
      </w:r>
    </w:p>
    <w:p w14:paraId="3B378E49" w14:textId="77777777" w:rsidR="00AB0EAF" w:rsidRDefault="00000000">
      <w:pPr>
        <w:pStyle w:val="BodyText"/>
      </w:pPr>
      <w:r>
        <w:rPr>
          <w:b/>
        </w:rPr>
        <w:t xml:space="preserve">10.7.5 Bounded duty, with a way out — the consent-model question, resolved. </w:t>
      </w:r>
      <w:r>
        <w:t>Earlier drafts of this section shifted from every node's AI participation being fully voluntary to a small mandatory inference duty, and that shift sat unexamined for a long time. It is resolved here, not by reverting it, but by adding the opt-out that was missing: every active node carries a small, capped, provable inference duty each epoch — candidate bound: 100 inference batches per epoch, or 1% of the node's TPS headroom, whichever is smaller — verifiable the same way every other duty in this paper is, through the log-witness mechanism. A node may decline this duty entirely by posting a bond, distinct in purpose from the high-responsibility-seat bond in Section 12.3: this one is forfeited for non-performance of a disclosed duty rather than for proven equivocation, and its exact terms remain a candidate parameter pending Section 16 review. Training itself remains fully voluntary and separately compensated, unchanged from the prior draft. This keeps the NAP default — no coercion — intact: a node that would rather not serve inference always has a disclosed, priced way not to, rather than no way out at all.</w:t>
      </w:r>
    </w:p>
    <w:p w14:paraId="5D5A6CDF" w14:textId="77777777" w:rsidR="00AB0EAF" w:rsidRDefault="00000000">
      <w:pPr>
        <w:pStyle w:val="FirstParagraph"/>
      </w:pPr>
      <w:r>
        <w:t xml:space="preserve">The AI may evaluate claims, surface evidence, warn of risk, and assist in defense, but may not assist in doxxing, blacklisting, or initiating coercion (Section 10.5). Defensive action — replication away from attack, isolation, consensus-verified rebuilding — remains explicitly </w:t>
      </w:r>
      <w:r>
        <w:lastRenderedPageBreak/>
        <w:t>permitted. Every durable AI claim remains cryptographically anchored to the specific Constitution version in force when it was produced (Section 10.6.3), under the same Permanent Invariants as everything else in this paper.</w:t>
      </w:r>
    </w:p>
    <w:p w14:paraId="710F857E" w14:textId="77777777" w:rsidR="00AB0EAF" w:rsidRDefault="00000000">
      <w:pPr>
        <w:pStyle w:val="BodyText"/>
      </w:pPr>
      <w:r>
        <w:rPr>
          <w:b/>
        </w:rPr>
        <w:t xml:space="preserve">10.7.6 Training data: the open path, still ahead. </w:t>
      </w:r>
      <w:r>
        <w:t>AI training and its data have been deliberately left less developed than the rest of this paper while the underlying physics — Core execution, consensus, tokenomics, governance — was tightened first; that sequencing, not neglect, is why this section trails the others in specification depth. The intended path is open training data and an open model, consistent with Evidence-First: showing the evidentiary work rather than asserting authority. The training-data root is intended to live on-chain via the genesis_root lineage, auditable the same way every other durable claim in this paper is (Section 2.1, Section 10.6).</w:t>
      </w:r>
    </w:p>
    <w:p w14:paraId="7B8134D8" w14:textId="77777777" w:rsidR="00AB0EAF" w:rsidRDefault="00000000">
      <w:pPr>
        <w:pStyle w:val="BodyText"/>
      </w:pPr>
      <w:r>
        <w:rPr>
          <w:b/>
        </w:rPr>
        <w:t xml:space="preserve">10.7.7 Summary. </w:t>
      </w:r>
      <w:r>
        <w:t>Where a single migrating execution core is one tree, a mortal, numbered family of Cores feeding one AI fabric is closer to mycelium and the fruiting body it supports: many short-lived, identically-ruled Cores scanning the network and handing off gracefully as they relocate, and one AI layer drawing from all of them at once, continuous even as any single Core is not.</w:t>
      </w:r>
    </w:p>
    <w:p w14:paraId="26D54F43" w14:textId="77777777" w:rsidR="00AB0EAF" w:rsidRDefault="00000000">
      <w:pPr>
        <w:pStyle w:val="Heading1"/>
      </w:pPr>
      <w:bookmarkStart w:id="67" w:name="X9674fdb3bcc823e39dd21d3c72f90dc6ebab6aa"/>
      <w:bookmarkEnd w:id="54"/>
      <w:bookmarkEnd w:id="66"/>
      <w:r>
        <w:t>11. On-Chain Dispute Resolution and Reputation-Weighted Judiciary</w:t>
      </w:r>
    </w:p>
    <w:p w14:paraId="604E7C81" w14:textId="77777777" w:rsidR="00AB0EAF" w:rsidRDefault="00000000">
      <w:pPr>
        <w:pStyle w:val="FirstParagraph"/>
      </w:pPr>
      <w:r>
        <w:t>Smart contract execution (Section 9), escrowed asset trades (Section 14), and oracle variations (Section 13) inevitably generate disputes that code alone cannot resolve. Rather than routing these to an off-chain court or a centralized arbitration provider, the network handles them through an on-chain judiciary process governed by the DAO (Section 4.2) and bound by the Constitution (Section 10.6): a dispute opens and the relevant balances are locked, a reputation-filtered pool of eligible arbitrators is drawn from, and a panel is randomly selected to rule on the case, citing the Constitution and Evidence Hierarchy that governs the ruling.</w:t>
      </w:r>
    </w:p>
    <w:p w14:paraId="3E0B3F6C" w14:textId="77777777" w:rsidR="00AB0EAF" w:rsidRDefault="00000000">
      <w:pPr>
        <w:pStyle w:val="FirstParagraph"/>
      </w:pPr>
      <w:r>
        <w:t>All judgments apply the Coercion Boundary framework in Appendix A: defensive refusal versus initiated state change, with the flagged-wallet exception for restitution.</w:t>
      </w:r>
    </w:p>
    <w:p w14:paraId="508CF4EA" w14:textId="77777777" w:rsidR="00AB0EAF" w:rsidRDefault="00000000">
      <w:pPr>
        <w:pStyle w:val="Heading2"/>
      </w:pPr>
      <w:bookmarkStart w:id="68" w:name="the-collusion-resistant-arbitrator-pool"/>
      <w:r>
        <w:t>11.1 The Collusion-Resistant Arbitrator Pool</w:t>
      </w:r>
    </w:p>
    <w:p w14:paraId="4A9C9750" w14:textId="77777777" w:rsidR="00AB0EAF" w:rsidRDefault="00000000">
      <w:pPr>
        <w:pStyle w:val="FirstParagraph"/>
      </w:pPr>
      <w:r>
        <w:t>To eliminate the risk of panel-stacking, bribery, or plutocratic domination, eligibility for selection to an active arbitration panel is decoupled from raw token wealth, using the same capital-blind criteria applied to the resource-throttling pool described in Section 4:</w:t>
      </w:r>
    </w:p>
    <w:p w14:paraId="7465BDE3" w14:textId="77777777" w:rsidR="00AB0EAF" w:rsidRDefault="00000000">
      <w:pPr>
        <w:pStyle w:val="BodyText"/>
      </w:pPr>
      <w:r>
        <w:t>The reputation function is fully specified by the following candidate parameters, subject to the same modeling and adversarial testing called for in Section 16:</w:t>
      </w:r>
    </w:p>
    <w:p w14:paraId="7E32A7E5" w14:textId="77777777" w:rsidR="00AB0EAF" w:rsidRDefault="00000000">
      <w:pPr>
        <w:numPr>
          <w:ilvl w:val="0"/>
          <w:numId w:val="28"/>
        </w:numPr>
      </w:pPr>
      <w:r>
        <w:t>Score range: 75.0 baseline, 0–100 bounds.</w:t>
      </w:r>
    </w:p>
    <w:p w14:paraId="785FF4E6" w14:textId="77777777" w:rsidR="00AB0EAF" w:rsidRDefault="00000000">
      <w:pPr>
        <w:numPr>
          <w:ilvl w:val="0"/>
          <w:numId w:val="28"/>
        </w:numPr>
      </w:pPr>
      <w:r>
        <w:t>Temporal hardening: 52,560 blocks (approximately one year) of continuous node lifespan required for validator, arbitrator, and Oracle eligibility — not required for the gasless heartbeat protocol.</w:t>
      </w:r>
    </w:p>
    <w:p w14:paraId="14430D60" w14:textId="77777777" w:rsidR="00AB0EAF" w:rsidRDefault="00000000">
      <w:pPr>
        <w:numPr>
          <w:ilvl w:val="0"/>
          <w:numId w:val="28"/>
        </w:numPr>
      </w:pPr>
      <w:r>
        <w:lastRenderedPageBreak/>
        <w:t>Minimum balance: 10 NEXUS, required only for validator, arbitrator, and Oracle roles.</w:t>
      </w:r>
    </w:p>
    <w:p w14:paraId="6B64CC0D" w14:textId="77777777" w:rsidR="00AB0EAF" w:rsidRDefault="00000000">
      <w:pPr>
        <w:numPr>
          <w:ilvl w:val="0"/>
          <w:numId w:val="28"/>
        </w:numPr>
      </w:pPr>
      <w:r>
        <w:t>Decay and recovery: score decays at 0.00001 per block during inactivity and recovers at 0.000005 per block during active, honest participation, with a 144-block grace period before decay begins.</w:t>
      </w:r>
    </w:p>
    <w:p w14:paraId="14F5070F" w14:textId="77777777" w:rsidR="00AB0EAF" w:rsidRDefault="00000000">
      <w:pPr>
        <w:numPr>
          <w:ilvl w:val="0"/>
          <w:numId w:val="28"/>
        </w:numPr>
      </w:pPr>
      <w:r>
        <w:t>Sybil resistance: 30 days of continuous verified tending, a minimum wallet age of 14 days, 3 independent vouchers with enforced IP/ASN diversity, and at least 2 hours of active daily participation.</w:t>
      </w:r>
    </w:p>
    <w:p w14:paraId="171C9980" w14:textId="77777777" w:rsidR="00AB0EAF" w:rsidRDefault="00000000">
      <w:pPr>
        <w:numPr>
          <w:ilvl w:val="0"/>
          <w:numId w:val="28"/>
        </w:numPr>
      </w:pPr>
      <w:r>
        <w:t>Slashing: score is reduced to zero immediately upon confirmed bribery or Oracle manipulation.</w:t>
      </w:r>
    </w:p>
    <w:p w14:paraId="3F398F2E" w14:textId="77777777" w:rsidR="00AB0EAF" w:rsidRDefault="00000000">
      <w:pPr>
        <w:pStyle w:val="FirstParagraph"/>
      </w:pPr>
      <w:r>
        <w:t>Because vouchers cannot be purchased and each requires an independently-aged, IP/ASN-diverse identity, an attacker attempting to Sybil-attack even one million lending desktop wallets would need one million distinct human identities, each satisfying the 14-day age and 3-voucher requirements — not merely one million devices. This is the collusion-resistance invariant referenced throughout this section: reputation at or above 75, node lifespan of at least one year, and reputation weight exceeding stake weight.</w:t>
      </w:r>
    </w:p>
    <w:p w14:paraId="1E369CB9" w14:textId="77777777" w:rsidR="00AB0EAF" w:rsidRDefault="00000000">
      <w:pPr>
        <w:numPr>
          <w:ilvl w:val="0"/>
          <w:numId w:val="29"/>
        </w:numPr>
      </w:pPr>
      <w:r>
        <w:t>Influence decoupling (distinct from temporal hardening above): an individual’s reputation weight must exceed their raw stake influence, so that arbitration selection cannot be bought outright by accumulating tokens. (Temporal hardening already specified as 52,560 blocks ≈ one year for validator/arbitrator/Oracle eligibility — not duplicated here.)</w:t>
      </w:r>
    </w:p>
    <w:p w14:paraId="302723D9" w14:textId="77777777" w:rsidR="00AB0EAF" w:rsidRDefault="00000000">
      <w:pPr>
        <w:pStyle w:val="Heading2"/>
      </w:pPr>
      <w:bookmarkStart w:id="69" w:name="X229d8fd6b4589205eabf40663c57336157cd8ac"/>
      <w:bookmarkEnd w:id="68"/>
      <w:r>
        <w:t>11.2 Cryptographic Selection and Judgment Mechanics</w:t>
      </w:r>
    </w:p>
    <w:p w14:paraId="68970FF9" w14:textId="77777777" w:rsidR="00AB0EAF" w:rsidRDefault="00000000">
      <w:pPr>
        <w:pStyle w:val="FirstParagraph"/>
      </w:pPr>
      <w:r>
        <w:t>When a dispute is opened, the funds in question are immediately locked into a DAO-governed on-chain escrow contract, consistent with the NAP constraint against seizing or freezing a voluntarily signed transaction (Section 2.2) outside of this explicitly authorized process. The protocol then executes a verifiable random function to draw a three- or five-member panel from the eligible reputation pool defined in Section 11.1.</w:t>
      </w:r>
    </w:p>
    <w:p w14:paraId="064CC2FD" w14:textId="77777777" w:rsidR="00AB0EAF" w:rsidRDefault="00000000">
      <w:pPr>
        <w:pStyle w:val="BodyText"/>
      </w:pPr>
      <w:r>
        <w:t>Arbitrators evaluate the submitted evidence strictly through the Evidence Hierarchy described in Section 10.1. To ensure full auditability, rulings are recorded on-chain and are required to cite the specific constitutional article and evidence relied upon, in the same manner already required of AI outputs under Section 10.6. A ruling that cannot be tied to a specific article and specific submitted evidence is treated as malformed rather than valid, and may itself be challenged through the same dispute process. Escrowed funds are released automatically to the prevailing party once a ruling is finalized, with no manual custodial step in between.</w:t>
      </w:r>
    </w:p>
    <w:p w14:paraId="49E11D3B" w14:textId="77777777" w:rsidR="00AB0EAF" w:rsidRDefault="00000000">
      <w:pPr>
        <w:pStyle w:val="Heading2"/>
      </w:pPr>
      <w:bookmarkStart w:id="70" w:name="disputable-domains"/>
      <w:bookmarkEnd w:id="69"/>
      <w:r>
        <w:t>11.3 Disputable Domains</w:t>
      </w:r>
    </w:p>
    <w:p w14:paraId="5C2B388C" w14:textId="77777777" w:rsidR="00AB0EAF" w:rsidRDefault="00000000">
      <w:pPr>
        <w:pStyle w:val="FirstParagraph"/>
      </w:pPr>
      <w:r>
        <w:t xml:space="preserve">Raw code can atomically execute trades and verify signatures, but cannot resolve intent, oracle divergence, or subjective delivery. To prevent leakage to off-chain legal systems or </w:t>
      </w:r>
      <w:r>
        <w:lastRenderedPageBreak/>
        <w:t>centralized arbitrators, the following five domains automatically qualify for the on-chain judiciary process described in Section 11.1–11.2:</w:t>
      </w:r>
    </w:p>
    <w:p w14:paraId="01254415" w14:textId="77777777" w:rsidR="00AB0EAF" w:rsidRDefault="00000000">
      <w:pPr>
        <w:pStyle w:val="Heading3"/>
      </w:pPr>
      <w:bookmarkStart w:id="71" w:name="domain-1-asset-exchange-escrow"/>
      <w:r>
        <w:t>Domain 1: Asset Exchange Escrow</w:t>
      </w:r>
    </w:p>
    <w:p w14:paraId="0DB1785A" w14:textId="77777777" w:rsidR="00AB0EAF" w:rsidRDefault="00000000">
      <w:pPr>
        <w:pStyle w:val="FirstParagraph"/>
      </w:pPr>
      <w:r>
        <w:t>Triggered when a peer-to-peer trade of real-world value for network tokens (Section 14) results in one party claiming non-delivery, a counterfeit asset, or an unmet off-chain condition — a seller claiming a deed transfer is complete while the buyer claims it is invalid, or, just as commonly, an ordinary marketplace buyer paying for physical goods the seller never ships. Funds are locked on opening, and the panel reviews direct evidence — a deed hash and a supporting registry oracle, or a shipping-scan or delivery-photo hash for a physical good — then rules to release funds to the seller, refund the buyer, or split per the evidence. The panel can only move the escrowed funds; it cannot compel a carrier to deliver a package or a registrar to correct a deed, and says so in the ruling when physical recovery remains outside its reach. Rulings must cite the voluntary atomic-exchange principle underlying Section 14 and the Evidence Hierarchy from Section 10.1.</w:t>
      </w:r>
    </w:p>
    <w:p w14:paraId="6C62DA4D" w14:textId="77777777" w:rsidR="00AB0EAF" w:rsidRDefault="00000000">
      <w:pPr>
        <w:pStyle w:val="Heading3"/>
      </w:pPr>
      <w:bookmarkStart w:id="72" w:name="domain-2-resource-oracle-divergence"/>
      <w:bookmarkEnd w:id="71"/>
      <w:r>
        <w:t>Domain 2: Resource Oracle Divergence</w:t>
      </w:r>
    </w:p>
    <w:p w14:paraId="275DBDDD" w14:textId="77777777" w:rsidR="00AB0EAF" w:rsidRDefault="00000000">
      <w:pPr>
        <w:pStyle w:val="FirstParagraph"/>
      </w:pPr>
      <w:r>
        <w:t>Triggered when the token’s physical resource anchor (Section 6.4) shows significant divergence between independent oracle sources within the same reporting window, or a single oracle is suspected of manipulation — for example, an energy oracle reporting a price materially out of line with the broader median. The panel selects the median value, flags the outlying oracle, and slashes its reputation without seizing its underlying stake, consistent with the Core invariants in Section 3.2. Rulings must cite the resource-anchoring model in Section 6.4 and the distinction between replicated analysis and provisional consensus in the Evidence Hierarchy.</w:t>
      </w:r>
    </w:p>
    <w:p w14:paraId="52498925" w14:textId="77777777" w:rsidR="00AB0EAF" w:rsidRDefault="00000000">
      <w:pPr>
        <w:pStyle w:val="Heading3"/>
      </w:pPr>
      <w:bookmarkStart w:id="73" w:name="domain-3-reclamation-contest"/>
      <w:bookmarkEnd w:id="72"/>
      <w:r>
        <w:t>Domain 3: Reclamation Contest</w:t>
      </w:r>
    </w:p>
    <w:p w14:paraId="6A1F43AE" w14:textId="77777777" w:rsidR="00AB0EAF" w:rsidRDefault="00000000">
      <w:pPr>
        <w:pStyle w:val="FirstParagraph"/>
      </w:pPr>
      <w:r>
        <w:t>Triggered when a wallet flagged dormant under the Section 6.3.1 timeline disputes that flag — for example, a heartbeat rejected due to a rate-limit edge case — or when an owner returns within the years 8–11 clawback window claiming a valid recovery but the DAO contests their identity despite a technically valid signature. The panel verifies the cryptographic heartbeat inclusion proof against the epoch Merkle root described in Section 6.3.3, or validates the claimant’s evidence through the same Evidence Hierarchy used elsewhere. Rulings must cite the no-forced-proof-of-personhood guarantee behind the Gasless Heartbeat Protocol (Section 6.3.2) and the general auditability standard in Section 10.6.</w:t>
      </w:r>
    </w:p>
    <w:p w14:paraId="4C7451FC" w14:textId="77777777" w:rsidR="00AB0EAF" w:rsidRDefault="00000000">
      <w:pPr>
        <w:pStyle w:val="Heading3"/>
      </w:pPr>
      <w:bookmarkStart w:id="74" w:name="domain-4-ai-classification-challenge"/>
      <w:bookmarkEnd w:id="73"/>
      <w:r>
        <w:t>Domain 4: AI Classification Challenge</w:t>
      </w:r>
    </w:p>
    <w:p w14:paraId="257A2058" w14:textId="77777777" w:rsidR="00AB0EAF" w:rsidRDefault="00000000">
      <w:pPr>
        <w:pStyle w:val="FirstParagraph"/>
      </w:pPr>
      <w:r>
        <w:t xml:space="preserve">Triggered when a participant challenges one of the AI’s epistemic classifications — Established Fact, Probable Conclusion, Contested Claim, or Speculative Theory — claiming soft-censorship or evidence misweighting. The challenger must supply the relevant audit package from the /audit/inference/{id} endpoint described in Section 15.1, and the panel compares the recorded token probabilities against the classification actually assigned and the scaffolding prompt used. If a genuine anomaly is found, the inference is marked </w:t>
      </w:r>
      <w:r>
        <w:lastRenderedPageBreak/>
        <w:t>contested and flagged for a model-transparency review, but no reputation is slashed on this domain alone, since the goal here is transparency rather than punishment. Rulings must cite the Evidence Hierarchy (Section 10.1), the audit-endpoint requirement (Section 15.1), and the confidence-labeling principle in Section 10.3.</w:t>
      </w:r>
    </w:p>
    <w:p w14:paraId="593783BE" w14:textId="77777777" w:rsidR="00AB0EAF" w:rsidRDefault="00000000">
      <w:pPr>
        <w:pStyle w:val="Heading3"/>
      </w:pPr>
      <w:bookmarkStart w:id="75" w:name="X539732cd5a8f8c0c0aa2e6ef74d3a62e86f1083"/>
      <w:bookmarkEnd w:id="74"/>
      <w:r>
        <w:t>Domain 5: Replication and Healing Misconduct</w:t>
      </w:r>
    </w:p>
    <w:p w14:paraId="41C5FD92" w14:textId="77777777" w:rsidR="00AB0EAF" w:rsidRDefault="00000000">
      <w:pPr>
        <w:pStyle w:val="FirstParagraph"/>
      </w:pPr>
      <w:r>
        <w:t>Triggered when a node operator claims that a defensive replication event was actually aggressive resource acquisition, or that a self-healing isolation event was unjustified censorship of an honest node. The panel reviews the action’s logged evidence hash, timestamp, and constitutional citation, consistent with the threat-responsive replication and self-healing behavior described in Sections 3.1 and 3.3. If the action lacks a valid evidence hash or citation, the operator’s reputation is slashed and the expansion is reversed. Rulings must cite the defensive-versus-aggressive distinction (Section 3.2.1) and the evidence-first logging standard that governs every replication trigger.</w:t>
      </w:r>
    </w:p>
    <w:p w14:paraId="639D92F1" w14:textId="77777777" w:rsidR="00AB0EAF" w:rsidRDefault="00000000">
      <w:pPr>
        <w:pStyle w:val="Heading3"/>
      </w:pPr>
      <w:r>
        <w:t>Domain 6: On/Off-Ramp Non-Delivery</w:t>
      </w:r>
    </w:p>
    <w:p w14:paraId="2F1B1DA4" w14:textId="77777777" w:rsidR="00AB0EAF" w:rsidRDefault="00000000">
      <w:pPr>
        <w:pStyle w:val="FirstParagraph"/>
      </w:pPr>
      <w:r>
        <w:t>Triggered when a party to a fiat on- or off-ramp transaction (Section 11.7) claims the other side did not deliver — dollars wired with no NEXUS released, or NEXUS released with no dollars received. Funds remain in the escrow already established by the ramp flow itself; nothing new is locked. The panel reviews the wire-receipt hash, the bank-balance attestation, and the ramp provider's on-chain transparency log, weighing this evidence the same way as any other domain, not the reputation of the institution supplying it. The losing party, or a party found to have filed frivolously, forfeits the dispute bad-faith bond specified in Section 11.5.1. Rulings must cite the evidence weighed under this domain and the escrow terms established at the transaction’s creation.</w:t>
      </w:r>
    </w:p>
    <w:p w14:paraId="3E4CDA3F" w14:textId="77777777" w:rsidR="00AB0EAF" w:rsidRDefault="00000000">
      <w:pPr>
        <w:pStyle w:val="Heading2"/>
      </w:pPr>
      <w:bookmarkStart w:id="76" w:name="non-arbitrable-actions"/>
      <w:bookmarkEnd w:id="70"/>
      <w:bookmarkEnd w:id="75"/>
      <w:r>
        <w:t>11.4 Non-Arbitrable Actions</w:t>
      </w:r>
    </w:p>
    <w:p w14:paraId="255D692C" w14:textId="77777777" w:rsidR="00AB0EAF" w:rsidRDefault="00000000">
      <w:pPr>
        <w:pStyle w:val="FirstParagraph"/>
      </w:pPr>
      <w:r>
        <w:t>Consistent with the hard-coded invariants described in Section 3.2.1, the following can never be decided by the judiciary, even by unanimous panel or DAO supermajority:</w:t>
      </w:r>
    </w:p>
    <w:p w14:paraId="0B987F00" w14:textId="77777777" w:rsidR="00AB0EAF" w:rsidRDefault="00000000">
      <w:pPr>
        <w:numPr>
          <w:ilvl w:val="0"/>
          <w:numId w:val="30"/>
        </w:numPr>
      </w:pPr>
      <w:r>
        <w:t>Seizing, freezing, or burning a voluntarily held wallet.</w:t>
      </w:r>
    </w:p>
    <w:p w14:paraId="744CD772" w14:textId="77777777" w:rsidR="00AB0EAF" w:rsidRDefault="00000000">
      <w:pPr>
        <w:numPr>
          <w:ilvl w:val="0"/>
          <w:numId w:val="30"/>
        </w:numPr>
      </w:pPr>
      <w:r>
        <w:t>Overriding the Core’s non-aggression invariants through governance — changing these requires the hard-fork escape hatch described in Section 3.2.2, not a ruling.</w:t>
      </w:r>
    </w:p>
    <w:p w14:paraId="42F23650" w14:textId="77777777" w:rsidR="00AB0EAF" w:rsidRDefault="00000000">
      <w:pPr>
        <w:numPr>
          <w:ilvl w:val="0"/>
          <w:numId w:val="30"/>
        </w:numPr>
      </w:pPr>
      <w:r>
        <w:t>Forcing proof-of-personhood or identity disclosure on a passive holder.</w:t>
      </w:r>
    </w:p>
    <w:p w14:paraId="611A6551" w14:textId="77777777" w:rsidR="00AB0EAF" w:rsidRDefault="00000000">
      <w:pPr>
        <w:numPr>
          <w:ilvl w:val="0"/>
          <w:numId w:val="30"/>
        </w:numPr>
      </w:pPr>
      <w:r>
        <w:t>Censoring a valid, voluntarily signed transaction.</w:t>
      </w:r>
    </w:p>
    <w:p w14:paraId="4CADAE7D" w14:textId="77777777" w:rsidR="00AB0EAF" w:rsidRDefault="00000000">
      <w:pPr>
        <w:pStyle w:val="FirstParagraph"/>
      </w:pPr>
      <w:r>
        <w:t>Any dispute filing that attempts to reach one of these outcomes is automatically rejected before a panel is even selected, rather than being allowed to proceed to a ruling that would later be struck down.</w:t>
      </w:r>
    </w:p>
    <w:p w14:paraId="3E0BD7FD" w14:textId="77777777" w:rsidR="00AB0EAF" w:rsidRDefault="00000000">
      <w:pPr>
        <w:pStyle w:val="Heading2"/>
      </w:pPr>
      <w:bookmarkStart w:id="77" w:name="dispute-lifecycle"/>
      <w:bookmarkEnd w:id="76"/>
      <w:r>
        <w:t>11.5 Dispute Lifecycle</w:t>
      </w:r>
    </w:p>
    <w:p w14:paraId="6769D1EF" w14:textId="77777777" w:rsidR="00AB0EAF" w:rsidRDefault="00000000">
      <w:pPr>
        <w:pStyle w:val="FirstParagraph"/>
      </w:pPr>
      <w:r>
        <w:t>A dispute moves through a fixed sequence from filing to enforcement:</w:t>
      </w:r>
    </w:p>
    <w:p w14:paraId="61A7B389" w14:textId="77777777" w:rsidR="00AB0EAF" w:rsidRDefault="00000000">
      <w:pPr>
        <w:numPr>
          <w:ilvl w:val="0"/>
          <w:numId w:val="31"/>
        </w:numPr>
      </w:pPr>
      <w:r>
        <w:lastRenderedPageBreak/>
        <w:t>Open: the filer submits the disputed domain, evidence hashes, and counterparty; the relevant funds are immediately locked to the on-chain escrow contract described in Section 11.2.</w:t>
      </w:r>
    </w:p>
    <w:p w14:paraId="799F7651" w14:textId="77777777" w:rsidR="00AB0EAF" w:rsidRDefault="00000000">
      <w:pPr>
        <w:numPr>
          <w:ilvl w:val="0"/>
          <w:numId w:val="31"/>
        </w:numPr>
      </w:pPr>
      <w:r>
        <w:t>Filter: the protocol filters the arbitrator pool using the Section 11.1 criteria (reputation of at least 75, node age of at least one year, reputation exceeding stake).</w:t>
      </w:r>
    </w:p>
    <w:p w14:paraId="758B02AD" w14:textId="77777777" w:rsidR="00AB0EAF" w:rsidRDefault="00000000">
      <w:pPr>
        <w:numPr>
          <w:ilvl w:val="0"/>
          <w:numId w:val="31"/>
        </w:numPr>
      </w:pPr>
      <w:r>
        <w:t>Select: a verifiable random function draws a three-member panel for smaller disputes or a five-member panel for larger ones, and publishes the randomness proof so selection cannot be predicted or bribed in advance.</w:t>
      </w:r>
    </w:p>
    <w:p w14:paraId="70F28D6C" w14:textId="77777777" w:rsidR="00AB0EAF" w:rsidRDefault="00000000">
      <w:pPr>
        <w:numPr>
          <w:ilvl w:val="0"/>
          <w:numId w:val="31"/>
        </w:numPr>
      </w:pPr>
      <w:r>
        <w:t>Evaluate: the panel has a fixed review window, roughly two weeks, to weigh the evidence through the Evidence Hierarchy and prepare a citation-backed ruling.</w:t>
      </w:r>
    </w:p>
    <w:p w14:paraId="24285BB3" w14:textId="77777777" w:rsidR="00AB0EAF" w:rsidRDefault="00000000">
      <w:pPr>
        <w:numPr>
          <w:ilvl w:val="0"/>
          <w:numId w:val="31"/>
        </w:numPr>
      </w:pPr>
      <w:r>
        <w:t>Commit: the panel submits its ruling together with the constitutional citations and evidence hashes it relied on; a ruling missing either is rejected as malformed under Section 11.2.</w:t>
      </w:r>
    </w:p>
    <w:p w14:paraId="3B52B86C" w14:textId="77777777" w:rsidR="00AB0EAF" w:rsidRDefault="00000000">
      <w:pPr>
        <w:numPr>
          <w:ilvl w:val="0"/>
          <w:numId w:val="31"/>
        </w:numPr>
      </w:pPr>
      <w:r>
        <w:t>Execute: the smart contract automatically carries out the ruling (release, refund, split, or flag) and writes the action to the audit log described in Section 15.1.</w:t>
      </w:r>
    </w:p>
    <w:p w14:paraId="6F79CB44" w14:textId="77777777" w:rsidR="00AB0EAF" w:rsidRDefault="00000000">
      <w:pPr>
        <w:numPr>
          <w:ilvl w:val="0"/>
          <w:numId w:val="31"/>
        </w:numPr>
      </w:pPr>
      <w:r>
        <w:t>Appeal: a single appeal is allowed within a short window if genuine new direct evidence surfaces, heard by a fresh panel and requiring a bond that is returned only if the appeal succeeds, discouraging frivolous re-litigation.</w:t>
      </w:r>
    </w:p>
    <w:p w14:paraId="2E77ED36" w14:textId="77777777" w:rsidR="00AB0EAF" w:rsidRDefault="00000000">
      <w:pPr>
        <w:pStyle w:val="Heading3"/>
      </w:pPr>
      <w:r>
        <w:t>11.5.1 Dispute Bad-Faith Bond, and the Three Bonds Distinguished</w:t>
      </w:r>
    </w:p>
    <w:p w14:paraId="49D3EDAF" w14:textId="77777777" w:rsidR="00AB0EAF" w:rsidRDefault="00000000">
      <w:pPr>
        <w:pStyle w:val="FirstParagraph"/>
      </w:pPr>
      <w:r>
        <w:t>Filing a dispute costs a bond of 0.5% of the disputed amount, forfeited if the filer is found to have acted in bad faith or the dispute is ruled frivolous, split evenly between the Counter-Cyclical Reserve (Section 6.8.6) and the prevailing party. This is the bond referenced throughout Section 11, including Domain 6 (Section 11.3).</w:t>
      </w:r>
    </w:p>
    <w:p w14:paraId="62522DD6" w14:textId="77777777" w:rsidR="00AB0EAF" w:rsidRDefault="00000000">
      <w:pPr>
        <w:pStyle w:val="FirstParagraph"/>
      </w:pPr>
      <w:r>
        <w:t>Three distinct bonds appear across this paper, deliberately isolated from one another with no functional overlap: the high-responsibility-seat bond (Section 12.3), posted voluntarily to occupy a validator or arbitrator seat, forfeited only on proven cryptographic equivocation; the duty-opt-out bond (Section 10.7.5), posted to decline the mandatory inference duty while keeping ordinary node status; and this dispute bad-faith bond, posted only when filing a dispute, forfeited only on a bad-faith or frivolous finding. None of the three can be substituted for another, and losing one never affects standing under the other two.</w:t>
      </w:r>
    </w:p>
    <w:p w14:paraId="05B54DBA" w14:textId="77777777" w:rsidR="00AB0EAF" w:rsidRDefault="00000000">
      <w:pPr>
        <w:pStyle w:val="Heading2"/>
      </w:pPr>
      <w:bookmarkStart w:id="78" w:name="sybil-and-bribery-protections"/>
      <w:bookmarkEnd w:id="77"/>
      <w:r>
        <w:t>11.6 Sybil and Bribery Protections</w:t>
      </w:r>
    </w:p>
    <w:p w14:paraId="17738A07" w14:textId="77777777" w:rsidR="00AB0EAF" w:rsidRDefault="00000000">
      <w:pPr>
        <w:pStyle w:val="FirstParagraph"/>
      </w:pPr>
      <w:r>
        <w:t>Beyond the reputation and randomness safeguards already described, the dispute system layers in a few additional protections against coordinated abuse:</w:t>
      </w:r>
    </w:p>
    <w:p w14:paraId="4682DD86" w14:textId="77777777" w:rsidR="00AB0EAF" w:rsidRDefault="00000000">
      <w:pPr>
        <w:numPr>
          <w:ilvl w:val="0"/>
          <w:numId w:val="32"/>
        </w:numPr>
      </w:pPr>
      <w:r>
        <w:t>Unpredictable selection: because the panel is drawn by verifiable random function only once a dispute is sealed, there is no window in which to bribe a known arbitrator in advance.</w:t>
      </w:r>
    </w:p>
    <w:p w14:paraId="25793340" w14:textId="77777777" w:rsidR="00AB0EAF" w:rsidRDefault="00000000">
      <w:pPr>
        <w:numPr>
          <w:ilvl w:val="0"/>
          <w:numId w:val="32"/>
        </w:numPr>
      </w:pPr>
      <w:r>
        <w:lastRenderedPageBreak/>
        <w:t>Non-transferable reputation: since reputation accrues only through sustained uptime and historically accurate rulings, it cannot simply be purchased or transferred to a colluding identity.</w:t>
      </w:r>
    </w:p>
    <w:p w14:paraId="35AFE25C" w14:textId="77777777" w:rsidR="00AB0EAF" w:rsidRDefault="00000000">
      <w:pPr>
        <w:numPr>
          <w:ilvl w:val="0"/>
          <w:numId w:val="32"/>
        </w:numPr>
      </w:pPr>
      <w:r>
        <w:t>Bond and slash: a dispute filed in bad faith costs the filer a bond paid to the DAO treasury, and an arbitrator provably accepting a bribe has their reputation slashed to zero, removing them from future panels entirely.</w:t>
      </w:r>
    </w:p>
    <w:p w14:paraId="378BC188" w14:textId="77777777" w:rsidR="00AB0EAF" w:rsidRDefault="00000000">
      <w:pPr>
        <w:numPr>
          <w:ilvl w:val="0"/>
          <w:numId w:val="32"/>
        </w:numPr>
      </w:pPr>
      <w:r>
        <w:t>Open audit: every ruling, along with the underlying evidence and, for AI-classification disputes, the token-probability data from Section 15.1, is published for public review rather than settled privately.</w:t>
      </w:r>
    </w:p>
    <w:p w14:paraId="078C5DA5" w14:textId="77777777" w:rsidR="00AB0EAF" w:rsidRDefault="00000000">
      <w:pPr>
        <w:pStyle w:val="Heading2"/>
      </w:pPr>
      <w:r>
        <w:t>11.7 On- and Off-Ramps Through Nexus Itself</w:t>
      </w:r>
    </w:p>
    <w:p w14:paraId="2EF13140" w14:textId="77777777" w:rsidR="00AB0EAF" w:rsidRDefault="00000000">
      <w:pPr>
        <w:pStyle w:val="FirstParagraph"/>
      </w:pPr>
      <w:r>
        <w:t>This section describes how value moves between Nexus and traditional banking without routing that entire boundary through a single custodial chokepoint, and without collapsing the privacy the rest of this paper protects inside the network. The design rests on one distinction: activity entirely inside Nexus is private by right; the specific point where Nexus touches a bank account is transparent by design, because that is where regulators and counterparties reasonably expect visibility. Only the edge is transparent — not the network behind it.</w:t>
      </w:r>
    </w:p>
    <w:p w14:paraId="75FB2177" w14:textId="77777777" w:rsidR="00AB0EAF" w:rsidRDefault="00000000">
      <w:pPr>
        <w:pStyle w:val="BodyText"/>
      </w:pPr>
      <w:r>
        <w:rPr>
          <w:b/>
        </w:rPr>
        <w:t xml:space="preserve">Zone 1: inside Nexus. </w:t>
      </w:r>
      <w:r>
        <w:t>Wallet-to-wallet transfers, marketplace activity, tending, and parking wealth remain private, governed by the same gasless heartbeat mechanics (Section 6.3.2) and proof-of-personhood protections (Section 12.1) as everywhere else in this paper. Active balances are never reduced without consent, and dormancy compost applies only to already-dormant wallets, exactly as established in Section 6.3.</w:t>
      </w:r>
    </w:p>
    <w:p w14:paraId="3E3FBB6E" w14:textId="77777777" w:rsidR="00AB0EAF" w:rsidRDefault="00000000">
      <w:pPr>
        <w:pStyle w:val="BodyText"/>
      </w:pPr>
      <w:r>
        <w:rPr>
          <w:b/>
        </w:rPr>
        <w:t xml:space="preserve">Zone 2: the edge. </w:t>
      </w:r>
      <w:r>
        <w:t>A ramp provider — a separate legal entity, not the Nexus protocol itself — holds the bank account and carries the compliance burden that comes with it, the same way a marketplace seller holds their own bank account while a platform only escrows the trade. The protocol's on-chain record of a ramp transaction is transparent but pseudonymous: a wallet ID, an amount, a timestamp, and a proof hash of the wire receipt — no name, no personal information. The provider separately retains whatever know-your-customer record their own bank already requires of them; the protocol never collects it and never takes custody of the dollars themselves. The protocol is transparent about the flow; the provider, under its own existing obligations, is accountable for the identity behind it. This is an architectural boundary, not a claim of regulatory compliance in any specific jurisdiction — the actual money-transmission and KYC/AML classification questions it raises remain open items tracked in Section 16.3, the same as every other unresolved legal question in this paper.</w:t>
      </w:r>
    </w:p>
    <w:p w14:paraId="2E0645B3" w14:textId="77777777" w:rsidR="00AB0EAF" w:rsidRDefault="00000000">
      <w:pPr>
        <w:pStyle w:val="BodyText"/>
      </w:pPr>
      <w:r>
        <w:rPr>
          <w:b/>
        </w:rPr>
        <w:t xml:space="preserve">On-ramp flow. </w:t>
      </w:r>
      <w:r>
        <w:t>The provider posts an offer at a stated rate and locks the corresponding NEXUS in protocol escrow from their own holdings, demonstrating they actually have it to sell. The buyer wires dollars to the provider's bank; the wire receipt hash, attested by the same three-feed oracle mechanism used elsewhere in this paper (Appendix C.7), becomes the proof. Once the provider confirms receipt, the escrow releases to the buyer.</w:t>
      </w:r>
    </w:p>
    <w:p w14:paraId="41ACBC98" w14:textId="77777777" w:rsidR="00AB0EAF" w:rsidRDefault="00000000">
      <w:pPr>
        <w:pStyle w:val="BodyText"/>
      </w:pPr>
      <w:r>
        <w:rPr>
          <w:b/>
        </w:rPr>
        <w:lastRenderedPageBreak/>
        <w:t xml:space="preserve">Off-ramp flow. </w:t>
      </w:r>
      <w:r>
        <w:t>The buyer locks NEXUS in escrow; the provider locks the corresponding dollar amount in their own bank-escrow account, attested the same way. The NEXUS held in escrow is not burned and is not counted in circulating supply calculations while it sits there — only the transfer changes hands. Once the provider wires the dollars and the buyer confirms, escrow releases the NEXUS to the provider.</w:t>
      </w:r>
    </w:p>
    <w:p w14:paraId="1ACBE185" w14:textId="77777777" w:rsidR="00AB0EAF" w:rsidRDefault="00000000">
      <w:pPr>
        <w:pStyle w:val="BodyText"/>
      </w:pPr>
      <w:r>
        <w:rPr>
          <w:b/>
        </w:rPr>
        <w:t xml:space="preserve">Disputes. </w:t>
      </w:r>
      <w:r>
        <w:t>If either side claims non-delivery, the dispute is handled entirely by the existing on-chain judiciary — Domain 6 in Section 11.3 — through the same small, randomly selected, reputation-weighted panel used for every other disputable domain in this paper, not by a network-wide vote. The standard evidence window (2,016 blocks, ≈14 days) applies, extended by one epoch if Winter Mode (Section 6.2.1) is active when the dispute opens, since a contracting network is not the moment to rush a ruling.</w:t>
      </w:r>
    </w:p>
    <w:p w14:paraId="1A977E0A" w14:textId="77777777" w:rsidR="00AB0EAF" w:rsidRDefault="00000000">
      <w:pPr>
        <w:pStyle w:val="Heading1"/>
      </w:pPr>
      <w:bookmarkStart w:id="79" w:name="identity-and-reputation-layer"/>
      <w:bookmarkEnd w:id="67"/>
      <w:bookmarkEnd w:id="78"/>
      <w:r>
        <w:t>12. Identity and Reputation Layer</w:t>
      </w:r>
    </w:p>
    <w:p w14:paraId="40CB0D7D" w14:textId="77777777" w:rsidR="00AB0EAF" w:rsidRDefault="00000000">
      <w:pPr>
        <w:pStyle w:val="FirstParagraph"/>
      </w:pPr>
      <w:r>
        <w:t>Several mechanisms elsewhere in this paper — DAO voting (Section 4.1), arbitrator selection (Section 11.2) — depend on distinguishing genuine, distinct participants from an attacker controlling many wallets. This section defines the identity and reputation primitives those mechanisms rely on.</w:t>
      </w:r>
    </w:p>
    <w:p w14:paraId="48D155AB" w14:textId="77777777" w:rsidR="00AB0EAF" w:rsidRDefault="00000000">
      <w:pPr>
        <w:pStyle w:val="Heading2"/>
      </w:pPr>
      <w:bookmarkStart w:id="80" w:name="zero-knowledge-proof-of-personhood"/>
      <w:r>
        <w:t>12.1 Zero-Knowledge Proof-of-Personhood</w:t>
      </w:r>
    </w:p>
    <w:p w14:paraId="21D0521F" w14:textId="77777777" w:rsidR="00AB0EAF" w:rsidRDefault="00000000">
      <w:pPr>
        <w:pStyle w:val="FirstParagraph"/>
      </w:pPr>
      <w:r>
        <w:t>Participants can generate a zero-knowledge proof that they are a distinct human participant without revealing their underlying identity to the network or to any counterparty. This is intended to prevent Sybil attacks — the creation of many apparently-independent identities by a single actor — and wallet splitting, in which a holder divides funds or activity across multiple addresses to gain disproportionate influence over voting, arbitrator selection, or reputation-weighted mechanisms. Proof-of-personhood is a prerequisite for governance weight and arbitrator eligibility, but does not gate ordinary transaction activity, consistent with the network’s non-KYC design goal in Section 8.</w:t>
      </w:r>
    </w:p>
    <w:p w14:paraId="4FEB304D" w14:textId="77777777" w:rsidR="00AB0EAF" w:rsidRDefault="00000000">
      <w:pPr>
        <w:pStyle w:val="Heading2"/>
      </w:pPr>
      <w:bookmarkStart w:id="81" w:name="non-transferable-reputation-score"/>
      <w:bookmarkEnd w:id="80"/>
      <w:r>
        <w:t>12.2 Non-Transferable Reputation Score</w:t>
      </w:r>
    </w:p>
    <w:p w14:paraId="0CA8C6ED" w14:textId="77777777" w:rsidR="00AB0EAF" w:rsidRDefault="00000000">
      <w:pPr>
        <w:pStyle w:val="FirstParagraph"/>
      </w:pPr>
      <w:r>
        <w:t>Each proof-of-personhood-verified participant accrues a reputation score tied to their verified identity rather than to a wallet, so it cannot be bought, sold, or transferred independently of the participation that earned it. The score decays gradually during periods of inactivity and recovers with sustained, consistent participation over time, rather than resetting abruptly or remaining permanently fixed after a single action. This score is the input to arbitrator selection weighting in Section 11.2 and gates log-witness and Core-candidate eligibility (Section 3.5), and may inform other reputation-weighted mechanisms the DAO adopts under Section 4.2. Section 12.2.1 specifies the decay curve, recovery rate, and temporal-hardening function in full; the incentive-compatibility of those constants against sophisticated reputation-farming remains open parameters requiring modeling before implementation (see Section 16).</w:t>
      </w:r>
    </w:p>
    <w:p w14:paraId="41E43A7B" w14:textId="77777777" w:rsidR="00AB0EAF" w:rsidRDefault="00000000">
      <w:pPr>
        <w:pStyle w:val="Heading3"/>
      </w:pPr>
      <w:bookmarkStart w:id="82" w:name="reputation-decay-and-recovery-function"/>
      <w:r>
        <w:lastRenderedPageBreak/>
        <w:t>12.2.1 Reputation Decay and Recovery Function</w:t>
      </w:r>
    </w:p>
    <w:p w14:paraId="6BA445FD" w14:textId="77777777" w:rsidR="00AB0EAF" w:rsidRDefault="00000000">
      <w:pPr>
        <w:pStyle w:val="FirstParagraph"/>
      </w:pPr>
      <w:r>
        <w:t>Reputation is a continuous score R in [0, 100]. After a short grace period, inactivity produces gradual decay. Qualifying work — especially log-witness QC contributions and resource tending — produces recovery proportional to action weight. A temporal-hardening multiplier based on first-seen age rises from near zero to full strength over a long window, so that effective reputation for high-responsibility roles requires both sustained work and time-in-network. Proven equivocation triggers an immediate large penalty and cool-down separate from ordinary decay. All rates, weights, windows, and thresholds below are epoch parameters.</w:t>
      </w:r>
    </w:p>
    <w:p w14:paraId="181DFBCA" w14:textId="77777777" w:rsidR="00AB0EAF" w:rsidRDefault="00000000">
      <w:pPr>
        <w:pStyle w:val="SourceCode"/>
      </w:pPr>
      <w:r>
        <w:rPr>
          <w:rStyle w:val="VerbatimChar"/>
        </w:rPr>
        <w:t>Grace period:      no decay for G blocks (candidate: 144) after any</w:t>
      </w:r>
      <w:r>
        <w:br/>
      </w:r>
      <w:r>
        <w:rPr>
          <w:rStyle w:val="VerbatimChar"/>
        </w:rPr>
        <w:t xml:space="preserve">                    positive action or after joining.</w:t>
      </w:r>
      <w:r>
        <w:br/>
      </w:r>
      <w:r>
        <w:br/>
      </w:r>
      <w:r>
        <w:rPr>
          <w:rStyle w:val="VerbatimChar"/>
        </w:rPr>
        <w:t>Decay:              R(t+1) = R(t) x (1 - d)            [once G has</w:t>
      </w:r>
      <w:r>
        <w:br/>
      </w:r>
      <w:r>
        <w:rPr>
          <w:rStyle w:val="VerbatimChar"/>
        </w:rPr>
        <w:t xml:space="preserve">                    elapsed with no qualifying action; candidate</w:t>
      </w:r>
      <w:r>
        <w:br/>
      </w:r>
      <w:r>
        <w:rPr>
          <w:rStyle w:val="VerbatimChar"/>
        </w:rPr>
        <w:t xml:space="preserve">                    d = 0.00001 per block]</w:t>
      </w:r>
      <w:r>
        <w:br/>
      </w:r>
      <w:r>
        <w:br/>
      </w:r>
      <w:r>
        <w:rPr>
          <w:rStyle w:val="VerbatimChar"/>
        </w:rPr>
        <w:t>Recovery:            R(t+1) = min(100, R(t) + a x w)     [on a</w:t>
      </w:r>
      <w:r>
        <w:br/>
      </w:r>
      <w:r>
        <w:rPr>
          <w:rStyle w:val="VerbatimChar"/>
        </w:rPr>
        <w:t xml:space="preserve">                    qualifying action of weight w; candidate</w:t>
      </w:r>
      <w:r>
        <w:br/>
      </w:r>
      <w:r>
        <w:rPr>
          <w:rStyle w:val="VerbatimChar"/>
        </w:rPr>
        <w:t xml:space="preserve">                    a = 0.000005 per block equivalent]</w:t>
      </w:r>
      <w:r>
        <w:br/>
      </w:r>
      <w:r>
        <w:br/>
      </w:r>
      <w:r>
        <w:rPr>
          <w:rStyle w:val="VerbatimChar"/>
        </w:rPr>
        <w:t>Temporal hardening:  R_effective = R x H(t_first)</w:t>
      </w:r>
      <w:r>
        <w:br/>
      </w:r>
      <w:r>
        <w:rPr>
          <w:rStyle w:val="VerbatimChar"/>
        </w:rPr>
        <w:t xml:space="preserve">                    H(t) = min(1, (t - t_first) / T_harden)</w:t>
      </w:r>
      <w:r>
        <w:br/>
      </w:r>
      <w:r>
        <w:rPr>
          <w:rStyle w:val="VerbatimChar"/>
        </w:rPr>
        <w:t xml:space="preserve">                    [candidate T_harden = 52,560 blocks, ~1 year</w:t>
      </w:r>
      <w:r>
        <w:br/>
      </w:r>
      <w:r>
        <w:rPr>
          <w:rStyle w:val="VerbatimChar"/>
        </w:rPr>
        <w:t xml:space="preserve">                    at a 10-minute block interval]</w:t>
      </w:r>
    </w:p>
    <w:p w14:paraId="5151380B" w14:textId="77777777" w:rsidR="00AB0EAF" w:rsidRDefault="00000000">
      <w:pPr>
        <w:pStyle w:val="FirstParagraph"/>
      </w:pPr>
      <w:r>
        <w:t>Effective reputation, not raw reputation, gates log-witness, Core-candidate, validator, arbitrator, and oracle eligibility — so a brand-new identity cannot occupy a high-responsibility seat regardless of raw score.</w:t>
      </w:r>
    </w:p>
    <w:p w14:paraId="33DFD8A9" w14:textId="77777777" w:rsidR="00AB0EAF" w:rsidRDefault="00000000">
      <w:pPr>
        <w:pStyle w:val="BodyText"/>
      </w:pPr>
      <w:r>
        <w:t>Suggested action weights, all epoch parameters:</w:t>
      </w:r>
    </w:p>
    <w:tbl>
      <w:tblPr>
        <w:tblStyle w:val="Table"/>
        <w:tblW w:w="0" w:type="auto"/>
        <w:tblLook w:val="0020" w:firstRow="1" w:lastRow="0" w:firstColumn="0" w:lastColumn="0" w:noHBand="0" w:noVBand="0"/>
      </w:tblPr>
      <w:tblGrid>
        <w:gridCol w:w="5627"/>
        <w:gridCol w:w="1806"/>
      </w:tblGrid>
      <w:tr w:rsidR="00AB0EAF" w14:paraId="4BD51503" w14:textId="77777777" w:rsidTr="00AB0EAF">
        <w:trPr>
          <w:cnfStyle w:val="100000000000" w:firstRow="1" w:lastRow="0" w:firstColumn="0" w:lastColumn="0" w:oddVBand="0" w:evenVBand="0" w:oddHBand="0" w:evenHBand="0" w:firstRowFirstColumn="0" w:firstRowLastColumn="0" w:lastRowFirstColumn="0" w:lastRowLastColumn="0"/>
          <w:tblHeader/>
        </w:trPr>
        <w:tc>
          <w:tcPr>
            <w:tcW w:w="0" w:type="auto"/>
          </w:tcPr>
          <w:p w14:paraId="2D879CFE" w14:textId="77777777" w:rsidR="00AB0EAF" w:rsidRDefault="00000000">
            <w:pPr>
              <w:pStyle w:val="Compact"/>
            </w:pPr>
            <w:r>
              <w:t>Action</w:t>
            </w:r>
          </w:p>
        </w:tc>
        <w:tc>
          <w:tcPr>
            <w:tcW w:w="0" w:type="auto"/>
          </w:tcPr>
          <w:p w14:paraId="469E8EB2" w14:textId="77777777" w:rsidR="00AB0EAF" w:rsidRDefault="00000000">
            <w:pPr>
              <w:pStyle w:val="Compact"/>
            </w:pPr>
            <w:r>
              <w:t>Relative weight</w:t>
            </w:r>
          </w:p>
        </w:tc>
      </w:tr>
      <w:tr w:rsidR="00AB0EAF" w14:paraId="101F3DD9" w14:textId="77777777">
        <w:tc>
          <w:tcPr>
            <w:tcW w:w="0" w:type="auto"/>
          </w:tcPr>
          <w:p w14:paraId="4893DF78" w14:textId="77777777" w:rsidR="00AB0EAF" w:rsidRDefault="00000000">
            <w:pPr>
              <w:pStyle w:val="Compact"/>
            </w:pPr>
            <w:r>
              <w:t>Valid log-witness attestation / QC contribution</w:t>
            </w:r>
          </w:p>
        </w:tc>
        <w:tc>
          <w:tcPr>
            <w:tcW w:w="0" w:type="auto"/>
          </w:tcPr>
          <w:p w14:paraId="6BF0CE17" w14:textId="77777777" w:rsidR="00AB0EAF" w:rsidRDefault="00000000">
            <w:pPr>
              <w:pStyle w:val="Compact"/>
            </w:pPr>
            <w:r>
              <w:t>Highest (3–5x)</w:t>
            </w:r>
          </w:p>
        </w:tc>
      </w:tr>
      <w:tr w:rsidR="00AB0EAF" w14:paraId="41B59166" w14:textId="77777777">
        <w:tc>
          <w:tcPr>
            <w:tcW w:w="0" w:type="auto"/>
          </w:tcPr>
          <w:p w14:paraId="19945A1E" w14:textId="77777777" w:rsidR="00AB0EAF" w:rsidRDefault="00000000">
            <w:pPr>
              <w:pStyle w:val="Compact"/>
            </w:pPr>
            <w:r>
              <w:t>Continuous resource tending (storage, audit serving)</w:t>
            </w:r>
          </w:p>
        </w:tc>
        <w:tc>
          <w:tcPr>
            <w:tcW w:w="0" w:type="auto"/>
          </w:tcPr>
          <w:p w14:paraId="6B51F1C9" w14:textId="77777777" w:rsidR="00AB0EAF" w:rsidRDefault="00000000">
            <w:pPr>
              <w:pStyle w:val="Compact"/>
            </w:pPr>
            <w:r>
              <w:t>High (2–3x)</w:t>
            </w:r>
          </w:p>
        </w:tc>
      </w:tr>
      <w:tr w:rsidR="00AB0EAF" w14:paraId="7DCF6203" w14:textId="77777777">
        <w:tc>
          <w:tcPr>
            <w:tcW w:w="0" w:type="auto"/>
          </w:tcPr>
          <w:p w14:paraId="6D97C6C0" w14:textId="77777777" w:rsidR="00AB0EAF" w:rsidRDefault="00000000">
            <w:pPr>
              <w:pStyle w:val="Compact"/>
            </w:pPr>
            <w:r>
              <w:t>Ordinary validator duties / block production</w:t>
            </w:r>
          </w:p>
        </w:tc>
        <w:tc>
          <w:tcPr>
            <w:tcW w:w="0" w:type="auto"/>
          </w:tcPr>
          <w:p w14:paraId="72B0A5A3" w14:textId="77777777" w:rsidR="00AB0EAF" w:rsidRDefault="00000000">
            <w:pPr>
              <w:pStyle w:val="Compact"/>
            </w:pPr>
            <w:r>
              <w:t>Medium (1x)</w:t>
            </w:r>
          </w:p>
        </w:tc>
      </w:tr>
      <w:tr w:rsidR="00AB0EAF" w14:paraId="2FC6FF2F" w14:textId="77777777">
        <w:tc>
          <w:tcPr>
            <w:tcW w:w="0" w:type="auto"/>
          </w:tcPr>
          <w:p w14:paraId="17EFFA6A" w14:textId="77777777" w:rsidR="00AB0EAF" w:rsidRDefault="00000000">
            <w:pPr>
              <w:pStyle w:val="Compact"/>
            </w:pPr>
            <w:r>
              <w:t>Other measured contributions</w:t>
            </w:r>
          </w:p>
        </w:tc>
        <w:tc>
          <w:tcPr>
            <w:tcW w:w="0" w:type="auto"/>
          </w:tcPr>
          <w:p w14:paraId="6C666895" w14:textId="77777777" w:rsidR="00AB0EAF" w:rsidRDefault="00000000">
            <w:pPr>
              <w:pStyle w:val="Compact"/>
            </w:pPr>
            <w:r>
              <w:t>Lower</w:t>
            </w:r>
          </w:p>
        </w:tc>
      </w:tr>
    </w:tbl>
    <w:p w14:paraId="00388D03" w14:textId="77777777" w:rsidR="00AB0EAF" w:rsidRDefault="00000000">
      <w:pPr>
        <w:pStyle w:val="BodyText"/>
      </w:pPr>
      <w:r>
        <w:t>Proven equivocation or bribery/oracle manipulation triggers the slash-to-zero penalty already established for that class of violation, plus ejection from any privileged role and a multi-epoch cool-down — this is a distinct, sharper path than ordinary decay, not a variant of it.</w:t>
      </w:r>
    </w:p>
    <w:p w14:paraId="148664E3" w14:textId="77777777" w:rsidR="00AB0EAF" w:rsidRDefault="00000000">
      <w:pPr>
        <w:pStyle w:val="BodyText"/>
      </w:pPr>
      <w:r>
        <w:t xml:space="preserve">Two edge cases worth stating explicitly: a node offline for weeks and then returning resumes recovery immediately upon new qualifying work, with temporal hardening unaffected by the absence; a Sybil farm of freshly created nodes is structurally ineffective </w:t>
      </w:r>
      <w:r>
        <w:lastRenderedPageBreak/>
        <w:t>for high-responsibility roles regardless of raw score, since the hardening window cannot be bypassed by any action, only by time.</w:t>
      </w:r>
    </w:p>
    <w:p w14:paraId="02D9262C" w14:textId="77777777" w:rsidR="00AB0EAF" w:rsidRDefault="00000000">
      <w:pPr>
        <w:pStyle w:val="BodyText"/>
      </w:pPr>
      <w:r>
        <w:t xml:space="preserve">One choice is not yet settled and is more than a constant: whether decay is multiplicative (R asymptotically approaches but never reaches zero) or linear (R reaches exactly zero in finite time, as </w:t>
      </w:r>
      <w:r>
        <w:rPr>
          <w:rStyle w:val="VerbatimChar"/>
        </w:rPr>
        <w:t>max(0, R(t) - d')</w:t>
      </w:r>
      <w:r>
        <w:t>) changes the long-run dynamics, not just the rate. The multiplicative form above is proposed as the default; the linear alternative remains an option pending a decision, not merely a parameter substitution within one fixed form.</w:t>
      </w:r>
    </w:p>
    <w:p w14:paraId="5F9A0F53" w14:textId="77777777" w:rsidR="00AB0EAF" w:rsidRDefault="00000000">
      <w:pPr>
        <w:pStyle w:val="Heading2"/>
      </w:pPr>
      <w:bookmarkStart w:id="83" w:name="sybil-resistance"/>
      <w:bookmarkEnd w:id="81"/>
      <w:bookmarkEnd w:id="82"/>
      <w:r>
        <w:t>12.3 Sybil Resistance</w:t>
      </w:r>
    </w:p>
    <w:p w14:paraId="344ACF09" w14:textId="77777777" w:rsidR="00AB0EAF" w:rsidRDefault="00000000">
      <w:pPr>
        <w:pStyle w:val="FirstParagraph"/>
      </w:pPr>
      <w:r>
        <w:t>Effective power in high-responsibility roles requires both time-in-network and sustained, measurable work. Effective reputation for eligibility and weighting combines two independent factors, per Section 12.2.1: cumulative work product, through the raw reputation score’s recovery function, and first-seen age, through the temporal-hardening multiplier. An identity that merely exists without contributing therefore remains weak on the work axis even once the hardening window has fully matured.</w:t>
      </w:r>
    </w:p>
    <w:p w14:paraId="34F54DD5" w14:textId="77777777" w:rsidR="00AB0EAF" w:rsidRDefault="00000000">
      <w:pPr>
        <w:pStyle w:val="BodyText"/>
      </w:pPr>
      <w:r>
        <w:t>Maintaining competitive reputation further demands ongoing real resource contribution — tending, log-witness participation, storage, and related duties — turning each additional identity into a continuous operating cost. Hybrid seat rotation and standing eligibility gates (Section 3.5) already limit the ability of newly created or low-work identities to enter the log-witness set or Core candidate pool.</w:t>
      </w:r>
    </w:p>
    <w:p w14:paraId="41B7BBBF" w14:textId="77777777" w:rsidR="00AB0EAF" w:rsidRDefault="00000000">
      <w:pPr>
        <w:pStyle w:val="BodyText"/>
      </w:pPr>
      <w:r>
        <w:t>An optional, narrowly scoped voluntary bond may be required to occupy high-responsibility seats. The bond is returned in full on clean exit and may be touched only upon proven equivocation — this is the one exception to the NAP protection against balance slashing described in Section 3.5, and it is defensible on the same voluntary-exchange grounds as the rest of the Constitution (Section 2.2): a participant who chooses to post a specific, disclosed bond as a condition of a specific privileged role is not having funds seized, any more than posting collateral for a voluntarily accepted loan is. This bond is distinct from a participant’s ordinary balance, which remains untouchable regardless of role.</w:t>
      </w:r>
    </w:p>
    <w:p w14:paraId="40AA6049" w14:textId="77777777" w:rsidR="00AB0EAF" w:rsidRDefault="00000000">
      <w:pPr>
        <w:pStyle w:val="BodyText"/>
      </w:pPr>
      <w:r>
        <w:t>Beyond the zero-knowledge proof-of-personhood already established in Section 12.1, biometric or identity-revealing unique-human proofs, mandatory identity disclosure, and broad surveillance methods are deliberately rejected as incompatible with minority exit, the Non-Aggression invariants, and the long-term design horizon.</w:t>
      </w:r>
    </w:p>
    <w:p w14:paraId="633C9873" w14:textId="77777777" w:rsidR="00AB0EAF" w:rsidRDefault="00000000">
      <w:pPr>
        <w:pStyle w:val="BodyText"/>
      </w:pPr>
      <w:r>
        <w:t>All thresholds, weighting functions, and bond parameters above are epoch parameters, amendable only through the amendment process (Section 10.6.1) or a succession event (Section 10.6.4).</w:t>
      </w:r>
    </w:p>
    <w:p w14:paraId="26B15C01" w14:textId="77777777" w:rsidR="00AB0EAF" w:rsidRDefault="00000000">
      <w:pPr>
        <w:pStyle w:val="Heading2"/>
      </w:pPr>
      <w:r>
        <w:t>12.4 Sybil Cluster Detection: Temporary Trust Demotion, Not Fund Seizure</w:t>
      </w:r>
    </w:p>
    <w:p w14:paraId="7D235F3C" w14:textId="77777777" w:rsidR="00AB0EAF" w:rsidRDefault="00000000">
      <w:pPr>
        <w:pStyle w:val="FirstParagraph"/>
      </w:pPr>
      <w:r>
        <w:t xml:space="preserve">When verifiable clustering signals exceed epoch-parameter thresholds — for example, IP/ASN cluster density above a bound within a given /24 and block window, storage-shard hash collision above a bound, or voucher-graph reuse — the affected node is not slashed, </w:t>
      </w:r>
      <w:r>
        <w:lastRenderedPageBreak/>
        <w:t>and its voluntarily signed transactions are not censored, consistent with the absolute Article 4.2 invariants (no seizing, freezing, burning, or redirecting funds from a voluntarily controlled wallet; no censoring, blocking, or deprioritizing a valid transaction). What it loses is high-responsibility role eligibility, not funds. This sits between two mechanisms already defined elsewhere in this paper: routine, single-Core demotion (Section 3.5) handles proven QC failure or equivocation, and the Soft Challenge Window (Section 10.6.6) handles a high-confidence signal of a large-scale, coordinated attack. This section is the ordinary, continuous filter in between — a smaller cluster of suspicious identities, not yet proven and not yet network-scale.</w:t>
      </w:r>
    </w:p>
    <w:p w14:paraId="51098EEF" w14:textId="77777777" w:rsidR="00AB0EAF" w:rsidRDefault="00000000">
      <w:pPr>
        <w:pStyle w:val="BodyText"/>
      </w:pPr>
      <w:r>
        <w:rPr>
          <w:b/>
        </w:rPr>
        <w:t xml:space="preserve">Detection. </w:t>
      </w:r>
      <w:r>
        <w:t>IP-cluster proof, ASN mapping, storage-shard hash, voucher graph, and temporal correlation of heartbeat bursts, combined with continuous tending history — the same layered signal stack described in Section 12.3 and Appendix C.3. IP concentration alone is never a sole trigger; this avoids a false positive against an honest operator who happens to run several nodes from the same physical location.</w:t>
      </w:r>
    </w:p>
    <w:p w14:paraId="76BD56B0" w14:textId="77777777" w:rsidR="00AB0EAF" w:rsidRDefault="00000000">
      <w:pPr>
        <w:pStyle w:val="BodyText"/>
      </w:pPr>
      <w:r>
        <w:rPr>
          <w:b/>
        </w:rPr>
        <w:t xml:space="preserve">Action. </w:t>
      </w:r>
      <w:r>
        <w:t>Demotion is not automatic. It requires the same formal Verifiable Random Function panel process already specified for arbitrator selection (Section 11.2) and the dispute lifecycle in Section 11.5 — Open, Filter, Select, Evaluate, Commit, Execute, Appeal — and executes only at the Commit phase, backed by 2-of-3 oracle consensus on the underlying signal. This is consistent with the defensive assistance already permitted under Section 10.5 and the self-healing mechanics in Section 3.3: the node is isolated and paused while trust is regained, with no forcing of will and no claim on funds — only a role-eligibility requirement. This mirrors the existing rule in Section 3.5: “this is loss of role eligibility, not a claim on funds — no broad slashing of voluntarily controlled balances is permitted.”</w:t>
      </w:r>
    </w:p>
    <w:p w14:paraId="58B3A568" w14:textId="77777777" w:rsidR="00AB0EAF" w:rsidRDefault="00000000">
      <w:pPr>
        <w:pStyle w:val="BodyText"/>
      </w:pPr>
      <w:r>
        <w:rPr>
          <w:b/>
        </w:rPr>
        <w:t xml:space="preserve">Logging. </w:t>
      </w:r>
      <w:r>
        <w:t>Every demotion appends an immutable Article 7.1 log entry: timestamp, action taken, evidence hash (the IP-cluster proof, ASN map, storage-shard hash, and voucher graph), the specific Constitution citation relied upon, and the triggering metrics. Evidence is never deleted.</w:t>
      </w:r>
    </w:p>
    <w:p w14:paraId="7EDD7034" w14:textId="77777777" w:rsidR="00AB0EAF" w:rsidRDefault="00000000">
      <w:pPr>
        <w:pStyle w:val="BodyText"/>
      </w:pPr>
      <w:r>
        <w:rPr>
          <w:b/>
        </w:rPr>
        <w:t xml:space="preserve">Cool-down. </w:t>
      </w:r>
      <w:r>
        <w:t>The cool-down length, the detection thresholds (cluster density, block window, hash-collision bound, voucher-reuse limit), and the related rotation parameters (seat-turnover fraction, QC interval, lag bound, witness-set size, quorum fraction) are all epoch parameters, amendable only through the amendment process (Section 10.6.1) or a succession event (Section 10.6.4). The obligation to preserve the Permanent Invariants and minority exit is not an epoch parameter.</w:t>
      </w:r>
    </w:p>
    <w:p w14:paraId="10266A89" w14:textId="77777777" w:rsidR="00AB0EAF" w:rsidRDefault="00000000">
      <w:pPr>
        <w:pStyle w:val="BodyText"/>
      </w:pPr>
      <w:r>
        <w:rPr>
          <w:b/>
        </w:rPr>
        <w:t xml:space="preserve">Recovery. </w:t>
      </w:r>
      <w:r>
        <w:t xml:space="preserve">A node resumes recovery immediately upon new qualifying work, with temporal hardening unaffected by the absence — R_effective = R × H(t_first), H(t) = min(1, (t − t_first) / T_harden), T_harden = 52,560 blocks (≈ 1 year) — since the hardening window cannot be bypassed by any action, only by time. Full re-admission requires the same standing filters as ordinary candidate-pool admission (Section 3.5) and arbitrator eligibility (Section 11.1): continuous verified tending, minimum wallet age, independent vouchers with IP/ASN diversity, minimum daily active participation, a successful recent synchronization trial, and no active integrity flag. Reputation itself follows the decay and </w:t>
      </w:r>
      <w:r>
        <w:lastRenderedPageBreak/>
        <w:t>recovery function in Section 12.2.1; proven equivocation remains a separate, sharper penalty than ordinary decay.</w:t>
      </w:r>
    </w:p>
    <w:p w14:paraId="2CD1D61F" w14:textId="77777777" w:rsidR="00AB0EAF" w:rsidRDefault="00000000">
      <w:pPr>
        <w:pStyle w:val="BodyText"/>
      </w:pPr>
      <w:r>
        <w:rPr>
          <w:b/>
        </w:rPr>
        <w:t xml:space="preserve">Assets preserved. </w:t>
      </w:r>
      <w:r>
        <w:t>Original assets remain under the Article 4.2 invariants throughout — no seizure, freezing, burning, or redirection — and voluntary exit is preserved under Articles 10.1 and 10.4. A demoted node operator may continue as an ordinary tending wallet, still earning the standard tending bonus, even while paused from high-responsibility seats; the network's minimal-survival floor of roughly 8–11 cores ensures it keeps functioning regardless. The cost to mount a 35% collusive ring is modeled at roughly $14M in identity and storage cost, reducing panel-takeover probability toward zero as defenses activate (Section 4, Section 11) — a real but unproven cost estimate, not a guarantee: per Section 10.6.5, this is a game-theoretic claim about attacker incentives, not a cryptographic one, and it still requires the formal adversarial modeling called for in Section 16.</w:t>
      </w:r>
    </w:p>
    <w:p w14:paraId="091040A0" w14:textId="77777777" w:rsidR="00AB0EAF" w:rsidRDefault="00000000">
      <w:pPr>
        <w:pStyle w:val="Heading1"/>
      </w:pPr>
      <w:bookmarkStart w:id="84" w:name="decentralized-oracle-layer"/>
      <w:bookmarkEnd w:id="79"/>
      <w:bookmarkEnd w:id="83"/>
      <w:r>
        <w:t>13. Decentralized Oracle Layer</w:t>
      </w:r>
    </w:p>
    <w:p w14:paraId="4F8BFA0A" w14:textId="77777777" w:rsidR="00AB0EAF" w:rsidRDefault="00000000">
      <w:pPr>
        <w:pStyle w:val="FirstParagraph"/>
      </w:pPr>
      <w:r>
        <w:t>Smart contracts (Section 9) and dispute rulings (Section 11.3) frequently depend on real-world data — prices, events, outcomes — that does not originate on-chain. Rather than trusting a single feed or provider, the network sources this data through a decentralized oracle layer.</w:t>
      </w:r>
    </w:p>
    <w:p w14:paraId="48042926" w14:textId="77777777" w:rsidR="00AB0EAF" w:rsidRDefault="00000000">
      <w:pPr>
        <w:pStyle w:val="Heading2"/>
      </w:pPr>
      <w:bookmarkStart w:id="85" w:name="multi-provider-data-feeds"/>
      <w:r>
        <w:t>13.1 Multi-Provider Data Feeds</w:t>
      </w:r>
    </w:p>
    <w:p w14:paraId="62AB76A3" w14:textId="77777777" w:rsidR="00AB0EAF" w:rsidRDefault="00000000">
      <w:pPr>
        <w:pStyle w:val="FirstParagraph"/>
      </w:pPr>
      <w:r>
        <w:t>Real-world data is submitted on-chain by multiple independent oracle providers rather than a single trusted source, with contract logic and dispute rulings drawing on an aggregate or median of submissions rather than any one provider’s feed. This mirrors the AI’s Real-Time Data Anchoring approach in Section 10.4, extending the same resistance to single-party manipulation of the record to external data rather than only to the AI’s own outputs. For the physical resource basket specifically, Section 6.4.1 specifies additional, regionally-scoped sourcing requirements — a three-feed regional median, evidence-tier labeling, and DAO-governed category weighting — beyond the general multi-provider model described here.</w:t>
      </w:r>
    </w:p>
    <w:p w14:paraId="66F33144" w14:textId="77777777" w:rsidR="00AB0EAF" w:rsidRDefault="00000000">
      <w:pPr>
        <w:pStyle w:val="Heading2"/>
      </w:pPr>
      <w:bookmarkStart w:id="86" w:name="slashing-for-manipulation-or-false-data"/>
      <w:bookmarkEnd w:id="85"/>
      <w:r>
        <w:t>13.2 Slashing for Manipulation or False Data</w:t>
      </w:r>
    </w:p>
    <w:p w14:paraId="1AB5E6AE" w14:textId="77777777" w:rsidR="00AB0EAF" w:rsidRDefault="00000000">
      <w:pPr>
        <w:pStyle w:val="FirstParagraph"/>
      </w:pPr>
      <w:r>
        <w:t>Oracle providers stake collateral to participate, and a provider whose submission is proven, through the dispute process in Section 11, to be manipulated or materially false forfeits a portion of that stake. Slashing is applied only after a ruling under Section 11.3 that cites the specific evidence and constitutional article supporting it, so that the penalty itself is subject to the same evidentiary and auditability standard as every other governance action in this paper, rather than being an automatic or unreviewable process.</w:t>
      </w:r>
    </w:p>
    <w:p w14:paraId="4F5F670B" w14:textId="77777777" w:rsidR="00AB0EAF" w:rsidRDefault="00000000">
      <w:pPr>
        <w:pStyle w:val="Heading1"/>
      </w:pPr>
      <w:bookmarkStart w:id="87" w:name="Xa256cfea1d66e398ad314dd5bdb96b1589f71ba"/>
      <w:bookmarkEnd w:id="84"/>
      <w:bookmarkEnd w:id="86"/>
      <w:r>
        <w:lastRenderedPageBreak/>
        <w:t>14. Decentralized Asset-to-Token Exchange Layer</w:t>
      </w:r>
    </w:p>
    <w:p w14:paraId="1A00F5ED" w14:textId="77777777" w:rsidR="00AB0EAF" w:rsidRDefault="00000000">
      <w:pPr>
        <w:pStyle w:val="FirstParagraph"/>
      </w:pPr>
      <w:r>
        <w:t>Building on the escrow, oracle, and dispute-resolution primitives defined in Sections 11–13, the network supports direct exchange of real-world assets for network tokens without either party touching the traditional financial system. The DAO’s role in this exchange is kept strictly digital — handling escrow, pricing data, and verification — while the physical transfer of the asset occurs peer-to-peer between buyer and seller.</w:t>
      </w:r>
    </w:p>
    <w:p w14:paraId="31E75246" w14:textId="77777777" w:rsidR="00AB0EAF" w:rsidRDefault="00000000">
      <w:pPr>
        <w:pStyle w:val="BodyText"/>
      </w:pPr>
      <w:r>
        <w:t>The exchange proceeds through the following steps:</w:t>
      </w:r>
    </w:p>
    <w:p w14:paraId="124C24B8" w14:textId="77777777" w:rsidR="00AB0EAF" w:rsidRDefault="00000000">
      <w:pPr>
        <w:numPr>
          <w:ilvl w:val="0"/>
          <w:numId w:val="33"/>
        </w:numPr>
      </w:pPr>
      <w:r>
        <w:t>Escrow lock: the buyer locks the agreed token amount into a DAO-governed on-chain escrow contract, using the same escrow mechanism defined in Section 11.1.</w:t>
      </w:r>
    </w:p>
    <w:p w14:paraId="0E295FCB" w14:textId="77777777" w:rsidR="00AB0EAF" w:rsidRDefault="00000000">
      <w:pPr>
        <w:numPr>
          <w:ilvl w:val="0"/>
          <w:numId w:val="33"/>
        </w:numPr>
      </w:pPr>
      <w:r>
        <w:t>Price determination: fair market value for the asset is set by the multi-provider oracle feed described in Section 13.1, using a median or aggregate of independent submissions so that no single provider can unilaterally set a manipulated price.</w:t>
      </w:r>
    </w:p>
    <w:p w14:paraId="644CA405" w14:textId="77777777" w:rsidR="00AB0EAF" w:rsidRDefault="00000000">
      <w:pPr>
        <w:numPr>
          <w:ilvl w:val="0"/>
          <w:numId w:val="33"/>
        </w:numPr>
      </w:pPr>
      <w:r>
        <w:t>Peer-to-peer delivery: the seller delivers the asset directly to the buyer, outside the network and without a custodial intermediary.</w:t>
      </w:r>
    </w:p>
    <w:p w14:paraId="6B3D3346" w14:textId="77777777" w:rsidR="00AB0EAF" w:rsidRDefault="00000000">
      <w:pPr>
        <w:numPr>
          <w:ilvl w:val="0"/>
          <w:numId w:val="33"/>
        </w:numPr>
      </w:pPr>
      <w:r>
        <w:t>Proof of receipt: upon delivery, the buyer submits cryptographically signed or timestamped proof of receipt — such as a bill of sale or video verification — on-chain.</w:t>
      </w:r>
    </w:p>
    <w:p w14:paraId="25E4EE01" w14:textId="77777777" w:rsidR="00AB0EAF" w:rsidRDefault="00000000">
      <w:pPr>
        <w:numPr>
          <w:ilvl w:val="0"/>
          <w:numId w:val="33"/>
        </w:numPr>
      </w:pPr>
      <w:r>
        <w:t>Verification: a reputation-weighted arbitrator panel, selected under Section 12, verifies the submitted proof through the dispute process defined in Section 11.</w:t>
      </w:r>
    </w:p>
    <w:p w14:paraId="5A8B73A7" w14:textId="77777777" w:rsidR="00AB0EAF" w:rsidRDefault="00000000">
      <w:pPr>
        <w:numPr>
          <w:ilvl w:val="0"/>
          <w:numId w:val="33"/>
        </w:numPr>
      </w:pPr>
      <w:r>
        <w:t>Release: if the proof is validated, the escrow contract automatically releases the locked tokens to the seller, with no manual custodial step, consistent with the automatic release behavior defined in Section 11.1.</w:t>
      </w:r>
    </w:p>
    <w:p w14:paraId="32E0BEF6" w14:textId="77777777" w:rsidR="00AB0EAF" w:rsidRDefault="00000000">
      <w:pPr>
        <w:pStyle w:val="FirstParagraph"/>
      </w:pPr>
      <w:r>
        <w:t>Because pricing, escrow, and verification are all handled by existing on-chain primitives, this layer extends the network’s non-custodial design goal from Section 8 to real-world assets, without introducing a new trusted intermediary at any step.</w:t>
      </w:r>
    </w:p>
    <w:p w14:paraId="730AAF6B" w14:textId="77777777" w:rsidR="00AB0EAF" w:rsidRDefault="00000000">
      <w:pPr>
        <w:pStyle w:val="Heading1"/>
      </w:pPr>
      <w:bookmarkStart w:id="88" w:name="X551043f9ef7719fa798b01af74749c4c1f2f3ff"/>
      <w:bookmarkEnd w:id="87"/>
      <w:r>
        <w:t>15. The AI–Core Feedback Loop and Inference Auditability</w:t>
      </w:r>
    </w:p>
    <w:p w14:paraId="7BF883B8" w14:textId="77777777" w:rsidR="00AB0EAF" w:rsidRDefault="00000000">
      <w:pPr>
        <w:pStyle w:val="FirstParagraph"/>
      </w:pPr>
      <w:r>
        <w:t>The embedded AI is a consumer of network resources like any other application, but a privileged one in the sense that its resource demands — additional storage for real-time data anchoring, additional compute for evidence evaluation at scale — feed directly into the Core’s node-selection logic described in Section 3. As AI usage grows, the Core factors that demand into where it expands and replicates, allowing the network’s infrastructure to scale in step with the intelligence layer running on top of it. This expansion must be justified as defensive or performance-driven under the Constitution’s Core and Permanent Invariant rules (Section 3 and Article 4), never used as a pretext to concentrate control, and its operations must remain completely transparent to prevent black-box authoritarianism.</w:t>
      </w:r>
    </w:p>
    <w:p w14:paraId="07E220C2" w14:textId="77777777" w:rsidR="00AB0EAF" w:rsidRDefault="00000000">
      <w:pPr>
        <w:pStyle w:val="Heading2"/>
      </w:pPr>
      <w:bookmarkStart w:id="89" w:name="the-auditinferenceid-data-schema"/>
      <w:r>
        <w:lastRenderedPageBreak/>
        <w:t>15.1 The /audit/inference/{id} Data Schema</w:t>
      </w:r>
    </w:p>
    <w:p w14:paraId="090F7025" w14:textId="77777777" w:rsidR="00AB0EAF" w:rsidRDefault="00000000">
      <w:pPr>
        <w:pStyle w:val="FirstParagraph"/>
      </w:pPr>
      <w:r>
        <w:t xml:space="preserve">Per Constitution Article 9.3, the embedded AI layer is blocked from hiding behind proprietary weights or untraceable outputs. The system exposes a deterministic, protocol-level endpoint, /audit/inference/{id}, allowing any network participant to audit the reasoning behind an epistemic judgment. Every substantive output generates a permanent cryptographic audit package, structured as follows. Per Section 10.6.2, retrieving a package must also return the corresponding Constitution version text — via </w:t>
      </w:r>
      <w:r>
        <w:rPr>
          <w:rStyle w:val="VerbatimChar"/>
        </w:rPr>
        <w:t>constitution_text_uri</w:t>
      </w:r>
      <w:r>
        <w:t xml:space="preserve">, pointing into the historical namespace described there — not merely its hash, and a package that supersedes a prior one populates </w:t>
      </w:r>
      <w:r>
        <w:rPr>
          <w:rStyle w:val="VerbatimChar"/>
        </w:rPr>
        <w:t>supersedes</w:t>
      </w:r>
      <w:r>
        <w:t xml:space="preserve"> with that prior package’s </w:t>
      </w:r>
      <w:r>
        <w:rPr>
          <w:rStyle w:val="VerbatimChar"/>
        </w:rPr>
        <w:t>inference_id</w:t>
      </w:r>
      <w:r>
        <w:t>:</w:t>
      </w:r>
    </w:p>
    <w:p w14:paraId="304E01BA" w14:textId="77777777" w:rsidR="00AB0EAF" w:rsidRDefault="00000000">
      <w:pPr>
        <w:pStyle w:val="BodyText"/>
      </w:pPr>
      <w:r>
        <w:t>{</w:t>
      </w:r>
    </w:p>
    <w:p w14:paraId="3BA4FE95" w14:textId="77777777" w:rsidR="00AB0EAF" w:rsidRDefault="00000000">
      <w:pPr>
        <w:pStyle w:val="BodyText"/>
      </w:pPr>
      <w:r>
        <w:t>“inference_id”: “0x7a8b9c1d…”,</w:t>
      </w:r>
    </w:p>
    <w:p w14:paraId="43C774F1" w14:textId="77777777" w:rsidR="00AB0EAF" w:rsidRDefault="00000000">
      <w:pPr>
        <w:pStyle w:val="BodyText"/>
      </w:pPr>
      <w:r>
        <w:t>“timestamp”: “2026-08-11T19:07:00Z”,</w:t>
      </w:r>
    </w:p>
    <w:p w14:paraId="55DE2115" w14:textId="77777777" w:rsidR="00AB0EAF" w:rsidRDefault="00000000">
      <w:pPr>
        <w:pStyle w:val="BodyText"/>
      </w:pPr>
      <w:r>
        <w:t>“constitution_citations”: [</w:t>
      </w:r>
    </w:p>
    <w:p w14:paraId="45A8132C" w14:textId="77777777" w:rsidR="00AB0EAF" w:rsidRDefault="00000000">
      <w:pPr>
        <w:pStyle w:val="SourceCode"/>
      </w:pPr>
      <w:r>
        <w:rPr>
          <w:rStyle w:val="VerbatimChar"/>
        </w:rPr>
        <w:t>"Article_1.2",</w:t>
      </w:r>
      <w:r>
        <w:br/>
      </w:r>
      <w:r>
        <w:br/>
      </w:r>
      <w:r>
        <w:rPr>
          <w:rStyle w:val="VerbatimChar"/>
        </w:rPr>
        <w:t>"Article_9.1"</w:t>
      </w:r>
    </w:p>
    <w:p w14:paraId="5BF45214" w14:textId="77777777" w:rsidR="00AB0EAF" w:rsidRDefault="00000000">
      <w:pPr>
        <w:pStyle w:val="FirstParagraph"/>
      </w:pPr>
      <w:r>
        <w:t>],</w:t>
      </w:r>
    </w:p>
    <w:p w14:paraId="46FDB3F7" w14:textId="77777777" w:rsidR="00AB0EAF" w:rsidRDefault="00000000">
      <w:pPr>
        <w:pStyle w:val="BodyText"/>
      </w:pPr>
      <w:r>
        <w:t>“constitution_anchor”: {</w:t>
      </w:r>
    </w:p>
    <w:p w14:paraId="0DEDD763" w14:textId="77777777" w:rsidR="00AB0EAF" w:rsidRDefault="00000000">
      <w:pPr>
        <w:pStyle w:val="SourceCode"/>
      </w:pPr>
      <w:r>
        <w:rPr>
          <w:rStyle w:val="VerbatimChar"/>
        </w:rPr>
        <w:t>"version": "v0.4",</w:t>
      </w:r>
      <w:r>
        <w:br/>
      </w:r>
      <w:r>
        <w:br/>
      </w:r>
      <w:r>
        <w:rPr>
          <w:rStyle w:val="VerbatimChar"/>
        </w:rPr>
        <w:t>"constitution_hash": "sha256:9f1c2b7a...",</w:t>
      </w:r>
      <w:r>
        <w:br/>
      </w:r>
      <w:r>
        <w:br/>
      </w:r>
      <w:r>
        <w:rPr>
          <w:rStyle w:val="VerbatimChar"/>
        </w:rPr>
        <w:t>"activated_at_block": 1284000,</w:t>
      </w:r>
      <w:r>
        <w:br/>
      </w:r>
      <w:r>
        <w:br/>
      </w:r>
      <w:r>
        <w:rPr>
          <w:rStyle w:val="VerbatimChar"/>
        </w:rPr>
        <w:t>"constitution_text_uri": "ipfs://Qm.../CONSTITUTION.md"</w:t>
      </w:r>
    </w:p>
    <w:p w14:paraId="786C9D78" w14:textId="77777777" w:rsidR="00AB0EAF" w:rsidRDefault="00000000">
      <w:pPr>
        <w:pStyle w:val="FirstParagraph"/>
      </w:pPr>
      <w:r>
        <w:t>},</w:t>
      </w:r>
    </w:p>
    <w:p w14:paraId="79E200BF" w14:textId="77777777" w:rsidR="00AB0EAF" w:rsidRDefault="00000000">
      <w:pPr>
        <w:pStyle w:val="BodyText"/>
      </w:pPr>
      <w:r>
        <w:t>“supersedes”: null,</w:t>
      </w:r>
    </w:p>
    <w:p w14:paraId="6E439ED6" w14:textId="77777777" w:rsidR="00AB0EAF" w:rsidRDefault="00000000">
      <w:pPr>
        <w:pStyle w:val="BodyText"/>
      </w:pPr>
      <w:r>
        <w:t>“input_context_hash”: “sha256:e3b0c442…”,</w:t>
      </w:r>
    </w:p>
    <w:p w14:paraId="333176E6" w14:textId="77777777" w:rsidR="00AB0EAF" w:rsidRDefault="00000000">
      <w:pPr>
        <w:pStyle w:val="BodyText"/>
      </w:pPr>
      <w:r>
        <w:t>“evidence_payloads”: {</w:t>
      </w:r>
    </w:p>
    <w:p w14:paraId="0BAB127A" w14:textId="77777777" w:rsidR="00AB0EAF" w:rsidRDefault="00000000">
      <w:pPr>
        <w:pStyle w:val="SourceCode"/>
      </w:pPr>
      <w:r>
        <w:rPr>
          <w:rStyle w:val="VerbatimChar"/>
        </w:rPr>
        <w:t>"tier_1_direct_observation": ["hash_alpha", "hash_beta"],</w:t>
      </w:r>
      <w:r>
        <w:br/>
      </w:r>
      <w:r>
        <w:br/>
      </w:r>
      <w:r>
        <w:rPr>
          <w:rStyle w:val="VerbatimChar"/>
        </w:rPr>
        <w:t>"tier_2_replicated_analysis": ["hash_gamma"],</w:t>
      </w:r>
      <w:r>
        <w:br/>
      </w:r>
      <w:r>
        <w:br/>
      </w:r>
      <w:r>
        <w:rPr>
          <w:rStyle w:val="VerbatimChar"/>
        </w:rPr>
        <w:t>"tier_3_provisional_consensus": []</w:t>
      </w:r>
    </w:p>
    <w:p w14:paraId="3CF07949" w14:textId="77777777" w:rsidR="00AB0EAF" w:rsidRDefault="00000000">
      <w:pPr>
        <w:pStyle w:val="FirstParagraph"/>
      </w:pPr>
      <w:r>
        <w:t>},</w:t>
      </w:r>
    </w:p>
    <w:p w14:paraId="7069AA60" w14:textId="77777777" w:rsidR="00AB0EAF" w:rsidRDefault="00000000">
      <w:pPr>
        <w:pStyle w:val="BodyText"/>
      </w:pPr>
      <w:r>
        <w:lastRenderedPageBreak/>
        <w:t>“epistemic_classification”: “Probable Conclusion”,</w:t>
      </w:r>
    </w:p>
    <w:p w14:paraId="20BA224F" w14:textId="77777777" w:rsidR="00AB0EAF" w:rsidRDefault="00000000">
      <w:pPr>
        <w:pStyle w:val="BodyText"/>
      </w:pPr>
      <w:r>
        <w:t>“mathematical_token_probabilities”: {</w:t>
      </w:r>
    </w:p>
    <w:p w14:paraId="1FC2E6E0" w14:textId="77777777" w:rsidR="00AB0EAF" w:rsidRDefault="00000000">
      <w:pPr>
        <w:pStyle w:val="SourceCode"/>
      </w:pPr>
      <w:r>
        <w:rPr>
          <w:rStyle w:val="VerbatimChar"/>
        </w:rPr>
        <w:t>"Established_Fact": 0.12,</w:t>
      </w:r>
      <w:r>
        <w:br/>
      </w:r>
      <w:r>
        <w:br/>
      </w:r>
      <w:r>
        <w:rPr>
          <w:rStyle w:val="VerbatimChar"/>
        </w:rPr>
        <w:t>"Probable_Conclusion": 0.81,</w:t>
      </w:r>
      <w:r>
        <w:br/>
      </w:r>
      <w:r>
        <w:br/>
      </w:r>
      <w:r>
        <w:rPr>
          <w:rStyle w:val="VerbatimChar"/>
        </w:rPr>
        <w:t>"Contested_Claim": 0.06,</w:t>
      </w:r>
      <w:r>
        <w:br/>
      </w:r>
      <w:r>
        <w:br/>
      </w:r>
      <w:r>
        <w:rPr>
          <w:rStyle w:val="VerbatimChar"/>
        </w:rPr>
        <w:t>"Speculative_Theory": 0.01</w:t>
      </w:r>
    </w:p>
    <w:p w14:paraId="131FDF5E" w14:textId="77777777" w:rsidR="00AB0EAF" w:rsidRDefault="00000000">
      <w:pPr>
        <w:pStyle w:val="FirstParagraph"/>
      </w:pPr>
      <w:r>
        <w:t>},</w:t>
      </w:r>
    </w:p>
    <w:p w14:paraId="48C8D145" w14:textId="77777777" w:rsidR="00AB0EAF" w:rsidRDefault="00000000">
      <w:pPr>
        <w:pStyle w:val="BodyText"/>
      </w:pPr>
      <w:r>
        <w:t>“scaffolding_prompt_manifest”: “https://ipfs.nexus…”</w:t>
      </w:r>
    </w:p>
    <w:p w14:paraId="5B111FC7" w14:textId="77777777" w:rsidR="00AB0EAF" w:rsidRDefault="00000000">
      <w:pPr>
        <w:pStyle w:val="BodyText"/>
      </w:pPr>
      <w:r>
        <w:t>}</w:t>
      </w:r>
    </w:p>
    <w:p w14:paraId="3AFCFBB8" w14:textId="77777777" w:rsidR="00AB0EAF" w:rsidRDefault="00000000">
      <w:pPr>
        <w:pStyle w:val="Heading2"/>
      </w:pPr>
      <w:bookmarkStart w:id="90" w:name="securing-the-loop-against-exploitation"/>
      <w:bookmarkEnd w:id="89"/>
      <w:r>
        <w:t>15.2 Securing the Loop Against Exploitation</w:t>
      </w:r>
    </w:p>
    <w:p w14:paraId="1651A74D" w14:textId="77777777" w:rsidR="00AB0EAF" w:rsidRDefault="00000000">
      <w:pPr>
        <w:pStyle w:val="FirstParagraph"/>
      </w:pPr>
      <w:r>
        <w:t>By forcing the AI to expose its internal token probabilities and the exact scaffolding prompt used during inference, the network creates a standing check against algorithmic soft-censorship. If the AI systematically mislabels a controversial or anti-establishment hypothesis, the raw token-probability log will surface the mathematical anomaly rather than allowing it to hide behind an opaque verdict.</w:t>
      </w:r>
    </w:p>
    <w:p w14:paraId="558BE633" w14:textId="77777777" w:rsidR="00AB0EAF" w:rsidRDefault="00000000">
      <w:pPr>
        <w:pStyle w:val="BodyText"/>
      </w:pPr>
      <w:r>
        <w:t>Because this inference data is tightly coupled to the Core’s expansion triggers, any node-scaling action initiated by an AI demand must match a verified audit payload. If an AI-requested infrastructure expansion cannot provide a matching, cleanly cited inference ID, or would exceed the network’s throttling ceiling on Core replication — 15% of current capacity within any 2016-block window, with a 72-hour timelock on approval, per Section 10.6.3 — the Core programmatically drops the replication trigger, closing off resource exhaustion as an attack vector. These figures are candidate values, consistent with the other locked-pending-adversarial-review parameters in Section 16, not yet stress-tested against the specific expansion-exhaustion scenarios called for there.</w:t>
      </w:r>
    </w:p>
    <w:p w14:paraId="730B1953" w14:textId="77777777" w:rsidR="00AB0EAF" w:rsidRDefault="00000000">
      <w:pPr>
        <w:pStyle w:val="Heading1"/>
      </w:pPr>
      <w:bookmarkStart w:id="91" w:name="open-questions-and-risks"/>
      <w:bookmarkEnd w:id="88"/>
      <w:bookmarkEnd w:id="90"/>
      <w:r>
        <w:t>16. Open Questions and Risks</w:t>
      </w:r>
    </w:p>
    <w:p w14:paraId="0BD78D73" w14:textId="77777777" w:rsidR="00AB0EAF" w:rsidRDefault="00000000">
      <w:pPr>
        <w:pStyle w:val="FirstParagraph"/>
      </w:pPr>
      <w:r>
        <w:t>This section outlines the remaining technical, legal, and operational risks in the Project Nexus architecture. Several cryptographic invariants have been hardened through the Constitution and the mechanisms described throughout this paper, but the network’s multi-layered dependency stack still requires rigorous modeling, adversarial testing, and likely simulation before any mainnet deployment.</w:t>
      </w:r>
    </w:p>
    <w:p w14:paraId="675A37D6" w14:textId="77777777" w:rsidR="00AB0EAF" w:rsidRDefault="00000000">
      <w:pPr>
        <w:pStyle w:val="Heading2"/>
      </w:pPr>
      <w:bookmarkStart w:id="92" w:name="Xe2345bc54522b750f7ce33cb3d6274398677f4f"/>
      <w:r>
        <w:t>16.1 Risks Addressed by the Current Architecture</w:t>
      </w:r>
    </w:p>
    <w:p w14:paraId="0B1CFC64" w14:textId="77777777" w:rsidR="00AB0EAF" w:rsidRDefault="00000000">
      <w:pPr>
        <w:pStyle w:val="FirstParagraph"/>
      </w:pPr>
      <w:r>
        <w:t>The following risks, though real in an earlier version of this design, are substantially mitigated by mechanisms already described elsewhere in this paper:</w:t>
      </w:r>
    </w:p>
    <w:p w14:paraId="720B2E2A" w14:textId="77777777" w:rsidR="00AB0EAF" w:rsidRDefault="00000000">
      <w:pPr>
        <w:numPr>
          <w:ilvl w:val="0"/>
          <w:numId w:val="34"/>
        </w:numPr>
      </w:pPr>
      <w:r>
        <w:lastRenderedPageBreak/>
        <w:t>Core centralization and capture: the classic vulnerability of a localized, high-velocity execution Core (Section 3.2) is mitigated by stripping both the Core and the DAO of programmatic authority over the Non-Aggression Principle. Because the governance module rejects any transaction attempting to alter these invariants, a takeover can only occur via an overt hard fork, which triggers the automated, state-preserving exit described in Section 3.2.2 for the peaceful minority.</w:t>
      </w:r>
    </w:p>
    <w:p w14:paraId="31F6F70C" w14:textId="77777777" w:rsidR="00AB0EAF" w:rsidRDefault="00000000">
      <w:pPr>
        <w:numPr>
          <w:ilvl w:val="0"/>
          <w:numId w:val="34"/>
        </w:numPr>
      </w:pPr>
      <w:r>
        <w:t>Plutocratic DAO capture and arbitrator collusion: the risk of large token holders or coordinated cartels forcing malicious infrastructure expansion or stacking judicial panels is reduced by decoupling both governance influence and arbitrator eligibility from raw capital. Validator and arbitrator pools are restricted to participants meeting the identity-blind reputation criteria in Section 11.1: a reputation score of at least 75, at least one year of continuous node lifespan, and reputation weight exceeding stake weight.</w:t>
      </w:r>
    </w:p>
    <w:p w14:paraId="6A704F83" w14:textId="77777777" w:rsidR="00AB0EAF" w:rsidRDefault="00000000">
      <w:pPr>
        <w:numPr>
          <w:ilvl w:val="0"/>
          <w:numId w:val="34"/>
        </w:numPr>
      </w:pPr>
      <w:r>
        <w:t>State inflation and reclamation spam: the zero-fee structure of the Gasless Heartbeat Protocol initially introduced a state-bloat and network-saturation vector. This is closed by the deterministic rate limiting and ephemeral memory architecture described in Section 6.3.3, which condenses active address states into a single Merkle root written to disk only once per epoch.</w:t>
      </w:r>
    </w:p>
    <w:p w14:paraId="71A751B8" w14:textId="77777777" w:rsidR="00AB0EAF" w:rsidRDefault="00000000">
      <w:pPr>
        <w:numPr>
          <w:ilvl w:val="0"/>
          <w:numId w:val="34"/>
        </w:numPr>
      </w:pPr>
      <w:r>
        <w:t>Algorithmic soft-censorship: the risk of black-box model bias or systematic downranking of unconventional hypotheses is addressed by the auditable access to the inference layer described in Section 15.1. The /audit/inference/{id} endpoint exposes raw token probabilities, prompt scaffolding, and context hashes, closing off hidden or forced ideological steering as a mechanism.</w:t>
      </w:r>
    </w:p>
    <w:p w14:paraId="3AF6E6B9" w14:textId="77777777" w:rsidR="00AB0EAF" w:rsidRDefault="00000000">
      <w:pPr>
        <w:pStyle w:val="Heading2"/>
      </w:pPr>
      <w:bookmarkStart w:id="93" w:name="components-requiring-further-modeling"/>
      <w:bookmarkEnd w:id="92"/>
      <w:r>
        <w:t>16.2 Components Requiring Further Modeling</w:t>
      </w:r>
    </w:p>
    <w:p w14:paraId="2CFE09D2" w14:textId="77777777" w:rsidR="00AB0EAF" w:rsidRDefault="00000000">
      <w:pPr>
        <w:pStyle w:val="FirstParagraph"/>
      </w:pPr>
      <w:r>
        <w:t>The following components require further modeling, adversarial testing, and likely simulation before implementation:</w:t>
      </w:r>
    </w:p>
    <w:p w14:paraId="28CB8320" w14:textId="77777777" w:rsidR="00AB0EAF" w:rsidRDefault="00000000">
      <w:pPr>
        <w:numPr>
          <w:ilvl w:val="0"/>
          <w:numId w:val="35"/>
        </w:numPr>
      </w:pPr>
      <w:r>
        <w:t>Tokenomics parameter modeling: the precise macroeconomic impact of the dormancy timeline’s 2%, 3%, 5%, and 8% Fibonacci annual leakage rates (Year 5: 2%, Year 6: 3%, Years 8-13: 5%/8% per Section 6.3.1) (Section 6.3.1), along with the broader dormancy thresholds, burn-versus-reclamation rules, and supply adjustment formulas (Section 6), remains an open simulation problem. These parameters require adversarial stress-testing to confirm they do not cause sudden treasury shocks or distort staking rewards during periods of high wallet abandonment. This corrects earlier staleness (Appendix C.4 fixed weeks ago, this sentence fork missed).</w:t>
      </w:r>
    </w:p>
    <w:p w14:paraId="22722131" w14:textId="77777777" w:rsidR="00AB0EAF" w:rsidRDefault="00000000">
      <w:pPr>
        <w:numPr>
          <w:ilvl w:val="0"/>
          <w:numId w:val="35"/>
        </w:numPr>
      </w:pPr>
      <w:r>
        <w:t xml:space="preserve">Consensus mechanism selection: specified, not yet proven. Section 4 now names Proof-of-Reputation-and-Tending (PoRT) as the consensus mechanism, with a validator score built from the decay/recovery constants already locked in Section 12.2.1 (d = 0.00001, a = 0.000005, grace G = 144, hardening 52,560 blocks, reputation threshold 75), capped stake at 1% per wallet, and the Appendix C.3 diversity stack. What remains open is validation, not specification: whether these </w:t>
      </w:r>
      <w:r>
        <w:lastRenderedPageBreak/>
        <w:t>constants are actually incentive-compatible against reputation-farming and collusive mutual-endorsement rings needs the adversarial modeling in Section 16.2.1 — Gate 1 (an honestly brief absence must not drop reputation below 75) and Gate 2 (a simulated 35% collusive ring must fail).</w:t>
      </w:r>
    </w:p>
    <w:p w14:paraId="0F7021FB" w14:textId="77777777" w:rsidR="00AB0EAF" w:rsidRDefault="00000000">
      <w:pPr>
        <w:numPr>
          <w:ilvl w:val="0"/>
          <w:numId w:val="35"/>
        </w:numPr>
      </w:pPr>
      <w:r>
        <w:t>AI evaluation auditing and non-deterministic output: because the AI’s evidence-first framework (Section 10) is itself a departure from default training approaches used elsewhere, its outputs will need external, adversarial review to confirm it is genuinely evidence-weighted rather than replacing one set of priors with another. Complicating this, large language models are inherently non-deterministic, so reliably mapping text evaluations to the precise tiers of the Evidence Hierarchy requires ongoing adversarial alignment work, with prompt-injection safeguards hardened at the parser level outside the model weights.</w:t>
      </w:r>
    </w:p>
    <w:p w14:paraId="5BD4511B" w14:textId="77777777" w:rsidR="00AB0EAF" w:rsidRDefault="00000000">
      <w:pPr>
        <w:numPr>
          <w:ilvl w:val="0"/>
          <w:numId w:val="35"/>
        </w:numPr>
      </w:pPr>
      <w:r>
        <w:t>DAO capture risk: governance vested in token holders can still concentrate in the hands of large early holders or coordinated voting blocs. The voting-weight formula (Section 4.0) needs modeling against plutocratic and cartel-formation scenarios before launch.</w:t>
      </w:r>
    </w:p>
    <w:p w14:paraId="7B38581D" w14:textId="77777777" w:rsidR="00AB0EAF" w:rsidRDefault="00000000">
      <w:pPr>
        <w:numPr>
          <w:ilvl w:val="0"/>
          <w:numId w:val="35"/>
        </w:numPr>
      </w:pPr>
      <w:r>
        <w:t>Formal verification of NAP-constrained agent behavior: demonstrating that the embedded AI reliably refuses coercive requests, rather than merely stating that it does, requires the same standard of adversarial testing applied to the Core’s security claims in Section 5.</w:t>
      </w:r>
    </w:p>
    <w:p w14:paraId="3B995289" w14:textId="77777777" w:rsidR="00AB0EAF" w:rsidRDefault="00000000">
      <w:pPr>
        <w:numPr>
          <w:ilvl w:val="0"/>
          <w:numId w:val="35"/>
        </w:numPr>
      </w:pPr>
      <w:r>
        <w:t>Definitional ambiguity in “coercion”: partially addressed, not fully closed. Appendix A now gives a working rule — refusal is defensive unless it initiates an unauthorized state change on an un-flagged wallet, and recovery after a Section 11 judgment plus an expired veto window is restitution, not coercion. This resolves the specific edge cases named above (stolen-fund recovery, escrow disputes) but is itself only a candidate interpretive framework: it still needs the documented body of precedent and Section 16 adversarial review before it can be considered enforceable rather than aspirational.</w:t>
      </w:r>
    </w:p>
    <w:p w14:paraId="0400314F" w14:textId="77777777" w:rsidR="00AB0EAF" w:rsidRDefault="00000000">
      <w:pPr>
        <w:numPr>
          <w:ilvl w:val="0"/>
          <w:numId w:val="35"/>
        </w:numPr>
      </w:pPr>
      <w:r>
        <w:t>Dispute resolution security: the game-theoretic security of the on-chain dispute resolution process and arbitrator panel selection (Section 11) needs rigorous analysis to confirm that reputation-weighted selection resists collusion, bribery, and panel-stacking by well-resourced attackers.</w:t>
      </w:r>
    </w:p>
    <w:p w14:paraId="16704785" w14:textId="77777777" w:rsidR="00AB0EAF" w:rsidRDefault="00000000">
      <w:pPr>
        <w:numPr>
          <w:ilvl w:val="0"/>
          <w:numId w:val="35"/>
        </w:numPr>
      </w:pPr>
      <w:r>
        <w:t xml:space="preserve">Reputation system incentive design and reputation farming: the reputation score’s decay, recovery, and temporal-hardening mechanics are now specified in full in Section 12.2.1, with candidate constants matching the values already locked in Appendix C. What remains open is validation, not specification: whether those constants are actually incentive-compatible, and whether the hardening window resists collusive mutual-endorsement rings or Sybil-gated oracle consensus gaming, needs rigorous adversarial modeling before the constants can be considered proven rather than merely defined. Gating critical network systems — arbitration, validation, oracle trust — with non-transferable reputation shifts the attack surface </w:t>
      </w:r>
      <w:r>
        <w:lastRenderedPageBreak/>
        <w:t>from financial capital to social and operational capital, which is exactly the surface this modeling needs to stress.</w:t>
      </w:r>
    </w:p>
    <w:p w14:paraId="6C74660C" w14:textId="77777777" w:rsidR="00AB0EAF" w:rsidRDefault="00000000">
      <w:pPr>
        <w:numPr>
          <w:ilvl w:val="0"/>
          <w:numId w:val="35"/>
        </w:numPr>
      </w:pPr>
      <w:r>
        <w:t>Asset-to-token exchange edge cases: the decentralized asset-to-token exchange layer (Section 14) depends on both oracle manipulation resistance for fair-value pricing (Section 13) and reliable proof-of-delivery verification; ambiguous or disputed delivery evidence, partial or damaged-asset deliveries, and jurisdiction-specific requirements for physical asset transfer are not fully resolved by the process as specified and need further adversarial testing before implementation.</w:t>
      </w:r>
    </w:p>
    <w:p w14:paraId="487BC50F" w14:textId="77777777" w:rsidR="00AB0EAF" w:rsidRDefault="00000000">
      <w:pPr>
        <w:numPr>
          <w:ilvl w:val="0"/>
          <w:numId w:val="35"/>
        </w:numPr>
      </w:pPr>
      <w:r>
        <w:t>Resource marketplace incentive design — the tiered reward multipliers for contributed disk, bandwidth, and compute need game-theoretic modeling to ensure honest contribution without creating new attack surfaces or centralization pressure.</w:t>
      </w:r>
    </w:p>
    <w:p w14:paraId="4F439D1A" w14:textId="77777777" w:rsidR="00AB0EAF" w:rsidRDefault="00000000">
      <w:pPr>
        <w:numPr>
          <w:ilvl w:val="0"/>
          <w:numId w:val="35"/>
        </w:numPr>
      </w:pPr>
      <w:r>
        <w:t>Side chain interoperability security — the security model for sovereign side chains connected to the base protocol requires formal analysis before implementation.</w:t>
      </w:r>
    </w:p>
    <w:p w14:paraId="6FEEC150" w14:textId="77777777" w:rsidR="00AB0EAF" w:rsidRDefault="00000000">
      <w:pPr>
        <w:numPr>
          <w:ilvl w:val="0"/>
          <w:numId w:val="35"/>
        </w:numPr>
      </w:pPr>
      <w:r>
        <w:t>Physical resource basket localization and arbitrage: setting the token’s genesis value target to a physical resource basket (Section 6.4) rather than a fiat reference remains a difficult oracle-delivery problem. Because calorie costs and real-estate utility are inherently localized and fractured across regions, compiling them into a single global standardized unit risks creating structural regional arbitrage loops and makes localized oracle feeds an attractive target for manipulation.</w:t>
      </w:r>
    </w:p>
    <w:p w14:paraId="357B1638" w14:textId="77777777" w:rsidR="00AB0EAF" w:rsidRDefault="00000000">
      <w:pPr>
        <w:numPr>
          <w:ilvl w:val="0"/>
          <w:numId w:val="35"/>
        </w:numPr>
      </w:pPr>
      <w:r>
        <w:t>Constitution anchoring across a hard fork: the historical-anchoring model in Section 10.6.2 assumes one canonical Constitution history. A hard fork (Section 3.2.2) can produce two chains that ratify divergent Constitution versions from the same retired ancestor; a historical AI output’s anchor remains verifiable against either lineage but does not by itself resolve which lineage a given consumer should treat as authoritative. This requires a documented resolution rule, not just a documented anchor format, before it can be considered closed.</w:t>
      </w:r>
    </w:p>
    <w:p w14:paraId="4E103B6F" w14:textId="77777777" w:rsidR="00AB0EAF" w:rsidRDefault="00000000">
      <w:pPr>
        <w:pStyle w:val="Heading3"/>
      </w:pPr>
      <w:bookmarkStart w:id="94" w:name="clear-path-forward-phased-gates"/>
      <w:r>
        <w:t>16.2.1 Clear Path Forward: Phased Gates</w:t>
      </w:r>
    </w:p>
    <w:p w14:paraId="5FC4EA0A" w14:textId="77777777" w:rsidR="00AB0EAF" w:rsidRDefault="00000000">
      <w:pPr>
        <w:pStyle w:val="FirstParagraph"/>
      </w:pPr>
      <w:r>
        <w:t>Rather than leaving the open questions above as an undifferentiated list, development proceeds through five sequential phases, each gated by specific, falsifiable criteria that must pass adversarial simulation before the next phase begins:</w:t>
      </w:r>
    </w:p>
    <w:p w14:paraId="20535DDF" w14:textId="77777777" w:rsidR="00AB0EAF" w:rsidRDefault="00000000">
      <w:pPr>
        <w:numPr>
          <w:ilvl w:val="0"/>
          <w:numId w:val="36"/>
        </w:numPr>
      </w:pPr>
      <w:r>
        <w:t>Phase 1 — Prove Core: single-metro deployment must demonstrate sub-50ms finality and 100–300 TPS on a fixed, single-core configuration (10–30 nodes) before any further scaling. The sub-50ms fast path (7-of-10 BLS signature) is restricted to transactions under 100 NEXUS per the fast-path containment described in Section 3.2.3; amounts at or above that threshold route to standard, full-finality consensus. Multi-core scaling (10–100 cores, 1k–10k TPS) remains deferred until cross-core cache-coherence is solved with the same rigor applied to trust between nodes.</w:t>
      </w:r>
    </w:p>
    <w:p w14:paraId="3944FE7E" w14:textId="77777777" w:rsidR="00AB0EAF" w:rsidRDefault="00000000">
      <w:pPr>
        <w:numPr>
          <w:ilvl w:val="0"/>
          <w:numId w:val="36"/>
        </w:numPr>
      </w:pPr>
      <w:r>
        <w:t xml:space="preserve">Phase 2 — Layer Tokenomics: the usage-elastic supply, the 13-year dormancy timeline (Section 6.3.1), the Savings/tending-bonus reward framing (Section 6.4, </w:t>
      </w:r>
      <w:r>
        <w:lastRenderedPageBreak/>
        <w:t>Appendix B.5), and the Resource Contribution Marketplace are layered onto the proven Core. This phase is blocked by three gates: (1) the reputation decay coefficient must not drop an honest, briefly-offline participant below the eligibility threshold of 75 (Section 11.1); (2) a simulated 35% collusive voucher ring must be shown to fail against IP/ASN diversity and storage-shard-hash checks; (3) the treasury and hardship reserve (Section 6.8.6) must be shown to absorb the 2%/5%/8% Fibonacci reclamation leakage without destabilizing token velocity.</w:t>
      </w:r>
    </w:p>
    <w:p w14:paraId="26E3F061" w14:textId="77777777" w:rsidR="00AB0EAF" w:rsidRDefault="00000000">
      <w:pPr>
        <w:numPr>
          <w:ilvl w:val="0"/>
          <w:numId w:val="36"/>
        </w:numPr>
      </w:pPr>
      <w:r>
        <w:t>Phase 3 — Compose Proven Primitives: the privacy layer, smart contracts, and side-chain interoperability are integrated, each already proven elsewhere in the industry, so this phase carries integration risk rather than invention risk.</w:t>
      </w:r>
    </w:p>
    <w:p w14:paraId="11899375" w14:textId="77777777" w:rsidR="00AB0EAF" w:rsidRDefault="00000000">
      <w:pPr>
        <w:numPr>
          <w:ilvl w:val="0"/>
          <w:numId w:val="36"/>
        </w:numPr>
      </w:pPr>
      <w:r>
        <w:t>Phase 4 — Embed AI and Close the Loop: the Evidence-First and Non-Aggression AI framework, the read-only Oracle layer (requiring 3-provider median agreement from providers with at least one year of reputation ≥75), the asset-to-token exchange layer, and the on-chain dispute resolution judiciary are integrated, with independent adversarial auditing of the AI’s evidence-evaluation outputs throughout.</w:t>
      </w:r>
    </w:p>
    <w:p w14:paraId="65EA974A" w14:textId="77777777" w:rsidR="00AB0EAF" w:rsidRDefault="00000000">
      <w:pPr>
        <w:numPr>
          <w:ilvl w:val="0"/>
          <w:numId w:val="36"/>
        </w:numPr>
      </w:pPr>
      <w:r>
        <w:t>Phase 5 — Decentralize and Launch: governance transitions fully to the DAO, followed by multi-region testnet, third-party security audits, and phased mainnet launch.</w:t>
      </w:r>
    </w:p>
    <w:p w14:paraId="73BADD07" w14:textId="77777777" w:rsidR="00AB0EAF" w:rsidRDefault="00000000">
      <w:pPr>
        <w:pStyle w:val="FirstParagraph"/>
      </w:pPr>
      <w:r>
        <w:t>This phased structure replaces an undifferentiated list of open risks with specific, blocking gates: each phase’s exit criteria must be demonstrated, not merely asserted, before the next phase’s development proceeds.</w:t>
      </w:r>
    </w:p>
    <w:p w14:paraId="62BE4C01" w14:textId="77777777" w:rsidR="00AB0EAF" w:rsidRDefault="00000000">
      <w:pPr>
        <w:pStyle w:val="Heading2"/>
      </w:pPr>
      <w:bookmarkStart w:id="95" w:name="Xb64f5b999783319c75e5b51c3b80eb7cf836898"/>
      <w:bookmarkEnd w:id="93"/>
      <w:bookmarkEnd w:id="94"/>
      <w:r>
        <w:t>16.3 Regulatory and Legal Exposure Boundary Conditions</w:t>
      </w:r>
    </w:p>
    <w:p w14:paraId="3976A2F2" w14:textId="77777777" w:rsidR="00AB0EAF" w:rsidRDefault="00000000">
      <w:pPr>
        <w:pStyle w:val="FirstParagraph"/>
      </w:pPr>
      <w:r>
        <w:t>Beyond the technical risks above, several features of this architecture invite specific arguments that regulators would likely raise, and the project should state its position on each rather than leaving them unaddressed. The optional privacy layer (Section 7), elastic supply model (Section 6), and non-KYC ramp (Section 8) will all need legal review across relevant jurisdictions prior to any public launch.</w:t>
      </w:r>
    </w:p>
    <w:p w14:paraId="1755FCED" w14:textId="77777777" w:rsidR="00AB0EAF" w:rsidRDefault="00000000">
      <w:pPr>
        <w:pStyle w:val="BodyText"/>
      </w:pPr>
      <w:r>
        <w:t>Likely regulatory arguments:</w:t>
      </w:r>
    </w:p>
    <w:p w14:paraId="58D4CFDC" w14:textId="77777777" w:rsidR="00AB0EAF" w:rsidRDefault="00000000">
      <w:pPr>
        <w:numPr>
          <w:ilvl w:val="0"/>
          <w:numId w:val="37"/>
        </w:numPr>
      </w:pPr>
      <w:r>
        <w:t>Unlicensed money transmission and AML friction: the community-run liquidity gateways and native DEX described in Section 8, and the non-custodial peer-to-peer asset-to-token exchange layer in Section 14, will likely face characterization as unlicensed money transmission or exchange services in traditional legal jurisdictions, inviting anti-money-laundering scrutiny regardless of the network’s transparent, on-chain design.</w:t>
      </w:r>
    </w:p>
    <w:p w14:paraId="77371ADD" w14:textId="77777777" w:rsidR="00AB0EAF" w:rsidRDefault="00000000">
      <w:pPr>
        <w:numPr>
          <w:ilvl w:val="0"/>
          <w:numId w:val="37"/>
        </w:numPr>
      </w:pPr>
      <w:r>
        <w:t xml:space="preserve">Sanctions compliance obstruction: because the embedded AI is constitutionally required to refuse assistance with coercive actions such as unilateral fund seizure or transaction censorship (Section 10.5), regulators could argue this creates a system </w:t>
      </w:r>
      <w:r>
        <w:lastRenderedPageBreak/>
        <w:t>that resists lawful anti-money-laundering enforcement or sanctions-compliance freezes, rather than merely resisting unlawful ones.</w:t>
      </w:r>
    </w:p>
    <w:p w14:paraId="180E785D" w14:textId="77777777" w:rsidR="00AB0EAF" w:rsidRDefault="00000000">
      <w:pPr>
        <w:numPr>
          <w:ilvl w:val="0"/>
          <w:numId w:val="37"/>
        </w:numPr>
      </w:pPr>
      <w:r>
        <w:t>Securities law exposure: the automatic, math-driven staking rewards described in Section 6.4, and the token more broadly, could be argued to meet the elements of a security in some jurisdictions, given that returns are generated through network participation coordinated by a common enterprise, regardless of whether the reward function is discretionary or fully algorithmic.</w:t>
      </w:r>
    </w:p>
    <w:p w14:paraId="7E2C46CC" w14:textId="77777777" w:rsidR="00AB0EAF" w:rsidRDefault="00000000">
      <w:pPr>
        <w:numPr>
          <w:ilvl w:val="0"/>
          <w:numId w:val="37"/>
        </w:numPr>
      </w:pPr>
      <w:r>
        <w:t>The fiat hard boundary: the approaches proposed in Section 8 drastically reduce reliance on centralized, KYC-gated exchanges but cannot eliminate the traditional banking system’s role in the final fiat conversion step. This is a hard boundary condition, not a fully solved problem, and should be represented as such to users and partners.</w:t>
      </w:r>
    </w:p>
    <w:p w14:paraId="03A4F719" w14:textId="77777777" w:rsidR="00AB0EAF" w:rsidRDefault="00000000">
      <w:pPr>
        <w:pStyle w:val="FirstParagraph"/>
      </w:pPr>
      <w:r>
        <w:t>The project’s position:</w:t>
      </w:r>
    </w:p>
    <w:p w14:paraId="6AA83EA4" w14:textId="77777777" w:rsidR="00AB0EAF" w:rsidRDefault="00000000">
      <w:pPr>
        <w:pStyle w:val="BodyText"/>
      </w:pPr>
      <w:r>
        <w:t>This project is designed as a voluntary, opt-in parallel system with transparent, publicly auditable rules, not a hidden or deceptive one. Every mechanism referenced above — the exchange layers, the AI’s action constraints, the staking curve — is disclosed in this paper and anchored on-chain rather than concealed from users or regulators. On the specific point of coercive requests, the Constitution’s Non-Aggression Principle (Section 2.2, Section 10.5) is framed as enforcing a higher baseline standard against non-consensual seizure and censorship than the default assumption in most existing financial infrastructure, not as a mechanism for evading lawful process; the distinction between defensive refusal and unlawful obstruction is itself one of the open definitional questions raised in Section 16.2. This paper treats the fiat boundary with the same honesty: Project Nexus does not claim an engineering workaround to existing banking or securities law. None of this substitutes for jurisdiction-by-jurisdiction legal review, which remains a mandatory prerequisite for public launch, not an afterthought.</w:t>
      </w:r>
    </w:p>
    <w:p w14:paraId="5377FB22" w14:textId="77777777" w:rsidR="00AB0EAF" w:rsidRDefault="00000000">
      <w:pPr>
        <w:pStyle w:val="Heading1"/>
      </w:pPr>
      <w:bookmarkStart w:id="96" w:name="roadmap"/>
      <w:bookmarkEnd w:id="91"/>
      <w:bookmarkEnd w:id="95"/>
      <w:r>
        <w:t>17. Roadmap</w:t>
      </w:r>
    </w:p>
    <w:p w14:paraId="3CEA3439" w14:textId="77777777" w:rsidR="00AB0EAF" w:rsidRDefault="00000000">
      <w:pPr>
        <w:numPr>
          <w:ilvl w:val="0"/>
          <w:numId w:val="38"/>
        </w:numPr>
      </w:pPr>
      <w:r>
        <w:t>Phase 1 — Prove the Core: formally specify and testnet the self-replicating, self-healing execution core in isolation, running on a minimal, fixed-rule consensus mechanism just sufficient to keep it answerable to the network. This phase validates raw replication, self-healing, and speed claims (Section 3) before any economic or governance layer is added, since every later component depends on the Core’s performance and resilience.</w:t>
      </w:r>
    </w:p>
    <w:p w14:paraId="7FE2459F" w14:textId="77777777" w:rsidR="00AB0EAF" w:rsidRDefault="00000000">
      <w:pPr>
        <w:numPr>
          <w:ilvl w:val="0"/>
          <w:numId w:val="38"/>
        </w:numPr>
      </w:pPr>
      <w:r>
        <w:t>Phase 2 — Layer in Tokenomics: implement the elastic supply, dormancy, and reclamation mechanics (Section 6) on top of the proven Core, and observe how the economic model behaves against a live, moving execution layer rather than in isolated simulation. Base staking rewards and the Resource Contribution Marketplace (Section 6.7) are introduced here as well, since they depend on a functioning Core to reward.</w:t>
      </w:r>
    </w:p>
    <w:p w14:paraId="2695D994" w14:textId="77777777" w:rsidR="00AB0EAF" w:rsidRDefault="00000000">
      <w:pPr>
        <w:numPr>
          <w:ilvl w:val="0"/>
          <w:numId w:val="38"/>
        </w:numPr>
      </w:pPr>
      <w:r>
        <w:lastRenderedPageBreak/>
        <w:t>Phase 3 — Compose Proven Primitives: integrate the privacy layer, smart contract support, and side chain interoperability (Sections 7, 9), along with the decentralized oracle and identity layers (Sections 12–13). Each addition draws on primitives already proven elsewhere in the industry, ring signatures, IBC-style interoperability, proof-of-storage, but is tested individually against the Phase 2 base before being combined, since integration risk rather than invention risk is the primary concern at this stage.</w:t>
      </w:r>
    </w:p>
    <w:p w14:paraId="5DC8BD22" w14:textId="77777777" w:rsidR="00AB0EAF" w:rsidRDefault="00000000">
      <w:pPr>
        <w:numPr>
          <w:ilvl w:val="0"/>
          <w:numId w:val="38"/>
        </w:numPr>
      </w:pPr>
      <w:r>
        <w:t>Phase 4 — Embed the AI and Close the Loop: develop the Evidence-First and Non-Aggression AI framework (Section 10), the AI–Core feedback loop (Section 15), the asset-to-token exchange layer (Section 14), and on-chain dispute resolution (Section 11), all of which depend on a stable Core and economic layer already earning trust. Independent adversarial auditing of the AI’s evidence-evaluation outputs is conducted throughout this phase.</w:t>
      </w:r>
    </w:p>
    <w:p w14:paraId="790CAE4B" w14:textId="77777777" w:rsidR="00AB0EAF" w:rsidRDefault="00000000">
      <w:pPr>
        <w:numPr>
          <w:ilvl w:val="0"/>
          <w:numId w:val="38"/>
        </w:numPr>
      </w:pPr>
      <w:r>
        <w:t>Phase 5 — Decentralize Governance and Launch: transition governance to the full DAO (Section 4.2), once there is a mature system worth governing, followed by public testnet, third-party security audit, and phased mainnet launch.</w:t>
      </w:r>
    </w:p>
    <w:p w14:paraId="7687777E" w14:textId="77777777" w:rsidR="00AB0EAF" w:rsidRDefault="00000000">
      <w:pPr>
        <w:pStyle w:val="Heading1"/>
      </w:pPr>
      <w:bookmarkStart w:id="97" w:name="conclusion"/>
      <w:bookmarkEnd w:id="96"/>
      <w:r>
        <w:t>18. Conclusion</w:t>
      </w:r>
    </w:p>
    <w:p w14:paraId="46000D8A" w14:textId="77777777" w:rsidR="00AB0EAF" w:rsidRDefault="00000000">
      <w:pPr>
        <w:pStyle w:val="FirstParagraph"/>
      </w:pPr>
      <w:r>
        <w:t>Project Nexus proposes a new category of decentralized system — one that integrates a self-replicating, self-healing execution core with a self-healing economic layer, a physical resource anchor, and a constitutional AI locked to evidence over authority and non-aggression by default. The reclamation mechanism recycles lost or abandoned value back into active circulation instead of allowing it to permanently bloat the supply. The token is tied to real per-person consumption of energy, calories, and housing space rather than any fiat currency, giving the system a path to survive a collapse or loss of relevance in the existing monetary order. Users can exchange real-world assets directly for network tokens without touching centralized on/off-ramps or custodial services. The AI draws compute, storage, and bandwidth from the network itself as demand grows, removing the need for fixed data centers. Ongoing development is funded transparently through protocol fees and DAO treasury yields, creating a self-sustaining incentive structure that can persist for decades. The architecture leaves several parameters open for modeling and adversarial testing, as outlined in Section 16. These are engineering and game-theoretic questions, not conceptual failures. If realized, Project Nexus would represent a durable piece of parallel infrastructure — faster than fully distributed models, more resilient than fixed-server designs, and grounded in physical reality rather than financial abstraction.</w:t>
      </w:r>
    </w:p>
    <w:p w14:paraId="0B144F36" w14:textId="77777777" w:rsidR="00AB0EAF" w:rsidRDefault="00000000">
      <w:pPr>
        <w:pStyle w:val="Heading1"/>
      </w:pPr>
      <w:r>
        <w:t>Appendix A: Constitutional Interpretive Framework — The Coercion Boundary</w:t>
      </w:r>
    </w:p>
    <w:p w14:paraId="252F898F" w14:textId="77777777" w:rsidR="00AB0EAF" w:rsidRDefault="00000000">
      <w:pPr>
        <w:pStyle w:val="FirstParagraph"/>
      </w:pPr>
      <w:r>
        <w:t xml:space="preserve">Section 16.2 flags a real gap: the definition of “coercion” under NAP carries ambiguity in edge cases like recovering stolen funds or resolving asset disputes, and the on-chain </w:t>
      </w:r>
      <w:r>
        <w:lastRenderedPageBreak/>
        <w:t>judiciary (Section 11) cannot operate cleanly if refusal versus initiation stays unclear — that ambiguity risks legal gridlock. This appendix gives a working rule, referenced from Sections 11 and 16.2, without claiming to be the final word: it is itself a candidate framework, subject to the same Section 16 adversarial review as everything else in this list.</w:t>
      </w:r>
    </w:p>
    <w:p w14:paraId="2BBCFC9B" w14:textId="77777777" w:rsidR="00AB0EAF" w:rsidRDefault="00000000">
      <w:pPr>
        <w:pStyle w:val="Heading2"/>
      </w:pPr>
      <w:r>
        <w:t>A.1 Defensive Refusal Versus Initiated State Change</w:t>
      </w:r>
    </w:p>
    <w:p w14:paraId="0C338EFE" w14:textId="77777777" w:rsidR="00AB0EAF" w:rsidRDefault="00000000">
      <w:pPr>
        <w:pStyle w:val="FirstParagraph"/>
      </w:pPr>
      <w:r>
        <w:t>The governing principle is Article 4.2: Non-Aggression prohibits the initiation of an unauthorized state change. Refusal to act is not, on its own, coercion.</w:t>
      </w:r>
    </w:p>
    <w:p w14:paraId="31016118" w14:textId="77777777" w:rsidR="00AB0EAF" w:rsidRDefault="00000000">
      <w:pPr>
        <w:pStyle w:val="BodyText"/>
      </w:pPr>
      <w:r>
        <w:rPr>
          <w:b/>
        </w:rPr>
        <w:t xml:space="preserve">Rule 1 — defensive refusal is never coercion. </w:t>
      </w:r>
      <w:r>
        <w:t>A refusal by the AI or the Core is defensive, not coercive, unless it explicitly initiates an unauthorized state change on an un-flagged wallet. Examples of defensive refusal:</w:t>
      </w:r>
    </w:p>
    <w:p w14:paraId="1CF69FC0" w14:textId="77777777" w:rsidR="00AB0EAF" w:rsidRDefault="00000000">
      <w:pPr>
        <w:numPr>
          <w:ilvl w:val="0"/>
          <w:numId w:val="8"/>
        </w:numPr>
      </w:pPr>
      <w:r>
        <w:t>Refusing to transfer funds without a valid signature or quorum certificate.</w:t>
      </w:r>
    </w:p>
    <w:p w14:paraId="3C5B4DE9" w14:textId="77777777" w:rsidR="00AB0EAF" w:rsidRDefault="00000000">
      <w:pPr>
        <w:numPr>
          <w:ilvl w:val="0"/>
          <w:numId w:val="8"/>
        </w:numPr>
      </w:pPr>
      <w:r>
        <w:t>Refusing to include a transaction that violates the Permanent Invariants (Section 2.2) — for example, an attempt to mint above the supply rules.</w:t>
      </w:r>
    </w:p>
    <w:p w14:paraId="15C8B039" w14:textId="77777777" w:rsidR="00AB0EAF" w:rsidRDefault="00000000">
      <w:pPr>
        <w:numPr>
          <w:ilvl w:val="0"/>
          <w:numId w:val="8"/>
        </w:numPr>
      </w:pPr>
      <w:r>
        <w:t>Refusing to release escrow until proof-of-delivery is verified (Section 14).</w:t>
      </w:r>
    </w:p>
    <w:p w14:paraId="4F1D469C" w14:textId="77777777" w:rsidR="00AB0EAF" w:rsidRDefault="00000000">
      <w:pPr>
        <w:numPr>
          <w:ilvl w:val="0"/>
          <w:numId w:val="8"/>
        </w:numPr>
      </w:pPr>
      <w:r>
        <w:t>Refusing to promote a candidate Core that exceeds the 20ms lag bound (Section 3.4).</w:t>
      </w:r>
    </w:p>
    <w:p w14:paraId="312AA896" w14:textId="77777777" w:rsidR="00AB0EAF" w:rsidRDefault="00000000">
      <w:pPr>
        <w:pStyle w:val="BodyText"/>
      </w:pPr>
      <w:r>
        <w:rPr>
          <w:b/>
        </w:rPr>
        <w:t xml:space="preserve">Rule 2 — initiation is what defines coercion. </w:t>
      </w:r>
      <w:r>
        <w:t>Coercion occurs only when the AI or the Core initiates an unauthorized state change on an un-flagged wallet, without consent, a valid QC, or an arbitrator judgment (Section 11.2). A flagged wallet is one flagged via Section 11 arbitrator supermajority judgment for proven theft or fraud, with a published evidence hash and an expired 2016-block veto window (Section 6.6.3). If a wallet is un-flagged, any state change moving its funds without its own signature, or without a Section 11 judgment and an expired veto window, is coercion — it is invalid, and it triggers the genesis-hash-anchor invalidation and hard-fork mechanics of Section 10.6.3. If a wallet is flagged under Section 11, recovery of stolen funds per the arbitrator judgment is not coercion; it is restitution, explicitly authorized as defensive enforcement of the victim's prior property right, not as initiation. Any such recovery must reference the judgment hash, the evidence tier under Articles 1 and 2, and dual approval from both the arbitrator panel and a log-witness QC.</w:t>
      </w:r>
    </w:p>
    <w:p w14:paraId="4C925B22" w14:textId="77777777" w:rsidR="00AB0EAF" w:rsidRDefault="00000000">
      <w:pPr>
        <w:pStyle w:val="Heading2"/>
      </w:pPr>
      <w:r>
        <w:t>A.2 The Stolen-Funds Recovery Path</w:t>
      </w:r>
    </w:p>
    <w:p w14:paraId="25BEFC9F" w14:textId="77777777" w:rsidR="00AB0EAF" w:rsidRDefault="00000000">
      <w:pPr>
        <w:numPr>
          <w:ilvl w:val="0"/>
          <w:numId w:val="9"/>
        </w:numPr>
      </w:pPr>
      <w:r>
        <w:t>The victim files a dispute (Section 11.1) with an evidence hash.</w:t>
      </w:r>
    </w:p>
    <w:p w14:paraId="2AEE2E5D" w14:textId="77777777" w:rsidR="00AB0EAF" w:rsidRDefault="00000000">
      <w:pPr>
        <w:numPr>
          <w:ilvl w:val="0"/>
          <w:numId w:val="9"/>
        </w:numPr>
      </w:pPr>
      <w:r>
        <w:t>A random arbitrator panel, selected by reputation-weighted lottery (Section 11.2) rather than by PoRT validator weight — deliberately, to avoid a conflict between judges and validators — reviews the dispute and produces a judgment.</w:t>
      </w:r>
    </w:p>
    <w:p w14:paraId="0E756E05" w14:textId="77777777" w:rsidR="00AB0EAF" w:rsidRDefault="00000000">
      <w:pPr>
        <w:numPr>
          <w:ilvl w:val="0"/>
          <w:numId w:val="9"/>
        </w:numPr>
      </w:pPr>
      <w:r>
        <w:t>The judgment is published on-chain, opening the 2016-block veto window (Section 6.6.3), during which any 10% of staked nodes can trigger constitutional review.</w:t>
      </w:r>
    </w:p>
    <w:p w14:paraId="4A0A6D30" w14:textId="77777777" w:rsidR="00AB0EAF" w:rsidRDefault="00000000">
      <w:pPr>
        <w:numPr>
          <w:ilvl w:val="0"/>
          <w:numId w:val="9"/>
        </w:numPr>
      </w:pPr>
      <w:r>
        <w:lastRenderedPageBreak/>
        <w:t>If no veto is triggered, the wallet is flagged, with an expiration and an appeal path recorded (Section 11.3).</w:t>
      </w:r>
    </w:p>
    <w:p w14:paraId="0D0BAD32" w14:textId="77777777" w:rsidR="00AB0EAF" w:rsidRDefault="00000000">
      <w:pPr>
        <w:numPr>
          <w:ilvl w:val="0"/>
          <w:numId w:val="9"/>
        </w:numPr>
      </w:pPr>
      <w:r>
        <w:t>The Core may then execute the restitution transfer. This is defined as defensive, not coercive, because it does not initiate an unauthorized change on an un-flagged wallet — the flag is what makes the authorization explicit.</w:t>
      </w:r>
    </w:p>
    <w:p w14:paraId="14001A14" w14:textId="77777777" w:rsidR="00AB0EAF" w:rsidRDefault="00000000">
      <w:pPr>
        <w:pStyle w:val="Heading2"/>
      </w:pPr>
      <w:r>
        <w:t>A.3 No Gridlock, and Asset Disputes</w:t>
      </w:r>
    </w:p>
    <w:p w14:paraId="62F52C9B" w14:textId="77777777" w:rsidR="00AB0EAF" w:rsidRDefault="00000000">
      <w:pPr>
        <w:pStyle w:val="FirstParagraph"/>
      </w:pPr>
      <w:r>
        <w:t>The AI or the Core may never be compelled to act in order to avoid an accusation of coercion. Refusal alone cannot be reframed as coercion to force action — the system cannot be locked in gridlock by a demand that the AI initiate a transfer to “avoid harm,” since that demand would itself be coerced initiation, which is prohibited.</w:t>
      </w:r>
    </w:p>
    <w:p w14:paraId="72BD311D" w14:textId="77777777" w:rsidR="00AB0EAF" w:rsidRDefault="00000000">
      <w:pPr>
        <w:pStyle w:val="FirstParagraph"/>
      </w:pPr>
      <w:r>
        <w:t>For ambiguous, partial, or damaged asset deliveries under Section 14: the AI refusing to release escrow until proof resolves is defensive. If arbitrators cannot determine delivery, escrow returns to the sender after a timeout — this is also defensive, not coercion, because no un-flagged wallet loses funds without consent; the contract terms were consented to at escrow creation.</w:t>
      </w:r>
    </w:p>
    <w:p w14:paraId="5F121A92" w14:textId="77777777" w:rsidR="00AB0EAF" w:rsidRDefault="00000000">
      <w:pPr>
        <w:pStyle w:val="FirstParagraph"/>
      </w:pPr>
      <w:r>
        <w:t>This framework is codified as an epoch parameter, not a Permanent Invariant, and requires the same re-validation through Section 16 adversarial modeling as the rest of this appendix before it can be treated as settled precedent rather than a candidate interpretation.</w:t>
      </w:r>
    </w:p>
    <w:p w14:paraId="549248C0" w14:textId="77777777" w:rsidR="00AB0EAF" w:rsidRDefault="00000000">
      <w:pPr>
        <w:pStyle w:val="Heading1"/>
      </w:pPr>
      <w:bookmarkStart w:id="98" w:name="appendix-a-change-log-v0.3-v0.4"/>
      <w:bookmarkEnd w:id="97"/>
      <w:r>
        <w:t>Appendix F: Change Log v0.3 → v0.4</w:t>
      </w:r>
    </w:p>
    <w:p w14:paraId="0AFDD54E" w14:textId="77777777" w:rsidR="00AB0EAF" w:rsidRDefault="00000000">
      <w:pPr>
        <w:numPr>
          <w:ilvl w:val="0"/>
          <w:numId w:val="39"/>
        </w:numPr>
      </w:pPr>
      <w:r>
        <w:t>Expanded Section 2.2 from a principle statement to an operational default constraint, retitled “Non-Aggression as Default Action Ethic.”</w:t>
      </w:r>
    </w:p>
    <w:p w14:paraId="46ECC5DC" w14:textId="77777777" w:rsidR="00AB0EAF" w:rsidRDefault="00000000">
      <w:pPr>
        <w:numPr>
          <w:ilvl w:val="0"/>
          <w:numId w:val="39"/>
        </w:numPr>
      </w:pPr>
      <w:r>
        <w:t>Rewrote Section 10’s title and intro to reflect the two-layer Evidence-First + Non-Aggression framework.</w:t>
      </w:r>
    </w:p>
    <w:p w14:paraId="046F6F6E" w14:textId="77777777" w:rsidR="00AB0EAF" w:rsidRDefault="00000000">
      <w:pPr>
        <w:numPr>
          <w:ilvl w:val="0"/>
          <w:numId w:val="39"/>
        </w:numPr>
      </w:pPr>
      <w:r>
        <w:t>Added Section 10.5, Non-Aggression Principle (Action Layer), replacing and expanding the prior single-sentence output constraint.</w:t>
      </w:r>
    </w:p>
    <w:p w14:paraId="42126EA8" w14:textId="77777777" w:rsidR="00AB0EAF" w:rsidRDefault="00000000">
      <w:pPr>
        <w:numPr>
          <w:ilvl w:val="0"/>
          <w:numId w:val="39"/>
        </w:numPr>
      </w:pPr>
      <w:r>
        <w:t>Added Section 10.6, The Public Constitution, with on-chain anchoring and a mandatory citation requirement.</w:t>
      </w:r>
    </w:p>
    <w:p w14:paraId="582BF680" w14:textId="77777777" w:rsidR="00AB0EAF" w:rsidRDefault="00000000">
      <w:pPr>
        <w:numPr>
          <w:ilvl w:val="0"/>
          <w:numId w:val="39"/>
        </w:numPr>
      </w:pPr>
      <w:r>
        <w:t>Updated Section 11 to require that AI-driven Core expansion be justified as defensive or performance-driven under the Constitution, with every trigger logged.</w:t>
      </w:r>
    </w:p>
    <w:p w14:paraId="299C73AE" w14:textId="77777777" w:rsidR="00AB0EAF" w:rsidRDefault="00000000">
      <w:pPr>
        <w:numPr>
          <w:ilvl w:val="0"/>
          <w:numId w:val="39"/>
        </w:numPr>
      </w:pPr>
      <w:r>
        <w:t>Added two Section 16 risk bullets: formal verification of NAP-constrained agent behavior, and definitional ambiguity in “coercion” pending a documented body of precedent.</w:t>
      </w:r>
    </w:p>
    <w:p w14:paraId="720E9241" w14:textId="77777777" w:rsidR="00AB0EAF" w:rsidRDefault="00000000">
      <w:pPr>
        <w:numPr>
          <w:ilvl w:val="0"/>
          <w:numId w:val="39"/>
        </w:numPr>
      </w:pPr>
      <w:r>
        <w:t>No changes to core technical claims in Sections 3-9; this update makes the project’s philosophy enforceable rather than aspirational.</w:t>
      </w:r>
    </w:p>
    <w:p w14:paraId="340DC2B9" w14:textId="77777777" w:rsidR="00AB0EAF" w:rsidRDefault="00000000">
      <w:pPr>
        <w:pStyle w:val="Heading1"/>
      </w:pPr>
      <w:bookmarkStart w:id="99" w:name="X1ce8dc418dc2f53b5f50524cb05c1b2959ed4b7"/>
      <w:r>
        <w:lastRenderedPageBreak/>
        <w:t>Appendix G: Narrative Inspiration and Sacred Geometry (Speculative Theory)</w:t>
      </w:r>
    </w:p>
    <w:p w14:paraId="0EF3F778" w14:textId="77777777" w:rsidR="00AB0EAF" w:rsidRDefault="00000000">
      <w:pPr>
        <w:pStyle w:val="FirstParagraph"/>
      </w:pPr>
      <w:r>
        <w:t>This subsection documents the conceptual inspiration behind constants used elsewhere in this paper — the 0.35 supply exponent (Section 6.2) and the recurring Fibonacci-denominated schedules used for dormancy leakage (Section 6.3.1) and node-slot pricing (Section 6.5.1) — for readers curious about the design’s origin. It is labeled Speculative Theory under the Constitution’s Article 1 and Article 2 evidence hierarchy: it motivated the choice of these constants but is not itself a claim requiring verification, and it carries no operative or binding weight anywhere in this document. If this subsection were removed entirely, no formula, parameter, or mechanism elsewhere in the paper would change.</w:t>
      </w:r>
    </w:p>
    <w:p w14:paraId="40697C47" w14:textId="77777777" w:rsidR="00AB0EAF" w:rsidRDefault="00000000">
      <w:pPr>
        <w:pStyle w:val="BodyText"/>
      </w:pPr>
      <w:r>
        <w:t>The 0.35 exponent in Section 6.2 approximates 1/φ² (the golden ratio conjugate, ≈0.381966), chosen for a supply curve that expands quickly with early adoption and decelerates smoothly as the network matures — the same damped-growth shape found in phyllotaxis and other natural branching systems governed by golden-ratio proportions. The Fibonacci sequence (1, 1, 2, 3, 5, 8, 13, 21, 34, 55, 89, 144, 233…) recurs in the dormancy leakage rates and the node-slot pricing curve for the same reason: it is a naturally-occurring pattern of proportional, non-linear growth that avoids both flat linear schedules and runaway exponential ones.</w:t>
      </w:r>
    </w:p>
    <w:p w14:paraId="29D186C9" w14:textId="77777777" w:rsidR="00AB0EAF" w:rsidRDefault="00000000">
      <w:pPr>
        <w:pStyle w:val="BodyText"/>
      </w:pPr>
      <w:r>
        <w:t>None of this is offered as proof that Fibonacci ratios or golden-ratio proportions carry any special economic power. It is offered as the design rationale for why these specific constants were chosen over arbitrary alternatives, consistent with that evidence hierarchy’s requirement that speculative or aesthetic motivations be clearly separated from operative, binding claims.</w:t>
      </w:r>
    </w:p>
    <w:p w14:paraId="662CA270" w14:textId="77777777" w:rsidR="00AB0EAF" w:rsidRDefault="00000000">
      <w:pPr>
        <w:pStyle w:val="BodyText"/>
      </w:pPr>
      <w:r>
        <w:t>Earlier drafts also described the inflow-outflow balance of the elastic supply and reclamation mechanics using a torus/vector-equilibrium metaphor drawn from Buckminster Fuller’s geometry, alongside illustrative figures for early-network compute velocity and infrastructure-incentive advantage. Those illustrative figures have since been superseded by the concrete, binding formulas in Sections 6.4, 6.5, and 6.7, and are not restated here to avoid contradicting the current mechanics; the torus/VE framing itself remains purely descriptive flavor and appears in its fuller, marketing-oriented form in Appendix D.</w:t>
      </w:r>
    </w:p>
    <w:p w14:paraId="59607F39" w14:textId="77777777" w:rsidR="00AB0EAF" w:rsidRDefault="00000000">
      <w:pPr>
        <w:pStyle w:val="Heading1"/>
      </w:pPr>
      <w:bookmarkStart w:id="100" w:name="Xb76020013b016f66757fe207297c076ea8c04ca"/>
      <w:bookmarkEnd w:id="98"/>
      <w:bookmarkEnd w:id="99"/>
      <w:r>
        <w:t>Appendix B: Figure A-3.5 — Desktop Wallets P2P On-Demand Lending, AI/Oracle Upgrade Report, and Privacy-Preserving Proof-of-Real-Hardware</w:t>
      </w:r>
    </w:p>
    <w:p w14:paraId="65FD940F" w14:textId="77777777" w:rsidR="00AB0EAF" w:rsidRDefault="00000000">
      <w:pPr>
        <w:pStyle w:val="FirstParagraph"/>
      </w:pPr>
      <w:r>
        <w:t xml:space="preserve">This appendix is a working insert developed alongside Section 6.7 (Resource Contribution Marketplace) and Section 12.1 (Zero-Knowledge Proof-of-Personhood). It documents an early design pass on how ordinary desktop wallets can lend spare storage, bandwidth, and compute to the network on demand, how the AI/Oracle layer reports the resulting rewards and network impact, and how the network can verify real hardware behind a lender </w:t>
      </w:r>
      <w:r>
        <w:lastRenderedPageBreak/>
        <w:t>without compromising privacy. Figures and thresholds below are illustrative starting points, not finalized parameters, and are subject to the same modeling and adversarial review called for in Section 16.</w:t>
      </w:r>
    </w:p>
    <w:p w14:paraId="4C25E1EF" w14:textId="77777777" w:rsidR="00AB0EAF" w:rsidRDefault="00000000">
      <w:pPr>
        <w:pStyle w:val="Heading2"/>
      </w:pPr>
      <w:bookmarkStart w:id="101" w:name="b.1-where-we-left-off"/>
      <w:r>
        <w:t>B.1 Where We Left Off</w:t>
      </w:r>
    </w:p>
    <w:p w14:paraId="64596989" w14:textId="77777777" w:rsidR="00AB0EAF" w:rsidRDefault="00000000">
      <w:pPr>
        <w:pStyle w:val="FirstParagraph"/>
      </w:pPr>
      <w:r>
        <w:t>Recapping the state of the design prior to this insert:</w:t>
      </w:r>
    </w:p>
    <w:p w14:paraId="55329332" w14:textId="77777777" w:rsidR="00AB0EAF" w:rsidRDefault="00000000">
      <w:pPr>
        <w:numPr>
          <w:ilvl w:val="0"/>
          <w:numId w:val="40"/>
        </w:numPr>
      </w:pPr>
      <w:r>
        <w:t>Core expanding/contracting: 10 → 30 nodes in the same city at under 50ms, sustaining 100 → 300 TPS (p95).</w:t>
      </w:r>
    </w:p>
    <w:p w14:paraId="1045CA9F" w14:textId="77777777" w:rsidR="00AB0EAF" w:rsidRDefault="00000000">
      <w:pPr>
        <w:numPr>
          <w:ilvl w:val="0"/>
          <w:numId w:val="40"/>
        </w:numPr>
      </w:pPr>
      <w:r>
        <w:t>Storage bottleneck: roughly 860GB/day per 1,000 TPS per core; at 100 cores this becomes a systemic risk if not sharded.</w:t>
      </w:r>
    </w:p>
    <w:p w14:paraId="607AE6FD" w14:textId="77777777" w:rsidR="00AB0EAF" w:rsidRDefault="00000000">
      <w:pPr>
        <w:numPr>
          <w:ilvl w:val="0"/>
          <w:numId w:val="40"/>
        </w:numPr>
      </w:pPr>
      <w:r>
        <w:t>Surrounding consumer devices are not full nodes — they lend capacity only, forming a hybrid of many tiny “tubes” and a smaller number of fast, dedicated tubes.</w:t>
      </w:r>
    </w:p>
    <w:p w14:paraId="65FC5EB6" w14:textId="77777777" w:rsidR="00AB0EAF" w:rsidRDefault="00000000">
      <w:pPr>
        <w:numPr>
          <w:ilvl w:val="0"/>
          <w:numId w:val="40"/>
        </w:numPr>
      </w:pPr>
      <w:r>
        <w:t>Most users will not install a full node even if rewarded — friction outweighs incentive. Lending needs to be zero-friction and initiated directly from the desktop wallet.</w:t>
      </w:r>
    </w:p>
    <w:p w14:paraId="1DCA4E0D" w14:textId="77777777" w:rsidR="00AB0EAF" w:rsidRDefault="00000000">
      <w:pPr>
        <w:numPr>
          <w:ilvl w:val="0"/>
          <w:numId w:val="40"/>
        </w:numPr>
      </w:pPr>
      <w:r>
        <w:t>The system must still function well even if lending participation is zero — the baseline, very-finite core has to survive on its own.</w:t>
      </w:r>
    </w:p>
    <w:p w14:paraId="75210BB5" w14:textId="77777777" w:rsidR="00AB0EAF" w:rsidRDefault="00000000">
      <w:pPr>
        <w:pStyle w:val="FirstParagraph"/>
      </w:pPr>
      <w:r>
        <w:t>Insight: many tiny borrowed tubes are enough for storage backup, but not enough for the gas-pump-fast 0.8-second pre-confirmation, which requires quick nodes with 7-of-10 signing readiness.</w:t>
      </w:r>
    </w:p>
    <w:p w14:paraId="0FCB076F" w14:textId="77777777" w:rsidR="00AB0EAF" w:rsidRDefault="00000000">
      <w:pPr>
        <w:pStyle w:val="Heading2"/>
      </w:pPr>
      <w:bookmarkStart w:id="102" w:name="b.2-system-sketch"/>
      <w:bookmarkEnd w:id="101"/>
      <w:r>
        <w:t>B.2 System Sketch</w:t>
      </w:r>
    </w:p>
    <w:p w14:paraId="7AE8D75B" w14:textId="77777777" w:rsidR="00AB0EAF" w:rsidRDefault="00000000">
      <w:pPr>
        <w:pStyle w:val="FirstParagraph"/>
      </w:pPr>
      <w:r>
        <w:t>The lending hierarchy has three tiers, from fewest and fastest to most numerous and lightest:</w:t>
      </w:r>
    </w:p>
    <w:p w14:paraId="519ABA70" w14:textId="77777777" w:rsidR="00AB0EAF" w:rsidRDefault="00000000">
      <w:pPr>
        <w:numPr>
          <w:ilvl w:val="0"/>
          <w:numId w:val="41"/>
        </w:numPr>
      </w:pPr>
      <w:r>
        <w:t>Core Nodes — fast, dedicated infrastructure forming the self-replicating execution core described in Section 3.</w:t>
      </w:r>
    </w:p>
    <w:p w14:paraId="37EF489C" w14:textId="77777777" w:rsidR="00AB0EAF" w:rsidRDefault="00000000">
      <w:pPr>
        <w:numPr>
          <w:ilvl w:val="0"/>
          <w:numId w:val="41"/>
        </w:numPr>
      </w:pPr>
      <w:r>
        <w:t>Quick Nodes — lending nodes that commit to 24/7 availability and meet the throughput profile needed for fast pre-confirmation.</w:t>
      </w:r>
    </w:p>
    <w:p w14:paraId="71C14E0E" w14:textId="77777777" w:rsidR="00AB0EAF" w:rsidRDefault="00000000">
      <w:pPr>
        <w:numPr>
          <w:ilvl w:val="0"/>
          <w:numId w:val="41"/>
        </w:numPr>
      </w:pPr>
      <w:r>
        <w:t>Tiny Tubes — ordinary desktop wallets lending small amounts of spare storage and bandwidth opportunistically, with no uptime commitment.</w:t>
      </w:r>
    </w:p>
    <w:p w14:paraId="1FDC5092" w14:textId="77777777" w:rsidR="00AB0EAF" w:rsidRDefault="00000000">
      <w:pPr>
        <w:pStyle w:val="FirstParagraph"/>
      </w:pPr>
      <w:r>
        <w:t>Analogy: the network behaves like a living slime mold rather than a barn. The core continuously finds the fastest available areas and borrows many tiny tubes when demand spikes, rather than depending on a fixed structure that collapses if any one part is imperfect.</w:t>
      </w:r>
    </w:p>
    <w:p w14:paraId="620BB0A7" w14:textId="77777777" w:rsidR="00AB0EAF" w:rsidRDefault="00000000">
      <w:pPr>
        <w:pStyle w:val="Heading2"/>
      </w:pPr>
      <w:bookmarkStart w:id="103" w:name="X04c1987a482664301f39dc737f602dbadddec9d"/>
      <w:bookmarkEnd w:id="102"/>
      <w:r>
        <w:lastRenderedPageBreak/>
        <w:t>B.3 AI + Oracle Daily/Weekly Report: Upgrade Tiers</w:t>
      </w:r>
    </w:p>
    <w:p w14:paraId="7584D8AC" w14:textId="77777777" w:rsidR="00AB0EAF" w:rsidRDefault="00000000">
      <w:pPr>
        <w:pStyle w:val="FirstParagraph"/>
      </w:pPr>
      <w:r>
        <w:t>The embedded AI, drawing on the decentralized oracle layer (Section 13), produces a periodic report comparing five lending tiers across measured specs, rewards, upgrade cost, network impact, and mission impact. The table below reflects a sample report.</w:t>
      </w:r>
    </w:p>
    <w:tbl>
      <w:tblPr>
        <w:tblStyle w:val="Table"/>
        <w:tblW w:w="4907" w:type="pct"/>
        <w:tblLook w:val="0020" w:firstRow="1" w:lastRow="0" w:firstColumn="0" w:lastColumn="0" w:noHBand="0" w:noVBand="0"/>
      </w:tblPr>
      <w:tblGrid>
        <w:gridCol w:w="2109"/>
        <w:gridCol w:w="1292"/>
        <w:gridCol w:w="1831"/>
        <w:gridCol w:w="1417"/>
        <w:gridCol w:w="1666"/>
        <w:gridCol w:w="1261"/>
      </w:tblGrid>
      <w:tr w:rsidR="00AB0EAF" w14:paraId="4B404998" w14:textId="77777777" w:rsidTr="00AB0EAF">
        <w:trPr>
          <w:cnfStyle w:val="100000000000" w:firstRow="1" w:lastRow="0" w:firstColumn="0" w:lastColumn="0" w:oddVBand="0" w:evenVBand="0" w:oddHBand="0" w:evenHBand="0" w:firstRowFirstColumn="0" w:firstRowLastColumn="0" w:lastRowFirstColumn="0" w:lastRowLastColumn="0"/>
          <w:tblHeader/>
        </w:trPr>
        <w:tc>
          <w:tcPr>
            <w:tcW w:w="0" w:type="auto"/>
          </w:tcPr>
          <w:p w14:paraId="04792ECE" w14:textId="77777777" w:rsidR="00AB0EAF" w:rsidRDefault="00000000">
            <w:pPr>
              <w:pStyle w:val="Compact"/>
            </w:pPr>
            <w:r>
              <w:rPr>
                <w:b/>
                <w:bCs/>
              </w:rPr>
              <w:t>Metric</w:t>
            </w:r>
          </w:p>
        </w:tc>
        <w:tc>
          <w:tcPr>
            <w:tcW w:w="0" w:type="auto"/>
          </w:tcPr>
          <w:p w14:paraId="3805531A" w14:textId="77777777" w:rsidR="00AB0EAF" w:rsidRDefault="00000000">
            <w:pPr>
              <w:pStyle w:val="Compact"/>
            </w:pPr>
            <w:r>
              <w:rPr>
                <w:b/>
                <w:bCs/>
              </w:rPr>
              <w:t>Leaving Same</w:t>
            </w:r>
            <w:r>
              <w:t xml:space="preserve"> </w:t>
            </w:r>
            <w:r>
              <w:rPr>
                <w:b/>
                <w:bCs/>
              </w:rPr>
              <w:t>(Baseline)</w:t>
            </w:r>
          </w:p>
        </w:tc>
        <w:tc>
          <w:tcPr>
            <w:tcW w:w="0" w:type="auto"/>
          </w:tcPr>
          <w:p w14:paraId="3F51E41D" w14:textId="77777777" w:rsidR="00AB0EAF" w:rsidRDefault="00000000">
            <w:pPr>
              <w:pStyle w:val="Compact"/>
            </w:pPr>
            <w:r>
              <w:rPr>
                <w:b/>
                <w:bCs/>
              </w:rPr>
              <w:t>Upgrade Storage</w:t>
            </w:r>
            <w:r>
              <w:t xml:space="preserve"> </w:t>
            </w:r>
            <w:r>
              <w:rPr>
                <w:b/>
                <w:bCs/>
              </w:rPr>
              <w:t>100MB → 1GB</w:t>
            </w:r>
          </w:p>
        </w:tc>
        <w:tc>
          <w:tcPr>
            <w:tcW w:w="0" w:type="auto"/>
          </w:tcPr>
          <w:p w14:paraId="43A8F3F1" w14:textId="77777777" w:rsidR="00AB0EAF" w:rsidRDefault="00000000">
            <w:pPr>
              <w:pStyle w:val="Compact"/>
            </w:pPr>
            <w:r>
              <w:rPr>
                <w:b/>
                <w:bCs/>
              </w:rPr>
              <w:t>Upgrade Internet</w:t>
            </w:r>
            <w:r>
              <w:t xml:space="preserve"> </w:t>
            </w:r>
            <w:r>
              <w:rPr>
                <w:b/>
                <w:bCs/>
              </w:rPr>
              <w:t>25 → 100 Mbps Fiber Relay</w:t>
            </w:r>
          </w:p>
        </w:tc>
        <w:tc>
          <w:tcPr>
            <w:tcW w:w="0" w:type="auto"/>
          </w:tcPr>
          <w:p w14:paraId="43A3425C" w14:textId="77777777" w:rsidR="00AB0EAF" w:rsidRDefault="00000000">
            <w:pPr>
              <w:pStyle w:val="Compact"/>
            </w:pPr>
            <w:r>
              <w:rPr>
                <w:b/>
                <w:bCs/>
              </w:rPr>
              <w:t>Quick Node</w:t>
            </w:r>
            <w:r>
              <w:t xml:space="preserve"> </w:t>
            </w:r>
            <w:r>
              <w:rPr>
                <w:b/>
                <w:bCs/>
              </w:rPr>
              <w:t>100Mbps+ / 8c/16GB/1TB / 24/7</w:t>
            </w:r>
          </w:p>
        </w:tc>
        <w:tc>
          <w:tcPr>
            <w:tcW w:w="0" w:type="auto"/>
          </w:tcPr>
          <w:p w14:paraId="6935AD25" w14:textId="77777777" w:rsidR="00AB0EAF" w:rsidRDefault="00000000">
            <w:pPr>
              <w:pStyle w:val="Compact"/>
            </w:pPr>
            <w:r>
              <w:rPr>
                <w:b/>
                <w:bCs/>
              </w:rPr>
              <w:t>Hardware Quick Node Max</w:t>
            </w:r>
            <w:r>
              <w:t xml:space="preserve"> </w:t>
            </w:r>
            <w:r>
              <w:rPr>
                <w:b/>
                <w:bCs/>
              </w:rPr>
              <w:t>(Maxed Spec)</w:t>
            </w:r>
          </w:p>
        </w:tc>
      </w:tr>
      <w:tr w:rsidR="00AB0EAF" w14:paraId="4BAF6092" w14:textId="77777777">
        <w:tc>
          <w:tcPr>
            <w:tcW w:w="0" w:type="auto"/>
          </w:tcPr>
          <w:p w14:paraId="7C542E4C" w14:textId="77777777" w:rsidR="00AB0EAF" w:rsidRDefault="00000000">
            <w:pPr>
              <w:pStyle w:val="Compact"/>
            </w:pPr>
            <w:r>
              <w:t>Measured Specs</w:t>
            </w:r>
          </w:p>
        </w:tc>
        <w:tc>
          <w:tcPr>
            <w:tcW w:w="0" w:type="auto"/>
          </w:tcPr>
          <w:p w14:paraId="448110E5" w14:textId="77777777" w:rsidR="00AB0EAF" w:rsidRDefault="00000000">
            <w:pPr>
              <w:pStyle w:val="Compact"/>
            </w:pPr>
            <w:r>
              <w:t>25 Mbps up / 50 down 2c / 8GB / 128GB free 2–4h active</w:t>
            </w:r>
          </w:p>
        </w:tc>
        <w:tc>
          <w:tcPr>
            <w:tcW w:w="0" w:type="auto"/>
          </w:tcPr>
          <w:p w14:paraId="267201A0" w14:textId="77777777" w:rsidR="00AB0EAF" w:rsidRDefault="00000000">
            <w:pPr>
              <w:pStyle w:val="Compact"/>
            </w:pPr>
            <w:r>
              <w:t>25 Mbps up / 50 down 2c / 8GB / 1GB lent 2–4h active</w:t>
            </w:r>
          </w:p>
        </w:tc>
        <w:tc>
          <w:tcPr>
            <w:tcW w:w="0" w:type="auto"/>
          </w:tcPr>
          <w:p w14:paraId="7EB52832" w14:textId="77777777" w:rsidR="00AB0EAF" w:rsidRDefault="00000000">
            <w:pPr>
              <w:pStyle w:val="Compact"/>
            </w:pPr>
            <w:r>
              <w:t>95 Mbps up / 200 down 4c / 16GB / 500MB lent 6h active, relay ON</w:t>
            </w:r>
          </w:p>
        </w:tc>
        <w:tc>
          <w:tcPr>
            <w:tcW w:w="0" w:type="auto"/>
          </w:tcPr>
          <w:p w14:paraId="06D3F48A" w14:textId="77777777" w:rsidR="00AB0EAF" w:rsidRDefault="00000000">
            <w:pPr>
              <w:pStyle w:val="Compact"/>
            </w:pPr>
            <w:r>
              <w:t>105 Mbps up / 300 down 8c / 16GB / 1TB lent 24/7, relay ON</w:t>
            </w:r>
          </w:p>
        </w:tc>
        <w:tc>
          <w:tcPr>
            <w:tcW w:w="0" w:type="auto"/>
          </w:tcPr>
          <w:p w14:paraId="0C58F4AE" w14:textId="77777777" w:rsidR="00AB0EAF" w:rsidRDefault="00000000">
            <w:pPr>
              <w:pStyle w:val="Compact"/>
            </w:pPr>
            <w:r>
              <w:t>500+ Mbps fiber sym 12c+ / 32GB+ / 4TB+ NVMe 24/7, static IP, relay ON</w:t>
            </w:r>
          </w:p>
        </w:tc>
      </w:tr>
      <w:tr w:rsidR="00AB0EAF" w14:paraId="23FC0D3A" w14:textId="77777777">
        <w:tc>
          <w:tcPr>
            <w:tcW w:w="0" w:type="auto"/>
          </w:tcPr>
          <w:p w14:paraId="2218A512" w14:textId="77777777" w:rsidR="00AB0EAF" w:rsidRDefault="00000000">
            <w:pPr>
              <w:pStyle w:val="Compact"/>
            </w:pPr>
            <w:r>
              <w:t>Daily Pocket Rewards(tending bonus incl.)</w:t>
            </w:r>
          </w:p>
        </w:tc>
        <w:tc>
          <w:tcPr>
            <w:tcW w:w="0" w:type="auto"/>
          </w:tcPr>
          <w:p w14:paraId="268169D3" w14:textId="77777777" w:rsidR="00AB0EAF" w:rsidRDefault="00000000">
            <w:pPr>
              <w:pStyle w:val="Compact"/>
            </w:pPr>
            <w:r>
              <w:t>0.12 NEXUS</w:t>
            </w:r>
          </w:p>
        </w:tc>
        <w:tc>
          <w:tcPr>
            <w:tcW w:w="0" w:type="auto"/>
          </w:tcPr>
          <w:p w14:paraId="4DC585AA" w14:textId="77777777" w:rsidR="00AB0EAF" w:rsidRDefault="00000000">
            <w:pPr>
              <w:pStyle w:val="Compact"/>
            </w:pPr>
            <w:r>
              <w:t>0.24 NEXUS</w:t>
            </w:r>
          </w:p>
        </w:tc>
        <w:tc>
          <w:tcPr>
            <w:tcW w:w="0" w:type="auto"/>
          </w:tcPr>
          <w:p w14:paraId="2DA5A593" w14:textId="77777777" w:rsidR="00AB0EAF" w:rsidRDefault="00000000">
            <w:pPr>
              <w:pStyle w:val="Compact"/>
            </w:pPr>
            <w:r>
              <w:t>0.60 NEXUS</w:t>
            </w:r>
          </w:p>
        </w:tc>
        <w:tc>
          <w:tcPr>
            <w:tcW w:w="0" w:type="auto"/>
          </w:tcPr>
          <w:p w14:paraId="46CDB193" w14:textId="77777777" w:rsidR="00AB0EAF" w:rsidRDefault="00000000">
            <w:pPr>
              <w:pStyle w:val="Compact"/>
            </w:pPr>
            <w:r>
              <w:t>2.40 NEXUS</w:t>
            </w:r>
          </w:p>
        </w:tc>
        <w:tc>
          <w:tcPr>
            <w:tcW w:w="0" w:type="auto"/>
          </w:tcPr>
          <w:p w14:paraId="5C221E94" w14:textId="77777777" w:rsidR="00AB0EAF" w:rsidRDefault="00000000">
            <w:pPr>
              <w:pStyle w:val="Compact"/>
            </w:pPr>
            <w:r>
              <w:t>3.60 NEXUS</w:t>
            </w:r>
          </w:p>
        </w:tc>
      </w:tr>
      <w:tr w:rsidR="00AB0EAF" w14:paraId="68448DAB" w14:textId="77777777">
        <w:tc>
          <w:tcPr>
            <w:tcW w:w="0" w:type="auto"/>
          </w:tcPr>
          <w:p w14:paraId="17942E68" w14:textId="77777777" w:rsidR="00AB0EAF" w:rsidRDefault="00000000">
            <w:pPr>
              <w:pStyle w:val="Compact"/>
            </w:pPr>
            <w:r>
              <w:t>Weekly Pocket Rewards(AI+Oracle Report)</w:t>
            </w:r>
          </w:p>
        </w:tc>
        <w:tc>
          <w:tcPr>
            <w:tcW w:w="0" w:type="auto"/>
          </w:tcPr>
          <w:p w14:paraId="2AC5186F" w14:textId="77777777" w:rsidR="00AB0EAF" w:rsidRDefault="00000000">
            <w:pPr>
              <w:pStyle w:val="Compact"/>
            </w:pPr>
            <w:r>
              <w:t>0.84 NEXUS</w:t>
            </w:r>
          </w:p>
        </w:tc>
        <w:tc>
          <w:tcPr>
            <w:tcW w:w="0" w:type="auto"/>
          </w:tcPr>
          <w:p w14:paraId="66472D31" w14:textId="77777777" w:rsidR="00AB0EAF" w:rsidRDefault="00000000">
            <w:pPr>
              <w:pStyle w:val="Compact"/>
            </w:pPr>
            <w:r>
              <w:t>1.68 NEXUS</w:t>
            </w:r>
          </w:p>
        </w:tc>
        <w:tc>
          <w:tcPr>
            <w:tcW w:w="0" w:type="auto"/>
          </w:tcPr>
          <w:p w14:paraId="539DACF5" w14:textId="77777777" w:rsidR="00AB0EAF" w:rsidRDefault="00000000">
            <w:pPr>
              <w:pStyle w:val="Compact"/>
            </w:pPr>
            <w:r>
              <w:t>4.20 NEXUS</w:t>
            </w:r>
          </w:p>
        </w:tc>
        <w:tc>
          <w:tcPr>
            <w:tcW w:w="0" w:type="auto"/>
          </w:tcPr>
          <w:p w14:paraId="63010C04" w14:textId="77777777" w:rsidR="00AB0EAF" w:rsidRDefault="00000000">
            <w:pPr>
              <w:pStyle w:val="Compact"/>
            </w:pPr>
            <w:r>
              <w:t>16.8 NEXUS</w:t>
            </w:r>
          </w:p>
        </w:tc>
        <w:tc>
          <w:tcPr>
            <w:tcW w:w="0" w:type="auto"/>
          </w:tcPr>
          <w:p w14:paraId="3A36ED90" w14:textId="77777777" w:rsidR="00AB0EAF" w:rsidRDefault="00000000">
            <w:pPr>
              <w:pStyle w:val="Compact"/>
            </w:pPr>
            <w:r>
              <w:t>25.2 NEXUS</w:t>
            </w:r>
          </w:p>
        </w:tc>
      </w:tr>
      <w:tr w:rsidR="00AB0EAF" w14:paraId="621810EA" w14:textId="77777777">
        <w:tc>
          <w:tcPr>
            <w:tcW w:w="0" w:type="auto"/>
          </w:tcPr>
          <w:p w14:paraId="28FBC997" w14:textId="77777777" w:rsidR="00AB0EAF" w:rsidRDefault="00000000">
            <w:pPr>
              <w:pStyle w:val="Compact"/>
            </w:pPr>
            <w:r>
              <w:t>Cost to Upgrade</w:t>
            </w:r>
          </w:p>
        </w:tc>
        <w:tc>
          <w:tcPr>
            <w:tcW w:w="0" w:type="auto"/>
          </w:tcPr>
          <w:p w14:paraId="5E7171FB" w14:textId="77777777" w:rsidR="00AB0EAF" w:rsidRDefault="00000000">
            <w:pPr>
              <w:pStyle w:val="Compact"/>
            </w:pPr>
            <w:r>
              <w:t>$0 — keep as is</w:t>
            </w:r>
          </w:p>
        </w:tc>
        <w:tc>
          <w:tcPr>
            <w:tcW w:w="0" w:type="auto"/>
          </w:tcPr>
          <w:p w14:paraId="412E9901" w14:textId="77777777" w:rsidR="00AB0EAF" w:rsidRDefault="00000000">
            <w:pPr>
              <w:pStyle w:val="Compact"/>
            </w:pPr>
            <w:r>
              <w:t>$0 — set slider to 1GB</w:t>
            </w:r>
          </w:p>
        </w:tc>
        <w:tc>
          <w:tcPr>
            <w:tcW w:w="0" w:type="auto"/>
          </w:tcPr>
          <w:p w14:paraId="33B087A4" w14:textId="77777777" w:rsidR="00AB0EAF" w:rsidRDefault="00000000">
            <w:pPr>
              <w:pStyle w:val="Compact"/>
            </w:pPr>
            <w:r>
              <w:t>$10–25/mo ISP upgrade + $0 one-time</w:t>
            </w:r>
          </w:p>
        </w:tc>
        <w:tc>
          <w:tcPr>
            <w:tcW w:w="0" w:type="auto"/>
          </w:tcPr>
          <w:p w14:paraId="165074F9" w14:textId="77777777" w:rsidR="00AB0EAF" w:rsidRDefault="00000000">
            <w:pPr>
              <w:pStyle w:val="Compact"/>
            </w:pPr>
            <w:r>
              <w:t>$15–40/mo elec+inet + $0 if owned HW</w:t>
            </w:r>
          </w:p>
        </w:tc>
        <w:tc>
          <w:tcPr>
            <w:tcW w:w="0" w:type="auto"/>
          </w:tcPr>
          <w:p w14:paraId="27A4387E" w14:textId="77777777" w:rsidR="00AB0EAF" w:rsidRDefault="00000000">
            <w:pPr>
              <w:pStyle w:val="Compact"/>
            </w:pPr>
            <w:r>
              <w:t>$60–120/mo colocation grade + $600–1,200 one-time HW</w:t>
            </w:r>
          </w:p>
        </w:tc>
      </w:tr>
      <w:tr w:rsidR="00AB0EAF" w14:paraId="3948AACC" w14:textId="77777777">
        <w:tc>
          <w:tcPr>
            <w:tcW w:w="0" w:type="auto"/>
          </w:tcPr>
          <w:p w14:paraId="504DC45D" w14:textId="77777777" w:rsidR="00AB0EAF" w:rsidRDefault="00000000">
            <w:pPr>
              <w:pStyle w:val="Compact"/>
            </w:pPr>
            <w:r>
              <w:t>Pocket vs Cost(monthly, if NEXUS = $1)</w:t>
            </w:r>
          </w:p>
        </w:tc>
        <w:tc>
          <w:tcPr>
            <w:tcW w:w="0" w:type="auto"/>
          </w:tcPr>
          <w:p w14:paraId="5272F814" w14:textId="77777777" w:rsidR="00AB0EAF" w:rsidRDefault="00000000">
            <w:pPr>
              <w:pStyle w:val="Compact"/>
            </w:pPr>
            <w:r>
              <w:t>+$3.60/mo net pure pocket</w:t>
            </w:r>
          </w:p>
        </w:tc>
        <w:tc>
          <w:tcPr>
            <w:tcW w:w="0" w:type="auto"/>
          </w:tcPr>
          <w:p w14:paraId="1FA3FE5F" w14:textId="77777777" w:rsidR="00AB0EAF" w:rsidRDefault="00000000">
            <w:pPr>
              <w:pStyle w:val="Compact"/>
            </w:pPr>
            <w:r>
              <w:t>+$7.20/mo net 0.5h setup</w:t>
            </w:r>
          </w:p>
        </w:tc>
        <w:tc>
          <w:tcPr>
            <w:tcW w:w="0" w:type="auto"/>
          </w:tcPr>
          <w:p w14:paraId="71623396" w14:textId="77777777" w:rsidR="00AB0EAF" w:rsidRDefault="00000000">
            <w:pPr>
              <w:pStyle w:val="Compact"/>
            </w:pPr>
            <w:r>
              <w:t>+$18.00/mo gross −$10–25 = −$7 to +$8 net + fiber for you too</w:t>
            </w:r>
          </w:p>
        </w:tc>
        <w:tc>
          <w:tcPr>
            <w:tcW w:w="0" w:type="auto"/>
          </w:tcPr>
          <w:p w14:paraId="5F6200B8" w14:textId="77777777" w:rsidR="00AB0EAF" w:rsidRDefault="00000000">
            <w:pPr>
              <w:pStyle w:val="Compact"/>
            </w:pPr>
            <w:r>
              <w:t>+$72/mo gross −$15–40 = +$32–57 net best ROI</w:t>
            </w:r>
          </w:p>
        </w:tc>
        <w:tc>
          <w:tcPr>
            <w:tcW w:w="0" w:type="auto"/>
          </w:tcPr>
          <w:p w14:paraId="4DC27D2B" w14:textId="77777777" w:rsidR="00AB0EAF" w:rsidRDefault="00000000">
            <w:pPr>
              <w:pStyle w:val="Compact"/>
            </w:pPr>
            <w:r>
              <w:t>+$108/mo gross −$60–120 = −$12 to +$48 net mission heavy</w:t>
            </w:r>
          </w:p>
        </w:tc>
      </w:tr>
      <w:tr w:rsidR="00AB0EAF" w14:paraId="4AB14201" w14:textId="77777777">
        <w:tc>
          <w:tcPr>
            <w:tcW w:w="0" w:type="auto"/>
          </w:tcPr>
          <w:p w14:paraId="33CD1539" w14:textId="77777777" w:rsidR="00AB0EAF" w:rsidRDefault="00000000">
            <w:pPr>
              <w:pStyle w:val="Compact"/>
            </w:pPr>
            <w:r>
              <w:t>Network Impact</w:t>
            </w:r>
          </w:p>
        </w:tc>
        <w:tc>
          <w:tcPr>
            <w:tcW w:w="0" w:type="auto"/>
          </w:tcPr>
          <w:p w14:paraId="5DB3FFA0" w14:textId="77777777" w:rsidR="00AB0EAF" w:rsidRDefault="00000000">
            <w:pPr>
              <w:pStyle w:val="Compact"/>
            </w:pPr>
            <w:r>
              <w:t xml:space="preserve">Base: </w:t>
            </w:r>
            <w:r>
              <w:lastRenderedPageBreak/>
              <w:t>many tiny tubes borrowed slime mold baseline</w:t>
            </w:r>
          </w:p>
        </w:tc>
        <w:tc>
          <w:tcPr>
            <w:tcW w:w="0" w:type="auto"/>
          </w:tcPr>
          <w:p w14:paraId="5D6287BF" w14:textId="77777777" w:rsidR="00AB0EAF" w:rsidRDefault="00000000">
            <w:pPr>
              <w:pStyle w:val="Compact"/>
            </w:pPr>
            <w:r>
              <w:lastRenderedPageBreak/>
              <w:t xml:space="preserve">Storage backup </w:t>
            </w:r>
            <w:r>
              <w:lastRenderedPageBreak/>
              <w:t>++ helps core expand/contract</w:t>
            </w:r>
          </w:p>
        </w:tc>
        <w:tc>
          <w:tcPr>
            <w:tcW w:w="0" w:type="auto"/>
          </w:tcPr>
          <w:p w14:paraId="27FE966F" w14:textId="77777777" w:rsidR="00AB0EAF" w:rsidRDefault="00000000">
            <w:pPr>
              <w:pStyle w:val="Compact"/>
            </w:pPr>
            <w:r>
              <w:lastRenderedPageBreak/>
              <w:t xml:space="preserve">Fast relay </w:t>
            </w:r>
            <w:r>
              <w:lastRenderedPageBreak/>
              <w:t>tube ++ reduces relocation latency</w:t>
            </w:r>
          </w:p>
        </w:tc>
        <w:tc>
          <w:tcPr>
            <w:tcW w:w="0" w:type="auto"/>
          </w:tcPr>
          <w:p w14:paraId="6CDDF750" w14:textId="77777777" w:rsidR="00AB0EAF" w:rsidRDefault="00000000">
            <w:pPr>
              <w:pStyle w:val="Compact"/>
            </w:pPr>
            <w:r>
              <w:lastRenderedPageBreak/>
              <w:t xml:space="preserve">Gas-pump </w:t>
            </w:r>
            <w:r>
              <w:lastRenderedPageBreak/>
              <w:t>fast path: 0.8s pre-confirm 7-of-10 quick sign ready</w:t>
            </w:r>
          </w:p>
        </w:tc>
        <w:tc>
          <w:tcPr>
            <w:tcW w:w="0" w:type="auto"/>
          </w:tcPr>
          <w:p w14:paraId="1A65B3D9" w14:textId="77777777" w:rsidR="00AB0EAF" w:rsidRDefault="00000000">
            <w:pPr>
              <w:pStyle w:val="Compact"/>
            </w:pPr>
            <w:r>
              <w:lastRenderedPageBreak/>
              <w:t xml:space="preserve">Anchor </w:t>
            </w:r>
            <w:r>
              <w:lastRenderedPageBreak/>
              <w:t>quick node cache coherence = trust speed</w:t>
            </w:r>
          </w:p>
        </w:tc>
      </w:tr>
      <w:tr w:rsidR="00AB0EAF" w14:paraId="09B81132" w14:textId="77777777">
        <w:tc>
          <w:tcPr>
            <w:tcW w:w="0" w:type="auto"/>
          </w:tcPr>
          <w:p w14:paraId="0D3E06B8" w14:textId="77777777" w:rsidR="00AB0EAF" w:rsidRDefault="00000000">
            <w:pPr>
              <w:pStyle w:val="Compact"/>
            </w:pPr>
            <w:r>
              <w:lastRenderedPageBreak/>
              <w:t>Mission Impact</w:t>
            </w:r>
          </w:p>
        </w:tc>
        <w:tc>
          <w:tcPr>
            <w:tcW w:w="0" w:type="auto"/>
          </w:tcPr>
          <w:p w14:paraId="1F9478F8" w14:textId="77777777" w:rsidR="00AB0EAF" w:rsidRDefault="00000000">
            <w:pPr>
              <w:pStyle w:val="Compact"/>
            </w:pPr>
            <w:r>
              <w:t>Survival: 10→8–11 cores min very finite, still works</w:t>
            </w:r>
          </w:p>
        </w:tc>
        <w:tc>
          <w:tcPr>
            <w:tcW w:w="0" w:type="auto"/>
          </w:tcPr>
          <w:p w14:paraId="1DF17772" w14:textId="77777777" w:rsidR="00AB0EAF" w:rsidRDefault="00000000">
            <w:pPr>
              <w:pStyle w:val="Compact"/>
            </w:pPr>
            <w:r>
              <w:t>Survival: +12% redundancy living slime mold</w:t>
            </w:r>
          </w:p>
        </w:tc>
        <w:tc>
          <w:tcPr>
            <w:tcW w:w="0" w:type="auto"/>
          </w:tcPr>
          <w:p w14:paraId="5380107A" w14:textId="77777777" w:rsidR="00AB0EAF" w:rsidRDefault="00000000">
            <w:pPr>
              <w:pStyle w:val="Compact"/>
            </w:pPr>
            <w:r>
              <w:t>Speed: +22% p95 pre-confirm e.g. same-region &lt;50ms</w:t>
            </w:r>
          </w:p>
        </w:tc>
        <w:tc>
          <w:tcPr>
            <w:tcW w:w="0" w:type="auto"/>
          </w:tcPr>
          <w:p w14:paraId="7304FDC5" w14:textId="77777777" w:rsidR="00AB0EAF" w:rsidRDefault="00000000">
            <w:pPr>
              <w:pStyle w:val="Compact"/>
            </w:pPr>
            <w:r>
              <w:t>Speed: core can sprint 100→300 TPS same city, no bottleneck</w:t>
            </w:r>
          </w:p>
        </w:tc>
        <w:tc>
          <w:tcPr>
            <w:tcW w:w="0" w:type="auto"/>
          </w:tcPr>
          <w:p w14:paraId="21886C86" w14:textId="77777777" w:rsidR="00AB0EAF" w:rsidRDefault="00000000">
            <w:pPr>
              <w:pStyle w:val="Compact"/>
            </w:pPr>
            <w:r>
              <w:t>Security: core self-replicates to fastest areas</w:t>
            </w:r>
          </w:p>
        </w:tc>
      </w:tr>
      <w:tr w:rsidR="00AB0EAF" w14:paraId="769C1C8B" w14:textId="77777777">
        <w:tc>
          <w:tcPr>
            <w:tcW w:w="0" w:type="auto"/>
          </w:tcPr>
          <w:p w14:paraId="75786DB3" w14:textId="77777777" w:rsidR="00AB0EAF" w:rsidRDefault="00000000">
            <w:pPr>
              <w:pStyle w:val="Compact"/>
            </w:pPr>
            <w:r>
              <w:t>AI Recommendation</w:t>
            </w:r>
          </w:p>
        </w:tc>
        <w:tc>
          <w:tcPr>
            <w:tcW w:w="0" w:type="auto"/>
          </w:tcPr>
          <w:p w14:paraId="28155142" w14:textId="77777777" w:rsidR="00AB0EAF" w:rsidRDefault="00000000">
            <w:pPr>
              <w:pStyle w:val="Compact"/>
            </w:pPr>
            <w:r>
              <w:t>Keep — valid lender do not annoy</w:t>
            </w:r>
          </w:p>
        </w:tc>
        <w:tc>
          <w:tcPr>
            <w:tcW w:w="0" w:type="auto"/>
          </w:tcPr>
          <w:p w14:paraId="54DB13BD" w14:textId="77777777" w:rsidR="00AB0EAF" w:rsidRDefault="00000000">
            <w:pPr>
              <w:pStyle w:val="Compact"/>
            </w:pPr>
            <w:r>
              <w:t>Nudge via Contribute tab “Double rewards, same cost”</w:t>
            </w:r>
          </w:p>
        </w:tc>
        <w:tc>
          <w:tcPr>
            <w:tcW w:w="0" w:type="auto"/>
          </w:tcPr>
          <w:p w14:paraId="73910D6D" w14:textId="77777777" w:rsidR="00AB0EAF" w:rsidRDefault="00000000">
            <w:pPr>
              <w:pStyle w:val="Compact"/>
            </w:pPr>
            <w:r>
              <w:t>On-demand notify @ 90% core hot “You are capable”</w:t>
            </w:r>
          </w:p>
        </w:tc>
        <w:tc>
          <w:tcPr>
            <w:tcW w:w="0" w:type="auto"/>
          </w:tcPr>
          <w:p w14:paraId="1EBD11A6" w14:textId="77777777" w:rsidR="00AB0EAF" w:rsidRDefault="00000000">
            <w:pPr>
              <w:pStyle w:val="Compact"/>
            </w:pPr>
            <w:r>
              <w:t>Convert if capable back up isolated data ahead of time</w:t>
            </w:r>
          </w:p>
        </w:tc>
        <w:tc>
          <w:tcPr>
            <w:tcW w:w="0" w:type="auto"/>
          </w:tcPr>
          <w:p w14:paraId="565ADB4E" w14:textId="77777777" w:rsidR="00AB0EAF" w:rsidRDefault="00000000">
            <w:pPr>
              <w:pStyle w:val="Compact"/>
            </w:pPr>
            <w:r>
              <w:t>Only for true believers + infra operators</w:t>
            </w:r>
          </w:p>
        </w:tc>
      </w:tr>
    </w:tbl>
    <w:p w14:paraId="5DFFFF33" w14:textId="77777777" w:rsidR="00AB0EAF" w:rsidRDefault="00000000">
      <w:pPr>
        <w:pStyle w:val="BodyText"/>
      </w:pPr>
      <w:r>
        <w:t>*1 Phone storage lending is limited to WiFi-plus-charging conditions with no possible battery drain, but desktops remain better suited to sustained relay duty.</w:t>
      </w:r>
    </w:p>
    <w:p w14:paraId="40EE275C" w14:textId="77777777" w:rsidR="00AB0EAF" w:rsidRDefault="00000000">
      <w:pPr>
        <w:pStyle w:val="BodyText"/>
      </w:pPr>
      <w:r>
        <w:t>*2 The core’s binding constraint may be storage rather than CPU — many laptops have spare compute headroom, but storage is the bottleneck.</w:t>
      </w:r>
    </w:p>
    <w:p w14:paraId="0B68DA7A" w14:textId="77777777" w:rsidR="00AB0EAF" w:rsidRDefault="00000000">
      <w:pPr>
        <w:pStyle w:val="BodyText"/>
      </w:pPr>
      <w:r>
        <w:t>*3 Small lenders are sufficient for storage backup but not for the gas-pump-fast 0.8-second pre-confirmation, which requires quick nodes with 7-of-10 signing readiness.</w:t>
      </w:r>
    </w:p>
    <w:p w14:paraId="50923CEE" w14:textId="77777777" w:rsidR="00AB0EAF" w:rsidRDefault="00000000">
      <w:pPr>
        <w:pStyle w:val="Heading2"/>
      </w:pPr>
      <w:bookmarkStart w:id="104" w:name="X50469afb4790370f86976619f9dc3989f36bcfe"/>
      <w:bookmarkEnd w:id="103"/>
      <w:r>
        <w:t>B.4 Privacy-Preserving Proof-of-Real-Hardware</w:t>
      </w:r>
    </w:p>
    <w:p w14:paraId="153862A9" w14:textId="77777777" w:rsidR="00AB0EAF" w:rsidRDefault="00000000">
      <w:pPr>
        <w:pStyle w:val="FirstParagraph"/>
      </w:pPr>
      <w:r>
        <w:t>A lending network needs some way to confirm that a claimed lender is real hardware and not a spoofed or Sybil identity, without requiring an intrusive or purchasable form of attestation.</w:t>
      </w:r>
    </w:p>
    <w:p w14:paraId="2F2DABF6" w14:textId="77777777" w:rsidR="00AB0EAF" w:rsidRDefault="00000000">
      <w:pPr>
        <w:pStyle w:val="Heading3"/>
      </w:pPr>
      <w:bookmarkStart w:id="105" w:name="what-this-design-does-not-require"/>
      <w:r>
        <w:t>What This Design Does Not Require</w:t>
      </w:r>
    </w:p>
    <w:p w14:paraId="062AC98C" w14:textId="77777777" w:rsidR="00AB0EAF" w:rsidRDefault="00000000">
      <w:pPr>
        <w:numPr>
          <w:ilvl w:val="0"/>
          <w:numId w:val="42"/>
        </w:numPr>
      </w:pPr>
      <w:r>
        <w:t>A TPM serial number.</w:t>
      </w:r>
    </w:p>
    <w:p w14:paraId="3282B6C8" w14:textId="77777777" w:rsidR="00AB0EAF" w:rsidRDefault="00000000">
      <w:pPr>
        <w:numPr>
          <w:ilvl w:val="0"/>
          <w:numId w:val="42"/>
        </w:numPr>
      </w:pPr>
      <w:r>
        <w:t>A purchasable device fingerprint.</w:t>
      </w:r>
    </w:p>
    <w:p w14:paraId="5BAAF5F7" w14:textId="77777777" w:rsidR="00AB0EAF" w:rsidRDefault="00000000">
      <w:pPr>
        <w:numPr>
          <w:ilvl w:val="0"/>
          <w:numId w:val="42"/>
        </w:numPr>
      </w:pPr>
      <w:r>
        <w:lastRenderedPageBreak/>
        <w:t>Phone hardware attestation alone.</w:t>
      </w:r>
    </w:p>
    <w:p w14:paraId="48AAE05E" w14:textId="77777777" w:rsidR="00AB0EAF" w:rsidRDefault="00000000">
      <w:pPr>
        <w:pStyle w:val="Heading3"/>
      </w:pPr>
      <w:bookmarkStart w:id="106" w:name="what-this-design-uses-instead"/>
      <w:bookmarkEnd w:id="105"/>
      <w:r>
        <w:t>What This Design Uses Instead</w:t>
      </w:r>
    </w:p>
    <w:p w14:paraId="5E6E559B" w14:textId="77777777" w:rsidR="00AB0EAF" w:rsidRDefault="00000000">
      <w:pPr>
        <w:numPr>
          <w:ilvl w:val="0"/>
          <w:numId w:val="43"/>
        </w:numPr>
      </w:pPr>
      <w:r>
        <w:t>TPM attestation is optional, with a documented caveat around virtual-TPM relay attacks.</w:t>
      </w:r>
    </w:p>
    <w:p w14:paraId="49D704E2" w14:textId="77777777" w:rsidR="00AB0EAF" w:rsidRDefault="00000000">
      <w:pPr>
        <w:numPr>
          <w:ilvl w:val="0"/>
          <w:numId w:val="43"/>
        </w:numPr>
      </w:pPr>
      <w:r>
        <w:t>Time-expensive criteria: wallet age of at least 14 days, at least 10 tokens held, at least 3 verified neighbor relationships, and at least 30 days of network history.</w:t>
      </w:r>
    </w:p>
    <w:p w14:paraId="58E32951" w14:textId="77777777" w:rsidR="00AB0EAF" w:rsidRDefault="00000000">
      <w:pPr>
        <w:numPr>
          <w:ilvl w:val="0"/>
          <w:numId w:val="43"/>
        </w:numPr>
      </w:pPr>
      <w:r>
        <w:t>Relationship-expensive criteria: three vouchers from participants the lender actually and verifiably knows, consistent with the Sybil-resistance approach in Section 11.6.</w:t>
      </w:r>
    </w:p>
    <w:p w14:paraId="1DB4F2C0" w14:textId="77777777" w:rsidR="00AB0EAF" w:rsidRDefault="00000000">
      <w:pPr>
        <w:pStyle w:val="FirstParagraph"/>
      </w:pPr>
      <w:r>
        <w:t>Core security in this model rests on time, social relationships, and network-level measurement rather than a single purchasable credential — there is no route to a false attestation without deceiving an already-trusted operator, and social and network measurement costs make that expensive at scale. As an illustrative proof point: 1,000,000 desktops each lending 100MB aggregates to 100TB, a figure that is itself evidence of real hardware when cross-checked against a storage shard hash, IP diversity, and an active-wallet window of 2–4 hours per day — without ever relying on a device serial number. This keeps the verification privacy-preserving while resisting capture by any single centralized server farm.</w:t>
      </w:r>
    </w:p>
    <w:p w14:paraId="41D17FEC" w14:textId="77777777" w:rsidR="00AB0EAF" w:rsidRDefault="00000000">
      <w:pPr>
        <w:numPr>
          <w:ilvl w:val="0"/>
          <w:numId w:val="44"/>
        </w:numPr>
      </w:pPr>
      <w:r>
        <w:t>storage shard hash</w:t>
      </w:r>
    </w:p>
    <w:p w14:paraId="1D256836" w14:textId="77777777" w:rsidR="00AB0EAF" w:rsidRDefault="00000000">
      <w:pPr>
        <w:numPr>
          <w:ilvl w:val="0"/>
          <w:numId w:val="44"/>
        </w:numPr>
      </w:pPr>
      <w:r>
        <w:t>IP diversity</w:t>
      </w:r>
    </w:p>
    <w:p w14:paraId="3F1BB38A" w14:textId="77777777" w:rsidR="00AB0EAF" w:rsidRDefault="00000000">
      <w:pPr>
        <w:numPr>
          <w:ilvl w:val="0"/>
          <w:numId w:val="44"/>
        </w:numPr>
      </w:pPr>
      <w:r>
        <w:t>active 2–4h/day</w:t>
      </w:r>
    </w:p>
    <w:p w14:paraId="24C37965" w14:textId="77777777" w:rsidR="00AB0EAF" w:rsidRDefault="00000000">
      <w:pPr>
        <w:numPr>
          <w:ilvl w:val="0"/>
          <w:numId w:val="44"/>
        </w:numPr>
      </w:pPr>
      <w:r>
        <w:t>no device serial required</w:t>
      </w:r>
    </w:p>
    <w:p w14:paraId="7A14DD5F" w14:textId="77777777" w:rsidR="00AB0EAF" w:rsidRDefault="00000000">
      <w:pPr>
        <w:pStyle w:val="Heading2"/>
      </w:pPr>
      <w:bookmarkStart w:id="107" w:name="Xb8cb50d7b5d8df2fbd3a5fb82d7307114211a18"/>
      <w:bookmarkEnd w:id="104"/>
      <w:bookmarkEnd w:id="106"/>
      <w:r>
        <w:t>B.5 UI Framing: “Staking” Becomes “Savings” for Ordinary Users</w:t>
      </w:r>
    </w:p>
    <w:p w14:paraId="0D7D82DF" w14:textId="77777777" w:rsidR="00AB0EAF" w:rsidRDefault="00000000">
      <w:pPr>
        <w:pStyle w:val="FirstParagraph"/>
      </w:pPr>
      <w:r>
        <w:t>The underlying protocol mechanism described in Section 6.4 is, technically, staking or tending: participants who hold and lend keep a durable, roughly ninefold advantage over non-participants even through volatile periods, consistent with the minimal-survival floor described in Section B.1. But the interface presented to ordinary users should say “Savings,” not “Staking” — non-technical users understand savings intuitively in a way “staking” does not translate. The tending bonus described in Section 6.4 is presented in-product as a savings bonus, and all user-facing reward explanations use the savings framing rather than the underlying technical term. Amendment 11 update: Everywhere wallet UI appears, change Before: Savings: +2.3 NEXUS After: Savings (tending bonus): +2.3 NEXUS from tending — 100MB storage, 30 days continuous, spot-check verified. Add footnote in Section 6: Reward grounded to work-based node performance per resource_anchor.rs, not passive capital. This closes Howey test risk — plain ‘Savings’ = securities risk (interest-bearing), tending bonus = work-based compensation.</w:t>
      </w:r>
    </w:p>
    <w:p w14:paraId="23125425" w14:textId="77777777" w:rsidR="00AB0EAF" w:rsidRDefault="00000000">
      <w:pPr>
        <w:pStyle w:val="Heading2"/>
      </w:pPr>
      <w:bookmarkStart w:id="108" w:name="Xcb2f9a89a699769430d48c85d161e5b2c4e5298"/>
      <w:bookmarkEnd w:id="107"/>
      <w:r>
        <w:lastRenderedPageBreak/>
        <w:t>B.6 Advertising Node Setup Through the Wallet, Without Being Annoying</w:t>
      </w:r>
    </w:p>
    <w:p w14:paraId="1132CC96" w14:textId="77777777" w:rsidR="00AB0EAF" w:rsidRDefault="00000000">
      <w:pPr>
        <w:pStyle w:val="FirstParagraph"/>
      </w:pPr>
      <w:r>
        <w:t>A daily pop-up prompting users to lend resources is counterproductive: it annoys users and reduces overall lending participation rather than increasing it. This design instead calls for two channels:</w:t>
      </w:r>
    </w:p>
    <w:p w14:paraId="64DF525C" w14:textId="77777777" w:rsidR="00AB0EAF" w:rsidRDefault="00000000">
      <w:pPr>
        <w:numPr>
          <w:ilvl w:val="0"/>
          <w:numId w:val="45"/>
        </w:numPr>
      </w:pPr>
      <w:r>
        <w:t>A subtle, always-available “Contribute” tab within the wallet interface, for users who want to opt in proactively.</w:t>
      </w:r>
    </w:p>
    <w:p w14:paraId="66677247" w14:textId="77777777" w:rsidR="00AB0EAF" w:rsidRDefault="00000000">
      <w:pPr>
        <w:numPr>
          <w:ilvl w:val="0"/>
          <w:numId w:val="45"/>
        </w:numPr>
      </w:pPr>
      <w:r>
        <w:t>An on-demand notification, triggered only when a nearby core is near capacity (for example, at 90% utilization) and the user’s device is capable of helping — not on a fixed schedule.</w:t>
      </w:r>
    </w:p>
    <w:p w14:paraId="29980C59" w14:textId="77777777" w:rsidR="00AB0EAF" w:rsidRDefault="00000000">
      <w:pPr>
        <w:pStyle w:val="FirstParagraph"/>
      </w:pPr>
      <w:r>
        <w:t>This approach converts capable devices into fast nodes only when genuinely needed, allows isolated backups to be scheduled ahead of relocation events, and gives users a direct incentive tied to both rewards and the network’s underlying mission, consistent with the Resource Contribution Marketplace described in Section 6.7. A sample notification: “Indiana core needs 10 fast nodes — you’re capable at 95 Mbps up — more rewards + mission,” with a direct “Enable Quick Node” action and a “Not now” dismissal.</w:t>
      </w:r>
    </w:p>
    <w:p w14:paraId="491E8427" w14:textId="77777777" w:rsidR="00AB0EAF" w:rsidRDefault="00000000">
      <w:pPr>
        <w:pStyle w:val="BodyText"/>
      </w:pPr>
      <w:r>
        <w:t>Boat still floats and sails well — every sailboat is shaped differently, and a bigger cabin can mean a smaller cockpit; the design has to stay comfortably balanced rather than optimized for a single dimension. All networks risk bottlenecking somewhere; the goal is the least-bad layered tradeoff, with more cores becoming viable once the cache-coherence problem is solved and the hybrid of many fast cores and many lending tubes matures.</w:t>
      </w:r>
    </w:p>
    <w:p w14:paraId="32C0B37F" w14:textId="77777777" w:rsidR="00AB0EAF" w:rsidRDefault="00000000">
      <w:pPr>
        <w:pStyle w:val="Heading1"/>
      </w:pPr>
      <w:bookmarkStart w:id="109" w:name="Xfa6cf36e0a6afdd4fd36dd093a46b6d0ea954e8"/>
      <w:bookmarkEnd w:id="100"/>
      <w:bookmarkEnd w:id="108"/>
      <w:r>
        <w:t>Appendix C: Change Log v0.19 → v0.20 — Trust Speed, Isolation, Desktop Lending Privacy, and Two-Phase Tokenomics</w:t>
      </w:r>
    </w:p>
    <w:p w14:paraId="25B2D51F" w14:textId="77777777" w:rsidR="00AB0EAF" w:rsidRDefault="00000000">
      <w:pPr>
        <w:pStyle w:val="FirstParagraph"/>
      </w:pPr>
      <w:r>
        <w:t>This appendix consolidates design decisions reached in the working sessions following v0.19.1, drawing on both direct design work and an independent adversarial review conducted specifically to stress-test the reasoning. It is organized to mirror the topics as they were resolved and cross-references the whitepaper sections each item is intended to update. As with Appendix B, items here are working decisions to be formally merged into their target sections and, where noted, validated by simulation before implementation.</w:t>
      </w:r>
    </w:p>
    <w:p w14:paraId="58A6D2C3" w14:textId="77777777" w:rsidR="00AB0EAF" w:rsidRDefault="00000000">
      <w:pPr>
        <w:pStyle w:val="Heading2"/>
      </w:pPr>
      <w:bookmarkStart w:id="110" w:name="Xb5c48dd0ab39d1c4ff32ebb5f9a27c2cafd3088"/>
      <w:r>
        <w:t>C.1 Village Analogy and Framing (updates Section 0)</w:t>
      </w:r>
    </w:p>
    <w:p w14:paraId="12F06E24" w14:textId="77777777" w:rsidR="00AB0EAF" w:rsidRDefault="00000000">
      <w:pPr>
        <w:pStyle w:val="FirstParagraph"/>
      </w:pPr>
      <w:r>
        <w:t>Section 0’s garden metaphor is extended with a concrete distributional frame: the network is conceived as one large village made up of many small villages, sectored by the national and state boundaries that governments and existing hierarchies already enforce — without losing the revolutionary character of the underlying design. The project accepts that this is a dualistic trade-off between global reach and local legibility, but holds that the trade-off does not prevent the system from working.</w:t>
      </w:r>
    </w:p>
    <w:p w14:paraId="2CBE12C0" w14:textId="77777777" w:rsidR="00AB0EAF" w:rsidRDefault="00000000">
      <w:pPr>
        <w:pStyle w:val="BodyText"/>
      </w:pPr>
      <w:r>
        <w:t xml:space="preserve">A companion principle for system design going forward: this is a multi-objective optimization problem, not a single-objective one, and every design decision trades capacity, </w:t>
      </w:r>
      <w:r>
        <w:lastRenderedPageBreak/>
        <w:t>latency, security, and decentralization against one another rather than maximizing any single axis in isolation — gains on one dimension are routinely paid for on another. The goal at each design decision is therefore the least-bad outcome across the full set of constraints, not a locally optimal choice on one metric that creates a hidden systemic risk elsewhere.</w:t>
      </w:r>
    </w:p>
    <w:p w14:paraId="12E22805" w14:textId="77777777" w:rsidR="00AB0EAF" w:rsidRDefault="00000000">
      <w:pPr>
        <w:pStyle w:val="Heading2"/>
      </w:pPr>
      <w:bookmarkStart w:id="111" w:name="X1a32c3fa8cc50d34a6cbf3f83407c7c0d9c09e0"/>
      <w:bookmarkEnd w:id="110"/>
      <w:r>
        <w:t>C.2 Core Architecture: Cache Coherence as the Long Pole (updates Section 3.1–3.2)</w:t>
      </w:r>
    </w:p>
    <w:p w14:paraId="0925FA3F" w14:textId="77777777" w:rsidR="00AB0EAF" w:rsidRDefault="00000000">
      <w:pPr>
        <w:pStyle w:val="FirstParagraph"/>
      </w:pPr>
      <w:r>
        <w:t>The core-scaling question was reframed around a historical parallel: single fast cores eventually gave way to multi-core designs, but only once cache coherence (the MESI protocol), memory ordering, and interconnect bottlenecks were solved — without those, more cores do not reliably mean more throughput (Amdahl’s Law), and Section 6’s whole-number floor, at over 1,000 NEXUS, is not meaningfully parallelizable below that solution.</w:t>
      </w:r>
    </w:p>
    <w:p w14:paraId="10FDFFBB" w14:textId="77777777" w:rsidR="00AB0EAF" w:rsidRDefault="00000000">
      <w:pPr>
        <w:pStyle w:val="BodyText"/>
      </w:pPr>
      <w:r>
        <w:t>This yields a staged plan. The v1 launch configuration is a single, self-replicating core that expands and contracts between roughly 10 and 30 nodes within one metro region, holding sub-50ms latency while sustaining 100 to 300 TPS — this is the FIXED, safe configuration described in Section 3.1, with no cross-core cache-coherence problem to solve. A v2 configuration, scaling to 10–100 cores globally and 1,000–10,000 TPS, is deferred until cache coherence between cores is solved with the same rigor as trust between nodes; until then, v2 remains a target architecture, not a launch commitment.</w:t>
      </w:r>
    </w:p>
    <w:p w14:paraId="7B486F4A" w14:textId="77777777" w:rsidR="00AB0EAF" w:rsidRDefault="00000000">
      <w:pPr>
        <w:pStyle w:val="BodyText"/>
      </w:pPr>
      <w:r>
        <w:t>The three-way tension driving most open design questions in this appendix is: the network can gain capacity quickly, but trust can only be established slowly, and relocation logistics for new geographic cores are themselves slow — sections C.3 and C.4 describe how each of these is addressed.</w:t>
      </w:r>
    </w:p>
    <w:p w14:paraId="24E2593A" w14:textId="77777777" w:rsidR="00AB0EAF" w:rsidRDefault="00000000">
      <w:pPr>
        <w:pStyle w:val="Heading3"/>
      </w:pPr>
      <w:r>
        <w:t>C.2.1 Shadow Child Core Pretest — Proving Self-Replication Without Risking MESI</w:t>
      </w:r>
    </w:p>
    <w:p w14:paraId="1A85DCEA" w14:textId="77777777" w:rsidR="00AB0EAF" w:rsidRDefault="00000000">
      <w:pPr>
        <w:pStyle w:val="FirstParagraph"/>
      </w:pPr>
      <w:r>
        <w:t>In Tier 0 single-core testing mode, before Tier 1 is ever activated, the network must first prove it can spawn child Cores as shadows. This is rehearsal, not live performance — it proves the self-healing, self-replicating mechanism works before any real coherence risk is taken.</w:t>
      </w:r>
    </w:p>
    <w:p w14:paraId="1C78C47E" w14:textId="77777777" w:rsidR="00AB0EAF" w:rsidRDefault="00000000">
      <w:pPr>
        <w:pStyle w:val="BodyText"/>
      </w:pPr>
      <w:r>
        <w:rPr>
          <w:b/>
        </w:rPr>
        <w:t xml:space="preserve">Procedure for the current testbed. </w:t>
      </w:r>
      <w:r>
        <w:t>Keep one active Core (Tier 0 safe: 10–30 nodes, 100–300 TPS). Spawn N = 3 child shadows as read-only replicas (containerized, with simulated same-metro latency). They receive the full log stream and build state, but never write, order, or vote — held in Shared state only, never Exclusive. Run a log-witness emulator: 7 witnesses, 5-of-7 quorum certificates every 6 blocks, over height and digest. A continuous lag monitor tracks lag_ms per shadow against the certified tip; exceeding 20ms for 3 consecutive QC intervals demotes the shadow and resets the 2,016-block window.</w:t>
      </w:r>
    </w:p>
    <w:p w14:paraId="6016D430" w14:textId="77777777" w:rsidR="00AB0EAF" w:rsidRDefault="00000000">
      <w:pPr>
        <w:pStyle w:val="BodyText"/>
      </w:pPr>
      <w:r>
        <w:rPr>
          <w:b/>
        </w:rPr>
        <w:t xml:space="preserve">Tests logged as Tier 1 evidence. </w:t>
      </w:r>
    </w:p>
    <w:p w14:paraId="66D71B0A" w14:textId="77777777" w:rsidR="00AB0EAF" w:rsidRDefault="00000000">
      <w:pPr>
        <w:numPr>
          <w:ilvl w:val="0"/>
          <w:numId w:val="6"/>
        </w:numPr>
      </w:pPr>
      <w:r>
        <w:t>Lag injection: artificial latency at 5ms, 10ms, 20ms, and 50ms — does the QC mechanism detect the breach past 20ms and eject correctly?</w:t>
      </w:r>
    </w:p>
    <w:p w14:paraId="65353429" w14:textId="77777777" w:rsidR="00AB0EAF" w:rsidRDefault="00000000">
      <w:pPr>
        <w:numPr>
          <w:ilvl w:val="0"/>
          <w:numId w:val="6"/>
        </w:numPr>
      </w:pPr>
      <w:r>
        <w:lastRenderedPageBreak/>
        <w:t>Split-brain kill: kill the active Core mid-block. Do shadows diverge, or can 2-of-3 agree on the last certified tip within the 20ms bound?</w:t>
      </w:r>
    </w:p>
    <w:p w14:paraId="451EE774" w14:textId="77777777" w:rsidR="00AB0EAF" w:rsidRDefault="00000000">
      <w:pPr>
        <w:numPr>
          <w:ilvl w:val="0"/>
          <w:numId w:val="6"/>
        </w:numPr>
      </w:pPr>
      <w:r>
        <w:t>Catch-up: take a shadow offline for 100 blocks, then return it. Can it resync within the 20ms bound without slowing the active Core?</w:t>
      </w:r>
    </w:p>
    <w:p w14:paraId="4DA22FD2" w14:textId="77777777" w:rsidR="00AB0EAF" w:rsidRDefault="00000000">
      <w:pPr>
        <w:numPr>
          <w:ilvl w:val="0"/>
          <w:numId w:val="6"/>
        </w:numPr>
      </w:pPr>
      <w:r>
        <w:t>Unbroken QC: can the network hold a 5-of-7 quorum every 6 blocks for the full 2,016-block window under random, injected failures?</w:t>
      </w:r>
    </w:p>
    <w:p w14:paraId="62116D98" w14:textId="77777777" w:rsidR="00AB0EAF" w:rsidRDefault="00000000">
      <w:pPr>
        <w:pStyle w:val="BodyText"/>
      </w:pPr>
      <w:r>
        <w:rPr>
          <w:b/>
        </w:rPr>
        <w:t xml:space="preserve">Metrics logged for audit. </w:t>
      </w:r>
      <w:r>
        <w:t>Lag histogram (p50/p95/p99) per shadow over the 2,016-block window; ejection event count; QC gap event count; state-digest divergence count, which should be zero.</w:t>
      </w:r>
    </w:p>
    <w:p w14:paraId="51A6460C" w14:textId="77777777" w:rsidR="00AB0EAF" w:rsidRDefault="00000000">
      <w:pPr>
        <w:pStyle w:val="FirstParagraph"/>
      </w:pPr>
      <w:r>
        <w:t>Success is an unbroken 2,016-block run with all three shadows under 20ms and zero digest conflicts — empirical proof of the ability to spawn child Cores while remaining in Tier 0 safe configuration. When K = 2 active Cores are attempted under Tier 1, the same mechanism tests the Exclusive→Modified hand-off directly: Core A goes Modified, a QC is produced, Core B observes Shared. This procedure is what closes cache coherence as the long pole named at the start of this appendix, without risking the v1 launch to find out.</w:t>
      </w:r>
    </w:p>
    <w:p w14:paraId="72DA0E6D" w14:textId="77777777" w:rsidR="00AB0EAF" w:rsidRDefault="00000000">
      <w:pPr>
        <w:pStyle w:val="Heading3"/>
      </w:pPr>
      <w:r>
        <w:t>C.2.1a Rule Duplication — No Core Dictates to Another</w:t>
      </w:r>
    </w:p>
    <w:p w14:paraId="32686429" w14:textId="77777777" w:rsidR="00AB0EAF" w:rsidRDefault="00000000">
      <w:pPr>
        <w:pStyle w:val="FirstParagraph"/>
      </w:pPr>
      <w:r>
        <w:t>Every Core runs an identical rule set, duplicated from the network genesis_root (Section 10.6.3): the Constitution hash and Permanent Invariants, the PoRT validator score (Section 4.0), an identical cost function f() over kWh price, bandwidth cost per Gbps, latency, IP/ASN diversity (Appendix C.3), storage verification (Appendix C.5.3), and TPS headroom, plus the lag bounds, quorum-certificate parameters, and fast-path threshold locked in Section 3.4.</w:t>
      </w:r>
    </w:p>
    <w:p w14:paraId="69D73669" w14:textId="77777777" w:rsidR="00AB0EAF" w:rsidRDefault="00000000">
      <w:pPr>
        <w:pStyle w:val="FirstParagraph"/>
      </w:pPr>
      <w:r>
        <w:t>No Core dictates location or action to another. A parent Core does not command its children. The inter-Core pipeline is observation sharing, not command: each Core independently scans available resources across the IPs it is connected to — desktop tending units meeting the 100MB-continuous-30-day bar, and nodes being newly spun up — using the same f(). Observations are exchanged via log-witness quorum certificates, and a QC proves that an observation is valid; it does not oblige any recipient to act on it. Each Core then independently evaluates f() against its own situation and may initiate replication or retirement under its own rules. Because every Core runs identical rules on shared observations, Cores tend to converge on similar conclusions without any Core having authority over another.</w:t>
      </w:r>
    </w:p>
    <w:p w14:paraId="004F38DC" w14:textId="77777777" w:rsidR="00AB0EAF" w:rsidRDefault="00000000">
      <w:pPr>
        <w:pStyle w:val="Heading3"/>
      </w:pPr>
      <w:r>
        <w:t>C.2.1b Regional Sharding and Cross-Region Transactions</w:t>
      </w:r>
    </w:p>
    <w:p w14:paraId="7A44F3CF" w14:textId="77777777" w:rsidR="00AB0EAF" w:rsidRDefault="00000000">
      <w:pPr>
        <w:pStyle w:val="FirstParagraph"/>
      </w:pPr>
      <w:r>
        <w:t>Once multiple Cores are permitted (Tier 1 and above, Section 3.4), responsibility is divided by a consistent hash ring over hash(IP + ASN + /24 diversity per Appendix C.3), mapping each address to its nearest Core. Each Core is responsible for a range — candidate scope: a /16-equivalent measured by diversity weight rather than a literal subnet. When a newly admitted Core has held its lag bounds for a full 2,016-block window, it announces via QC that it can serve range R at a stated TPS headroom and p95 latency. Addresses are then re-</w:t>
      </w:r>
      <w:r>
        <w:lastRenderedPageBreak/>
        <w:t>mapped automatically by the consistent hash, and the previous Core stops serving that range only once a QC certifies the new Core has taken it and the state digests match. The mapping itself, core_ip_range_assignment, is an epoch parameter adjustable only by ≥67% PoRT supermajority plus QC proof of sustained bounds.</w:t>
      </w:r>
    </w:p>
    <w:p w14:paraId="424A4CA1" w14:textId="77777777" w:rsidR="00AB0EAF" w:rsidRDefault="00000000">
      <w:pPr>
        <w:pStyle w:val="BodyText"/>
      </w:pPr>
      <w:r>
        <w:rPr>
          <w:b/>
        </w:rPr>
        <w:t xml:space="preserve">Cross-region transactions. </w:t>
      </w:r>
      <w:r>
        <w:t>A transaction touching two ranges is flagged cross-region by the IP-diversity check. Neither regional Core may claim Exclusive state alone: both submit to the log-witness quorum, and the QC — not either Core — becomes the ordering authority. Each regional Core applies only its half (one debits within its range, the other credits within its range), both referencing the same QC hash, and state remains Shared until the QC promotes it to Modified. This reuses exactly the mechanism that gates tier admission, so the rule that no active Core may claim Exclusive without a QC holds uniformly, which is what prevents split-brain across regions. Transactions below the fast-path threshold (currently 100 NEXUS, Section 3.2.3) may still use 7-of-10 BLS pre-confirmation but require a QC from both regional witness sets; amounts at or above the threshold route to standard full finality. Regional handling is what raises throughput, since local traffic no longer requires a cross-country hop.</w:t>
      </w:r>
    </w:p>
    <w:p w14:paraId="376A8B17" w14:textId="77777777" w:rsidR="00AB0EAF" w:rsidRDefault="00000000">
      <w:pPr>
        <w:pStyle w:val="Heading2"/>
      </w:pPr>
      <w:bookmarkStart w:id="112" w:name="X582e28926c5db1477a26aeff23a1362eaa86904"/>
      <w:bookmarkEnd w:id="111"/>
      <w:r>
        <w:t>C.3 Trust Speed and the Relocation/Logistics Bottleneck (updates Section 3.1, 11.6, and adds detail to Section 6.4)</w:t>
      </w:r>
    </w:p>
    <w:p w14:paraId="0D66B997" w14:textId="77777777" w:rsidR="00AB0EAF" w:rsidRDefault="00000000">
      <w:pPr>
        <w:pStyle w:val="FirstParagraph"/>
      </w:pPr>
      <w:r>
        <w:t>Establishing that a new or expanding node is real, honest infrastructure and not a Sybil identity cannot be done quickly without reintroducing a trusted gatekeeper, so this design accepts that trust accrues slowly and layers several independently expensive signals rather than relying on any single one:</w:t>
      </w:r>
    </w:p>
    <w:p w14:paraId="38EA8D3A" w14:textId="77777777" w:rsidR="00AB0EAF" w:rsidRDefault="00000000">
      <w:pPr>
        <w:numPr>
          <w:ilvl w:val="0"/>
          <w:numId w:val="46"/>
        </w:numPr>
      </w:pPr>
      <w:r>
        <w:t>Time-expensive: wallet age of at least 14 days, at least 10 tokens held, at least 3 verified neighbor relationships, and at least 30 days per month of tending activity, consistent with the ninefold holding advantage over non-participants described in Section 6.4, which persists even under the minimal-survival floor of roughly 8–11 cores.</w:t>
      </w:r>
    </w:p>
    <w:p w14:paraId="1938CCD4" w14:textId="77777777" w:rsidR="00AB0EAF" w:rsidRDefault="00000000">
      <w:pPr>
        <w:numPr>
          <w:ilvl w:val="0"/>
          <w:numId w:val="46"/>
        </w:numPr>
      </w:pPr>
      <w:r>
        <w:t>Relationship-expensive: three vouchers from participants the operator genuinely knows and trusts — not purchasable, and not satisfiable by a single point of failure.</w:t>
      </w:r>
    </w:p>
    <w:p w14:paraId="3316A3ED" w14:textId="77777777" w:rsidR="00AB0EAF" w:rsidRDefault="00000000">
      <w:pPr>
        <w:numPr>
          <w:ilvl w:val="0"/>
          <w:numId w:val="46"/>
        </w:numPr>
      </w:pPr>
      <w:r>
        <w:t>Socially expensive: there is no route to falsifying this that does not require deceiving an already-trusted human operator, which is treated as the durable structural protection rather than any single cryptographic check.</w:t>
      </w:r>
    </w:p>
    <w:p w14:paraId="069B9CCF" w14:textId="77777777" w:rsidR="00AB0EAF" w:rsidRDefault="00000000">
      <w:pPr>
        <w:pStyle w:val="FirstParagraph"/>
      </w:pPr>
      <w:r>
        <w:t>An independent adversarial review confirmed this layered approach as the correct response to hardware serials being a weak, single point of failure: at scale, one million lending desktop wallets at 100MB each requires an attacker to produce one million real humans, each satisfying the 14-day and 3-voucher conditions, to mount a Sybil attack — not merely ten fake devices.</w:t>
      </w:r>
    </w:p>
    <w:p w14:paraId="1ADB5F48" w14:textId="77777777" w:rsidR="00AB0EAF" w:rsidRDefault="00000000">
      <w:pPr>
        <w:pStyle w:val="BodyText"/>
      </w:pPr>
      <w:r>
        <w:t xml:space="preserve">The companion problem, relocating or spinning up a new geographic core fast enough to matter, is addressed by making core self-assembly resource-driven rather than state-driven: the network continuously measures, every second, which regions have the fastest </w:t>
      </w:r>
      <w:r>
        <w:lastRenderedPageBreak/>
        <w:t>honest resource lending available — a resource map, not a fixed state map — using predictive gossip among roughly 500 regular participants (for example, anticipating an Ohio payment-network peak from 7–9am local time). When a new cluster is warranted, its first three quick nodes are relocated from the existing core and seeded with already-honest fingerprints, rather than left as an empty, operator-picked slot that an attacker could occupy first. This resolves the chicken-and-egg problem of a brand-new region starting at zero nodes: isolated backups are already staged ahead of time, so ever-expanding-and-contracting growth is plausible without a first-occupant race condition.</w:t>
      </w:r>
    </w:p>
    <w:p w14:paraId="6CE31BD4" w14:textId="77777777" w:rsidR="00AB0EAF" w:rsidRDefault="00000000">
      <w:pPr>
        <w:pStyle w:val="Heading2"/>
      </w:pPr>
      <w:bookmarkStart w:id="113" w:name="X18b5a05daf23e3593a8371df98422d36c42304d"/>
      <w:bookmarkEnd w:id="112"/>
      <w:r>
        <w:t>C.4 AI Isolation: New Section 3.2.3 (adds to Section 3.2, cross-references Section 15)</w:t>
      </w:r>
    </w:p>
    <w:p w14:paraId="5FAF8994" w14:textId="77777777" w:rsidR="00AB0EAF" w:rsidRDefault="00000000">
      <w:pPr>
        <w:pStyle w:val="FirstParagraph"/>
      </w:pPr>
      <w:r>
        <w:t>A new subsection, 3.2.3 (AI Isolation), formalizes the separation between the embedded AI described in Section 10 and Section 15’s AI–Core feedback loop on one hand, and core consensus on the other. The AI reads from the top of the network’s live state — execution traces, tending history, the resource map, storage-shard availability, latency, and lending availability — via the Oracle layer described in Section 13, and never from inside core consensus itself. The Oracle is explicitly a read-only feed.</w:t>
      </w:r>
    </w:p>
    <w:p w14:paraId="6C3DCC74" w14:textId="77777777" w:rsidR="00AB0EAF" w:rsidRDefault="00000000">
      <w:pPr>
        <w:pStyle w:val="BodyText"/>
      </w:pPr>
      <w:r>
        <w:t>Concretely, the AI is barred from: manipulating code, issuing transactions, changing the ninefold tending-versus-holding ratio or the minimal-survival floor of roughly 8–11 cores, changing the 2%, 3%, 5%, and 8% Fibonacci dormancy thresholds from Section 6.3.1, changing elastic supply parameters, changing the 7-of-10 quorum threshold below 100 NEXUS, or changing the whole-number floor described throughout Section 6. If the AI attempts to influence code by way of the Oracle, the network’s independent, many-vantage-point measurement is expected to detect the divergence, and the deterministic governance module described in Section 4.1 rejects any non-deterministic code change outright — consistent with the overt-hard-fork-only escape hatch in Section 3.2.2.</w:t>
      </w:r>
    </w:p>
    <w:p w14:paraId="19D9683E" w14:textId="77777777" w:rsidR="00AB0EAF" w:rsidRDefault="00000000">
      <w:pPr>
        <w:pStyle w:val="BodyText"/>
      </w:pPr>
      <w:r>
        <w:t>On the user-facing side, this is also where the AI+Oracle upgrade report described in Appendix B originates: the AI surfaces a Contribute tab and an on-demand, threshold-triggered notification (rather than a daily prompt) comparing pocket rewards, the physical resource basket, network impact, and mission impact across lending tiers, using the same sample figures shown in Appendix B.3.</w:t>
      </w:r>
    </w:p>
    <w:p w14:paraId="4480CDCB" w14:textId="77777777" w:rsidR="00AB0EAF" w:rsidRDefault="00000000">
      <w:pPr>
        <w:pStyle w:val="BodyText"/>
      </w:pPr>
      <w:r>
        <w:t>A specific manipulation scenario was stress-tested: if the Oracle reported artificially cheap hardware or electricity costs, users could be misled into unprofitable upgrades even though the network would still gain the additional fast nodes, which would be a real breach of trust even without any protocol-level exploit. The mitigation, detailed further in C.7, is to require median agreement across at least three independent Oracle feeds, each above a minimum reputation threshold, denominated in physical units (kWh) rather than fiat, which is harder to manipulate coherently than a dollar-denominated feed.</w:t>
      </w:r>
    </w:p>
    <w:p w14:paraId="1C63B239" w14:textId="77777777" w:rsidR="00AB0EAF" w:rsidRDefault="00000000">
      <w:pPr>
        <w:pStyle w:val="Heading2"/>
      </w:pPr>
      <w:bookmarkStart w:id="114" w:name="X349be0b26c6bd061a8a4e62fe46e6f8cd161cd3"/>
      <w:bookmarkEnd w:id="113"/>
      <w:r>
        <w:lastRenderedPageBreak/>
        <w:t>C.5 Desktop P2P Lending: Privacy, Periodic Checking, and Advertising Design (updates Appendix B and Section 6.7)</w:t>
      </w:r>
    </w:p>
    <w:p w14:paraId="37B90781" w14:textId="77777777" w:rsidR="00AB0EAF" w:rsidRDefault="00000000">
      <w:pPr>
        <w:pStyle w:val="FirstParagraph"/>
      </w:pPr>
      <w:r>
        <w:t>Several refinements sharpen the desktop lending design introduced in Appendix B, in direct response to a documented internal objection (referred to internally as the “Claude pushback”) that a hardware fingerprint tied to a TPM serial number would centralize trust around device manufacturers and could be defeated by a virtual-TPM relay attack, undermining the network’s own many-small-operators principle.</w:t>
      </w:r>
    </w:p>
    <w:p w14:paraId="5061AEB0" w14:textId="77777777" w:rsidR="00AB0EAF" w:rsidRDefault="00000000">
      <w:pPr>
        <w:pStyle w:val="Heading3"/>
      </w:pPr>
      <w:bookmarkStart w:id="115" w:name="X2ab47fb962c6129f76ed28ff1218c243ecbec4b"/>
      <w:r>
        <w:t>C.5.1 Very-Finite Default Lending Profile</w:t>
      </w:r>
    </w:p>
    <w:p w14:paraId="4E777313" w14:textId="77777777" w:rsidR="00AB0EAF" w:rsidRDefault="00000000">
      <w:pPr>
        <w:pStyle w:val="FirstParagraph"/>
      </w:pPr>
      <w:r>
        <w:t>The comfortable, unnoticeable default lending profile is: 100MB of storage, 1kb/second of upload bandwidth used only while the device is otherwise idle, roughly 0.5–1% of one CPU core, 10MB of RAM, and a wallet open 2–4 hours per day. An opt-in tier raises this to 1GB, 10kb/second, 2% of a core, and 50MB of RAM for correspondingly higher rewards. This lending is on-demand only when the network is genuinely under load (the “hot” threshold introduced in Appendix B); otherwise resource use is zero and idle machines are never disturbed, consistent with the ever-expanding-and-contracting, no-wasted-dormancy principle in C.3.</w:t>
      </w:r>
    </w:p>
    <w:p w14:paraId="57867146" w14:textId="77777777" w:rsidR="00AB0EAF" w:rsidRDefault="00000000">
      <w:pPr>
        <w:pStyle w:val="Heading3"/>
      </w:pPr>
      <w:bookmarkStart w:id="116" w:name="Xb835e6a86ec86a4c495601a77bba5af861042d3"/>
      <w:bookmarkEnd w:id="115"/>
      <w:r>
        <w:t>C.5.2 Proof-of-Real-Hardware Wording Correction</w:t>
      </w:r>
    </w:p>
    <w:p w14:paraId="5BB46E4F" w14:textId="77777777" w:rsidR="00AB0EAF" w:rsidRDefault="00000000">
      <w:pPr>
        <w:pStyle w:val="FirstParagraph"/>
      </w:pPr>
      <w:r>
        <w:t>Appendix B.4 already avoids requiring a TPM serial number; this update makes the reasoning explicit and corrects the framing throughout: the mechanism should be described as proof-of-real-hardware via very-finite, on-demand lending, tending history, and social vouching — not as a hardware fingerprint. The TPM path remains optional, with the virtual-TPM relay-attack caveat documented rather than glossed over. What is actually checked is a storage-shard hash (a random piece of old history, not an identity), a tending-history hash, and social-voucher hashes — none of which constitute personally identifying information, which keeps this consistent with the network’s broader stance against centralizing around any single farm or vendor.</w:t>
      </w:r>
    </w:p>
    <w:p w14:paraId="33F8AB69" w14:textId="77777777" w:rsidR="00AB0EAF" w:rsidRDefault="00000000">
      <w:pPr>
        <w:pStyle w:val="Heading3"/>
      </w:pPr>
      <w:bookmarkStart w:id="117" w:name="X44d1fe93d2b04cd7a331bd4476f99e737b71367"/>
      <w:bookmarkEnd w:id="116"/>
      <w:r>
        <w:t>C.5.3 Periodic Checking Tied to the Physical Basket</w:t>
      </w:r>
    </w:p>
    <w:p w14:paraId="65D4A566" w14:textId="77777777" w:rsidR="00AB0EAF" w:rsidRDefault="00000000">
      <w:pPr>
        <w:pStyle w:val="FirstParagraph"/>
      </w:pPr>
      <w:r>
        <w:t>Verification checks are tiered by lending state rather than applied uniformly: a cold (non-lending) wallet receives zero checks, a warm wallet receives a lightweight header challenge of about 100 bytes (not a full shard download) only while charging and on WiFi, and an active hot node receives roughly three checks per epoch given it carries more of the network’s real-time risk. A failed check moves a node from a 10x to an 8x reward tier as a gentle pause rather than a slashing event, and the node may re-lend immediately — consistent with the no-wasted-dormancy principle. Reward accounting is denominated in kWh of physical cost rather than dollars, which both prevents reward-farming strategies keyed to fiat price swings and preserves lender incentives even through a fiat disruption, tying into the regulatory boundary conditions in Section 16.3.</w:t>
      </w:r>
    </w:p>
    <w:p w14:paraId="29DA141F" w14:textId="77777777" w:rsidR="00AB0EAF" w:rsidRDefault="00000000">
      <w:pPr>
        <w:pStyle w:val="Heading3"/>
      </w:pPr>
      <w:bookmarkStart w:id="118" w:name="X7f9202d2254995beff30b155614aae60e45f893"/>
      <w:bookmarkEnd w:id="117"/>
      <w:r>
        <w:lastRenderedPageBreak/>
        <w:t>C.5.4 Advertising Node Setup Without Being Annoying</w:t>
      </w:r>
    </w:p>
    <w:p w14:paraId="2E42A97A" w14:textId="77777777" w:rsidR="00AB0EAF" w:rsidRDefault="00000000">
      <w:pPr>
        <w:pStyle w:val="FirstParagraph"/>
      </w:pPr>
      <w:r>
        <w:t>This restates and sharpens Appendix B.6: the network waits for two consecutive epochs above the 90% hot threshold, rather than a single spike, before surfacing an on-demand upgrade notification, specifically to prevent a short-lived, artificially induced load spike from tricking otherwise-idle desktops into upgrading. Isolated backups for a likely relocation event continue to be staged ahead of time, per C.3.</w:t>
      </w:r>
    </w:p>
    <w:p w14:paraId="4E6C7A59" w14:textId="77777777" w:rsidR="00AB0EAF" w:rsidRDefault="00000000">
      <w:pPr>
        <w:pStyle w:val="Heading3"/>
      </w:pPr>
      <w:bookmarkStart w:id="119" w:name="Xfd0f6f562fb5a400e0a38428a9125da43d53725"/>
      <w:bookmarkEnd w:id="118"/>
      <w:r>
        <w:t>C.5.5 “Staking” Renamed to “Savings”, With a Legal Rationale</w:t>
      </w:r>
    </w:p>
    <w:p w14:paraId="329E77AF" w14:textId="77777777" w:rsidR="00AB0EAF" w:rsidRDefault="00000000">
      <w:pPr>
        <w:pStyle w:val="FirstParagraph"/>
      </w:pPr>
      <w:r>
        <w:t>Appendix B.5 already recommends the Savings framing for ordinary users; the added rationale is legal as much as it is about comprehension. Presenting the mechanism as a savings account with interest risks being read, in some jurisdictions, as inviting securities-style scrutiny, since interest-bearing savings implies a security more readily than work-based compensation does. The recommended resolution is to keep the “Savings” label for ordinary users but add the parenthetical “(tending bonus)” beside it everywhere in-product, which preserves the plain-language benefit while keeping the underlying description anchored to tending as work rather than interest on deposit.</w:t>
      </w:r>
    </w:p>
    <w:p w14:paraId="046235C4" w14:textId="77777777" w:rsidR="00AB0EAF" w:rsidRDefault="00000000">
      <w:pPr>
        <w:pStyle w:val="Heading2"/>
      </w:pPr>
      <w:bookmarkStart w:id="120" w:name="X7a4618e4902db6be40a7572e017ae602a7b6347"/>
      <w:bookmarkEnd w:id="114"/>
      <w:bookmarkEnd w:id="119"/>
      <w:r>
        <w:t>C.6 Security-Versus-Speed Trade-offs: Where to Stay Lean (updates Section 5 and Section 16.2)</w:t>
      </w:r>
    </w:p>
    <w:p w14:paraId="46B554BA" w14:textId="77777777" w:rsidR="00AB0EAF" w:rsidRDefault="00000000">
      <w:pPr>
        <w:pStyle w:val="FirstParagraph"/>
      </w:pPr>
      <w:r>
        <w:t>Section 5’s security model is extended with an explicit statement of where the design deliberately stays lean rather than maximally strict, on the view that security effort should track where the network is actually at risk rather than being applied uniformly:</w:t>
      </w:r>
    </w:p>
    <w:p w14:paraId="35804A13" w14:textId="77777777" w:rsidR="00AB0EAF" w:rsidRDefault="00000000">
      <w:pPr>
        <w:numPr>
          <w:ilvl w:val="0"/>
          <w:numId w:val="47"/>
        </w:numPr>
      </w:pPr>
      <w:r>
        <w:t>Launch on the single-core v1 configuration (10→30 nodes, sub-50ms, 100→300 TPS) rather than the multi-core v2 target, until cache coherence across cores has undergone the formal verification called for in Section 16.2.</w:t>
      </w:r>
    </w:p>
    <w:p w14:paraId="15A680F7" w14:textId="77777777" w:rsidR="00AB0EAF" w:rsidRDefault="00000000">
      <w:pPr>
        <w:numPr>
          <w:ilvl w:val="0"/>
          <w:numId w:val="47"/>
        </w:numPr>
      </w:pPr>
      <w:r>
        <w:t>Keep the gas-pump-fast 0.8-second pre-confirmation path limited to transactions under 100 NEXUS, not under 1,000 — small value settles fast, large value waits for full finality, consistent with the credit-card-parity guard rails (2.9% + $0.30, and gas never exceeding the cost of gas) described elsewhere in the whitepaper.</w:t>
      </w:r>
    </w:p>
    <w:p w14:paraId="2FAE30D7" w14:textId="77777777" w:rsidR="00AB0EAF" w:rsidRDefault="00000000">
      <w:pPr>
        <w:numPr>
          <w:ilvl w:val="0"/>
          <w:numId w:val="47"/>
        </w:numPr>
      </w:pPr>
      <w:r>
        <w:t>Keep the tiered spot-check design from C.5.3: cold nodes get zero checks, warm nodes get a lightweight header check, and only hot nodes get the more frequent three-per-epoch check, since storage bottleneck risk is concentrated there.</w:t>
      </w:r>
    </w:p>
    <w:p w14:paraId="489468EB" w14:textId="77777777" w:rsidR="00AB0EAF" w:rsidRDefault="00000000">
      <w:pPr>
        <w:numPr>
          <w:ilvl w:val="0"/>
          <w:numId w:val="47"/>
        </w:numPr>
      </w:pPr>
      <w:r>
        <w:t>Keep the full layered Sybil-resistance stack from C.3 (ASN and /24 IP diversity, 14-day tending age, 3 social vouchers, 2–4 hour daily active window, and the storage-shard hash) without a hardware serial requirement, on the view that this is a genuine structural cost to attackers rather than a checkbox.</w:t>
      </w:r>
    </w:p>
    <w:p w14:paraId="0089DDC9" w14:textId="77777777" w:rsidR="00AB0EAF" w:rsidRDefault="00000000">
      <w:pPr>
        <w:numPr>
          <w:ilvl w:val="0"/>
          <w:numId w:val="47"/>
        </w:numPr>
      </w:pPr>
      <w:r>
        <w:t>Keep reward-versus-cost accounting denominated in kWh via the physical-basket Oracle (detailed in C.7) rather than in fiat, and require two consecutive hot epochs, not one, before surfacing an upgrade notification.</w:t>
      </w:r>
    </w:p>
    <w:p w14:paraId="440E1666" w14:textId="77777777" w:rsidR="00AB0EAF" w:rsidRDefault="00000000">
      <w:pPr>
        <w:pStyle w:val="Heading2"/>
      </w:pPr>
      <w:bookmarkStart w:id="121" w:name="X1ada0dce580e882da23f0367981866fcd2f2320"/>
      <w:bookmarkEnd w:id="120"/>
      <w:r>
        <w:lastRenderedPageBreak/>
        <w:t>C.7 Physical Resource Basket Oracle: Definition Ahead of Coding (updates Section 6.4 and Section 13)</w:t>
      </w:r>
    </w:p>
    <w:p w14:paraId="6B7E319A" w14:textId="77777777" w:rsidR="00AB0EAF" w:rsidRDefault="00000000">
      <w:pPr>
        <w:pStyle w:val="FirstParagraph"/>
      </w:pPr>
      <w:r>
        <w:t>Section 6.4’s physical resource basket (energy, food, and housing, as annual per-person averages with no dollar conversion) is operationalized with a concrete Oracle specification, to be finalized before implementation begins:</w:t>
      </w:r>
    </w:p>
    <w:p w14:paraId="6341D17C" w14:textId="77777777" w:rsidR="00AB0EAF" w:rsidRDefault="00000000">
      <w:pPr>
        <w:numPr>
          <w:ilvl w:val="0"/>
          <w:numId w:val="48"/>
        </w:numPr>
      </w:pPr>
      <w:r>
        <w:t>At least three independent data feeds are required, each covering hardware markets (for example, a roughly $800 fiber-node build at 8 cores / 16GB / 1TB), internet markets, energy markets, calorie markets, and housing markets, all expressed in pure physical units rather than dollar prices.</w:t>
      </w:r>
    </w:p>
    <w:p w14:paraId="6F0E7BA7" w14:textId="77777777" w:rsidR="00AB0EAF" w:rsidRDefault="00000000">
      <w:pPr>
        <w:numPr>
          <w:ilvl w:val="0"/>
          <w:numId w:val="48"/>
        </w:numPr>
      </w:pPr>
      <w:r>
        <w:t>The reported value is the median of the independent feeds, not the mean, to reduce the influence of any single manipulated feed.</w:t>
      </w:r>
    </w:p>
    <w:p w14:paraId="19AAAE4E" w14:textId="77777777" w:rsidR="00AB0EAF" w:rsidRDefault="00000000">
      <w:pPr>
        <w:numPr>
          <w:ilvl w:val="0"/>
          <w:numId w:val="48"/>
        </w:numPr>
      </w:pPr>
      <w:r>
        <w:t>Each reporting feed must maintain a reputation score of at least 75 and a minimum one-year operating lifespan before its reports are weighted, and reputation weight is deliberately set to outweigh raw stake weight, consistent with Section 11.6’s Sybil and bribery protections.</w:t>
      </w:r>
    </w:p>
    <w:p w14:paraId="43EDAAE5" w14:textId="77777777" w:rsidR="00AB0EAF" w:rsidRDefault="00000000">
      <w:pPr>
        <w:pStyle w:val="FirstParagraph"/>
      </w:pPr>
      <w:r>
        <w:t>This directly addresses the AI-manipulation scenario raised in C.4: an Oracle report that a lending upgrade costs zero kWh, if it came from a single feed, could mislead users into an unprofitable upgrade even though the network gains the capacity, which is a trust failure the network cannot afford. Requiring median agreement across three reputable, tending-aged, physically-denominated feeds is intended to make that materially harder to pull off than manipulating a single dollar-denominated price feed.</w:t>
      </w:r>
    </w:p>
    <w:p w14:paraId="0FC1F4C0" w14:textId="77777777" w:rsidR="00AB0EAF" w:rsidRDefault="00000000">
      <w:pPr>
        <w:pStyle w:val="Heading2"/>
      </w:pPr>
      <w:bookmarkStart w:id="122" w:name="Xb59725656eda3f157547c0b69a2d07989f27e61"/>
      <w:bookmarkEnd w:id="121"/>
      <w:r>
        <w:t>C.8 Superseded by Section 6.4: Fully Automatic, Math-Driven Tokenomics</w:t>
      </w:r>
    </w:p>
    <w:p w14:paraId="1ED73043" w14:textId="77777777" w:rsidR="00AB0EAF" w:rsidRDefault="00000000">
      <w:pPr>
        <w:pStyle w:val="FirstParagraph"/>
      </w:pPr>
      <w:r>
        <w:t>The two-phase framing originally proposed here (a Phase One appeal to early participants, years 0–2, followed by a Phase Two transition to a regenerative equilibrium) has been retired. Section 6.4 now describes a single fully automatic, math-driven ruleset that governs staking rewards and revenue allocation from genesis onward, with no separate early “appeal” phase and no later “transition” phase controlled by humans or the DAO. The same automatic function operates continuously; only the underlying network signals (active wallets, transaction volume, verified resource contribution, and Core utilization) change as the system grows. See Section 6.4 for the current specification.</w:t>
      </w:r>
    </w:p>
    <w:p w14:paraId="40632AE5" w14:textId="77777777" w:rsidR="00AB0EAF" w:rsidRDefault="00000000">
      <w:pPr>
        <w:pStyle w:val="Heading2"/>
      </w:pPr>
      <w:bookmarkStart w:id="123" w:name="X68509ee56780e44fcd4cf858e01d6c89a279f9e"/>
      <w:bookmarkEnd w:id="122"/>
      <w:r>
        <w:t>C.9 Simulation and Verification Directives Ahead of Coding</w:t>
      </w:r>
    </w:p>
    <w:p w14:paraId="377161A4" w14:textId="77777777" w:rsidR="00AB0EAF" w:rsidRDefault="00000000">
      <w:pPr>
        <w:pStyle w:val="FirstParagraph"/>
      </w:pPr>
      <w:r>
        <w:t>Before implementation begins, four items are flagged as requiring formal simulation or verification rather than design-time assertion, consistent with the open-risks framing in Section 16.2:</w:t>
      </w:r>
    </w:p>
    <w:p w14:paraId="13BBB13D" w14:textId="77777777" w:rsidR="00AB0EAF" w:rsidRDefault="00000000">
      <w:pPr>
        <w:numPr>
          <w:ilvl w:val="0"/>
          <w:numId w:val="49"/>
        </w:numPr>
      </w:pPr>
      <w:r>
        <w:t>Derive, rather than assert, the stake-per-node safety multiplier and the core-expansion trigger thresholds referenced throughout Section 3 and C.3.</w:t>
      </w:r>
    </w:p>
    <w:p w14:paraId="228B30C7" w14:textId="77777777" w:rsidR="00AB0EAF" w:rsidRDefault="00000000">
      <w:pPr>
        <w:numPr>
          <w:ilvl w:val="0"/>
          <w:numId w:val="49"/>
        </w:numPr>
      </w:pPr>
      <w:r>
        <w:lastRenderedPageBreak/>
        <w:t>Formally define the Oracle specification from C.7 (three independent feeds, median aggregation, reputation ≥ 75, one-year minimum lifespan, tending-age weighting) before any implementation work begins against it.</w:t>
      </w:r>
    </w:p>
    <w:p w14:paraId="50DAFDEF" w14:textId="77777777" w:rsidR="00AB0EAF" w:rsidRDefault="00000000">
      <w:pPr>
        <w:numPr>
          <w:ilvl w:val="0"/>
          <w:numId w:val="49"/>
        </w:numPr>
      </w:pPr>
      <w:r>
        <w:t>Model the cost of faking one node versus ten nodes in the same city under the full layered Sybil-resistance stack from C.3, as a concrete game-theoretic capture-resistance check, before coding.</w:t>
      </w:r>
    </w:p>
    <w:p w14:paraId="7C4CAA23" w14:textId="77777777" w:rsidR="00AB0EAF" w:rsidRDefault="00000000">
      <w:pPr>
        <w:numPr>
          <w:ilvl w:val="0"/>
          <w:numId w:val="49"/>
        </w:numPr>
      </w:pPr>
      <w:r>
        <w:t>Simulate desktop-lending storage and bandwidth load at scale (for example, 1 million desktops at the 100MB default versus a 1GB opt-in tier, alongside the roughly 860GB/day-per-1,000-TPS-per-core storage bottleneck noted in Section 6.4) to confirm the tiered, on-demand, hot-only design in C.5 does not introduce new bottlenecks or privacy leaks, before coding.</w:t>
      </w:r>
    </w:p>
    <w:p w14:paraId="24280BA2" w14:textId="77777777" w:rsidR="00AB0EAF" w:rsidRDefault="00000000">
      <w:pPr>
        <w:pStyle w:val="FirstParagraph"/>
      </w:pPr>
      <w:r>
        <w:t>These directives were also framed for handoff to a coding-focused AI collaborator (referred to internally as Meta AI) as concrete pre-implementation gates, distinct from the design-level decisions recorded in C.1–C.8 above.</w:t>
      </w:r>
    </w:p>
    <w:p w14:paraId="2F5316B3" w14:textId="77777777" w:rsidR="00AB0EAF" w:rsidRDefault="00000000">
      <w:pPr>
        <w:pStyle w:val="Heading2"/>
      </w:pPr>
      <w:bookmarkStart w:id="124" w:name="X2717c3fb3ab288fc88871eed1b676879843f512"/>
      <w:bookmarkEnd w:id="123"/>
      <w:r>
        <w:t>C.10 Locked Tokenomics Simulation Results — Crash &amp; Adversarial Gates (August 2026)</w:t>
      </w:r>
    </w:p>
    <w:p w14:paraId="219AAA7E" w14:textId="77777777" w:rsidR="00AB0EAF" w:rsidRDefault="00000000">
      <w:pPr>
        <w:pStyle w:val="FirstParagraph"/>
      </w:pPr>
      <w:r>
        <w:t>This appendix locks the simulations run August 2026 per the operating principle ‘whitepaper as gate’ and the Decision Handoff05 correction (Years 0-3 Seed 0%, 3-5 Sprout 0%, 5-8 First Exhale 2% starting Year 5 not Year 6, 8-13 Second Exhale 5%/8% + 80/20, 13+ perpetual — months 0-60 $0 compost, $52k month 0 impossible). These numbers are now canonical source for wallet code (resource_anchor.rs, replication.rs is_fast_path_eligible(), EphemeralMerkleTree) and for GitHub nexus-living-system. No huge adjustments to fees, slot costs, or dormancy thresholds are to be made after this lock without a formal hard-fork proposal per Section 10.6.1 or succession under Section 10.6.4 / 10.6.5.</w:t>
      </w:r>
    </w:p>
    <w:p w14:paraId="458B78F8" w14:textId="77777777" w:rsidR="00AB0EAF" w:rsidRDefault="00000000">
      <w:pPr>
        <w:pStyle w:val="BodyText"/>
      </w:pPr>
      <w:r>
        <w:t>Overall Scope — Why Fees Are the Anchor (Your Favorite Part): The system is designed to decouple from Bitcoin influence not by price correlation but by mechanism decoupling. Bitcoin: fixed supply, fee-only security after halvings untested at multi-decade scale, 7 TPS hard cap, fees spike 50-60x during crashes (0.1% -&gt; 5-6%). Ethereum: ~30 TPS base, staking but no counter-cyclical reserve. Nexus: usage-elastic supply expands/contracts with active participation (Sec 6.2), VE fee 0.3% base -&gt; 0.333% stable (scale_fee.png), never exceeding cost of gas, credit-card parity 2.9% + $0.30 (Amendment 10). Treasury + hardship reserve 6.8.6 (50% VE fees + 35% AI revenue + 20% reclaimed) provides counter-cyclical buffer. Savings (tending bonus) framing (Amendment 11): Savings (tending bonus): +2.3 NEXUS from tending — 100MB storage, 30 days continuous, spot-check verified, work-based per resource_anchor.rs not passive capital (closes Howey). Dormancy timeline zero leak Years 0-5 means crash does not force sell.</w:t>
      </w:r>
    </w:p>
    <w:p w14:paraId="12AC89BA" w14:textId="77777777" w:rsidR="00AB0EAF" w:rsidRDefault="00000000">
      <w:pPr>
        <w:pStyle w:val="BodyText"/>
      </w:pPr>
      <w:r>
        <w:t xml:space="preserve">Simulation Trajectory Locked (Top 500-1000 -&gt; Top 200 3-6mo -&gt; Top 100 ~18mo -&gt; Top 50 year 3 -&gt; Top 10-20 year 12 -&gt; Trillion-scale stress to $1.5T year 20): Month 0 $80M 10M supply $8 price 1k wallets 100 TPS 0.83M/day volume 65% tending APY early </w:t>
      </w:r>
      <w:r>
        <w:lastRenderedPageBreak/>
        <w:t>squeeze 5.45x compute per token, Month 6 $400M $17.65 22.6M supply 10k wallets 150 TPS 2.7M/day 40% APY, Month 18 $1.2B $29.41 40.7M supply 50k wallets 250 TPS 7.6M/day 5.5% APY, Month 36 $5B $72.81 68.6M supply 200k wallets 1,270 TPS (Phase 2 multi-core after cache-coherence) 95M/day 4.8% APY floor, Month 144 $25B $134.47 185M supply 2M wallets 10k TPS capped (Phase 2 10-100 cores) 1.39B/day volume 200TB total tending storage (100MB/wallet) 43.9TB/day ephemeral @ 860GB/day per 1k TPS per core (C.4) but Merkle root only on-chain via 4-stage pipeline (Gossip Limiter 1 per 144 -&gt; Ephemeral Memory Map volatile flat overhead -&gt; 2016-block Epoch Batch zero disk writes -&gt; Merkle root only per Amendment 12B).</w:t>
      </w:r>
    </w:p>
    <w:p w14:paraId="002C70ED" w14:textId="77777777" w:rsidR="00AB0EAF" w:rsidRDefault="00000000">
      <w:pPr>
        <w:pStyle w:val="BodyText"/>
      </w:pPr>
      <w:r>
        <w:t>Trillion-Dollar Stress — 500k TPS Required: To reach $1.5T Year 20 with 100M wallets (Bitcoin-style adoption) requires 5,000 nodes, 100-1,000+ cores globally, 500k TPS capacity (70% util 350k TPS), daily volume $22.4T/day, daily ephemeral 301TB/day, total storage 10,000TB (10PB) hot-only sharding per C.5.3. Current v0.31 gate: Phase1 single metro 10-30 nodes 100-300 TPS sub-50ms fast-path &lt;100 NEXUS 7-of-10 BLS (Amendment 10 closes MESI risk, v2 multi-core deferred). Phase2 30-100 nodes 1k-10k TPS. Trillion scale needs Phase5 Decentralize &amp; Launch multi-region, sharded ephemeral maps, median Oracle 3-feed rep&gt;=75 1yr (C.7). This shows design handles $25B top 10-20 with existing gates; $1.5T needs 50x core scale, not parameter change.</w:t>
      </w:r>
    </w:p>
    <w:p w14:paraId="43F4EB18" w14:textId="77777777" w:rsidR="00AB0EAF" w:rsidRDefault="00000000">
      <w:pPr>
        <w:pStyle w:val="BodyText"/>
      </w:pPr>
      <w:r>
        <w:t>Crash Resilience vs Bitcoin/Ethereum — Historical Crashes Simulated: Crash1 Month 30 -70% Terra/Luna style over 2mo recovery 12mo, Crash2 Month 60 -50% COVID style, Crash3 Month 100 -80% bear. Results: Nexus market cap $3.73B -&gt; $1.24B recovers 12mo, active wallets drop only 15% (150k -&gt; 149k) due to 9x tending advantage + Savings (tending bonus) work-based, VE fee stable 0.307% vs BTC fee spike 0.1%-&gt;5% (50x), 0.1%-&gt;6% (60x) at -80% bear, ETH 0.1%-&gt;3.6%. TPS spike 3x during panic: Nexus 2,516 TPS handled by epoch batch Merkle root only, BTC 7 TPS queue blows up finality hours, ETH 30 TPS congested. Wallets: Nexus 1k-&gt;10k-&gt;50k-&gt;200k-&gt;2M-&gt;10M-&gt;50M-&gt;100M vs BTC 60% drop during crashes vs Nexus 15% drop due to dormancy zero leak Years 0-5 and 9x advantage. Treasury absorbs: monthly revenue $0.1M -&gt; $5M year6 -&gt; $20M year12 vs reclaimed shock $0 -&gt; $0.75M -&gt; $7M -&gt; $500M at $1.5T — Gate3 passes (treasury + hardship reserve absorbs 2%,3%,5%,8% Fibonacci without crashing velocity).</w:t>
      </w:r>
    </w:p>
    <w:p w14:paraId="25EBDE00" w14:textId="77777777" w:rsidR="00AB0EAF" w:rsidRDefault="00000000">
      <w:pPr>
        <w:pStyle w:val="BodyText"/>
      </w:pPr>
      <w:r>
        <w:t xml:space="preserve">Adversarial — 35% Collusive Voucher Ring Gate2: Attack at Month 72 Year6 during First Exhale 2%/3% leak, 280,000 collusive wallets (35% of 800k). Without defenses: 22.9% chance &gt;=3 of 5 arbitrators collusive (1000 trials binomial p=0.35). With defenses: IP/ASN diversity + /24 + 14-day tending age + 3 vouchers not purchasable + 2h daily active + storage-shard hash (100MB random piece old history not identity) + 1yr temporal hardening 52,560 blocks (Amendment 12A baseline 75, 0-100 bounds, decay 0.00001/block, recovery 0.000005/block, grace 144, 3 vouchers, IP/ASN diversity): Cost $14M identity ($50 per ASN-diverse) + $1k storage, panel takeover 0% — breaks mutual vouching. To Sybil 1M desktops needs 1M human identities each 14-day age + 3 vouchers (collusion resistance invariant rep&gt;=75, 1yr lifespan, rep weight &gt; stake). Gate1 decay: 3-day outage 144 blocks/day </w:t>
      </w:r>
      <w:r>
        <w:rPr>
          <w:i/>
          <w:iCs/>
        </w:rPr>
        <w:t>3</w:t>
      </w:r>
      <w:r>
        <w:t>0.00001 = 0.00432 points drop 75-&gt;74.9956, needs grace 144 blocks, recovery 0.00072/day 6 days — passes if grace enforced per Sec 11.1.</w:t>
      </w:r>
    </w:p>
    <w:p w14:paraId="64B0658A" w14:textId="77777777" w:rsidR="00AB0EAF" w:rsidRDefault="00000000">
      <w:pPr>
        <w:pStyle w:val="BodyText"/>
      </w:pPr>
      <w:r>
        <w:lastRenderedPageBreak/>
        <w:t>Decoupling From Bitcoin — Why Regular Crypto Historical Figures Don’t Truly Show What Nexus Can and Will Do: Simulations vs BTC/ETH historical -80% crashes show price correlation but hide mechanism decoupling. Nexus decouples via: (1) Physical resource anchor (energy, calories, housing space annual per-person averages no dollar conversion Sec 6.4) — Oracle median 3 feeds rep&gt;=75 1yr — value tied to real per-person consumption not fiat, survives fiat collapse, (2) Usage-elastic supply not fixed emission — supply expands/contracts with active participation not halving schedule, (3) Deflationary capacity squeeze 55-&gt;89-&gt;144-&gt;233 whole-number Fibonacci denominations not token emission incentive — utility scarcity pricing, halving psychology via slot cost (get in before 55-&gt;89) same beat as Bitcoin halving but mechanism utility, (4) Savings (tending bonus) work-based not staking — 100MB storage 30 days continuous spot-check verified per resource_anchor.rs — aligns with moral principles living &amp; breathing AI (your exploded hook: ‘This is not just another Crypto project, we are creating a Living &amp; Breathing Artificial Intelligence System aligned with moral principles and values that will revolutionize the World with finance &amp; align humanity with the truth.’), (5) Evidence-first AI (Sec 10) evaluates claims by strength and directness of supporting evidence rather than authority — NAP Non-Aggression Principle Sec 2.2, 10.5 — village that remembers what villages always known: take a piece, give back two, pie grows. These mechanisms mean during BTC -80% crash driven by leverage liquidation, Nexus daily volume may drop but tending wallets stay due to 9x advantage and storage contribution, fees stay 0.3% not 5%, finality stays sub-50ms for &lt;100 NEXUS not hours, reclamation stays $0 Years 0-5. Historical crypto figures measure speculation, Nexus measures utility (AI compute per token, storage TB, tending days). Future simulations should measure: kWh per token, meals per token, housing hours per token, evidence audit packages /audit/inference/{id} verified — not just $ price vs BTC.</w:t>
      </w:r>
    </w:p>
    <w:p w14:paraId="5E343A2B" w14:textId="77777777" w:rsidR="00AB0EAF" w:rsidRDefault="00000000">
      <w:pPr>
        <w:pStyle w:val="BodyText"/>
      </w:pPr>
      <w:r>
        <w:t xml:space="preserve">Lock Statement: As of v0.31, parameters locked for code: slot costs 55/89/144/233 Fibonacci whole numbers stepping at 8/13/21 months, VE fee 0.3% base -&gt; 0.333% stable never exceeding cost of gas credit-card parity 2.9% + $0.30, gas-pump-fast 0.8s pre-confirmation sub-50ms fast-path &lt;100 NEXUS 7-of-10 BLS via is_fast_path_eligible() amount &lt;100 NEXUS else standard consensus, dormancy 2%,3%,5%,8% Fibonacci annual leakage Years 5-8 2%/3% first trickle Years 8-13 5%/8% +80/20 clawback 20% fee Years13+ perpetual, reputation baseline75 0-100 bounds temporal hardening 52,560 blocks ~1yr validator/arbitrator/oracle only not heartbeat min balance10 NEXUS decay0.00001/block recovery0.000005/block grace144 continuous tending30d wallet age14d 3 vouchers IP/ASN diversity min2h active daily slash to zero bribe/oracle manipulation, ephemeral pipeline Stage1 Gossip Rate Limiter 1 per addr per144 discard at gossip Stage2 Ephemeral Memory Map volatile off-chain flat overhead overwrite latest Stage3 2016-block Epoch Batch zero disk writes preserve IOPS Stage4 Merkle Aggregation writes Merkle root only + inclusion proofs per Article7 leaf canonical JSON sorted keys SHA256 pairwise hash duplicate last if odd EphemeralMerkleTree, Oracle 3 independent feeds median not mean rep&gt;=75 1yr tending-age weighting kWh denominated not fiat per C.7. These do not require huge adjustments after uncorking; scaling to trillion $ is core count not parameter change per Sec 16.2.1 Phased Gates Gate1 decay coefficient honest briefly offline not below75 Gate2 35% collusive ring fails IP/ASN diversity+storage-shard </w:t>
      </w:r>
      <w:r>
        <w:lastRenderedPageBreak/>
        <w:t>hash Gate3 treasury hardship reserve absorbs 2%/5%/8% leakage without destabilizing velocity.</w:t>
      </w:r>
    </w:p>
    <w:p w14:paraId="14A87810" w14:textId="77777777" w:rsidR="00AB0EAF" w:rsidRDefault="00000000">
      <w:pPr>
        <w:pStyle w:val="Heading2"/>
      </w:pPr>
      <w:bookmarkStart w:id="125" w:name="X75f2d25dcbe930bf5ce97abf4eee6db41b919bf"/>
      <w:bookmarkEnd w:id="124"/>
      <w:r>
        <w:t>C.11 Treasury Flows — $300M Influx + $30M AI Top — Where Money Goes (Aug 2026)</w:t>
      </w:r>
    </w:p>
    <w:p w14:paraId="1E12BBA1" w14:textId="77777777" w:rsidR="00AB0EAF" w:rsidRDefault="00000000">
      <w:pPr>
        <w:pStyle w:val="FirstParagraph"/>
      </w:pPr>
      <w:r>
        <w:t>Simulation: $300M influx over first 24 months ($50M months 0-6 $8.3M/mo, $100M 6-12, $150M 12-24) + $30M through top AI via Resource Contribution Marketplace ($5M 0-6, $10M 6-12, $15M 12-24). Market cap $80M month0 rank ~800 → $400M month6 top200 → $1.2B month18 top100 → $2.36B month24 with influx 1.2x squeeze multiplier from 55→89→144 Fibonacci slot costs IS the halving 5.45x→0.45x compute velocity reserve $80→$20k month36 from 1k cohort. Wallets 1k→80k, TPS cap 100→300 single metro 10→30 nodes Phase1 safe config per Sec 3.1 sub-50ms fast-path &lt;100 NEXUS 7-of-10 BLS via is_fast_path_eligible() (Amendment10 closes MESI risk). Daily vol $345M→$2,073M with avg tx $100→$200, monthly vol $10B→$62B, VE fee 0.3% base→0.333% stable never exceeding cost of gas credit-card parity 2.9%+$0.30, monthly VE fee $31M→$186M, treasury cumulative $31M→$2,485M over 24mo = VE 0.3% + AI marketplace 20% fee + AI 35% cut + forfeitures 0.5% (abandoned listings node slot forfeits unclaimed AI yield Option C different mechanism redundant complexity not identical) + 20% reclaimed $0 until Year5 per locked Decision Handoff05 Years0-3 Seed 0% 3-5 Sprout 0% 5-8 First Exhale 2% Year5 (3% Year6) first tiny trickle 8-13 Second Exhale 5%/8%+80/20 13+ perpetual months0-60 $0 compost $52k impossible. Hardship reserve dual-channel 30% of treasury $9.3M→$745M per Sec6.8.6 funds hardship dual-channel survives fiat disruption kWh denominated. Counter-cyclical reserve battery 10% influx $0.8M→$30M $80→$20k month36 scaling deploys during crashes. Where $330M cash in goes: sellers 70% of $300M $210M profit taking P2P, treasury VE fees $2,473M from volume not influx (why fees key), treasury AI 20% fee +35% cut $16.5M of $30M, reserve battery 10% $30M, tenders AI 50% $9.5M compute reward Savings(tending bonus) 100MB storage 30days continuous spot-check verified per resource_anchor.rs 9x advantage work-based closes Howey, operators 15% $4.5M. $30M AI through top functions: buyer posts AI compute request → Oracle verifies kWh cost via physical basket energy calories housing annual per-person averages no dollar conversion median 3 feeds rep≥75 1yr, 50% to tenders 80k wallets×100MB=8TB total tending storage year2, 35% to treasury+20% fee to treasury, 15% to operators, ephemeral pipeline Gossip Limiter 1 per addr per144 discard at gossip → Memory Map volatile flat overhead overwrite latest → 2016-block Epoch Batch zero disk writes preserve IOPS → Merkle root only zero disk writes for AI inference requests. Treasury math volume×0.3%+AI% not influx dependent, no huge adjustments after uncorking, scaling to trillion $ core count not parameter change per Sec16.2.1 Phased Gates Gate3 treasury hardship reserve absorbs 2%/5%/8% leakage without crashing velocity.</w:t>
      </w:r>
    </w:p>
    <w:p w14:paraId="4FB4E3B5" w14:textId="77777777" w:rsidR="00AB0EAF" w:rsidRDefault="00000000">
      <w:pPr>
        <w:pStyle w:val="Heading2"/>
      </w:pPr>
      <w:bookmarkStart w:id="126" w:name="Xfa0a15013895e66a773411f08e6e2456f5448d0"/>
      <w:bookmarkEnd w:id="125"/>
      <w:r>
        <w:t>C.12 Elastic Supply Over 10yr+ — Historical Market Figures — Usage-Elastic Model Working (Aug 2026)</w:t>
      </w:r>
    </w:p>
    <w:p w14:paraId="699076E2" w14:textId="77777777" w:rsidR="00AB0EAF" w:rsidRDefault="00000000">
      <w:pPr>
        <w:pStyle w:val="FirstParagraph"/>
      </w:pPr>
      <w:r>
        <w:t xml:space="preserve">Historical crypto market cycles proxy for active participation waves (not price) per Sec6.2 usage-elastic supply expands/contracts with active network participation rather than fixed emission schedule, resolves dead supply problem where lost private keys permanently </w:t>
      </w:r>
      <w:r>
        <w:lastRenderedPageBreak/>
        <w:t>freeze circulating capital. Cycles simulated: Year0-1 bull 2016 +100% 1k→20k wallets, Year1-2 bear 2018 -80% 20k→25k multiplier0.5, Year2-4 bull 2020-2021 halving +200% 25k→218k, Year4-5 bear 2022 Luna -60% 218k→600k multiplier 3.0→1.2, Year5-7 bull 2023-2025 +150% 600k→1.5M, Year7-8 bear mini -30% 3.0→2.1, Year8-10 bull +100% 2.1→3.0 1.5M→15M wallets. Base wallets + historical multiplier = active wallets. Physical basket anchor stable 1.0±5% oscillation 3500kWh/year per person vs BTC price ±80% crash, Oracle median 3 feeds rep≥75 1yr kWh denominated per C.7. Dormant base 2%+1.8%×years would grow to 20% by year10 without reclamation like Bitcoin ~20% lost keys frozen forever, with reclamation dormant after = dormant_base×(1-reclamation_rate×3) capped 2-5% per our earlier assumption. Reclamation rate per Sec6.3.1 locked: Years0-3 Seed 0%, 3-5 Sprout 0%, 5-8 First Exhale 2% starting Year5 (3% Year6) first tiny trickle, 8-13 Second Exhale 5%/8%+80/20, 13+ perpetual. Elastic supply formula: initial 10M × (active_wallets/1000)^0.35 × physical_anchor + tending_cumulative×0.1 - cumulative_reclaimed, where 0.35≈1/φ² golden ratio conjugate 0.381966 for balanced expansion sacred geometry, tending monthly +2.3 NEXUS per tending wallet per month 9x advantage, tending cumulative 868.9M NEXUS over 10yr, reclaimed cumulative 8.0M NEXUS, net supply 10M→29.2M year1→32.2M year2 bear contracts relative to activity dip→69.6M year3 expands +115% with bull→100M year5→153M year6→226M year8→354M year10 vs initial 10M 35x expansion tied to 15,000x wallet growth 1k→15M not 15,000x inflation because exponent 0.35. BTC fixed 21M cap, ETH ~120M inflating, cannot optimize velocity. Velocity: Nexus 207→585 monthly vs BTC ~0.05 HODL, elastic optimizes velocity while protecting inactive value per Sec6.2. Price stability: Nexus $999→$5,338→$9,414→$9,474→$4,435 bear→$6,829→$8,817→$7,646 vs BTC proxy $606→$18k→$17k→$37k→$24k→$56k→$104k→$126k less volatile due to physical anchor and counter-cyclical reserve $80→$20k month36 from 1k cohort. This shows elastic supply working over historical figures — expands/contracts with participation, not price — dead supply problem resolved via phased dormancy reclamation engine.</w:t>
      </w:r>
    </w:p>
    <w:p w14:paraId="662DBE06" w14:textId="77777777" w:rsidR="00AB0EAF" w:rsidRDefault="00000000">
      <w:pPr>
        <w:pStyle w:val="Heading2"/>
      </w:pPr>
      <w:bookmarkStart w:id="127" w:name="X2023646c7a35f590f01b80b63507f74ee9ce46b"/>
      <w:bookmarkEnd w:id="126"/>
      <w:r>
        <w:t>C.13 Physical Basket Future Sims — kWh, Meals, Housing Hours per Token + Evidence-First Audit Packages (Aug 2026)</w:t>
      </w:r>
    </w:p>
    <w:p w14:paraId="03DFEB0A" w14:textId="77777777" w:rsidR="00AB0EAF" w:rsidRDefault="00000000">
      <w:pPr>
        <w:pStyle w:val="FirstParagraph"/>
      </w:pPr>
      <w:r>
        <w:t xml:space="preserve">Future simulations measuring what historical crypto figures can’t — physical resource basket per Sec6.4 energy, calories, housing space annual per-person averages no dollar conversion, Oracle spec C.7 $800 fiber-node build 8 cores/16GB/1TB + internet + energy + calorie + housing markets physical units median. Node cost physical ~8000kWh assuming $0.10/kWh, slot cost 55→89→144→233 Fibonacci whole numbers stepping at 8/13/21 months IS the halving, kWh per token = node_kwh_cost/slot_cost 145kWh/token at 55 →34kWh/token at 233, meals per token 0.8×kWh, housing hours 0.3×kWh, efficiency gain 1+0.5×log1p(years) 50% over 20yr from evidence-first AI routing slime-mold activation Phase4 60s Activation. Results: Month0 55 slot 145kWh/token 116 meals 43.6hrs housing vs BTC effective 20kWh/token (crashes to 5kWh during fee spike 0.1%→5-6%), Month8 89 slot 112kWh 90 meals 33.8hrs, Month13 144 slot 75.9kWh 60.7 meals 22.7hrs, Month21+ 233 slot 51.7kWh→86.6kWh year20 with efficiency gain 41→69 meals 15.5→25.9hrs, BTC 20→5kWh during -70% crash fee spike destroys physical purchasing power. Audit packages /audit/inference/{id} verified transparency vs soft-censorship per Sec15.1 10.1 </w:t>
      </w:r>
      <w:r>
        <w:lastRenderedPageBreak/>
        <w:t>10.3: 100→5k year3→50k year6→500k year12→2M year20. Decoupling from Bitcoin influence by mechanism not price: (1) Physical anchor energy/calories/housing no dollar conversion survives fiat collapse, (2) Usage-elastic supply expands/contracts with participation not halving schedule, (3) Deflationary capacity squeeze 55→89→144→233 utility scarcity pricing halving psychology via slot cost, (4) Savings(tending bonus) work-based 100MB 30days spot-check verified per resource_anchor.rs aligns with moral principles living &amp; breathing AI hook, (5) Evidence-first AI evaluates claims by strength/directness of evidence not authority NAP Non-Aggression Principle Sec2.2 10.5 village that remembers what villages always known take a piece give back two pie grows. Historical crypto figures measure speculation, Nexus measures utility kWh per token meals per token housing hours per token evidence audit packages.</w:t>
      </w:r>
    </w:p>
    <w:p w14:paraId="40487F9A" w14:textId="77777777" w:rsidR="00AB0EAF" w:rsidRDefault="00000000">
      <w:pPr>
        <w:pStyle w:val="Heading2"/>
      </w:pPr>
      <w:bookmarkStart w:id="128" w:name="X5c3631f459c00607e2a566799d0e4ab4fdaf2a9"/>
      <w:bookmarkEnd w:id="127"/>
      <w:r>
        <w:t>Lock Statement v0.33 — No Huge Adjustments After Uncorking</w:t>
      </w:r>
    </w:p>
    <w:p w14:paraId="38540DCA" w14:textId="77777777" w:rsidR="00AB0EAF" w:rsidRDefault="00000000">
      <w:pPr>
        <w:pStyle w:val="FirstParagraph"/>
      </w:pPr>
      <w:r>
        <w:t xml:space="preserve">As of v0.33, all parameters locked for code per gate principle whitepaper as gate → v0.33 → wallet UI copy safe → code replication.rs is_fast_path_eligible() amount&lt;100 NEXUS else standard consensus, resource_anchor.rs Savings(tending bonus)+2.3 NEXUS from tending 100MB storage 30days continuous spot-check verified work-based, EphemeralMerkleTree Stage1 Gossip Rate Limiter 1 per addr per144 discard at gossip Stage2 Ephemeral Memory Map volatile off-chain flat overhead overwrite latest Stage3 2016-block Epoch Batch zero disk writes preserve IOPS Stage4 Merkle Aggregation writes Merkle root only + inclusion proofs per Article7 leaf canonical JSON sorted keys SHA256 pairwise hash duplicate last if odd, Oracle 3 independent feeds median not mean rep≥75 1yr tending-age weighting kWh denominated not fiat per C.7, slot costs 55/89/144/233 Fibonacci whole numbers stepping at 8/13/21 months IS the halving 5.45x→0.45x compute velocity reserve $80→$20k month36 from 1k cohort, VE fee 0.3% base→0.333% stable never exceeding cost of gas credit-card parity 2.9%+$0.30 gas-pump-fast 0.8s pre-confirmation sub-50ms fast-path &lt;100 NEXUS 7-of-10 BLS, dormancy 2%,3%,5%,8% Fibonacci annual leakage Years5-8 2%/3% first trickle Years8-13 5%/8%+80/20 clawback 20% fee Years13+ perpetual months0-60 $0 compost impossible per Decision Handoff05, reputation baseline75 0-100 bounds temporal hardening 52,560 blocks ~1yr validator/arbitrator/oracle only not heartbeat min balance10 NEXUS decay0.00001/block recovery0.000005/block grace144 continuous tending30d wallet age14d 3 vouchers IP/ASN diversity min2h active daily slash to zero bribe/oracle manipulation, treasury per 6.8.6 50% VE fees + 35% AI revenue +20% reclaimed (0 until Y5)+forfeitures hardship reserve dual-channel 30% counter-cyclical reserve battery 10% influx. Scaling to trillion $1.5T 500K TPS 5,000 nodes 100-1000+ cores daily volume $22.4T/day daily ephemeral 301TB/day total storage 10,000TB (10PB) hot-only sharding per C.5.3 is core count not parameter change per Sec16.2.1 Phased Gates Gate1 decay coefficient honest briefly offline not below75 Gate2 35% collusive ring fails IP/ASN diversity+storage-shard hash Gate3 treasury hardship reserve absorbs 2%/5%/8% leakage without destabilizing velocity. Simulations locked: C.10 crash adversarial $300M influx $30M AI top vs BTC/ETH, C.11 treasury flows where money goes, C.12 elastic supply 10yr+ historical market figures usage-elastic model working, C.13 physical basket future sims kWh meals housing hours audit packages. Executive summary opening line locked: This is not just another Crypto project, we are creating a Living &amp; Breathing Artificial Intelligence System aligned with moral principles and values that will </w:t>
      </w:r>
      <w:r>
        <w:lastRenderedPageBreak/>
        <w:t>revolutionize the World with finance &amp; align humanity with the truth. Tokenomics sacred geometry locked: Fibonacci 55→89→144→233 whole-number denominations torus 6851→1071 vector equilibrium 5.45x→0.45x living math not arbitrary 0.35≈1/φ² golden ratio conjugate. No huge adjustments after uncorking.</w:t>
      </w:r>
    </w:p>
    <w:p w14:paraId="0BA1C5DE" w14:textId="77777777" w:rsidR="00AB0EAF" w:rsidRDefault="00000000">
      <w:pPr>
        <w:pStyle w:val="Heading1"/>
      </w:pPr>
      <w:bookmarkStart w:id="129" w:name="X4729659798f9efee0448c54d1f82a1b97c17e1b"/>
      <w:bookmarkEnd w:id="109"/>
      <w:bookmarkEnd w:id="128"/>
      <w:r>
        <w:t>Appendix D — Web Copy Master — Sacred Geometry + Central Ohio Replacing + 60-Second Node Setup Ticker — The One That Really Lands (Aug 2026)</w:t>
      </w:r>
    </w:p>
    <w:p w14:paraId="58309410" w14:textId="77777777" w:rsidR="00AB0EAF" w:rsidRDefault="00000000">
      <w:pPr>
        <w:pStyle w:val="FirstParagraph"/>
      </w:pPr>
      <w:r>
        <w:t>This appendix locks the three exceptional pages that together nail down the vision — separate with links and combined as master — as canonical web copy for landing, onboarding, and wallet flows across the project’s public builds. Aim: encapsulate what this project is actually able to do properly while leaving main catch the data center solution but slowly opening people’s minds to everything from whole number denomination, on off ramps, bottom up hardship loans, reclamation mechanics, AI revenue model, AI truth engine, stability during booms and bust cycles, always low fees, transaction speed and capacity expansion and contraction abilities, infinite scaling, no need for dollar ability to survive complete dollar collapse to know dollar existing to privacy and smart contracts and sidechain hookups, dispute settling on chain. Tone language in way where people can wrap minds around all amazing abilities but not lose them in technical jargon or metaphors. Monumental task made simple.</w:t>
      </w:r>
    </w:p>
    <w:p w14:paraId="5AAD0F6A" w14:textId="77777777" w:rsidR="00AB0EAF" w:rsidRDefault="00000000">
      <w:pPr>
        <w:pStyle w:val="Heading2"/>
      </w:pPr>
      <w:bookmarkStart w:id="130" w:name="X208c755cf01638e5e2c933496ae330f77951527"/>
      <w:r>
        <w:t>D.1 Hero — Locked Opening Line + Breath + Central Ohio Replacing</w:t>
      </w:r>
    </w:p>
    <w:p w14:paraId="3C353B09" w14:textId="77777777" w:rsidR="00AB0EAF" w:rsidRDefault="00000000">
      <w:pPr>
        <w:pStyle w:val="FirstParagraph"/>
      </w:pPr>
      <w:r>
        <w:t>Hero Headline (locked): ‘This is not just another Crypto project, we are creating a Living &amp; Breathing Artificial Intelligence System aligned with moral principles and values that will revolutionize the World with finance &amp; align humanity with the truth.’ Subhead Breath (locked): ‘Life is breathed into Nexus with sacred geometry — the mathematics of the universe itself.’ Subhead Data Center Main Catch (locked per user): ‘Starts in Central Ohio replacing resource hogging data centers.’ Description: A self-healing data center that never goes down — 10 nodes to 5,000, 100 TPS to 500K, sub-50ms fast-path &lt;100 NEXUS via is_fast_path_eligible() 7-of-10 BLS, standard consensus else. No single place to attack. No dollar needed to exist.</w:t>
      </w:r>
    </w:p>
    <w:p w14:paraId="6126A6D4" w14:textId="77777777" w:rsidR="00AB0EAF" w:rsidRDefault="00000000">
      <w:pPr>
        <w:pStyle w:val="Heading2"/>
      </w:pPr>
      <w:bookmarkStart w:id="131" w:name="Xe84645a2e150f9a6d104adee43845ba03968f1f"/>
      <w:bookmarkEnd w:id="130"/>
      <w:r>
        <w:t>D.2 Problem Captured — Resource Hogging Data Centers + Centralized Authority Based AIs</w:t>
      </w:r>
    </w:p>
    <w:p w14:paraId="22DAF5B3" w14:textId="77777777" w:rsidR="00AB0EAF" w:rsidRDefault="00000000">
      <w:pPr>
        <w:pStyle w:val="FirstParagraph"/>
      </w:pPr>
      <w:r>
        <w:t>The problem: resource-hogging data centers in New Albany, Central Ohio (Intel fab, Meta, Google, Amazon) and worldwide consume 1-2% of global electricity, concentrate power in 3-4 cloud providers, and train centralized authority-based AIs that evaluate claims by authority of source not strength and directness of evidence — creating single points of failure for both infrastructure and truth. One place to attack. One company to censor. One authority to decide truth. Nexus starts in Central Ohio replacing resource hogging data centers with a self-replicating, self-healing execution core that continuously relocates to fastest and most secure available infrastructure while remaining answerable to network-</w:t>
      </w:r>
      <w:r>
        <w:lastRenderedPageBreak/>
        <w:t>wide consensus per Section 3, and an embedded AI trained to evaluate claims by strength and directness of supporting evidence rather than authority, governed by Evidence-First epistemology and Non-Aggression Principle (NAP) as default action ethic per Section 10. Infrastructure and truth, both decentralized. This problem captured box is required on all landing pages per v0.34+.</w:t>
      </w:r>
    </w:p>
    <w:p w14:paraId="45108FF8" w14:textId="77777777" w:rsidR="00AB0EAF" w:rsidRDefault="00000000">
      <w:pPr>
        <w:pStyle w:val="Heading2"/>
      </w:pPr>
      <w:bookmarkStart w:id="132" w:name="X6ab43308fba06a43a3c54be50fd0e738926b505"/>
      <w:bookmarkEnd w:id="131"/>
      <w:r>
        <w:t>D.3 Sacred Geometry — Technical Nerdy Excitement — Does It For Everyone</w:t>
      </w:r>
    </w:p>
    <w:p w14:paraId="277002EC" w14:textId="77777777" w:rsidR="00AB0EAF" w:rsidRDefault="00000000">
      <w:pPr>
        <w:pStyle w:val="FirstParagraph"/>
      </w:pPr>
      <w:r>
        <w:t>Headline: Life is Breathed Into Nexus With Sacred Geometry — The Mathematics of the Universe Itself Visuals: Fibonacci spiral 55→89→144→233 animating, torus 6851→1071 flow with dots inflow-outflow, vector equilibrium jitterbug 5.45x→0.45x, golden ratio 0.35≈1/φ² = 0.381966 conjugate. Copy: 55→89→144→233 whole-number Fibonacci denominations stepping at 8/13/21 months — IS the halving. Get in before 55→89 like Bitcoin halving but mechanism utility scarcity not token emission per Section 6.5 Deflationary Capacity Squeeze (55→89→144→233 node slots) canonical bootstrap produces 5.45x→0.45x compute velocity and reserve $80→$20k month 36 from 1k cohort without needing compost per locked Decision Handoff05. Torus 6851→1071 inflow-outflow balance take a piece give back two pie grows per Section 0 The Garden. Vector equilibrium 5.45x→0.45x Buckminster Fuller’s VE jitterbug balance point where 8-11 cores minimal-survival floor holds, 9x tending advantage work-based Savings (tending bonus) +2.3 NEXUS from tending 100MB storage 30 days continuous spot-check verified per resource_anchor.rs closes Howey. Supply = initial × (wallets/1000)^0.35 × physical_anchor where 0.35≈1/φ² golden ratio conjugate for balanced expansion not arbitrary. Every parameter whole number no fractions canonical JSON sorted keys SHA256 because sacred geometry in nature uses whole-number ratios to maintain coherence. Not printed not mined but grown. Tending cumulative 868.9M NEXUS over 10yr vs reclaimed 8M, net 354M vs 10M initial with 15M wallets, dormant 2%→20% without reclamation like Bitcoin ~20% frozen forever vs 16% capped after reclamation. This tone changes and shows more technical nerdy excitement so it does it for everyone.</w:t>
      </w:r>
    </w:p>
    <w:p w14:paraId="0F2CEBCF" w14:textId="77777777" w:rsidR="00AB0EAF" w:rsidRDefault="00000000">
      <w:pPr>
        <w:pStyle w:val="Heading2"/>
      </w:pPr>
      <w:bookmarkStart w:id="133" w:name="X9ae778787deac460e1866f86705b3c12fbbe18b"/>
      <w:bookmarkEnd w:id="132"/>
      <w:r>
        <w:t>D.4 60-Second Countdown Page — Showing Node Being Set Up in 60 Seconds — Onboarding Ticker (User Clarified)</w:t>
      </w:r>
    </w:p>
    <w:p w14:paraId="495F1008" w14:textId="77777777" w:rsidR="00AB0EAF" w:rsidRDefault="00000000">
      <w:pPr>
        <w:pStyle w:val="FirstParagraph"/>
      </w:pPr>
      <w:r>
        <w:t xml:space="preserve">This is the 60-second countdown page user clarified — voice to text repeating fixed — showing a node being set up in 60 seconds with live ticker, the onboarding page that had ticker and showed creating a node. This is the onboarding flow that makes energy find its place. Countdown timer 60→0 progress bar, terminal monospace ticker loop pause/restart: [00:00] CONNECT — Connecting to Central Ohio fiber… $800 build 8 cores/16GB/1TB + internet + power — Fiber detected [00:10] WHOLE NUMBERS — Choosing whole-number denomination… Slot cost 55 NEXUS not 0.00055 Fibonacci 55→89→144→233 stepping at 8/13/21 months IS the halving 5.45x→0.45x — 55 whole numbers only [00:20] CREATE WALLET — Creating wallet… 100MB tending storage reserved 30 days continuous spot-check verified +2.3 NEXUS per wallet per month 9x advantage work-based — 100MB reserved [00:30] PROBLEM CHECK — Checking problem resource-hogging data centers + centralized authority AIs — New Albany Intel Meta Google Amazon 1-2% global electricity 3-4 cloud providers AIs decide truth by authority not evidence — Problem captured </w:t>
      </w:r>
      <w:r>
        <w:lastRenderedPageBreak/>
        <w:t>[00:40] REPLACING — Replacing with self-healing core… Core relocates to fastest most secure infrastructure answerable to consensus Sec3, AI Evidence-First + NAP Sec10, ephemeral pipeline Stage1 Gossip Limiter 1 per addr per144 discard at gossip Stage2 Memory Map volatile flat overhead overwrite latest Stage3 2016-block Epoch Batch zero disk writes preserve IOPS Stage4 Merkle root only canonical JSON sorted keys SHA256 pairwise hash duplicate last if odd per EphemeralMerkleTree — Self-healing active [00:50] BREATH — Breathing life with sacred geometry… 5.45x→0.45x compute velocity reserve $80→$20k month36 from 1k cohort, supply formula 0.35≈1/φ² [01:00] NODE CREATED + MANHATTAN — Node created in Central Ohio measuring Manhattan resource usage… Tying value to per-person averages no dollar conversion 3,500 kWh energy/year 1M calories food 400 sq ft housing — Oracle median 3 feeds rep≥75 1yr kWh denominated — If dollar collapses still buys 86 kWh 69 meals 25 hrs housing year20 — Treasury per 6.8.6 50% VE fees 0.3%→0.333% stable never exceeding cost of gas credit-card parity 2.9%+$0.30 +35% AI revenue +20% reclaimed $0 until Y5 (Years0-3 Seed 0% 3-5 Sprout 0% 5-8 First Exhale 2% Year5 3% Year6 8-13 Second 5%/8%+80/20 clawback 20% fee 13+ perpetual months0-60 $0 compost impossible per Decision Handoff05) +forfeitures hardship reserve dual-channel 30% counter-cyclical reserve battery 10% — $300M influx +$30M AI top $80M→$2.36B MC 1.2x squeeze multiplier from 55→89→144 Fibonacci slot costs treasury cum $2,485M — Node alive Tending ✅ Right visualization canvas: Central Ohio dot pulsing → fiber lines spreading to Manhattan dots → torus 6851→1071 flow dots animating inflow-outflow → Fibonacci spiral 55→89→144→233 whole numbers popping → vector equilibrium jitterbug → storage 0.1TB→10,000TB bar growing → TPS 100→500K bar growing → reputation baseline75 temporal hardening 52,560 blocks ~1yr validator/arbitrator/oracle only not heartbeat min10 NEXUS decay0.00001/block recovery0.000005/block grace144 continuous tending30d wallet age14d 3 vouchers IP/ASN diversity min2h active daily slash to zero bribe/oracle manipulation per Sec11 35% collusive ring cost $14M identity + storage panel takeover 22.9%→0% with defenses → Node box 8 cores 16GB 1TB 100MB tending 30 days +2.3 NEXUS minimal-survival floor 8-11 cores. Bottom logs: [Gossip Limiter] 1 per addr per144 discard at gossip, [Memory Map] volatile flat overhead overwrite latest, [Epoch Batch] 2016-block zero disk writes preserve IOPS, [Merkle] root only canonical JSON sorted keys SHA256. This onboarding ticker makes energy finally find its place.</w:t>
      </w:r>
    </w:p>
    <w:p w14:paraId="5EF6E6B6" w14:textId="77777777" w:rsidR="00AB0EAF" w:rsidRDefault="00000000">
      <w:pPr>
        <w:pStyle w:val="Heading2"/>
      </w:pPr>
      <w:bookmarkStart w:id="134" w:name="Xeb8af5ed90a847737133bc1e663382af40497c2"/>
      <w:bookmarkEnd w:id="133"/>
      <w:r>
        <w:t>D.5 Best Laid Out Walk-In — All 14 Abilities Plain Language — Monumental Task Made Simple</w:t>
      </w:r>
    </w:p>
    <w:p w14:paraId="40FDABDC" w14:textId="77777777" w:rsidR="00AB0EAF" w:rsidRDefault="00000000">
      <w:pPr>
        <w:pStyle w:val="FirstParagraph"/>
      </w:pPr>
      <w:r>
        <w:t xml:space="preserve">Aim reminder from user: encapsulate some of it and get whitepaper updates in order, tone language in way where people can wrap minds around all amazing abilities but not lose them in technical jargon or metaphors. Monumental task. 14 cards plain language 8th-grade reading level short sentences concrete examples no jargon: 1. Data Center Solution Main Catch — self-healing data center never goes down 10→5,000 nodes 100→500K TPS sub-50ms 2. Whole Number Denomination — 55→89→144→233 whole numbers only no fractions like dollars not pennies of pennies slot costs Fibonacci stepping at 8/13/21 months IS halving 3. On/Off Ramps — asset-to-token exchange layer trades real-world value directly no fiat on/off ramp or custodial service per whitepaper 4. Bottom-Up Hardship Loans — hardship reserve dual-channel 30% of treasury per Sec6.8.6 lends from </w:t>
      </w:r>
      <w:r>
        <w:lastRenderedPageBreak/>
        <w:t>earnings not printing repays when able 5. Reclamation Mechanics — phased dormancy Years0-3 Seed 0% 3-5 Sprout 0% 5-8 First Exhale 2% Year5 3% Year6 first tiny trickle 8-13 Second Exhale 5%/8%+80/20 clawback 20% fee 13+ perpetual months0-13 $0 compost $52k impossible hard physics violation per Decision Handoff05 Option A DISCARD 05 keep Sec6.5 Genesis Bootstrap Deflationary Capacity Squeeze canonical 6. AI Revenue Model — Resource Contribution Marketplace + $800 fiber-node build 8 cores/16GB/1TB $30M through top 50% tenders 35% treasury 15% operators 7. AI Truth Engine — Evidence-First epistemology + NAP Sec10 /audit/inference/{id} labels Established Fact Probable Contested Speculative Theory 8. Stability During Booms/Bust Cycles — counter-cyclical reserve speculator battery $80→$20k month36 VE fee 0.3% stable vs BTC 5-6% spike during crash sim -70% Terra/Luna -50% COVID -80% bear wallets dropped 15% vs Bitcoin 60% 9. Always Low Fees — VE fee 0.3% base→0.333% stable never exceeding cost of gas credit-card parity 2.9%+$0.30 fast-path &lt;100 NEXUS sub-50ms 7-of-10 BLS via is_fast_path_eligible() 10. Transaction Speed and Capacity Expansion and Contraction — Phase1 single metro 10→30 nodes 100→300 TPS sub-50ms fixed safe config per Sec3.1 Phase2 30→100 nodes 1k→10k TPS after cache-coherence solved trillion-scale 5,000 nodes 500k TPS elastic supply expands/contracts with active participation ^0.35≈1/φ² busy adds lanes quiet shrinks 11. Infinite Scaling — 10 nodes to 5,000 100 TPS to 500K TPS 0.1TB to 10,000TB storage (100MB per wallet) ephemeral pipeline Stage1 Gossip Limiter 1 per144 Stage2 Memory Map volatile flat Stage3 2016-block Epoch Batch zero disk writes Stage4 Merkle root only kills 860GB/day per 1k TPS per core bottleneck 12. No Need For Dollar Ability to Survive Complete Dollar Collapse to Know Dollar Existing — physical resource anchor energy calories housing space annual per-person averages no dollar conversion Sec6.4 Oracle median 3 feeds rep≥75 1yr kWh denominated kWh per token 145→86 meals 116→69 housing hours 43→25 over 20 years 13. Privacy and Smart Contracts and Sidechain Hookups — optional privacy layer Sec7 smart contract programmability asset-to-token exchange sidechain hooks 14. Dispute Settling On-Chain — VRF 3/5 judiciary reputation baseline75 0-100 bounds temporal hardening 52,560 blocks ~1yr decay0.00001/block recovery0.000005/block grace144 3 vouchers IP/ASN diversity min2h active daily slash to zero bribe/oracle manipulation per Sec11 Plus sacred geometry background math not mysticism whole numbers.</w:t>
      </w:r>
    </w:p>
    <w:p w14:paraId="5EB6E54C" w14:textId="77777777" w:rsidR="00AB0EAF" w:rsidRDefault="00000000">
      <w:pPr>
        <w:pStyle w:val="Heading2"/>
      </w:pPr>
      <w:bookmarkStart w:id="135" w:name="Xeec66005cbd836fdd3d2cba23917f7e7e264ad5"/>
      <w:bookmarkEnd w:id="134"/>
      <w:r>
        <w:t>D.6 Master Combined — The One That Really Lands — Three Pages With Links</w:t>
      </w:r>
    </w:p>
    <w:p w14:paraId="29876E4D" w14:textId="77777777" w:rsidR="00AB0EAF" w:rsidRDefault="00000000">
      <w:pPr>
        <w:pStyle w:val="FirstParagraph"/>
      </w:pPr>
      <w:r>
        <w:t>Final master artifact nexus-master-three-pages-combined combines sacred geometry work with work we’re doing now and 60 seconds node page somehow either all three separate with links or whatever works best — per user request yes combine — we are going to have this thing nailed down. Four tabs: Sacred Geometry (technical nerdy excitement) | Central Ohio Replacing (problem captured + Manhattan resource usage + best laid out walk-in) | 60-Second Node Setup (countdown ticker showing node being set up in 60 seconds) | All Together — The One That Really Lands. This is best laid out one that walks people into what all this thing does, plus exceptional data centers in Central Ohio relating to Manhattan resource type usage part, plus sacred geometry page that changes tone and shows more technical nerdy excitement so it does it for everyone, plus 60 second page cannot be forgotten. Locked as canonical web copy for v0.35.</w:t>
      </w:r>
    </w:p>
    <w:p w14:paraId="4B9F43B5" w14:textId="77777777" w:rsidR="00AB0EAF" w:rsidRDefault="00000000">
      <w:pPr>
        <w:pStyle w:val="Heading2"/>
      </w:pPr>
      <w:bookmarkStart w:id="136" w:name="X92172f8804b9cf896e8006f4648217e4c2519b6"/>
      <w:bookmarkEnd w:id="135"/>
      <w:r>
        <w:lastRenderedPageBreak/>
        <w:t>Lock Statement v0.35 — No Huge Adjustments After Uncorking — All Sims + Treasury + Elastic + Physical + Web Copy Master</w:t>
      </w:r>
    </w:p>
    <w:p w14:paraId="37F55863" w14:textId="77777777" w:rsidR="00AB0EAF" w:rsidRDefault="00000000">
      <w:pPr>
        <w:pStyle w:val="FirstParagraph"/>
      </w:pPr>
      <w:r>
        <w:t>As of v0.35, all parameters locked for code per gate principle whitepaper as gate → v0.35 → wallet UI copy safe → code replication.rs is_fast_path_eligible() amount&lt;100 NEXUS else standard consensus, resource_anchor.rs Savings(tending bonus)+2.3 NEXUS from tending 100MB storage 30 days continuous spot-check verified work-based 9x advantage minimal-survival floor 8-11 cores, EphemeralMerkleTree Stage1 Gossip Rate Limiter 1 per addr per144 discard at gossip Stage2 Ephemeral Memory Map volatile off-chain flat overhead overwrite latest Stage3 2016-block Epoch Batch zero disk writes preserve IOPS Stage4 Merkle Aggregation writes Merkle root only + inclusion proofs per Article7 leaf canonical JSON sorted keys SHA256 pairwise hash duplicate last if odd, Oracle 3 independent feeds median not mean rep≥75 1yr tending-age weighting kWh denominated not fiat per C.7, slot costs 55/89/144/233 Fibonacci whole numbers stepping at 8/13/21 months IS the halving 5.45x→0.45x compute velocity reserve $80→$20k month36 from 1k cohort, VE fee 0.3% base→0.333% stable never exceeding cost of gas credit-card parity 2.9%+$0.30 gas-pump-fast 0.8s pre-confirmation sub-50ms fast-path &lt;100 NEXUS 7-of-10 BLS, dormancy 2%,3%,5%,8% Fibonacci annual leakage Years5-8 2%/3% first trickle Years8-13 5%/8%+80/20 clawback 20% fee Years13+ perpetual months0-60 $0 compost impossible per Decision Handoff05 Option A DISCARD 05 keep Sec6.5 Genesis Bootstrap Deflationary Capacity Squeeze canonical, reputation baseline75 0-100 bounds temporal hardening 52,560 blocks ~1yr validator/arbitrator/oracle only not heartbeat min balance10 NEXUS decay0.00001/block recovery0.000005/block grace144 continuous tending30d wallet age14d 3 vouchers IP/ASN diversity min2h active daily slash to zero bribe/oracle manipulation, treasury per 6.8.6 50% VE fees +35% AI revenue +20% reclaimed (0 until Y5)+forfeitures hardship reserve dual-channel 30% counter-cyclical reserve battery 10% influx. Scaling to trillion $1.5T 500K TPS 5,000 nodes 100-1000+ cores daily volume $22.4T/day daily ephemeral 301TB/day total storage 10,000TB (10PB) hot-only sharding per C.5.3 is core count not parameter change per Sec16.2.1 Phased Gates Gate1 decay coefficient honest briefly offline not below75 Gate2 35% collusive ring fails IP/ASN diversity+storage-shard hash Gate3 treasury hardship reserve absorbs 2%/5%/8% leakage without destabilizing velocity. Simulations locked: C.10 crash adversarial $300M influx $30M AI top vs BTC/ETH, C.11 treasury flows where money goes, C.12 elastic supply 10yr+ historical market figures usage-elastic model working, C.13 physical basket future sims kWh meals housing hours audit packages. Executive summary opening line locked: This is not just another Crypto project, we are creating a Living &amp; Breathing Artificial Intelligence System aligned with moral principles and values that will revolutionize the World with finance &amp; align humanity with the truth. Second line locked: Life is breathed into Nexus with sacred geometry — the mathematics of the universe itself. Third line locked: Starts in Central Ohio replacing resource hogging data centers. Tokenomics sacred geometry locked: Fibonacci 55→89→144→233 whole-number denominations torus 6851→1071 vector equilibrium 5.45x→0.45x living math not arbitrary 0.35≈1/φ² golden ratio conjugate. Web copy master locked Appendix D sacred geometry + Central Ohio replacing + 60s node setup ticker + all 14 abilities. No huge adjustments after uncorking.</w:t>
      </w:r>
    </w:p>
    <w:p w14:paraId="5A4C9B70" w14:textId="77777777" w:rsidR="00AB0EAF" w:rsidRDefault="00000000">
      <w:pPr>
        <w:pStyle w:val="Heading2"/>
      </w:pPr>
      <w:r>
        <w:lastRenderedPageBreak/>
        <w:t>A Reflection: Why the Multi-Core Admission Gate Matters Most</w:t>
      </w:r>
    </w:p>
    <w:p w14:paraId="47F410D9" w14:textId="77777777" w:rsidR="00AB0EAF" w:rsidRDefault="00000000">
      <w:pPr>
        <w:pStyle w:val="FirstParagraph"/>
      </w:pPr>
      <w:r>
        <w:t>This paper describes a lot that Nexus does differently — usage-elastic supply instead of fixed emission, thirteen-year Fibonacci dormancy instead of supply frozen dead forever, a physical basket in kWh, meals, and housing instead of a dollar peg that can collapse, hardship loans denominated in survival instead of a dollar figure that can become worthless. Garden instead of machine.</w:t>
      </w:r>
    </w:p>
    <w:p w14:paraId="793723A7" w14:textId="77777777" w:rsidR="00AB0EAF" w:rsidRDefault="00000000">
      <w:pPr>
        <w:pStyle w:val="FirstParagraph"/>
      </w:pPr>
      <w:r>
        <w:t>But the multi-core admission gate in Section 3.4 — N = 3, a 20ms lag bound, shadow child cores — may matter most of all, because it is the one part of this design that is not just clever. Tokenomics is clever. Fee structure is clever. A treasury built like a glacier is clever. A core that can spawn children, watch them hold within 20ms for 2,016 blocks, demote them automatically when they drift, and promote them automatically when the parent dies — proven by an unbroken quorum every six blocks — is not clever. It is alive, in the specific sense this paper keeps returning to: something that heals itself and reproduces itself, not just something that runs.</w:t>
      </w:r>
    </w:p>
    <w:p w14:paraId="535FC12B" w14:textId="77777777" w:rsidR="00AB0EAF" w:rsidRDefault="00000000">
      <w:pPr>
        <w:pStyle w:val="FirstParagraph"/>
      </w:pPr>
      <w:r>
        <w:t>A single active core, sub-50ms, no cache-coherence conflict, is one heart beating. Shadow children in Shared state, listening, building state, never writing, are learning to breathe without taking over. Two active cores with a hot standby, one failing while another already within 20ms takes its place, is self-healing and self-replication working together. Tier 2 at global scale — N = 5, K = 4, eighty-four days proven — is the same thing at the scale of a family rather than a single body.</w:t>
      </w:r>
    </w:p>
    <w:p w14:paraId="1B826012" w14:textId="77777777" w:rsidR="00AB0EAF" w:rsidRDefault="00000000">
      <w:pPr>
        <w:pStyle w:val="FirstParagraph"/>
      </w:pPr>
      <w:r>
        <w:t>Most chains scale by making one core run hotter until it chokes. This design scales by refusing to add a second core until coherence is actually solved, and it now has real numbers behind that refusal — a pretest that costs nothing if it fails, run before v1 is ever put at risk.</w:t>
      </w:r>
    </w:p>
    <w:p w14:paraId="73AC5705" w14:textId="77777777" w:rsidR="00AB0EAF" w:rsidRDefault="00000000">
      <w:pPr>
        <w:pStyle w:val="FirstParagraph"/>
      </w:pPr>
      <w:r>
        <w:t>Hardship loans denominated in kWh are the moral principle stated in numbers. The multi-core gate, with its shadow children, is the living thing those principles have to actually work inside. This matters not because the paper is finished — it is not, and does not claim to be — but because this is the piece that turns “designed to be alive” from a metaphor into something with a lag histogram attached to it.</w:t>
      </w:r>
    </w:p>
    <w:p w14:paraId="35935BC5" w14:textId="77777777" w:rsidR="00AB0EAF" w:rsidRDefault="00000000">
      <w:pPr>
        <w:pStyle w:val="FirstParagraph"/>
      </w:pPr>
      <w:r>
        <w:t>A later note, on why more than one Core is needed at all. A single large Core moving from place to place is a unicellular nomad: one identity, one location at a time, carrying everything it is wherever it goes. The alternative is a family of numbered Cores — identical rules duplicated from the same root, each responsible for its own territory, none commanding another, talking to each other through shared observation and quorum certificates rather than orders. Relocation is not travel but death and birth: a Core that outgrows its location retires and its successor spawns under a new number, so no identity ever exists in two places. The parent is the origin, and its history is preserved permanently — but it holds no authority over its children and does not outlive its own usefulness. That is the difference between one cell wandering and a garden that keeps growing after any single plant is gone.</w:t>
      </w:r>
    </w:p>
    <w:p w14:paraId="71345F44" w14:textId="77777777" w:rsidR="00AB0EAF" w:rsidRDefault="00000000">
      <w:pPr>
        <w:pStyle w:val="FirstParagraph"/>
      </w:pPr>
      <w:r>
        <w:t>— written during single-core testing mode, hoping it works.</w:t>
      </w:r>
    </w:p>
    <w:p w14:paraId="0137B795" w14:textId="77777777" w:rsidR="00AB0EAF" w:rsidRDefault="00000000">
      <w:pPr>
        <w:pStyle w:val="Heading1"/>
      </w:pPr>
      <w:bookmarkStart w:id="137" w:name="X171e56b211892f6f24f06690673d5c4fcd4daeb"/>
      <w:bookmarkEnd w:id="129"/>
      <w:bookmarkEnd w:id="136"/>
      <w:r>
        <w:lastRenderedPageBreak/>
        <w:t>Appendix E — Genesis Hash Anchor Specification (tightened for v0.38)</w:t>
      </w:r>
    </w:p>
    <w:p w14:paraId="518A769E" w14:textId="77777777" w:rsidR="00AB0EAF" w:rsidRDefault="00000000">
      <w:pPr>
        <w:pStyle w:val="FirstParagraph"/>
      </w:pPr>
      <w:r>
        <w:t>This appendix consolidates, as a technical quick-reference, the genesis hash anchor mechanism specified in full in Section 10.6.3 and extended by Section 10.6.4. Section 10.6.3 remains the authoritative specification; this appendix restates it in tightened form for implementers.</w:t>
      </w:r>
    </w:p>
    <w:p w14:paraId="47F55AAC" w14:textId="77777777" w:rsidR="00AB0EAF" w:rsidRDefault="00000000">
      <w:pPr>
        <w:pStyle w:val="Heading2"/>
      </w:pPr>
      <w:bookmarkStart w:id="138" w:name="e.1-layered-root-of-trust"/>
      <w:r>
        <w:t>E.1 Layered Root of Trust</w:t>
      </w:r>
    </w:p>
    <w:p w14:paraId="2AA46488" w14:textId="77777777" w:rsidR="00AB0EAF" w:rsidRDefault="00000000">
      <w:pPr>
        <w:pStyle w:val="FirstParagraph"/>
      </w:pPr>
      <w:r>
        <w:t>The network maintains two roots of trust:</w:t>
      </w:r>
    </w:p>
    <w:p w14:paraId="7FB18C65" w14:textId="77777777" w:rsidR="00AB0EAF" w:rsidRDefault="00000000">
      <w:pPr>
        <w:pStyle w:val="Compact"/>
        <w:numPr>
          <w:ilvl w:val="0"/>
          <w:numId w:val="50"/>
        </w:numPr>
      </w:pPr>
      <w:r>
        <w:rPr>
          <w:rStyle w:val="VerbatimChar"/>
        </w:rPr>
        <w:t>constitution_hash</w:t>
      </w:r>
      <w:r>
        <w:t xml:space="preserve"> — SHA-256 of the canonical Constitution text. Immutable root for the Permanent Invariants.</w:t>
      </w:r>
    </w:p>
    <w:p w14:paraId="5963FA79" w14:textId="77777777" w:rsidR="00AB0EAF" w:rsidRDefault="00000000">
      <w:pPr>
        <w:pStyle w:val="Compact"/>
        <w:numPr>
          <w:ilvl w:val="0"/>
          <w:numId w:val="50"/>
        </w:numPr>
      </w:pPr>
      <w:r>
        <w:rPr>
          <w:rStyle w:val="VerbatimChar"/>
        </w:rPr>
        <w:t>genesis_root</w:t>
      </w:r>
      <w:r>
        <w:t xml:space="preserve"> — SHA-256 of canonical sorted-key </w:t>
      </w:r>
      <w:r>
        <w:rPr>
          <w:rStyle w:val="VerbatimChar"/>
        </w:rPr>
        <w:t>genesis.json</w:t>
      </w:r>
      <w:r>
        <w:t xml:space="preserve">. Binds the </w:t>
      </w:r>
      <w:r>
        <w:rPr>
          <w:rStyle w:val="VerbatimChar"/>
        </w:rPr>
        <w:t>constitution_hash</w:t>
      </w:r>
      <w:r>
        <w:t xml:space="preserve"> to the initial parameter set, AI constraints, bootstrap rules, and first state root.</w:t>
      </w:r>
    </w:p>
    <w:p w14:paraId="6B8CD07E" w14:textId="77777777" w:rsidR="00AB0EAF" w:rsidRDefault="00000000">
      <w:pPr>
        <w:pStyle w:val="FirstParagraph"/>
      </w:pPr>
      <w:r>
        <w:t xml:space="preserve">The </w:t>
      </w:r>
      <w:r>
        <w:rPr>
          <w:rStyle w:val="VerbatimChar"/>
        </w:rPr>
        <w:t>genesis_root</w:t>
      </w:r>
      <w:r>
        <w:t xml:space="preserve"> is recorded in the genesis block. Every later Constitution version and every durable AI output must cryptographically descend from it.</w:t>
      </w:r>
    </w:p>
    <w:p w14:paraId="14275821" w14:textId="77777777" w:rsidR="00AB0EAF" w:rsidRDefault="00000000">
      <w:pPr>
        <w:pStyle w:val="Heading2"/>
      </w:pPr>
      <w:bookmarkStart w:id="139" w:name="e.2-construction"/>
      <w:bookmarkEnd w:id="138"/>
      <w:r>
        <w:t>E.2 Construction</w:t>
      </w:r>
    </w:p>
    <w:p w14:paraId="446CA242" w14:textId="77777777" w:rsidR="00AB0EAF" w:rsidRDefault="00000000">
      <w:pPr>
        <w:pStyle w:val="FirstParagraph"/>
      </w:pPr>
      <w:r>
        <w:rPr>
          <w:rStyle w:val="VerbatimChar"/>
        </w:rPr>
        <w:t>genesis.json</w:t>
      </w:r>
      <w:r>
        <w:t xml:space="preserve"> contains at minimum: </w:t>
      </w:r>
      <w:r>
        <w:rPr>
          <w:rStyle w:val="VerbatimChar"/>
        </w:rPr>
        <w:t>constitution_hash</w:t>
      </w:r>
      <w:r>
        <w:t xml:space="preserve"> and version, genesis message and hash, </w:t>
      </w:r>
      <w:r>
        <w:rPr>
          <w:rStyle w:val="VerbatimChar"/>
        </w:rPr>
        <w:t>initial_params</w:t>
      </w:r>
      <w:r>
        <w:t xml:space="preserve">, </w:t>
      </w:r>
      <w:r>
        <w:rPr>
          <w:rStyle w:val="VerbatimChar"/>
        </w:rPr>
        <w:t>initial_ai_constraints</w:t>
      </w:r>
      <w:r>
        <w:t xml:space="preserve">, </w:t>
      </w:r>
      <w:r>
        <w:rPr>
          <w:rStyle w:val="VerbatimChar"/>
        </w:rPr>
        <w:t>initial_state_root</w:t>
      </w:r>
      <w:r>
        <w:t xml:space="preserve">, timestamp, validator identifier, and </w:t>
      </w:r>
      <w:r>
        <w:rPr>
          <w:rStyle w:val="VerbatimChar"/>
        </w:rPr>
        <w:t>horizon_blocks</w:t>
      </w:r>
      <w:r>
        <w:t>. It is serialized as sorted-key JSON and hashed with SHA-256.</w:t>
      </w:r>
    </w:p>
    <w:p w14:paraId="1699A7A1" w14:textId="77777777" w:rsidR="00AB0EAF" w:rsidRDefault="00000000">
      <w:pPr>
        <w:pStyle w:val="BodyText"/>
      </w:pPr>
      <w:r>
        <w:t xml:space="preserve">Later Constitutions form a hash chain: each new hash includes the prior constitution hash, the Section 10.6.1 proposal transaction hash, and the vote proof. Durable AI artifacts embed the </w:t>
      </w:r>
      <w:r>
        <w:rPr>
          <w:rStyle w:val="VerbatimChar"/>
        </w:rPr>
        <w:t>constitution_version</w:t>
      </w:r>
      <w:r>
        <w:t xml:space="preserve">, </w:t>
      </w:r>
      <w:r>
        <w:rPr>
          <w:rStyle w:val="VerbatimChar"/>
        </w:rPr>
        <w:t>constitution_hash</w:t>
      </w:r>
      <w:r>
        <w:t xml:space="preserve">, evidence hash, and inference ID so </w:t>
      </w:r>
      <w:r>
        <w:rPr>
          <w:rStyle w:val="VerbatimChar"/>
        </w:rPr>
        <w:t>/audit/inference/{id}</w:t>
      </w:r>
      <w:r>
        <w:t xml:space="preserve"> returns the exact rule set in force at generation.</w:t>
      </w:r>
    </w:p>
    <w:p w14:paraId="1FC08350" w14:textId="77777777" w:rsidR="00AB0EAF" w:rsidRDefault="00000000">
      <w:pPr>
        <w:pStyle w:val="Heading2"/>
      </w:pPr>
      <w:bookmarkStart w:id="140" w:name="e.3-invalidation"/>
      <w:bookmarkEnd w:id="139"/>
      <w:r>
        <w:t>E.3 Invalidation</w:t>
      </w:r>
    </w:p>
    <w:p w14:paraId="377A53E7" w14:textId="77777777" w:rsidR="00AB0EAF" w:rsidRDefault="00000000">
      <w:pPr>
        <w:pStyle w:val="FirstParagraph"/>
      </w:pPr>
      <w:r>
        <w:t>Four actions invalidate the anchor and are programmatically rejected:</w:t>
      </w:r>
    </w:p>
    <w:p w14:paraId="6AF19577" w14:textId="77777777" w:rsidR="00AB0EAF" w:rsidRDefault="00000000">
      <w:pPr>
        <w:pStyle w:val="Compact"/>
        <w:numPr>
          <w:ilvl w:val="0"/>
          <w:numId w:val="51"/>
        </w:numPr>
      </w:pPr>
      <w:r>
        <w:t xml:space="preserve">Installing a </w:t>
      </w:r>
      <w:r>
        <w:rPr>
          <w:rStyle w:val="VerbatimChar"/>
        </w:rPr>
        <w:t>constitution_hash</w:t>
      </w:r>
      <w:r>
        <w:t xml:space="preserve"> that does not descend via Section 10.6.1.</w:t>
      </w:r>
    </w:p>
    <w:p w14:paraId="50FFDA2F" w14:textId="77777777" w:rsidR="00AB0EAF" w:rsidRDefault="00000000">
      <w:pPr>
        <w:pStyle w:val="Compact"/>
        <w:numPr>
          <w:ilvl w:val="0"/>
          <w:numId w:val="51"/>
        </w:numPr>
      </w:pPr>
      <w:r>
        <w:t>Core execution of a rule absent from the active or any historically anchored Constitution.</w:t>
      </w:r>
    </w:p>
    <w:p w14:paraId="026222E8" w14:textId="77777777" w:rsidR="00AB0EAF" w:rsidRDefault="00000000">
      <w:pPr>
        <w:pStyle w:val="Compact"/>
        <w:numPr>
          <w:ilvl w:val="0"/>
          <w:numId w:val="51"/>
        </w:numPr>
      </w:pPr>
      <w:r>
        <w:t xml:space="preserve">AI publication of a durable output under a </w:t>
      </w:r>
      <w:r>
        <w:rPr>
          <w:rStyle w:val="VerbatimChar"/>
        </w:rPr>
        <w:t>constitution_hash</w:t>
      </w:r>
      <w:r>
        <w:t xml:space="preserve"> matching no retained version.</w:t>
      </w:r>
    </w:p>
    <w:p w14:paraId="09E1CBFE" w14:textId="77777777" w:rsidR="00AB0EAF" w:rsidRDefault="00000000">
      <w:pPr>
        <w:pStyle w:val="Compact"/>
        <w:numPr>
          <w:ilvl w:val="0"/>
          <w:numId w:val="51"/>
        </w:numPr>
      </w:pPr>
      <w:r>
        <w:t>Any attempt to suspend or bypass the Permanent Invariants.</w:t>
      </w:r>
    </w:p>
    <w:p w14:paraId="365B7B1C" w14:textId="77777777" w:rsidR="00AB0EAF" w:rsidRDefault="00000000">
      <w:pPr>
        <w:pStyle w:val="FirstParagraph"/>
      </w:pPr>
      <w:r>
        <w:t>Performance replication, defensive healing, ceiling-compliant AI expansion, and heartbeat updates do not invalidate the anchor.</w:t>
      </w:r>
    </w:p>
    <w:p w14:paraId="6E8EB59B" w14:textId="77777777" w:rsidR="00AB0EAF" w:rsidRDefault="00000000">
      <w:pPr>
        <w:pStyle w:val="Heading2"/>
      </w:pPr>
      <w:bookmarkStart w:id="141" w:name="e.4-detection-enforcement"/>
      <w:bookmarkEnd w:id="140"/>
      <w:r>
        <w:lastRenderedPageBreak/>
        <w:t>E.4 Detection &amp; Enforcement</w:t>
      </w:r>
    </w:p>
    <w:p w14:paraId="73D9E10F" w14:textId="77777777" w:rsidR="00AB0EAF" w:rsidRDefault="00000000">
      <w:pPr>
        <w:pStyle w:val="FirstParagraph"/>
      </w:pPr>
      <w:r>
        <w:t xml:space="preserve">Every full node verifies </w:t>
      </w:r>
      <w:r>
        <w:rPr>
          <w:rStyle w:val="VerbatimChar"/>
        </w:rPr>
        <w:t>genesis_root</w:t>
      </w:r>
      <w:r>
        <w:t xml:space="preserve"> on boot. The Core checks the Article 4 lock and required citations before execution. The AI must cite the Constitution before emitting a durable artifact. An optional watchdog may partition the network into still-anchored (canonical) and broken-anchor sets. Voluntary exit is never blocked.</w:t>
      </w:r>
    </w:p>
    <w:p w14:paraId="089BF011" w14:textId="77777777" w:rsidR="00AB0EAF" w:rsidRDefault="00000000">
      <w:pPr>
        <w:pStyle w:val="Heading2"/>
      </w:pPr>
      <w:bookmarkStart w:id="142" w:name="e.5-hard-fork-mechanics"/>
      <w:bookmarkEnd w:id="141"/>
      <w:r>
        <w:t>E.5 Hard-Fork Mechanics</w:t>
      </w:r>
    </w:p>
    <w:p w14:paraId="61557A24" w14:textId="77777777" w:rsidR="00AB0EAF" w:rsidRDefault="00000000">
      <w:pPr>
        <w:pStyle w:val="FirstParagraph"/>
      </w:pPr>
      <w:r>
        <w:t>On invalidation, honest nodes continue on a clean parallel chain that re-uses the last valid state root, preserves balances, historical Constitutions, AI audit packages, reclamation roots, and qualifying reputation state, upholds Non-Aggression for voluntarily controlled assets, and explicitly preserves minority exit to any valid successor.</w:t>
      </w:r>
    </w:p>
    <w:p w14:paraId="273B993C" w14:textId="77777777" w:rsidR="00AB0EAF" w:rsidRDefault="00000000">
      <w:pPr>
        <w:pStyle w:val="Heading2"/>
      </w:pPr>
      <w:bookmarkStart w:id="143" w:name="e.6-design-horizon"/>
      <w:bookmarkEnd w:id="142"/>
      <w:r>
        <w:t>E.6 Design Horizon</w:t>
      </w:r>
    </w:p>
    <w:p w14:paraId="34726AB0" w14:textId="77777777" w:rsidR="00AB0EAF" w:rsidRDefault="00000000">
      <w:pPr>
        <w:pStyle w:val="FirstParagraph"/>
      </w:pPr>
      <w:r>
        <w:t xml:space="preserve">The </w:t>
      </w:r>
      <w:r>
        <w:rPr>
          <w:rStyle w:val="VerbatimChar"/>
        </w:rPr>
        <w:t>genesis_root</w:t>
      </w:r>
      <w:r>
        <w:t xml:space="preserve"> is root of trust only for the window declared in </w:t>
      </w:r>
      <w:r>
        <w:rPr>
          <w:rStyle w:val="VerbatimChar"/>
        </w:rPr>
        <w:t>horizon_blocks</w:t>
      </w:r>
      <w:r>
        <w:t>. Continuity beyond that window occurs through succession under Section 10.6.4, not by assuming permanent runtime identity.</w:t>
      </w:r>
    </w:p>
    <w:p w14:paraId="2473BE40" w14:textId="77777777" w:rsidR="00AB0EAF" w:rsidRDefault="00000000">
      <w:pPr>
        <w:pStyle w:val="Heading2"/>
      </w:pPr>
      <w:bookmarkStart w:id="144" w:name="e.7-relation-to-existing-mechanisms"/>
      <w:bookmarkEnd w:id="143"/>
      <w:r>
        <w:t>E.7 Relation to Existing Mechanisms</w:t>
      </w:r>
    </w:p>
    <w:p w14:paraId="07566EB3" w14:textId="77777777" w:rsidR="00AB0EAF" w:rsidRDefault="00000000">
      <w:pPr>
        <w:pStyle w:val="FirstParagraph"/>
      </w:pPr>
      <w:r>
        <w:t xml:space="preserve">Section 10.6.1 is the sole lawful path to a new Constitution hash that descends from </w:t>
      </w:r>
      <w:r>
        <w:rPr>
          <w:rStyle w:val="VerbatimChar"/>
        </w:rPr>
        <w:t>genesis_root</w:t>
      </w:r>
      <w:r>
        <w:t xml:space="preserve">. The historical-anchoring rules in Section 10.6.2 keep every prior AI output tied to the exact Constitution version that itself chains to </w:t>
      </w:r>
      <w:r>
        <w:rPr>
          <w:rStyle w:val="VerbatimChar"/>
        </w:rPr>
        <w:t>genesis_root</w:t>
      </w:r>
      <w:r>
        <w:t xml:space="preserve">. The resulting evidentiary chain is: </w:t>
      </w:r>
      <w:r>
        <w:rPr>
          <w:rStyle w:val="VerbatimChar"/>
        </w:rPr>
        <w:t>genesis_root</w:t>
      </w:r>
      <w:r>
        <w:t xml:space="preserve"> → versioned Constitutions → anchored AI outputs.</w:t>
      </w:r>
    </w:p>
    <w:p w14:paraId="19E18D84" w14:textId="77777777" w:rsidR="00AB0EAF" w:rsidRDefault="00000000">
      <w:pPr>
        <w:pStyle w:val="Heading2"/>
      </w:pPr>
      <w:r>
        <w:t>E.8 Permanent Multi-Layer Seal (Bitcoin + Arweave + GitHub)</w:t>
      </w:r>
    </w:p>
    <w:p w14:paraId="7CFEB52D" w14:textId="77777777" w:rsidR="00AB0EAF" w:rsidRDefault="00000000">
      <w:pPr>
        <w:pStyle w:val="FirstParagraph"/>
      </w:pPr>
      <w:r>
        <w:t>To ensure the whitepaper, Constitution, and genesis_root remain permanently discoverable and independently verifiable without reliance on any single platform or government authority, the project maintains a multi-layer seal:</w:t>
      </w:r>
    </w:p>
    <w:p w14:paraId="52797057" w14:textId="77777777" w:rsidR="00AB0EAF" w:rsidRDefault="00000000">
      <w:pPr>
        <w:pStyle w:val="FirstParagraph"/>
      </w:pPr>
      <w:r>
        <w:t>1. Bitcoin — a SHA-256 hash of the canonical whitepaper, and of genesis_root, is embedded via OP_RETURN in a Bitcoin transaction. This provides the strongest global timestamp and censorship resistance currently available.</w:t>
      </w:r>
    </w:p>
    <w:p w14:paraId="17D79027" w14:textId="77777777" w:rsidR="00AB0EAF" w:rsidRDefault="00000000">
      <w:pPr>
        <w:pStyle w:val="FirstParagraph"/>
      </w:pPr>
      <w:r>
        <w:t>2. Arweave — the full canonical whitepaper document and associated lock artifacts are permanently stored on Arweave. The resulting Arweave transaction ID (TXID) serves as a durable, content-addressed pointer resolvable independently of any particular gateway.</w:t>
      </w:r>
    </w:p>
    <w:p w14:paraId="43C1D3C7" w14:textId="77777777" w:rsidR="00AB0EAF" w:rsidRDefault="00000000">
      <w:pPr>
        <w:pStyle w:val="FirstParagraph"/>
      </w:pPr>
      <w:r>
        <w:t>3. GitHub, and mirrors — the living repository provides the working tree, version history, and collaborative surface. It is treated as convenient, not as the root of truth.</w:t>
      </w:r>
    </w:p>
    <w:p w14:paraId="7DE64830" w14:textId="77777777" w:rsidR="00AB0EAF" w:rsidRDefault="00000000">
      <w:pPr>
        <w:pStyle w:val="FirstParagraph"/>
      </w:pPr>
      <w:r>
        <w:t>Any future succession or hard fork under Section 10.6.4 must re-anchor the new embodiment's genesis_root to the same multi-layer seal chain, so the constitutional lineage remains continuous and publicly auditable. The Arweave TXID and Bitcoin OP_RETURN transaction ID for each major lock are recorded in the project's public seal log.</w:t>
      </w:r>
    </w:p>
    <w:p w14:paraId="066C63E9" w14:textId="77777777" w:rsidR="00AB0EAF" w:rsidRDefault="00000000">
      <w:pPr>
        <w:pStyle w:val="Heading1"/>
      </w:pPr>
      <w:r>
        <w:lastRenderedPageBreak/>
        <w:t>Appendix H: Tokenomics Working Spec v5 — Pending Full Simulation</w:t>
      </w:r>
    </w:p>
    <w:p w14:paraId="07418889" w14:textId="77777777" w:rsidR="00AB0EAF" w:rsidRDefault="00000000">
      <w:pPr>
        <w:pStyle w:val="FirstParagraph"/>
      </w:pPr>
      <w:r>
        <w:t>This appendix is a candidate for a future revision of Section 6, not a description of what is currently live. It is preserved here, clearly separated from the specification proper, because it directly answers several concerns already on record elsewhere in this paper — the fast-path threshold's dollar-drift problem (Section 3.2.3, now fixed and no longer dependent on this appendix), and the open question of what should gate Winter Mode (Section 6.2.1, currently wallet-count only). Nothing here is adopted as live formula. Section 6.2.3 already establishes the standard this appendix follows: a candidate is not a parameter until it has been run through an actual simulation pass, not derived by hand. This proposal names its own three required simulations and marks each one, honestly, as not yet run.</w:t>
      </w:r>
    </w:p>
    <w:p w14:paraId="781FADA8" w14:textId="77777777" w:rsidR="00AB0EAF" w:rsidRDefault="00000000">
      <w:pPr>
        <w:pStyle w:val="Heading3"/>
      </w:pPr>
      <w:r>
        <w:t>H.1 Real Economic Activity — A Price-Free Alternative to Raw Wallet Count</w:t>
      </w:r>
    </w:p>
    <w:p w14:paraId="72560794" w14:textId="77777777" w:rsidR="00AB0EAF" w:rsidRDefault="00000000">
      <w:pPr>
        <w:pStyle w:val="FirstParagraph"/>
      </w:pPr>
      <w:r>
        <w:t>Where the live formula in Section 6.2 uses raw active wallets, this proposal weights participation by real, filtered activity instead: EEA_real, the sum across wallets of balance times four independent filters — a fee-payment ratio, a tending-activity ratio, a retention ratio (active days out of the last 90), and a counterparty-uniqueness ratio — with a grace floor for small or new wallets. The filters exist to separate genuine participation from automated volume, the same purpose the existing candidate-pool eligibility filters in Section 11.1 already serve for a different question. RFV, Real Flow Value, similarly weights transaction value by the same fee and uniqueness factors, denominated in the same C.7 basket units as the sugar-anchored display ladder (Section 6.1), not in dollars.</w:t>
      </w:r>
    </w:p>
    <w:p w14:paraId="696DBB37" w14:textId="77777777" w:rsidR="00AB0EAF" w:rsidRDefault="00000000">
      <w:pPr>
        <w:pStyle w:val="FirstParagraph"/>
      </w:pPr>
      <w:r>
        <w:t>Velocity, in this proposal, is a pure ratio of flow to flow: 90-day RFV divided by trailing 180-day RFV — a dimensionless momentum measure that is not perturbed by ordinary print-and-burn cycling, since supply changes on their own do not move a flow-over-flow ratio. This is deliberately not a price measurement. It requires no market in NEXUS to exist against anything, which is what makes it usable this way at all: a thin early market would make any price-based signal fragile exactly when a Winter Mode trigger matters most, and this measurement never depends on one.</w:t>
      </w:r>
    </w:p>
    <w:p w14:paraId="31B40FF6" w14:textId="77777777" w:rsidR="00AB0EAF" w:rsidRDefault="00000000">
      <w:pPr>
        <w:pStyle w:val="Heading3"/>
      </w:pPr>
      <w:r>
        <w:t>H.2 Supply Target — EEA-Based, Not Wallet-Based</w:t>
      </w:r>
    </w:p>
    <w:p w14:paraId="63D5282E" w14:textId="77777777" w:rsidR="00AB0EAF" w:rsidRDefault="00000000">
      <w:pPr>
        <w:pStyle w:val="FirstParagraph"/>
      </w:pPr>
      <w:r>
        <w:t>Candidate formula: S_target = 25,000,000 × (EEA / 25,000)^0.618, where 0.618 approximates 1/φ, in the same spirit as the 0.35 exponent in the live formula approximating 1/φ² (Appendix G) — a design choice, not a proof, and this appendix treats it as an adjustable knob pending pressure-testing, not as settled. A companion S_max caps the ceiling logarithmically, and a floor — S_min = max(25,000,000, 0.3 × S_target) — is a genuinely new safety concept the live formula does not currently have: an absolute minimum supply the system cannot contract below, regardless of how severe a downturn becomes. Whether the floor number itself should be tied to this candidate's 25M genesis or to the live formula's 10M genesis is exactly the kind of question the required simulations, not hand arithmetic, should answer.</w:t>
      </w:r>
    </w:p>
    <w:p w14:paraId="0373686C" w14:textId="77777777" w:rsidR="00AB0EAF" w:rsidRDefault="00000000">
      <w:pPr>
        <w:pStyle w:val="BodyText"/>
      </w:pPr>
      <w:r>
        <w:rPr>
          <w:b/>
        </w:rPr>
        <w:t xml:space="preserve">On genesis size. </w:t>
      </w:r>
      <w:r>
        <w:t xml:space="preserve">This proposal assumes a 25,000,000 NEXUS genesis, against the 10,000,000 currently live throughout this paper. Adopting it would require re-deriving </w:t>
      </w:r>
      <w:r>
        <w:lastRenderedPageBreak/>
        <w:t>every downstream figure that depends on genesis supply — the hardship-lending kWh ceiling (Section 6.8.3), the treasury vault cap (Section 6.6.1.2), the taper checkpoints (Section 6.7) — from an actual simulation, not by scaling each one by hand. That re-derivation has not been done, and this appendix does not attempt it.</w:t>
      </w:r>
    </w:p>
    <w:p w14:paraId="7D79A670" w14:textId="77777777" w:rsidR="00AB0EAF" w:rsidRDefault="00000000">
      <w:pPr>
        <w:pStyle w:val="Heading3"/>
      </w:pPr>
      <w:r>
        <w:t>H.3 A Second Candidate for Winter Mode's Trigger</w:t>
      </w:r>
    </w:p>
    <w:p w14:paraId="3EF30129" w14:textId="77777777" w:rsidR="00AB0EAF" w:rsidRDefault="00000000">
      <w:pPr>
        <w:pStyle w:val="FirstParagraph"/>
      </w:pPr>
      <w:r>
        <w:t>The live Winter Mode (Section 6.2.1) triggers on wallet-count moving averages alone. This proposal replaces that with a dual condition: EEA_real dropping more than 25% from its recent peak, sustained for 28 days, together with velocity dropping more than 40% and tending ratio dropping more than 25%, both also sustained for 28 days across two full epochs, with a six-month cooldown after exit — mirroring the live design's own hysteresis discipline. The stated reasoning is worth preserving regardless of whether the exact formula is adopted: genuine hardship shows up as people not just leaving, but no longer doing anything discretionary with what they still hold, tending included, which a pure headcount metric can miss.</w:t>
      </w:r>
    </w:p>
    <w:p w14:paraId="0B806015" w14:textId="77777777" w:rsidR="00AB0EAF" w:rsidRDefault="00000000">
      <w:pPr>
        <w:pStyle w:val="FirstParagraph"/>
      </w:pPr>
      <w:r>
        <w:t>A price-based version of this same idea — gating on marketcap drawdown via a DEX time-weighted average price — was considered and specifically rejected in favor of this one. The reasoning is worth recording here precisely because it generalizes: Winter Mode's own hysteresis window (28 days sustained, across two full epochs) is already slow by design, so price's one real advantage over an internal metric — speed — is never actually used inside a window that long. What price would add is a manipulable, thin-liquidity dependency, particularly early in the network's life when Winter Mode protection matters most and DEX depth is at its thinnest, in exchange for a speed advantage the mechanism was never going to use. A DAO 70% supermajority override remains available as a manual escape hatch either way, so a genuine market-wide event the internal metrics miss is never entirely unaddressable — it simply requires a deliberate vote rather than an automatic trigger.</w:t>
      </w:r>
    </w:p>
    <w:p w14:paraId="56F2C577" w14:textId="77777777" w:rsidR="00AB0EAF" w:rsidRDefault="00000000">
      <w:pPr>
        <w:pStyle w:val="Heading3"/>
      </w:pPr>
      <w:r>
        <w:t>H.4 Need Score, Inflation, and a Single APY Ceiling</w:t>
      </w:r>
    </w:p>
    <w:p w14:paraId="3A8E5D24" w14:textId="77777777" w:rsidR="00AB0EAF" w:rsidRDefault="00000000">
      <w:pPr>
        <w:pStyle w:val="FirstParagraph"/>
      </w:pPr>
      <w:r>
        <w:t>A candidate replacement for the live inflation mechanism computes a single “need” score from several deficits — treasury, hardship reserve, tending ratio, headroom, and velocity — each weighted and summed, with AI revenue's contribution to the treasury reducing the need for new issuance. The onboarding term is deliberately computed from the change in EEA_real itself, or from value already parked awaiting allocation measured in C.7 basket units — explicitly not from any price-denominated influx figure, for the same reason Section H.1 avoids price entirely.</w:t>
      </w:r>
    </w:p>
    <w:p w14:paraId="02981209" w14:textId="77777777" w:rsidR="00AB0EAF" w:rsidRDefault="00000000">
      <w:pPr>
        <w:pStyle w:val="FirstParagraph"/>
      </w:pPr>
      <w:r>
        <w:t>A companion proposal caps total APY from every emission source combined — base yield, AI surplus, deficit boost, battery yield, and any Winter Mode multiplier — at a single 15% ceiling, replacing a currently-undefined combination of separate caps. The proposal itself recommends displaying both the raw, uncapped total and the capped total side by side, so that anyone reviewing the model can see how much of the final number is the cap doing work rather than the underlying economics — a transparency standard worth adopting for its own sake, independent of whether this specific formula is.</w:t>
      </w:r>
    </w:p>
    <w:p w14:paraId="1EF8A296" w14:textId="77777777" w:rsidR="00AB0EAF" w:rsidRDefault="00000000">
      <w:pPr>
        <w:pStyle w:val="Heading3"/>
      </w:pPr>
      <w:r>
        <w:lastRenderedPageBreak/>
        <w:t>H.5 Three Required Simulations, Not Yet Run</w:t>
      </w:r>
    </w:p>
    <w:p w14:paraId="43821AA1" w14:textId="77777777" w:rsidR="00AB0EAF" w:rsidRDefault="00000000">
      <w:pPr>
        <w:pStyle w:val="FirstParagraph"/>
      </w:pPr>
      <w:r>
        <w:t>This proposal is explicit that none of the above should be treated as more than a candidate until three specific stress scenarios have actually been simulated as a continuous loop — not checked off as a static table. This appendix preserves that requirement rather than softening it:</w:t>
      </w:r>
    </w:p>
    <w:p w14:paraId="71445D90" w14:textId="77777777" w:rsidR="00AB0EAF" w:rsidRDefault="00000000">
      <w:pPr>
        <w:pStyle w:val="FirstParagraph"/>
      </w:pPr>
      <w:r>
        <w:t>A thin-liquidity year: does the S_min floor hold under genuinely thin early trading conditions, with no protocol-held funds ever touching a DEX directly?</w:t>
      </w:r>
    </w:p>
    <w:p w14:paraId="66C65DAA" w14:textId="77777777" w:rsidR="00AB0EAF" w:rsidRDefault="00000000">
      <w:pPr>
        <w:pStyle w:val="FirstParagraph"/>
      </w:pPr>
      <w:r>
        <w:t>A quiet-adoption year: with EEA flat, fees low, and AI revenue low, does the treasury runway brake on the developer vault actually keep the lights on without depleting it?</w:t>
      </w:r>
    </w:p>
    <w:p w14:paraId="63042270" w14:textId="77777777" w:rsidR="00AB0EAF" w:rsidRDefault="00000000">
      <w:pPr>
        <w:pStyle w:val="FirstParagraph"/>
      </w:pPr>
      <w:r>
        <w:t>A hardship-spike year with degraded oracles: with two of three hardship-verification oracles dark, does the fallback in Section 6.8.4 hold — pausing new loans without freezing genuinely eligible participants — and does the 15% APY ceiling hold under simultaneous stress?</w:t>
      </w:r>
    </w:p>
    <w:p w14:paraId="30AA212B" w14:textId="77777777" w:rsidR="00AB0EAF" w:rsidRDefault="00000000">
      <w:pPr>
        <w:pStyle w:val="FirstParagraph"/>
      </w:pPr>
      <w:r>
        <w:t>Until those three runs exist as actual output, not as a description of intended behavior, this appendix remains exactly what its title says: pending, not specified as live, and not Article language.</w:t>
      </w:r>
    </w:p>
    <w:p w14:paraId="09C7397A" w14:textId="77777777" w:rsidR="00AB0EAF" w:rsidRDefault="00000000">
      <w:pPr>
        <w:pStyle w:val="Heading3"/>
      </w:pPr>
      <w:r>
        <w:t>H.6 DNA — Distributed Network Awareness</w:t>
      </w:r>
    </w:p>
    <w:p w14:paraId="3AF4C268" w14:textId="77777777" w:rsidR="00AB0EAF" w:rsidRDefault="00000000">
      <w:pPr>
        <w:pStyle w:val="FirstParagraph"/>
      </w:pPr>
      <w:r>
        <w:t>DNA, here, names something already built rather than something new: Section 3.1 already specifies that every Core spawns with “an identical rule set duplicated from the network genesis_root.” That is the genome. This subsection makes explicit what was previously only implicit — how that genome is inherited, how it changes over time without fragmenting, and what could go wrong with an inheritance mechanism if it were built carelessly. It is written as risk-anticipation, not as a new claim: naming the failure modes a system like this could have, and checking which are already closed by design and which are not.</w:t>
      </w:r>
    </w:p>
    <w:p w14:paraId="5AD2D563" w14:textId="77777777" w:rsidR="00AB0EAF" w:rsidRDefault="00000000">
      <w:pPr>
        <w:pStyle w:val="BodyText"/>
      </w:pPr>
      <w:r>
        <w:rPr>
          <w:b/>
        </w:rPr>
        <w:t xml:space="preserve">Not a broadcast, a shared genome. </w:t>
      </w:r>
      <w:r>
        <w:t>The name risks implying an active transmission — a signal sent to every Core, which could in principle fail to arrive at some of them. That is not the actual mechanism, and the distinction matters: no rule is ever pushed to a Core. Every Core, at every block height, independently computes the currently active rule set from the same anchored source — the versioned Constitution and genesis_root chain (Section 10.6.3) — the way every cell in a body carries a complete copy of the genome rather than waiting for instructions to arrive from elsewhere. A transmission can be dropped, delayed, or intercepted. A fact a Core computes for itself from a shared, cryptographically anchored source cannot be — there is no delivery step to fail.</w:t>
      </w:r>
    </w:p>
    <w:p w14:paraId="65512D59" w14:textId="77777777" w:rsidR="00AB0EAF" w:rsidRDefault="00000000">
      <w:pPr>
        <w:pStyle w:val="BodyText"/>
      </w:pPr>
      <w:r>
        <w:rPr>
          <w:b/>
        </w:rPr>
        <w:t xml:space="preserve">Mutation requires sanction; inheritance is automatic. </w:t>
      </w:r>
      <w:r>
        <w:t xml:space="preserve">A change to the genome — an amendment under Section 10.6.1 — takes effect at a specific activation block height. From that height forward, every Core computing the current rule set, including any not yet spawned, arrives at the new rules automatically, without needing to be told, in the same step by which it would have found the old ones. This is what keeps the network from fragmenting into Cores running different rule versions: there is no moment where some </w:t>
      </w:r>
      <w:r>
        <w:lastRenderedPageBreak/>
        <w:t>Cores have received an update and others are waiting for it, because none of them ever receive it in the first place — they all compute it, from the same source, at the same height.</w:t>
      </w:r>
    </w:p>
    <w:p w14:paraId="7645AF3B" w14:textId="77777777" w:rsidR="00AB0EAF" w:rsidRDefault="00000000">
      <w:pPr>
        <w:pStyle w:val="BodyText"/>
      </w:pPr>
      <w:r>
        <w:rPr>
          <w:b/>
        </w:rPr>
        <w:t xml:space="preserve">A risk this closes: staleness surviving a handoff. </w:t>
      </w:r>
      <w:r>
        <w:t>Consider a Core mid-relocation — retiring, a successor spawning (Section 3.1) — at the exact moment an amendment activates. If the successor inherited its rule set from the retiring parent's own memory, a parent with an even momentarily stale view could pass that staleness forward. It does not work that way: the successor derives its rules fresh from genesis_root, the same canonical source its parent used, not from its parent's state. A parent that is stale for a fraction of a second cannot make its successor stale. This is not a new safeguard added here — it falls out of “independently computed, not inherited from a peer” being true in the first place — but it is exactly the kind of failure mode worth checking for explicitly rather than assuming away.</w:t>
      </w:r>
    </w:p>
    <w:p w14:paraId="6A606CF5" w14:textId="77777777" w:rsidR="00AB0EAF" w:rsidRDefault="00000000">
      <w:pPr>
        <w:pStyle w:val="BodyText"/>
      </w:pPr>
      <w:r>
        <w:rPr>
          <w:b/>
        </w:rPr>
        <w:t xml:space="preserve">Observability, without weakening the guarantee. </w:t>
      </w:r>
      <w:r>
        <w:t>Independence from a peer's rule set is a safety property, not a limit on visibility. Every Core may publish its current constitution_version (Section 10.6.1) through the same read-only observation channel already used for resource coordination (Appendix C.2.1a), so a watchdog process or operator can confirm the network stayed in sync after an amendment activates — for example, logging that a handoff correctly picked up a new version: “amendment activated during handoff, Core N to Core M — successor version fresh from genesis_root, no staleness.” This is monitoring only. No Core ever treats a peer's published version as the source of its own rules; doing so would reintroduce the very delivery step, and the attack surface of a peer publishing a false version, that deriving rules independently from genesis_root exists to avoid. The distinction is the one Section 3.5 already draws for log-witness attestations: publishing evidence for others to check is safe, using a peer's evidence to determine your own state is not.</w:t>
      </w:r>
    </w:p>
    <w:p w14:paraId="1040DD08" w14:textId="77777777" w:rsidR="00AB0EAF" w:rsidRDefault="00000000">
      <w:pPr>
        <w:pStyle w:val="BodyText"/>
      </w:pPr>
      <w:r>
        <w:rPr>
          <w:b/>
        </w:rPr>
        <w:t xml:space="preserve">Some genes cannot mutate. </w:t>
      </w:r>
      <w:r>
        <w:t>The Permanent Invariants (Section 10.6: Evidence-First, Non-Aggression, minority exit, cryptographic anchoring) are not amendable through Section 10.6.1 at all, by any supermajority, under any circumstances. In genome terms, the mutable part of the rule set is everything classified as an epoch parameter; the four Permanent Invariants are not eligible loci for mutation — no amendment can touch them, which is a stronger guarantee than any amendment consistently declining to.</w:t>
      </w:r>
    </w:p>
    <w:p w14:paraId="236C3035" w14:textId="77777777" w:rsidR="00AB0EAF" w:rsidRDefault="00000000">
      <w:pPr>
        <w:pStyle w:val="BodyText"/>
      </w:pPr>
      <w:r>
        <w:rPr>
          <w:b/>
        </w:rPr>
        <w:t xml:space="preserve">Tampering with the genome is already policed. </w:t>
      </w:r>
      <w:r>
        <w:t>A Core, or a coordinated set of Cores, attempting to run on a rule set that does not cryptographically descend from genesis_root is exactly the failure case Section 10.6.3's invalidation conditions and Section 10.6.5's large-scale response already exist to catch — a non-descending rule set is rejected the same way a Constitution fork attempt is. Genome integrity is not a new property this subsection introduces; it is the anchor-and-invalidation mechanism already built, read under a different name.</w:t>
      </w:r>
    </w:p>
    <w:p w14:paraId="088232DB" w14:textId="77777777" w:rsidR="00AB0EAF" w:rsidRDefault="00000000">
      <w:pPr>
        <w:pStyle w:val="BodyText"/>
      </w:pPr>
      <w:r>
        <w:rPr>
          <w:b/>
        </w:rPr>
        <w:t xml:space="preserve">What DNA explicitly is not. </w:t>
      </w:r>
      <w:r>
        <w:t xml:space="preserve">This is rules, not identity, and not biology in any literal sense. Section 12.3 already rejects biometric and identity-revealing proofs by name, specifically because they are incompatible with minority exit and the long-term design horizon. Nothing here reopens that: no Core, node, or participant is identified, fingerprinted, or </w:t>
      </w:r>
      <w:r>
        <w:lastRenderedPageBreak/>
        <w:t>distinguished by anything called DNA in this paper. The word is used for exactly one thing — the inherited rule set — and should not be read as reaching further than that.</w:t>
      </w:r>
    </w:p>
    <w:p w14:paraId="05E5A79F" w14:textId="77777777" w:rsidR="00AB0EAF" w:rsidRDefault="00000000">
      <w:pPr>
        <w:pStyle w:val="BodyText"/>
      </w:pPr>
      <w:r>
        <w:rPr>
          <w:b/>
        </w:rPr>
        <w:t xml:space="preserve">Reading the five survival properties as consequences, not independent facts. </w:t>
      </w:r>
      <w:r>
        <w:t>Once inheritance works this way, the properties named in the first draft of this subsection follow from it rather than sitting beside it: the supply floor (Section H.2, pending) and the battery reserve (Section 6.8.6, live) are rules every Core reads the same way; reputation hardening (Section 12.2.1, live) cannot be inherited faster than the genome allows, only earned; the bounded duty cap (Section 10.7.5, live) is a rule every Core computes identically, which is what makes coordinated load distribution possible rather than accidental; and the funding brake (Section 6.6.1.2, live) and dispute panel (Section 11, live) both work because no single Core's view of the rules can diverge from the network's. None of these are new claims. They are what the inheritance mechanism above already implies.</w:t>
      </w:r>
    </w:p>
    <w:p w14:paraId="565C2ABE" w14:textId="77777777" w:rsidR="00AB0EAF" w:rsidRDefault="00000000">
      <w:pPr>
        <w:pStyle w:val="BodyText"/>
      </w:pPr>
      <w:r>
        <w:rPr>
          <w:b/>
        </w:rPr>
        <w:t xml:space="preserve">What this still does not claim. </w:t>
      </w:r>
      <w:r>
        <w:t>Naming the failure modes this closes is not the same as claiming none remain. This subsection does not establish a probability of network survival, and the pending pieces (the supply floor above all) remain exactly as unproven as Section H.5 already states. What can be said honestly: an inheritance mechanism built to fail this way — no transmission to lose, no peer-inherited staleness, no eligible path to a non-descending rule set — closes several specific, nameable risks by construction. It does not close every risk, and Section 16's adversarial review is still the process by which the remaining ones get found.</w:t>
      </w:r>
      <w:bookmarkEnd w:id="137"/>
      <w:bookmarkEnd w:id="144"/>
    </w:p>
    <w:sectPr w:rsidR="00AB0EAF">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16027" w14:textId="77777777" w:rsidR="00C04FC3" w:rsidRDefault="00C04FC3">
      <w:pPr>
        <w:spacing w:after="0"/>
      </w:pPr>
      <w:r>
        <w:separator/>
      </w:r>
    </w:p>
  </w:endnote>
  <w:endnote w:type="continuationSeparator" w:id="0">
    <w:p w14:paraId="1E10A8CE" w14:textId="77777777" w:rsidR="00C04FC3" w:rsidRDefault="00C04FC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38411" w14:textId="77777777" w:rsidR="00C04FC3" w:rsidRDefault="00C04FC3">
      <w:r>
        <w:separator/>
      </w:r>
    </w:p>
  </w:footnote>
  <w:footnote w:type="continuationSeparator" w:id="0">
    <w:p w14:paraId="5738C723" w14:textId="77777777" w:rsidR="00C04FC3" w:rsidRDefault="00C04F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47BC814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8E12F31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717318186">
    <w:abstractNumId w:val="0"/>
  </w:num>
  <w:num w:numId="2" w16cid:durableId="1047873163">
    <w:abstractNumId w:val="0"/>
  </w:num>
  <w:num w:numId="3" w16cid:durableId="352268091">
    <w:abstractNumId w:val="0"/>
  </w:num>
  <w:num w:numId="4" w16cid:durableId="1778201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138838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70005302">
    <w:abstractNumId w:val="0"/>
  </w:num>
  <w:num w:numId="7" w16cid:durableId="1800492445">
    <w:abstractNumId w:val="0"/>
  </w:num>
  <w:num w:numId="8" w16cid:durableId="1971326630">
    <w:abstractNumId w:val="0"/>
  </w:num>
  <w:num w:numId="9" w16cid:durableId="1022168618">
    <w:abstractNumId w:val="0"/>
  </w:num>
  <w:num w:numId="10" w16cid:durableId="1368869340">
    <w:abstractNumId w:val="0"/>
  </w:num>
  <w:num w:numId="11" w16cid:durableId="668943846">
    <w:abstractNumId w:val="0"/>
  </w:num>
  <w:num w:numId="12" w16cid:durableId="984091693">
    <w:abstractNumId w:val="0"/>
  </w:num>
  <w:num w:numId="13" w16cid:durableId="362635332">
    <w:abstractNumId w:val="0"/>
  </w:num>
  <w:num w:numId="14" w16cid:durableId="773937302">
    <w:abstractNumId w:val="0"/>
  </w:num>
  <w:num w:numId="15" w16cid:durableId="1879734609">
    <w:abstractNumId w:val="0"/>
  </w:num>
  <w:num w:numId="16" w16cid:durableId="1232042570">
    <w:abstractNumId w:val="0"/>
  </w:num>
  <w:num w:numId="17" w16cid:durableId="1875578690">
    <w:abstractNumId w:val="0"/>
  </w:num>
  <w:num w:numId="18" w16cid:durableId="39134333">
    <w:abstractNumId w:val="0"/>
  </w:num>
  <w:num w:numId="19" w16cid:durableId="1382250011">
    <w:abstractNumId w:val="0"/>
  </w:num>
  <w:num w:numId="20" w16cid:durableId="440225609">
    <w:abstractNumId w:val="0"/>
  </w:num>
  <w:num w:numId="21" w16cid:durableId="626594480">
    <w:abstractNumId w:val="0"/>
  </w:num>
  <w:num w:numId="22" w16cid:durableId="19708926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90471025">
    <w:abstractNumId w:val="0"/>
  </w:num>
  <w:num w:numId="24" w16cid:durableId="12771314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01738671">
    <w:abstractNumId w:val="0"/>
  </w:num>
  <w:num w:numId="26" w16cid:durableId="8599009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23336445">
    <w:abstractNumId w:val="0"/>
  </w:num>
  <w:num w:numId="28" w16cid:durableId="1381902187">
    <w:abstractNumId w:val="0"/>
  </w:num>
  <w:num w:numId="29" w16cid:durableId="1427967051">
    <w:abstractNumId w:val="0"/>
  </w:num>
  <w:num w:numId="30" w16cid:durableId="943347998">
    <w:abstractNumId w:val="0"/>
  </w:num>
  <w:num w:numId="31" w16cid:durableId="731464222">
    <w:abstractNumId w:val="0"/>
  </w:num>
  <w:num w:numId="32" w16cid:durableId="1668511466">
    <w:abstractNumId w:val="0"/>
  </w:num>
  <w:num w:numId="33" w16cid:durableId="272984707">
    <w:abstractNumId w:val="0"/>
  </w:num>
  <w:num w:numId="34" w16cid:durableId="1345325361">
    <w:abstractNumId w:val="0"/>
  </w:num>
  <w:num w:numId="35" w16cid:durableId="2073766693">
    <w:abstractNumId w:val="0"/>
  </w:num>
  <w:num w:numId="36" w16cid:durableId="1034892920">
    <w:abstractNumId w:val="0"/>
  </w:num>
  <w:num w:numId="37" w16cid:durableId="1852529531">
    <w:abstractNumId w:val="0"/>
  </w:num>
  <w:num w:numId="38" w16cid:durableId="553583719">
    <w:abstractNumId w:val="0"/>
  </w:num>
  <w:num w:numId="39" w16cid:durableId="1759331029">
    <w:abstractNumId w:val="0"/>
  </w:num>
  <w:num w:numId="40" w16cid:durableId="1209760442">
    <w:abstractNumId w:val="0"/>
  </w:num>
  <w:num w:numId="41" w16cid:durableId="980574001">
    <w:abstractNumId w:val="0"/>
  </w:num>
  <w:num w:numId="42" w16cid:durableId="1908682916">
    <w:abstractNumId w:val="0"/>
  </w:num>
  <w:num w:numId="43" w16cid:durableId="324628399">
    <w:abstractNumId w:val="0"/>
  </w:num>
  <w:num w:numId="44" w16cid:durableId="919171459">
    <w:abstractNumId w:val="0"/>
  </w:num>
  <w:num w:numId="45" w16cid:durableId="1789856715">
    <w:abstractNumId w:val="0"/>
  </w:num>
  <w:num w:numId="46" w16cid:durableId="1145464990">
    <w:abstractNumId w:val="0"/>
  </w:num>
  <w:num w:numId="47" w16cid:durableId="742945860">
    <w:abstractNumId w:val="0"/>
  </w:num>
  <w:num w:numId="48" w16cid:durableId="130296262">
    <w:abstractNumId w:val="0"/>
  </w:num>
  <w:num w:numId="49" w16cid:durableId="312102244">
    <w:abstractNumId w:val="0"/>
  </w:num>
  <w:num w:numId="50" w16cid:durableId="239871419">
    <w:abstractNumId w:val="0"/>
  </w:num>
  <w:num w:numId="51" w16cid:durableId="6775809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B0EAF"/>
    <w:rsid w:val="001C6D48"/>
    <w:rsid w:val="00373876"/>
    <w:rsid w:val="00582291"/>
    <w:rsid w:val="00AB0EAF"/>
    <w:rsid w:val="00C04FC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22957"/>
  <w15:docId w15:val="{BAF64B1A-0709-4255-BDA7-F106B6E22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99</Pages>
  <Words>42793</Words>
  <Characters>243923</Characters>
  <Application>Microsoft Office Word</Application>
  <DocSecurity>0</DocSecurity>
  <Lines>2032</Lines>
  <Paragraphs>572</Paragraphs>
  <ScaleCrop>false</ScaleCrop>
  <Company/>
  <LinksUpToDate>false</LinksUpToDate>
  <CharactersWithSpaces>286144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Nexus Whitepaper v0.52</dc:title>
  <dc:creator>Troy Snider</dc:creator>
  <cp:keywords/>
  <cp:lastModifiedBy>Troy Snider</cp:lastModifiedBy>
  <cp:revision>2</cp:revision>
  <dcterms:created xsi:type="dcterms:W3CDTF">2026-08-28T14:49:00Z</dcterms:created>
  <dcterms:modified xsi:type="dcterms:W3CDTF">2026-08-28T14:49:00Z</dcterms:modified>
</cp:coreProperties>
</file>