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DB45B" w14:textId="4FE57D14" w:rsidR="00F00F98" w:rsidRDefault="00F00F98" w:rsidP="00F00F98">
      <w:pPr>
        <w:pStyle w:val="Heading1"/>
      </w:pPr>
      <w:r>
        <w:rPr>
          <w:rFonts w:ascii="Arial" w:eastAsia="Arial" w:hAnsi="Arial" w:cs="Arial"/>
          <w:b/>
          <w:bCs/>
          <w:color w:val="1F4E79"/>
          <w:sz w:val="30"/>
          <w:szCs w:val="30"/>
        </w:rPr>
        <w:t>Business Insights</w:t>
      </w:r>
    </w:p>
    <w:p w14:paraId="0B2CB717" w14:textId="77777777" w:rsidR="00F00F98" w:rsidRDefault="00F00F98" w:rsidP="00F00F98"/>
    <w:p w14:paraId="4D78B164" w14:textId="590CB607" w:rsidR="00F00F98" w:rsidRDefault="00F00F98" w:rsidP="00F00F98">
      <w:pPr>
        <w:spacing w:before="200" w:after="80"/>
      </w:pPr>
      <w:r>
        <w:rPr>
          <w:b/>
          <w:bCs/>
          <w:color w:val="1F4E79"/>
          <w:sz w:val="21"/>
          <w:szCs w:val="21"/>
        </w:rPr>
        <w:t xml:space="preserve">Insight </w:t>
      </w:r>
      <w:proofErr w:type="gramStart"/>
      <w:r>
        <w:rPr>
          <w:b/>
          <w:bCs/>
          <w:color w:val="1F4E79"/>
          <w:sz w:val="21"/>
          <w:szCs w:val="21"/>
        </w:rPr>
        <w:t>1  Dubai</w:t>
      </w:r>
      <w:proofErr w:type="gramEnd"/>
      <w:r>
        <w:rPr>
          <w:b/>
          <w:bCs/>
          <w:color w:val="1F4E79"/>
          <w:sz w:val="21"/>
          <w:szCs w:val="21"/>
        </w:rPr>
        <w:t xml:space="preserve"> Leads Volume, Abu Dhabi Leads Premiumization</w:t>
      </w:r>
    </w:p>
    <w:p w14:paraId="2A3A2079" w14:textId="77777777" w:rsidR="00F00F98" w:rsidRDefault="00F00F98" w:rsidP="00F00F98">
      <w:pPr>
        <w:spacing w:before="60" w:after="80"/>
      </w:pPr>
      <w:r>
        <w:rPr>
          <w:color w:val="000000"/>
        </w:rPr>
        <w:t>Dubai accounts for 46% of all listings (34,250) while Abu Dhabi represents 32% (23,324). However, Abu Dhabi neighborhoods such as Al Reem Island and Yas Island consistently rank in the top locations by average rent, indicating a premium market segment in the capital city. Real estate agents targeting high-value rentals should focus marketing efforts on Abu Dhabi's island communities.</w:t>
      </w:r>
    </w:p>
    <w:p w14:paraId="12FC7EF4" w14:textId="77777777" w:rsidR="00F00F98" w:rsidRDefault="00F00F98" w:rsidP="00F00F98"/>
    <w:p w14:paraId="7B9F0492" w14:textId="57AFFE29" w:rsidR="00F00F98" w:rsidRDefault="00F00F98" w:rsidP="00F00F98">
      <w:pPr>
        <w:spacing w:before="200" w:after="80"/>
      </w:pPr>
      <w:r>
        <w:rPr>
          <w:b/>
          <w:bCs/>
          <w:color w:val="1F4E79"/>
          <w:sz w:val="21"/>
          <w:szCs w:val="21"/>
        </w:rPr>
        <w:t xml:space="preserve">Insight </w:t>
      </w:r>
      <w:proofErr w:type="gramStart"/>
      <w:r>
        <w:rPr>
          <w:b/>
          <w:bCs/>
          <w:color w:val="1F4E79"/>
          <w:sz w:val="21"/>
          <w:szCs w:val="21"/>
        </w:rPr>
        <w:t>2  Unfurnished</w:t>
      </w:r>
      <w:proofErr w:type="gramEnd"/>
      <w:r>
        <w:rPr>
          <w:b/>
          <w:bCs/>
          <w:color w:val="1F4E79"/>
          <w:sz w:val="21"/>
          <w:szCs w:val="21"/>
        </w:rPr>
        <w:t xml:space="preserve"> Properties Dominate — Long-Term Tenant Market Signals</w:t>
      </w:r>
    </w:p>
    <w:p w14:paraId="1E7F3C25" w14:textId="77777777" w:rsidR="00F00F98" w:rsidRDefault="00F00F98" w:rsidP="00F00F98">
      <w:pPr>
        <w:spacing w:before="60" w:after="80"/>
      </w:pPr>
      <w:r>
        <w:rPr>
          <w:color w:val="000000"/>
        </w:rPr>
        <w:t>The % Furnished Listings measure reveals that the majority of listings across both cities are unfurnished, indicating the market is predominantly driven by long-term tenants who prefer to furnish their own spaces. This is an important signal for property investors: furnished short-term rental inventory is underrepresented and may represent an opportunity, particularly in high-tourism locations like Dubai Marina and Downtown Dubai.</w:t>
      </w:r>
    </w:p>
    <w:p w14:paraId="12330886" w14:textId="77777777" w:rsidR="00F00F98" w:rsidRDefault="00F00F98" w:rsidP="00F00F98"/>
    <w:p w14:paraId="4ADAAF2E" w14:textId="15B66003" w:rsidR="00F00F98" w:rsidRDefault="00F00F98" w:rsidP="00F00F98">
      <w:pPr>
        <w:spacing w:before="200" w:after="80"/>
      </w:pPr>
      <w:r>
        <w:rPr>
          <w:b/>
          <w:bCs/>
          <w:color w:val="1F4E79"/>
          <w:sz w:val="21"/>
          <w:szCs w:val="21"/>
        </w:rPr>
        <w:t xml:space="preserve">Insight </w:t>
      </w:r>
      <w:proofErr w:type="gramStart"/>
      <w:r>
        <w:rPr>
          <w:b/>
          <w:bCs/>
          <w:color w:val="1F4E79"/>
          <w:sz w:val="21"/>
          <w:szCs w:val="21"/>
        </w:rPr>
        <w:t>3  Stale</w:t>
      </w:r>
      <w:proofErr w:type="gramEnd"/>
      <w:r>
        <w:rPr>
          <w:b/>
          <w:bCs/>
          <w:color w:val="1F4E79"/>
          <w:sz w:val="21"/>
          <w:szCs w:val="21"/>
        </w:rPr>
        <w:t xml:space="preserve"> Inventory Risk Across Key Locations</w:t>
      </w:r>
    </w:p>
    <w:p w14:paraId="427F61E2" w14:textId="77777777" w:rsidR="00F00F98" w:rsidRDefault="00F00F98" w:rsidP="00F00F98">
      <w:pPr>
        <w:spacing w:before="60" w:after="80"/>
      </w:pPr>
      <w:r>
        <w:rPr>
          <w:color w:val="000000"/>
        </w:rPr>
        <w:t>The Listing Age Status measure flags a significant proportion of listings as Stale (active for more than 30 days without conversion). This pattern is particularly visible in certain property types and price bands, suggesting systematic overpricing or mismatched supply-demand dynamics. Real estate agents can use this insight to proactively advise landlords to adjust pricing, improving portfolio turnover and reducing holding costs.</w:t>
      </w:r>
    </w:p>
    <w:p w14:paraId="2BDB03B4" w14:textId="77777777" w:rsidR="00F00F98" w:rsidRDefault="00F00F98" w:rsidP="00F00F98"/>
    <w:p w14:paraId="20722BB2" w14:textId="77777777" w:rsidR="00F00F98" w:rsidRPr="00F00F98" w:rsidRDefault="00F00F98" w:rsidP="00F00F98"/>
    <w:sectPr w:rsidR="00F00F98" w:rsidRPr="00F00F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F98"/>
    <w:rsid w:val="00BD593A"/>
    <w:rsid w:val="00F00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2E5E7"/>
  <w15:chartTrackingRefBased/>
  <w15:docId w15:val="{626A4578-0F6E-4BBE-903C-E7F7F4052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F9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F00F98"/>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00F98"/>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00F98"/>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00F98"/>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00F98"/>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00F98"/>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00F98"/>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00F98"/>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00F98"/>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F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0F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0F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0F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F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F98"/>
    <w:rPr>
      <w:rFonts w:eastAsiaTheme="majorEastAsia" w:cstheme="majorBidi"/>
      <w:color w:val="272727" w:themeColor="text1" w:themeTint="D8"/>
    </w:rPr>
  </w:style>
  <w:style w:type="paragraph" w:styleId="Title">
    <w:name w:val="Title"/>
    <w:basedOn w:val="Normal"/>
    <w:next w:val="Normal"/>
    <w:link w:val="TitleChar"/>
    <w:uiPriority w:val="10"/>
    <w:qFormat/>
    <w:rsid w:val="00F00F9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00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F9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00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F98"/>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00F98"/>
    <w:rPr>
      <w:i/>
      <w:iCs/>
      <w:color w:val="404040" w:themeColor="text1" w:themeTint="BF"/>
    </w:rPr>
  </w:style>
  <w:style w:type="paragraph" w:styleId="ListParagraph">
    <w:name w:val="List Paragraph"/>
    <w:basedOn w:val="Normal"/>
    <w:uiPriority w:val="34"/>
    <w:qFormat/>
    <w:rsid w:val="00F00F98"/>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F00F98"/>
    <w:rPr>
      <w:i/>
      <w:iCs/>
      <w:color w:val="2F5496" w:themeColor="accent1" w:themeShade="BF"/>
    </w:rPr>
  </w:style>
  <w:style w:type="paragraph" w:styleId="IntenseQuote">
    <w:name w:val="Intense Quote"/>
    <w:basedOn w:val="Normal"/>
    <w:next w:val="Normal"/>
    <w:link w:val="IntenseQuoteChar"/>
    <w:uiPriority w:val="30"/>
    <w:qFormat/>
    <w:rsid w:val="00F00F9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00F98"/>
    <w:rPr>
      <w:i/>
      <w:iCs/>
      <w:color w:val="2F5496" w:themeColor="accent1" w:themeShade="BF"/>
    </w:rPr>
  </w:style>
  <w:style w:type="character" w:styleId="IntenseReference">
    <w:name w:val="Intense Reference"/>
    <w:basedOn w:val="DefaultParagraphFont"/>
    <w:uiPriority w:val="32"/>
    <w:qFormat/>
    <w:rsid w:val="00F00F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219</Words>
  <Characters>1252</Characters>
  <Application>Microsoft Office Word</Application>
  <DocSecurity>0</DocSecurity>
  <Lines>10</Lines>
  <Paragraphs>2</Paragraphs>
  <ScaleCrop>false</ScaleCrop>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Betelhem g Kebede</dc:creator>
  <cp:keywords/>
  <dc:description/>
  <cp:lastModifiedBy>Betelhem g Kebede</cp:lastModifiedBy>
  <cp:revision>1</cp:revision>
  <dcterms:created xsi:type="dcterms:W3CDTF">2026-08-04T23:10:00Z</dcterms:created>
  <dcterms:modified xsi:type="dcterms:W3CDTF">2026-08-04T23:11:00Z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f4153f0d-a949-4a71-8d91-786915df4ef6</vt:lpwstr>
  </property>
</Properties>
</file>