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W w:w="9386" w:type="dxa"/>
      </w:tblPr>
      <w:tblGrid>
        <w:gridCol w:w="9386"/>
      </w:tblGrid>
      <w:tr>
        <w:tc>
          <w:tcPr>
            <w:tcW w:type="dxa" w:w="9386"/>
            <w:tcW w:w="9386" w:type="dxa"/>
            <w:shd w:val="clear" w:fill="1F3864"/>
            <w:tcBorders>
              <w:top w:val="single" w:sz="2" w:color="1F3864"/>
              <w:left w:val="single" w:sz="2" w:color="1F3864"/>
              <w:bottom w:val="single" w:sz="2" w:color="1F3864"/>
              <w:right w:val="single" w:sz="2" w:color="1F3864"/>
            </w:tcBorders>
            <w:tcMar>
              <w:top w:w="600" w:type="dxa"/>
              <w:left w:w="240" w:type="dxa"/>
              <w:bottom w:w="200" w:type="dxa"/>
              <w:right w:w="2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56"/>
              </w:rPr>
              <w:t>VAIRIOT PLATFORM AUDIT</w:t>
            </w:r>
          </w:p>
        </w:tc>
      </w:tr>
      <w:tr>
        <w:tc>
          <w:tcPr>
            <w:tcW w:type="dxa" w:w="9386"/>
            <w:tcW w:w="9386" w:type="dxa"/>
            <w:shd w:val="clear" w:fill="2E75B6"/>
            <w:tcBorders>
              <w:top w:val="single" w:sz="2" w:color="2E75B6"/>
              <w:left w:val="single" w:sz="2" w:color="2E75B6"/>
              <w:bottom w:val="single" w:sz="2" w:color="2E75B6"/>
              <w:right w:val="single" w:sz="2" w:color="2E75B6"/>
            </w:tcBorders>
            <w:tcMar>
              <w:top w:w="140" w:type="dxa"/>
              <w:left w:w="240" w:type="dxa"/>
              <w:bottom w:w="140" w:type="dxa"/>
              <w:right w:w="24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FFFFFF"/>
                <w:sz w:val="24"/>
              </w:rPr>
              <w:t>Security  ·  SaaS Capability  ·  Online/Offline  ·  Communications  ·  Storage  ·  Infrastructure &amp; Hosting</w:t>
            </w:r>
          </w:p>
        </w:tc>
      </w:tr>
    </w:tbl>
    <w:p>
      <w:pPr>
        <w:spacing w:before="360" w:after="240"/>
      </w:pPr>
    </w:p>
    <w:p>
      <w:pPr>
        <w:spacing w:after="80"/>
      </w:pPr>
      <w:r>
        <w:rPr>
          <w:rFonts w:ascii="Arial" w:hAnsi="Arial"/>
          <w:b/>
          <w:i w:val="0"/>
          <w:color w:val="5A5A5A"/>
          <w:sz w:val="22"/>
        </w:rPr>
        <w:t xml:space="preserve">Prepared for:  </w:t>
      </w:r>
      <w:r>
        <w:rPr>
          <w:rFonts w:ascii="Arial" w:hAnsi="Arial"/>
          <w:b w:val="0"/>
          <w:i w:val="0"/>
          <w:color w:val="2C2C2C"/>
          <w:sz w:val="22"/>
        </w:rPr>
        <w:t>Kapiti Management — Vairiot Asset Management Platform</w:t>
      </w:r>
    </w:p>
    <w:p>
      <w:pPr>
        <w:spacing w:after="80"/>
      </w:pPr>
      <w:r>
        <w:rPr>
          <w:rFonts w:ascii="Arial" w:hAnsi="Arial"/>
          <w:b/>
          <w:i w:val="0"/>
          <w:color w:val="5A5A5A"/>
          <w:sz w:val="22"/>
        </w:rPr>
        <w:t xml:space="preserve">Date:  </w:t>
      </w:r>
      <w:r>
        <w:rPr>
          <w:rFonts w:ascii="Arial" w:hAnsi="Arial"/>
          <w:b w:val="0"/>
          <w:i w:val="0"/>
          <w:color w:val="2C2C2C"/>
          <w:sz w:val="22"/>
        </w:rPr>
        <w:t>19 July 2026</w:t>
      </w:r>
    </w:p>
    <w:p>
      <w:pPr>
        <w:spacing w:after="80"/>
      </w:pPr>
      <w:r>
        <w:rPr>
          <w:rFonts w:ascii="Arial" w:hAnsi="Arial"/>
          <w:b/>
          <w:i w:val="0"/>
          <w:color w:val="5A5A5A"/>
          <w:sz w:val="22"/>
        </w:rPr>
        <w:t xml:space="preserve">Scope:  </w:t>
      </w:r>
      <w:r>
        <w:rPr>
          <w:rFonts w:ascii="Arial" w:hAnsi="Arial"/>
          <w:b w:val="0"/>
          <w:i w:val="0"/>
          <w:color w:val="2C2C2C"/>
          <w:sz w:val="22"/>
        </w:rPr>
        <w:t>Full monorepo at commit 05c05f9 (API, web, admin, worker, reports, Android, iOS, infra)</w:t>
      </w:r>
    </w:p>
    <w:p>
      <w:pPr>
        <w:spacing w:after="80"/>
      </w:pPr>
      <w:r>
        <w:rPr>
          <w:rFonts w:ascii="Arial" w:hAnsi="Arial"/>
          <w:b/>
          <w:i w:val="0"/>
          <w:color w:val="5A5A5A"/>
          <w:sz w:val="22"/>
        </w:rPr>
        <w:t xml:space="preserve">Method:  </w:t>
      </w:r>
      <w:r>
        <w:rPr>
          <w:rFonts w:ascii="Arial" w:hAnsi="Arial"/>
          <w:b w:val="0"/>
          <w:i w:val="0"/>
          <w:color w:val="2C2C2C"/>
          <w:sz w:val="22"/>
        </w:rPr>
        <w:t>Five parallel read-only audit passes; evidence cited as file:line. No production systems accessed.</w:t>
      </w:r>
    </w:p>
    <w:p>
      <w:pPr>
        <w:spacing w:after="80"/>
      </w:pPr>
      <w:r>
        <w:rPr>
          <w:rFonts w:ascii="Arial" w:hAnsi="Arial"/>
          <w:b/>
          <w:i w:val="0"/>
          <w:color w:val="5A5A5A"/>
          <w:sz w:val="22"/>
        </w:rPr>
        <w:t xml:space="preserve">Client regions:  </w:t>
      </w:r>
      <w:r>
        <w:rPr>
          <w:rFonts w:ascii="Arial" w:hAnsi="Arial"/>
          <w:b w:val="0"/>
          <w:i w:val="0"/>
          <w:color w:val="2C2C2C"/>
          <w:sz w:val="22"/>
        </w:rPr>
        <w:t>Europe and UAE</w:t>
      </w:r>
    </w:p>
    <w:p>
      <w:pPr>
        <w:spacing w:before="240" w:after="0"/>
      </w:pPr>
    </w:p>
    <w:p>
      <w:pPr>
        <w:shd w:val="clear" w:fill="D6E4F0"/>
        <w:pBdr>
          <w:left w:val="single" w:sz="18" w:space="8" w:color="2E75B6"/>
        </w:pBdr>
        <w:spacing w:before="160" w:after="160"/>
        <w:ind w:left="240" w:right="240"/>
      </w:pPr>
      <w:r>
        <w:rPr>
          <w:rFonts w:ascii="Arial" w:hAnsi="Arial"/>
          <w:b/>
          <w:i w:val="0"/>
          <w:color w:val="1F3864"/>
          <w:sz w:val="22"/>
        </w:rPr>
        <w:t xml:space="preserve">Overall verdict:  </w:t>
      </w:r>
      <w:r>
        <w:rPr>
          <w:rFonts w:ascii="Arial" w:hAnsi="Arial"/>
          <w:b w:val="0"/>
          <w:i w:val="0"/>
          <w:color w:val="2C2C2C"/>
          <w:sz w:val="22"/>
        </w:rPr>
        <w:t>The architecture is genuinely SaaS-grade; the risk is concentrated in operations and offline edge cases. The platform is one disk failure away from total data loss, and offline sync is silently losing field data today — both are fixable with small, well-understood changes.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1. Executive Summary</w:t>
      </w:r>
    </w:p>
    <w:p>
      <w:pPr>
        <w:spacing w:before="0" w:after="160"/>
      </w:pPr>
      <w:r>
        <w:rPr>
          <w:rFonts w:ascii="Arial" w:hAnsi="Arial"/>
          <w:b w:val="0"/>
          <w:i w:val="0"/>
          <w:color w:val="2C2C2C"/>
          <w:sz w:val="22"/>
        </w:rPr>
        <w:t>This audit covered the full Vairiot solution: the API, web and admin applications, background worker, reports service, Android and iOS mobile applications, and production infrastructure. Five dimensions were assessed: security, SaaS capability, online/offline ability, communications, and storage.</w:t>
      </w:r>
    </w:p>
    <w:p>
      <w:pPr>
        <w:pStyle w:val="Heading2"/>
      </w:pPr>
      <w:r>
        <w:rPr>
          <w:rFonts w:ascii="Arial" w:hAnsi="Arial"/>
        </w:rPr>
        <w:t>Strengths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2C2C"/>
          <w:sz w:val="22"/>
        </w:rPr>
        <w:t>First-class multi-tenancy</w:t>
      </w:r>
      <w:r>
        <w:rPr>
          <w:rFonts w:ascii="Arial" w:hAnsi="Arial"/>
          <w:b w:val="0"/>
          <w:i w:val="0"/>
          <w:color w:val="2C2C2C"/>
          <w:sz w:val="22"/>
        </w:rPr>
        <w:t xml:space="preserve"> — tenant-scoped schema with composite indexes; service-layer isolation held up under cross-tenant ID probing in every sampled route; tenant-prefixed object storage keys.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2C2C"/>
          <w:sz w:val="22"/>
        </w:rPr>
        <w:t>Licensing engine</w:t>
      </w:r>
      <w:r>
        <w:rPr>
          <w:rFonts w:ascii="Arial" w:hAnsi="Arial"/>
          <w:b w:val="0"/>
          <w:i w:val="0"/>
          <w:color w:val="2C2C2C"/>
          <w:sz w:val="22"/>
        </w:rPr>
        <w:t xml:space="preserve"> — tiers, asset caps enforced at creation, device slots, expiry/grace lifecycle, sub-tenant hierarchy.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2C2C"/>
          <w:sz w:val="22"/>
        </w:rPr>
        <w:t>Self-serve onboarding</w:t>
      </w:r>
      <w:r>
        <w:rPr>
          <w:rFonts w:ascii="Arial" w:hAnsi="Arial"/>
          <w:b w:val="0"/>
          <w:i w:val="0"/>
          <w:color w:val="2C2C2C"/>
          <w:sz w:val="22"/>
        </w:rPr>
        <w:t xml:space="preserve"> — tenant registration, 4-step onboarding wizard, role matrix, email invitations.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2C2C"/>
          <w:sz w:val="22"/>
        </w:rPr>
        <w:t>Security fundamentals</w:t>
      </w:r>
      <w:r>
        <w:rPr>
          <w:rFonts w:ascii="Arial" w:hAnsi="Arial"/>
          <w:b w:val="0"/>
          <w:i w:val="0"/>
          <w:color w:val="2C2C2C"/>
          <w:sz w:val="22"/>
        </w:rPr>
        <w:t xml:space="preserve"> — bcrypt cost 12, 2FA, progressive lockout, JWT blacklist on logout, TLS 1.2/1.3 only, hashed API keys, no secrets ever committed to git, no SQL-injection surface (Prisma throughout).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2C2C"/>
          <w:sz w:val="22"/>
        </w:rPr>
        <w:t>Public API readiness</w:t>
      </w:r>
      <w:r>
        <w:rPr>
          <w:rFonts w:ascii="Arial" w:hAnsi="Arial"/>
          <w:b w:val="0"/>
          <w:i w:val="0"/>
          <w:color w:val="2C2C2C"/>
          <w:sz w:val="22"/>
        </w:rPr>
        <w:t xml:space="preserve"> — versioned routes, OpenAPI docs, tenant-scoped API keys, webhooks.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2C2C"/>
          <w:sz w:val="22"/>
        </w:rPr>
        <w:t>Offline-first mobile v1</w:t>
      </w:r>
      <w:r>
        <w:rPr>
          <w:rFonts w:ascii="Arial" w:hAnsi="Arial"/>
          <w:b w:val="0"/>
          <w:i w:val="0"/>
          <w:color w:val="2C2C2C"/>
          <w:sz w:val="22"/>
        </w:rPr>
        <w:t xml:space="preserve"> — cached browsing, write-ahead scan queues, background sync (Android WorkManager), Keychain token storage and connectivity-aware drain (iOS).</w:t>
      </w:r>
    </w:p>
    <w:p>
      <w:pPr>
        <w:pStyle w:val="Heading2"/>
      </w:pPr>
      <w:r>
        <w:rPr>
          <w:rFonts w:ascii="Arial" w:hAnsi="Arial"/>
        </w:rPr>
        <w:t>The four findings that matter most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86" w:type="dxa"/>
      </w:tblPr>
      <w:tblGrid>
        <w:gridCol w:w="2346"/>
        <w:gridCol w:w="2346"/>
        <w:gridCol w:w="2346"/>
        <w:gridCol w:w="2346"/>
      </w:tblGrid>
      <w:tr>
        <w:trPr>
          <w:tblHeader w:val="true"/>
        </w:trPr>
        <w:tc>
          <w:tcPr>
            <w:tcW w:type="dxa" w:w="2346"/>
            <w:tcW w:w="500" w:type="dxa"/>
            <w:shd w:val="clear" w:fill="1F38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346"/>
            <w:tcW w:w="3300" w:type="dxa"/>
            <w:shd w:val="clear" w:fill="1F38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2346"/>
            <w:tcW w:w="2500" w:type="dxa"/>
            <w:shd w:val="clear" w:fill="1F38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Impact</w:t>
            </w:r>
          </w:p>
        </w:tc>
        <w:tc>
          <w:tcPr>
            <w:tcW w:type="dxa" w:w="2346"/>
            <w:tcW w:w="3086" w:type="dxa"/>
            <w:shd w:val="clear" w:fill="1F38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Resolution</w:t>
            </w:r>
          </w:p>
        </w:tc>
      </w:tr>
      <w:tr>
        <w:tc>
          <w:tcPr>
            <w:tcW w:type="dxa" w:w="2346"/>
            <w:tcW w:w="5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1</w:t>
            </w:r>
          </w:p>
        </w:tc>
        <w:tc>
          <w:tcPr>
            <w:tcW w:type="dxa" w:w="2346"/>
            <w:tcW w:w="33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No backups of any kind — Postgres, MinIO (photos/documents/APKs), and the production .env (JWT_SECRET, APP_ENCRYPTION_KEY) exist only on one VPS disk</w:t>
            </w:r>
          </w:p>
        </w:tc>
        <w:tc>
          <w:tcPr>
            <w:tcW w:type="dxa" w:w="2346"/>
            <w:tcW w:w="25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Existential: disk failure = permanent loss of all tenant data</w:t>
            </w:r>
          </w:p>
        </w:tc>
        <w:tc>
          <w:tcPr>
            <w:tcW w:type="dxa" w:w="2346"/>
            <w:tcW w:w="3086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Nightly pg_dump + MinIO mirror to off-host EU storage; keys into a password manager (under 1 day, ~$5/month)</w:t>
            </w:r>
          </w:p>
        </w:tc>
      </w:tr>
      <w:tr>
        <w:tc>
          <w:tcPr>
            <w:tcW w:type="dxa" w:w="2346"/>
            <w:tcW w:w="50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2</w:t>
            </w:r>
          </w:p>
        </w:tc>
        <w:tc>
          <w:tcPr>
            <w:tcW w:type="dxa" w:w="2346"/>
            <w:tcW w:w="330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Offline sync silently deletes queued work after 5 failed attempts; Android blind-audit scans queued offline are always rejected on replay (missing locationId); offline photo capture discards the photo</w:t>
            </w:r>
          </w:p>
        </w:tc>
        <w:tc>
          <w:tcPr>
            <w:tcW w:type="dxa" w:w="2346"/>
            <w:tcW w:w="250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Active, silent field data loss today</w:t>
            </w:r>
          </w:p>
        </w:tc>
        <w:tc>
          <w:tcPr>
            <w:tcW w:type="dxa" w:w="2346"/>
            <w:tcW w:w="3086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Persist/replay the missing fields (near two-line fix); dead-letter state instead of delete; photo queue</w:t>
            </w:r>
          </w:p>
        </w:tc>
      </w:tr>
      <w:tr>
        <w:tc>
          <w:tcPr>
            <w:tcW w:type="dxa" w:w="2346"/>
            <w:tcW w:w="5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3</w:t>
            </w:r>
          </w:p>
        </w:tc>
        <w:tc>
          <w:tcPr>
            <w:tcW w:type="dxa" w:w="2346"/>
            <w:tcW w:w="33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No monitoring: no uptime checks, error tracking, alerting, log rotation, or resource limits; migrations not run on deploy; cert renewal needs a manual nginx restart</w:t>
            </w:r>
          </w:p>
        </w:tc>
        <w:tc>
          <w:tcPr>
            <w:tcW w:type="dxa" w:w="2346"/>
            <w:tcW w:w="25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Outages discovered by customers; predictable future incidents</w:t>
            </w:r>
          </w:p>
        </w:tc>
        <w:tc>
          <w:tcPr>
            <w:tcW w:type="dxa" w:w="2346"/>
            <w:tcW w:w="3086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UptimeRobot + Sentry (free tiers), compose hygiene, migrate-on-deploy, certbot deploy-hook</w:t>
            </w:r>
          </w:p>
        </w:tc>
      </w:tr>
      <w:tr>
        <w:tc>
          <w:tcPr>
            <w:tcW w:type="dxa" w:w="2346"/>
            <w:tcW w:w="50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4</w:t>
            </w:r>
          </w:p>
        </w:tc>
        <w:tc>
          <w:tcPr>
            <w:tcW w:type="dxa" w:w="2346"/>
            <w:tcW w:w="330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Hosting shape: EU location suits the Europe/UAE client base, but everything runs on a single self-managed host</w:t>
            </w:r>
          </w:p>
        </w:tc>
        <w:tc>
          <w:tcPr>
            <w:tcW w:type="dxa" w:w="2346"/>
            <w:tcW w:w="250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Single point of failure; UAE-regulated tenants may need in-country hosting</w:t>
            </w:r>
          </w:p>
        </w:tc>
        <w:tc>
          <w:tcPr>
            <w:tcW w:type="dxa" w:w="2346"/>
            <w:tcW w:w="3086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Managed EU Postgres + object storage now; CDN for SPAs; UAE-region deployment option later via existing deploymentMode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</w:rPr>
        <w:t>2. Security</w:t>
      </w:r>
    </w:p>
    <w:p>
      <w:pPr>
        <w:spacing w:before="0" w:after="160"/>
      </w:pPr>
      <w:r>
        <w:rPr>
          <w:rFonts w:ascii="Arial" w:hAnsi="Arial"/>
          <w:b w:val="0"/>
          <w:i w:val="0"/>
          <w:color w:val="2C2C2C"/>
          <w:sz w:val="22"/>
        </w:rPr>
        <w:t xml:space="preserve">Posture is above average for a platform of this size: </w:t>
      </w:r>
      <w:r>
        <w:rPr>
          <w:rFonts w:ascii="Arial" w:hAnsi="Arial"/>
          <w:b/>
          <w:i w:val="0"/>
          <w:color w:val="2C2C2C"/>
          <w:sz w:val="22"/>
        </w:rPr>
        <w:t>0 critical findings in production code paths</w:t>
      </w:r>
      <w:r>
        <w:rPr>
          <w:rFonts w:ascii="Arial" w:hAnsi="Arial"/>
          <w:b w:val="0"/>
          <w:i w:val="0"/>
          <w:color w:val="2C2C2C"/>
          <w:sz w:val="22"/>
        </w:rPr>
        <w:t>, 2 high, 6 medium and 5 low. The issues below are refinements, not gaping holes.</w:t>
      </w:r>
    </w:p>
    <w:p>
      <w:pPr>
        <w:pStyle w:val="Heading2"/>
      </w:pPr>
      <w:r>
        <w:rPr>
          <w:rFonts w:ascii="Arial" w:hAnsi="Arial"/>
        </w:rPr>
        <w:t>High findings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86" w:type="dxa"/>
      </w:tblPr>
      <w:tblGrid>
        <w:gridCol w:w="1877"/>
        <w:gridCol w:w="1877"/>
        <w:gridCol w:w="1877"/>
        <w:gridCol w:w="1877"/>
        <w:gridCol w:w="1877"/>
      </w:tblGrid>
      <w:tr>
        <w:trPr>
          <w:tblHeader w:val="true"/>
        </w:trPr>
        <w:tc>
          <w:tcPr>
            <w:tcW w:type="dxa" w:w="1877"/>
            <w:tcW w:w="500" w:type="dxa"/>
            <w:shd w:val="clear" w:fill="1F38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877"/>
            <w:tcW w:w="900" w:type="dxa"/>
            <w:shd w:val="clear" w:fill="1F38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1877"/>
            <w:tcW w:w="3800" w:type="dxa"/>
            <w:shd w:val="clear" w:fill="1F38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1877"/>
            <w:tcW w:w="1700" w:type="dxa"/>
            <w:shd w:val="clear" w:fill="1F38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Evidence</w:t>
            </w:r>
          </w:p>
        </w:tc>
        <w:tc>
          <w:tcPr>
            <w:tcW w:type="dxa" w:w="1877"/>
            <w:tcW w:w="2486" w:type="dxa"/>
            <w:shd w:val="clear" w:fill="1F38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Resolution</w:t>
            </w:r>
          </w:p>
        </w:tc>
      </w:tr>
      <w:tr>
        <w:tc>
          <w:tcPr>
            <w:tcW w:type="dxa" w:w="1877"/>
            <w:tcW w:w="5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H1</w:t>
            </w:r>
          </w:p>
        </w:tc>
        <w:tc>
          <w:tcPr>
            <w:tcW w:type="dxa" w:w="1877"/>
            <w:tcW w:w="9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B34700"/>
                <w:sz w:val="19"/>
              </w:rPr>
              <w:t>High</w:t>
            </w:r>
          </w:p>
        </w:tc>
        <w:tc>
          <w:tcPr>
            <w:tcW w:type="dxa" w:w="1877"/>
            <w:tcW w:w="38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Vulnerable nodemailer (≤9.0.0): SMTP command injection, SSRF, file-read advisories. The only production-relevant npm audit hit.</w:t>
            </w:r>
          </w:p>
        </w:tc>
        <w:tc>
          <w:tcPr>
            <w:tcW w:type="dxa" w:w="1877"/>
            <w:tcW w:w="17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smtp.service.ts:119</w:t>
            </w:r>
          </w:p>
        </w:tc>
        <w:tc>
          <w:tcPr>
            <w:tcW w:type="dxa" w:w="1877"/>
            <w:tcW w:w="2486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Upgrade to nodemailer ^9.0.3; smoke-test SMTP flows</w:t>
            </w:r>
          </w:p>
        </w:tc>
      </w:tr>
      <w:tr>
        <w:tc>
          <w:tcPr>
            <w:tcW w:type="dxa" w:w="1877"/>
            <w:tcW w:w="50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H2</w:t>
            </w:r>
          </w:p>
        </w:tc>
        <w:tc>
          <w:tcPr>
            <w:tcW w:type="dxa" w:w="1877"/>
            <w:tcW w:w="90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B34700"/>
                <w:sz w:val="19"/>
              </w:rPr>
              <w:t>High</w:t>
            </w:r>
          </w:p>
        </w:tc>
        <w:tc>
          <w:tcPr>
            <w:tcW w:type="dxa" w:w="1877"/>
            <w:tcW w:w="380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Public iOS UDID enrolment endpoint parses PKCS#7-signed plists without verifying the signature — forged device attributes can enter the enrolment queue.</w:t>
            </w:r>
          </w:p>
        </w:tc>
        <w:tc>
          <w:tcPr>
            <w:tcW w:type="dxa" w:w="1877"/>
            <w:tcW w:w="170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ios.router.ts:211-235</w:t>
            </w:r>
          </w:p>
        </w:tc>
        <w:tc>
          <w:tcPr>
            <w:tcW w:type="dxa" w:w="1877"/>
            <w:tcW w:w="2486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Verify signature against Apple's CA; rate-limit; treat queue as untrusted</w:t>
            </w:r>
          </w:p>
        </w:tc>
      </w:tr>
    </w:tbl>
    <w:p>
      <w:pPr>
        <w:pStyle w:val="Heading2"/>
      </w:pPr>
      <w:r>
        <w:rPr>
          <w:rFonts w:ascii="Arial" w:hAnsi="Arial"/>
        </w:rPr>
        <w:t>Medium findings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86" w:type="dxa"/>
      </w:tblPr>
      <w:tblGrid>
        <w:gridCol w:w="2346"/>
        <w:gridCol w:w="2346"/>
        <w:gridCol w:w="2346"/>
        <w:gridCol w:w="2346"/>
      </w:tblGrid>
      <w:tr>
        <w:trPr>
          <w:tblHeader w:val="true"/>
        </w:trPr>
        <w:tc>
          <w:tcPr>
            <w:tcW w:type="dxa" w:w="2346"/>
            <w:tcW w:w="500" w:type="dxa"/>
            <w:shd w:val="clear" w:fill="1F38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346"/>
            <w:tcW w:w="900" w:type="dxa"/>
            <w:shd w:val="clear" w:fill="1F38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346"/>
            <w:tcW w:w="5000" w:type="dxa"/>
            <w:shd w:val="clear" w:fill="1F38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2346"/>
            <w:tcW w:w="2986" w:type="dxa"/>
            <w:shd w:val="clear" w:fill="1F38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Resolution</w:t>
            </w:r>
          </w:p>
        </w:tc>
      </w:tr>
      <w:tr>
        <w:tc>
          <w:tcPr>
            <w:tcW w:type="dxa" w:w="2346"/>
            <w:tcW w:w="5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M1</w:t>
            </w:r>
          </w:p>
        </w:tc>
        <w:tc>
          <w:tcPr>
            <w:tcW w:type="dxa" w:w="2346"/>
            <w:tcW w:w="9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8A6D00"/>
                <w:sz w:val="19"/>
              </w:rPr>
              <w:t>Medium</w:t>
            </w:r>
          </w:p>
        </w:tc>
        <w:tc>
          <w:tcPr>
            <w:tcW w:type="dxa" w:w="2346"/>
            <w:tcW w:w="50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2FA TOTP secrets and backup codes stored in plaintext in the database (AES-256-GCM helper exists but is only used for SMTP credentials).</w:t>
            </w:r>
          </w:p>
        </w:tc>
        <w:tc>
          <w:tcPr>
            <w:tcW w:type="dxa" w:w="2346"/>
            <w:tcW w:w="2986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Encrypt secrets with the existing helper; hash backup codes</w:t>
            </w:r>
          </w:p>
        </w:tc>
      </w:tr>
      <w:tr>
        <w:tc>
          <w:tcPr>
            <w:tcW w:type="dxa" w:w="2346"/>
            <w:tcW w:w="50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M2</w:t>
            </w:r>
          </w:p>
        </w:tc>
        <w:tc>
          <w:tcPr>
            <w:tcW w:type="dxa" w:w="2346"/>
            <w:tcW w:w="90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8A6D00"/>
                <w:sz w:val="19"/>
              </w:rPr>
              <w:t>Medium</w:t>
            </w:r>
          </w:p>
        </w:tc>
        <w:tc>
          <w:tcPr>
            <w:tcW w:type="dxa" w:w="2346"/>
            <w:tcW w:w="500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Password policy requires exactly 12 characters, alphanumeric only (symbols rejected); login and registration validators are inconsistent with the policy.</w:t>
            </w:r>
          </w:p>
        </w:tc>
        <w:tc>
          <w:tcPr>
            <w:tcW w:type="dxa" w:w="2346"/>
            <w:tcW w:w="2986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Minimum (not exact) length; allow all printable characters; breach-list screening</w:t>
            </w:r>
          </w:p>
        </w:tc>
      </w:tr>
      <w:tr>
        <w:tc>
          <w:tcPr>
            <w:tcW w:type="dxa" w:w="2346"/>
            <w:tcW w:w="5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M3</w:t>
            </w:r>
          </w:p>
        </w:tc>
        <w:tc>
          <w:tcPr>
            <w:tcW w:type="dxa" w:w="2346"/>
            <w:tcW w:w="9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8A6D00"/>
                <w:sz w:val="19"/>
              </w:rPr>
              <w:t>Medium</w:t>
            </w:r>
          </w:p>
        </w:tc>
        <w:tc>
          <w:tcPr>
            <w:tcW w:type="dxa" w:w="2346"/>
            <w:tcW w:w="50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API and worker run with MinIO root credentials — a compromised API owns the entire object store.</w:t>
            </w:r>
          </w:p>
        </w:tc>
        <w:tc>
          <w:tcPr>
            <w:tcW w:type="dxa" w:w="2346"/>
            <w:tcW w:w="2986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Scoped MinIO service account limited to the three application buckets</w:t>
            </w:r>
          </w:p>
        </w:tc>
      </w:tr>
      <w:tr>
        <w:tc>
          <w:tcPr>
            <w:tcW w:type="dxa" w:w="2346"/>
            <w:tcW w:w="50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M4</w:t>
            </w:r>
          </w:p>
        </w:tc>
        <w:tc>
          <w:tcPr>
            <w:tcW w:type="dxa" w:w="2346"/>
            <w:tcW w:w="90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8A6D00"/>
                <w:sz w:val="19"/>
              </w:rPr>
              <w:t>Medium</w:t>
            </w:r>
          </w:p>
        </w:tc>
        <w:tc>
          <w:tcPr>
            <w:tcW w:type="dxa" w:w="2346"/>
            <w:tcW w:w="500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Refresh-token rotation never invalidates the presented token — a stolen refresh token stays valid for 30 days in parallel with the legitimate one.</w:t>
            </w:r>
          </w:p>
        </w:tc>
        <w:tc>
          <w:tcPr>
            <w:tcW w:type="dxa" w:w="2346"/>
            <w:tcW w:w="2986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Blacklist presented jti on refresh; add reuse detection</w:t>
            </w:r>
          </w:p>
        </w:tc>
      </w:tr>
      <w:tr>
        <w:tc>
          <w:tcPr>
            <w:tcW w:type="dxa" w:w="2346"/>
            <w:tcW w:w="5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M5</w:t>
            </w:r>
          </w:p>
        </w:tc>
        <w:tc>
          <w:tcPr>
            <w:tcW w:type="dxa" w:w="2346"/>
            <w:tcW w:w="9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8A6D00"/>
                <w:sz w:val="19"/>
              </w:rPr>
              <w:t>Medium</w:t>
            </w:r>
          </w:p>
        </w:tc>
        <w:tc>
          <w:tcPr>
            <w:tcW w:type="dxa" w:w="2346"/>
            <w:tcW w:w="50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Single shared JWT base secret for access/refresh/setup token classes; placeholder secrets in local environment files.</w:t>
            </w:r>
          </w:p>
        </w:tc>
        <w:tc>
          <w:tcPr>
            <w:tcW w:type="dxa" w:w="2346"/>
            <w:tcW w:w="2986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Distinct high-entropy secrets per token class; assert minimum length at startup</w:t>
            </w:r>
          </w:p>
        </w:tc>
      </w:tr>
      <w:tr>
        <w:tc>
          <w:tcPr>
            <w:tcW w:type="dxa" w:w="2346"/>
            <w:tcW w:w="50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M6</w:t>
            </w:r>
          </w:p>
        </w:tc>
        <w:tc>
          <w:tcPr>
            <w:tcW w:type="dxa" w:w="2346"/>
            <w:tcW w:w="90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8A6D00"/>
                <w:sz w:val="19"/>
              </w:rPr>
              <w:t>Medium</w:t>
            </w:r>
          </w:p>
        </w:tc>
        <w:tc>
          <w:tcPr>
            <w:tcW w:type="dxa" w:w="2346"/>
            <w:tcW w:w="500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APP_ENCRYPTION_KEY undocumented in example env files; static scrypt salt; 16-character minimum too low.</w:t>
            </w:r>
          </w:p>
        </w:tc>
        <w:tc>
          <w:tcPr>
            <w:tcW w:type="dxa" w:w="2346"/>
            <w:tcW w:w="2986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Document with a generation command; require ≥32 characters</w:t>
            </w:r>
          </w:p>
        </w:tc>
      </w:tr>
    </w:tbl>
    <w:p>
      <w:pPr>
        <w:pStyle w:val="Heading2"/>
      </w:pPr>
      <w:r>
        <w:rPr>
          <w:rFonts w:ascii="Arial" w:hAnsi="Arial"/>
        </w:rPr>
        <w:t>Low findings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2C2C"/>
          <w:sz w:val="22"/>
        </w:rPr>
        <w:t>L1</w:t>
      </w:r>
      <w:r>
        <w:rPr>
          <w:rFonts w:ascii="Arial" w:hAnsi="Arial"/>
          <w:b w:val="0"/>
          <w:i w:val="0"/>
          <w:color w:val="2C2C2C"/>
          <w:sz w:val="22"/>
        </w:rPr>
        <w:t xml:space="preserve"> — APK/IPA download endpoints are fully public (accepted trade-off for pre-login OTA); add rate limiting.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2C2C"/>
          <w:sz w:val="22"/>
        </w:rPr>
        <w:t>L2</w:t>
      </w:r>
      <w:r>
        <w:rPr>
          <w:rFonts w:ascii="Arial" w:hAnsi="Arial"/>
          <w:b w:val="0"/>
          <w:i w:val="0"/>
          <w:color w:val="2C2C2C"/>
          <w:sz w:val="22"/>
        </w:rPr>
        <w:t xml:space="preserve"> — No HSTS header on the nginx SPA hosts (Helmet covers the API only); one-line fix in the 443 server blocks.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2C2C"/>
          <w:sz w:val="22"/>
        </w:rPr>
        <w:t>L3</w:t>
      </w:r>
      <w:r>
        <w:rPr>
          <w:rFonts w:ascii="Arial" w:hAnsi="Arial"/>
          <w:b w:val="0"/>
          <w:i w:val="0"/>
          <w:color w:val="2C2C2C"/>
          <w:sz w:val="22"/>
        </w:rPr>
        <w:t xml:space="preserve"> — Android tokens in plain DataStore; iOS correctly uses Keychain. Migrate to EncryptedSharedPreferences.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2C2C"/>
          <w:sz w:val="22"/>
        </w:rPr>
        <w:t>L4</w:t>
      </w:r>
      <w:r>
        <w:rPr>
          <w:rFonts w:ascii="Arial" w:hAnsi="Arial"/>
          <w:b w:val="0"/>
          <w:i w:val="0"/>
          <w:color w:val="2C2C2C"/>
          <w:sz w:val="22"/>
        </w:rPr>
        <w:t xml:space="preserve"> — No certificate pinning in either mobile app (TLS enforced, cleartext disabled; pin the CA key if hardening).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2C2C"/>
          <w:sz w:val="22"/>
        </w:rPr>
        <w:t>L5</w:t>
      </w:r>
      <w:r>
        <w:rPr>
          <w:rFonts w:ascii="Arial" w:hAnsi="Arial"/>
          <w:b w:val="0"/>
          <w:i w:val="0"/>
          <w:color w:val="2C2C2C"/>
          <w:sz w:val="22"/>
        </w:rPr>
        <w:t xml:space="preserve"> — Label printing uses innerHTML with asset-derived strings; confirm escaping or use a sanitiser.</w:t>
      </w:r>
    </w:p>
    <w:p>
      <w:pPr>
        <w:shd w:val="clear" w:fill="E8F0E4"/>
        <w:pBdr>
          <w:left w:val="single" w:sz="18" w:space="8" w:color="3A6B35"/>
        </w:pBdr>
        <w:spacing w:before="160" w:after="160"/>
        <w:ind w:left="240" w:right="240"/>
      </w:pPr>
      <w:r>
        <w:rPr>
          <w:rFonts w:ascii="Arial" w:hAnsi="Arial"/>
          <w:b/>
          <w:i w:val="0"/>
          <w:color w:val="3A6B35"/>
          <w:sz w:val="22"/>
        </w:rPr>
        <w:t xml:space="preserve">Done well:  </w:t>
      </w:r>
      <w:r>
        <w:rPr>
          <w:rFonts w:ascii="Arial" w:hAnsi="Arial"/>
          <w:b w:val="0"/>
          <w:i w:val="0"/>
          <w:color w:val="2C2C2C"/>
          <w:sz w:val="22"/>
        </w:rPr>
        <w:t>No secrets ever committed (verified across git history); bcrypt-12 with dummy-compare against user enumeration; progressive lockout plus per-route login limiter; coherent RBAC with a separate platform-admin plane; Android OTA verifies APK SHA-256; private buckets with all files streamed through the authenticated API; CORS allowlist; API keys stored only as SHA-256 hashes.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3. SaaS Capability</w:t>
      </w:r>
    </w:p>
    <w:p>
      <w:pPr>
        <w:spacing w:before="0" w:after="160"/>
      </w:pPr>
      <w:r>
        <w:rPr>
          <w:rFonts w:ascii="Arial" w:hAnsi="Arial"/>
          <w:b w:val="0"/>
          <w:i w:val="0"/>
          <w:color w:val="2C2C2C"/>
          <w:sz w:val="22"/>
        </w:rPr>
        <w:t>The domain model was designed for SaaS from day one — the deploymentMode enum (standalone/saas/hybrid), licence tiers, sub-tenants and the onboarding wizard prove it. The gaps are operational rather than architectural.</w:t>
      </w:r>
    </w:p>
    <w:p>
      <w:pPr>
        <w:pStyle w:val="Heading2"/>
      </w:pPr>
      <w:r>
        <w:rPr>
          <w:rFonts w:ascii="Arial" w:hAnsi="Arial"/>
        </w:rPr>
        <w:t>Gaps ranked for going SaaS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86" w:type="dxa"/>
      </w:tblPr>
      <w:tblGrid>
        <w:gridCol w:w="1877"/>
        <w:gridCol w:w="1877"/>
        <w:gridCol w:w="1877"/>
        <w:gridCol w:w="1877"/>
        <w:gridCol w:w="1877"/>
      </w:tblGrid>
      <w:tr>
        <w:trPr>
          <w:tblHeader w:val="true"/>
        </w:trPr>
        <w:tc>
          <w:tcPr>
            <w:tcW w:type="dxa" w:w="1877"/>
            <w:tcW w:w="450" w:type="dxa"/>
            <w:shd w:val="clear" w:fill="1F38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877"/>
            <w:tcW w:w="2350" w:type="dxa"/>
            <w:shd w:val="clear" w:fill="1F38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Gap</w:t>
            </w:r>
          </w:p>
        </w:tc>
        <w:tc>
          <w:tcPr>
            <w:tcW w:type="dxa" w:w="1877"/>
            <w:tcW w:w="2350" w:type="dxa"/>
            <w:shd w:val="clear" w:fill="1F38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Why it matters</w:t>
            </w:r>
          </w:p>
        </w:tc>
        <w:tc>
          <w:tcPr>
            <w:tcW w:type="dxa" w:w="1877"/>
            <w:tcW w:w="3336" w:type="dxa"/>
            <w:shd w:val="clear" w:fill="1F38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Resolution</w:t>
            </w:r>
          </w:p>
        </w:tc>
        <w:tc>
          <w:tcPr>
            <w:tcW w:type="dxa" w:w="1877"/>
            <w:tcW w:w="900" w:type="dxa"/>
            <w:shd w:val="clear" w:fill="1F38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Effort</w:t>
            </w:r>
          </w:p>
        </w:tc>
      </w:tr>
      <w:tr>
        <w:tc>
          <w:tcPr>
            <w:tcW w:type="dxa" w:w="1877"/>
            <w:tcW w:w="45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1</w:t>
            </w:r>
          </w:p>
        </w:tc>
        <w:tc>
          <w:tcPr>
            <w:tcW w:type="dxa" w:w="1877"/>
            <w:tcW w:w="235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No payment gateway — a platform admin manually flips paymentConfirmed; no Stripe/Paddle anywhere</w:t>
            </w:r>
          </w:p>
        </w:tc>
        <w:tc>
          <w:tcPr>
            <w:tcW w:type="dxa" w:w="1877"/>
            <w:tcW w:w="235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Cannot self-serve monetise beyond ~dozens of tenants</w:t>
            </w:r>
          </w:p>
        </w:tc>
        <w:tc>
          <w:tcPr>
            <w:tcW w:type="dxa" w:w="1877"/>
            <w:tcW w:w="3336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Stripe Billing mapped onto the existing licence state machine — integration, not redesign</w:t>
            </w:r>
          </w:p>
        </w:tc>
        <w:tc>
          <w:tcPr>
            <w:tcW w:type="dxa" w:w="1877"/>
            <w:tcW w:w="9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M</w:t>
            </w:r>
          </w:p>
        </w:tc>
      </w:tr>
      <w:tr>
        <w:tc>
          <w:tcPr>
            <w:tcW w:type="dxa" w:w="1877"/>
            <w:tcW w:w="45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2</w:t>
            </w:r>
          </w:p>
        </w:tc>
        <w:tc>
          <w:tcPr>
            <w:tcW w:type="dxa" w:w="1877"/>
            <w:tcW w:w="235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No staging environment</w:t>
            </w:r>
          </w:p>
        </w:tc>
        <w:tc>
          <w:tcPr>
            <w:tcW w:type="dxa" w:w="1877"/>
            <w:tcW w:w="235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Schema changes are effectively tested on production</w:t>
            </w:r>
          </w:p>
        </w:tc>
        <w:tc>
          <w:tcPr>
            <w:tcW w:type="dxa" w:w="1877"/>
            <w:tcW w:w="3336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Staging compose/host fed by CI-built images</w:t>
            </w:r>
          </w:p>
        </w:tc>
        <w:tc>
          <w:tcPr>
            <w:tcW w:type="dxa" w:w="1877"/>
            <w:tcW w:w="90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M</w:t>
            </w:r>
          </w:p>
        </w:tc>
      </w:tr>
      <w:tr>
        <w:tc>
          <w:tcPr>
            <w:tcW w:type="dxa" w:w="1877"/>
            <w:tcW w:w="45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3</w:t>
            </w:r>
          </w:p>
        </w:tc>
        <w:tc>
          <w:tcPr>
            <w:tcW w:type="dxa" w:w="1877"/>
            <w:tcW w:w="235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Migrations not wired into deploy</w:t>
            </w:r>
          </w:p>
        </w:tc>
        <w:tc>
          <w:tcPr>
            <w:tcW w:type="dxa" w:w="1877"/>
            <w:tcW w:w="235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A deploy shipping schema-dependent code crash-loops the API</w:t>
            </w:r>
          </w:p>
        </w:tc>
        <w:tc>
          <w:tcPr>
            <w:tcW w:type="dxa" w:w="1877"/>
            <w:tcW w:w="3336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Add prisma migrate deploy to deploy.sh / container entrypoint</w:t>
            </w:r>
          </w:p>
        </w:tc>
        <w:tc>
          <w:tcPr>
            <w:tcW w:type="dxa" w:w="1877"/>
            <w:tcW w:w="9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S</w:t>
            </w:r>
          </w:p>
        </w:tc>
      </w:tr>
      <w:tr>
        <w:tc>
          <w:tcPr>
            <w:tcW w:type="dxa" w:w="1877"/>
            <w:tcW w:w="45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4</w:t>
            </w:r>
          </w:p>
        </w:tc>
        <w:tc>
          <w:tcPr>
            <w:tcW w:type="dxa" w:w="1877"/>
            <w:tcW w:w="235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In-memory rate limiting and lockout counters</w:t>
            </w:r>
          </w:p>
        </w:tc>
        <w:tc>
          <w:tcPr>
            <w:tcW w:type="dxa" w:w="1877"/>
            <w:tcW w:w="235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Blocks running more than one API replica</w:t>
            </w:r>
          </w:p>
        </w:tc>
        <w:tc>
          <w:tcPr>
            <w:tcW w:type="dxa" w:w="1877"/>
            <w:tcW w:w="3336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Swap to rate-limit-redis (Redis already deployed)</w:t>
            </w:r>
          </w:p>
        </w:tc>
        <w:tc>
          <w:tcPr>
            <w:tcW w:type="dxa" w:w="1877"/>
            <w:tcW w:w="90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S</w:t>
            </w:r>
          </w:p>
        </w:tc>
      </w:tr>
      <w:tr>
        <w:tc>
          <w:tcPr>
            <w:tcW w:type="dxa" w:w="1877"/>
            <w:tcW w:w="45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5</w:t>
            </w:r>
          </w:p>
        </w:tc>
        <w:tc>
          <w:tcPr>
            <w:tcW w:type="dxa" w:w="1877"/>
            <w:tcW w:w="235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No DB-level tenant isolation backstop</w:t>
            </w:r>
          </w:p>
        </w:tc>
        <w:tc>
          <w:tcPr>
            <w:tcW w:type="dxa" w:w="1877"/>
            <w:tcW w:w="235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One forgotten tenantId filter in future code = cross-tenant breach</w:t>
            </w:r>
          </w:p>
        </w:tc>
        <w:tc>
          <w:tcPr>
            <w:tcW w:type="dxa" w:w="1877"/>
            <w:tcW w:w="3336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Prisma client extension auto-injecting tenant scope + CI cross-tenant fuzz test (or Postgres RLS)</w:t>
            </w:r>
          </w:p>
        </w:tc>
        <w:tc>
          <w:tcPr>
            <w:tcW w:type="dxa" w:w="1877"/>
            <w:tcW w:w="9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M–L</w:t>
            </w:r>
          </w:p>
        </w:tc>
      </w:tr>
      <w:tr>
        <w:tc>
          <w:tcPr>
            <w:tcW w:type="dxa" w:w="1877"/>
            <w:tcW w:w="45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6</w:t>
            </w:r>
          </w:p>
        </w:tc>
        <w:tc>
          <w:tcPr>
            <w:tcW w:type="dxa" w:w="1877"/>
            <w:tcW w:w="235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Webhook delivery is fire-and-forget</w:t>
            </w:r>
          </w:p>
        </w:tc>
        <w:tc>
          <w:tcPr>
            <w:tcW w:type="dxa" w:w="1877"/>
            <w:tcW w:w="235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Public-API customers need signed, retried delivery</w:t>
            </w:r>
          </w:p>
        </w:tc>
        <w:tc>
          <w:tcPr>
            <w:tcW w:type="dxa" w:w="1877"/>
            <w:tcW w:w="3336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Route through BullMQ with HMAC signing and a delivery log</w:t>
            </w:r>
          </w:p>
        </w:tc>
        <w:tc>
          <w:tcPr>
            <w:tcW w:type="dxa" w:w="1877"/>
            <w:tcW w:w="90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S–M</w:t>
            </w:r>
          </w:p>
        </w:tc>
      </w:tr>
      <w:tr>
        <w:tc>
          <w:tcPr>
            <w:tcW w:type="dxa" w:w="1877"/>
            <w:tcW w:w="45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7</w:t>
            </w:r>
          </w:p>
        </w:tc>
        <w:tc>
          <w:tcPr>
            <w:tcW w:type="dxa" w:w="1877"/>
            <w:tcW w:w="235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Mobile server URL compile-time hardcoded</w:t>
            </w:r>
          </w:p>
        </w:tc>
        <w:tc>
          <w:tcPr>
            <w:tcW w:type="dxa" w:w="1877"/>
            <w:tcW w:w="235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Blocks the hybrid/self-hosted deals deploymentMode implies</w:t>
            </w:r>
          </w:p>
        </w:tc>
        <w:tc>
          <w:tcPr>
            <w:tcW w:type="dxa" w:w="1877"/>
            <w:tcW w:w="3336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Runtime server field on login, persisted in DataStore/Keychain</w:t>
            </w:r>
          </w:p>
        </w:tc>
        <w:tc>
          <w:tcPr>
            <w:tcW w:type="dxa" w:w="1877"/>
            <w:tcW w:w="9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S–M</w:t>
            </w:r>
          </w:p>
        </w:tc>
      </w:tr>
      <w:tr>
        <w:tc>
          <w:tcPr>
            <w:tcW w:type="dxa" w:w="1877"/>
            <w:tcW w:w="45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8</w:t>
            </w:r>
          </w:p>
        </w:tc>
        <w:tc>
          <w:tcPr>
            <w:tcW w:type="dxa" w:w="1877"/>
            <w:tcW w:w="235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No usage metering (storage, API calls)</w:t>
            </w:r>
          </w:p>
        </w:tc>
        <w:tc>
          <w:tcPr>
            <w:tcW w:type="dxa" w:w="1877"/>
            <w:tcW w:w="235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Cannot price fairly or cap MinIO growth per tenant</w:t>
            </w:r>
          </w:p>
        </w:tc>
        <w:tc>
          <w:tcPr>
            <w:tcW w:type="dxa" w:w="1877"/>
            <w:tcW w:w="3336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Nightly aggregation of stored sizeBytes; enforce tier storage caps</w:t>
            </w:r>
          </w:p>
        </w:tc>
        <w:tc>
          <w:tcPr>
            <w:tcW w:type="dxa" w:w="1877"/>
            <w:tcW w:w="90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S</w:t>
            </w:r>
          </w:p>
        </w:tc>
      </w:tr>
      <w:tr>
        <w:tc>
          <w:tcPr>
            <w:tcW w:type="dxa" w:w="1877"/>
            <w:tcW w:w="45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9</w:t>
            </w:r>
          </w:p>
        </w:tc>
        <w:tc>
          <w:tcPr>
            <w:tcW w:type="dxa" w:w="1877"/>
            <w:tcW w:w="235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White-label thin (logo + currency); SMTP is platform-global</w:t>
            </w:r>
          </w:p>
        </w:tc>
        <w:tc>
          <w:tcPr>
            <w:tcW w:type="dxa" w:w="1877"/>
            <w:tcW w:w="235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Mid-market buyers expect custom sender domains/theming</w:t>
            </w:r>
          </w:p>
        </w:tc>
        <w:tc>
          <w:tcPr>
            <w:tcW w:type="dxa" w:w="1877"/>
            <w:tcW w:w="3336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Per-tenant SMTP rows and a theme JSON on Company</w:t>
            </w:r>
          </w:p>
        </w:tc>
        <w:tc>
          <w:tcPr>
            <w:tcW w:type="dxa" w:w="1877"/>
            <w:tcW w:w="9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M</w:t>
            </w:r>
          </w:p>
        </w:tc>
      </w:tr>
      <w:tr>
        <w:tc>
          <w:tcPr>
            <w:tcW w:type="dxa" w:w="1877"/>
            <w:tcW w:w="45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10</w:t>
            </w:r>
          </w:p>
        </w:tc>
        <w:tc>
          <w:tcPr>
            <w:tcW w:type="dxa" w:w="1877"/>
            <w:tcW w:w="235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Global OTA release channel</w:t>
            </w:r>
          </w:p>
        </w:tc>
        <w:tc>
          <w:tcPr>
            <w:tcW w:type="dxa" w:w="1877"/>
            <w:tcW w:w="235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A bad mobile build hits 100% of tenants at once</w:t>
            </w:r>
          </w:p>
        </w:tc>
        <w:tc>
          <w:tcPr>
            <w:tcW w:type="dxa" w:w="1877"/>
            <w:tcW w:w="3336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Rollout percentage or per-tenant release pinning</w:t>
            </w:r>
          </w:p>
        </w:tc>
        <w:tc>
          <w:tcPr>
            <w:tcW w:type="dxa" w:w="1877"/>
            <w:tcW w:w="90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</w:rPr>
        <w:t>4. Online / Offline Ability</w:t>
      </w:r>
    </w:p>
    <w:p>
      <w:pPr>
        <w:spacing w:before="0" w:after="160"/>
      </w:pPr>
      <w:r>
        <w:rPr>
          <w:rFonts w:ascii="Arial" w:hAnsi="Arial"/>
          <w:b w:val="0"/>
          <w:i w:val="0"/>
          <w:color w:val="2C2C2C"/>
          <w:sz w:val="22"/>
        </w:rPr>
        <w:t>Both apps shipped a solid v1 offline mode (v1.7.2): Room/SwiftData caches, persistent outbox queues, write-ahead scan capture, WorkManager background sync on Android and connectivity-aware drain on iOS. However, several silent data-loss paths must be closed before field crews can rely on it.</w:t>
      </w:r>
    </w:p>
    <w:p>
      <w:pPr>
        <w:pStyle w:val="Heading2"/>
      </w:pPr>
      <w:r>
        <w:rPr>
          <w:rFonts w:ascii="Arial" w:hAnsi="Arial"/>
        </w:rPr>
        <w:t>Data-loss findings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86" w:type="dxa"/>
      </w:tblPr>
      <w:tblGrid>
        <w:gridCol w:w="1877"/>
        <w:gridCol w:w="1877"/>
        <w:gridCol w:w="1877"/>
        <w:gridCol w:w="1877"/>
        <w:gridCol w:w="1877"/>
      </w:tblGrid>
      <w:tr>
        <w:trPr>
          <w:tblHeader w:val="true"/>
        </w:trPr>
        <w:tc>
          <w:tcPr>
            <w:tcW w:type="dxa" w:w="1877"/>
            <w:tcW w:w="450" w:type="dxa"/>
            <w:shd w:val="clear" w:fill="1F38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877"/>
            <w:tcW w:w="3200" w:type="dxa"/>
            <w:shd w:val="clear" w:fill="1F38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1877"/>
            <w:tcW w:w="2100" w:type="dxa"/>
            <w:shd w:val="clear" w:fill="1F38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Impact</w:t>
            </w:r>
          </w:p>
        </w:tc>
        <w:tc>
          <w:tcPr>
            <w:tcW w:type="dxa" w:w="1877"/>
            <w:tcW w:w="2736" w:type="dxa"/>
            <w:shd w:val="clear" w:fill="1F38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Resolution</w:t>
            </w:r>
          </w:p>
        </w:tc>
        <w:tc>
          <w:tcPr>
            <w:tcW w:type="dxa" w:w="1877"/>
            <w:tcW w:w="900" w:type="dxa"/>
            <w:shd w:val="clear" w:fill="1F38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Effort</w:t>
            </w:r>
          </w:p>
        </w:tc>
      </w:tr>
      <w:tr>
        <w:tc>
          <w:tcPr>
            <w:tcW w:type="dxa" w:w="1877"/>
            <w:tcW w:w="45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1</w:t>
            </w:r>
          </w:p>
        </w:tc>
        <w:tc>
          <w:tcPr>
            <w:tcW w:type="dxa" w:w="1877"/>
            <w:tcW w:w="32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Queued work is deleted after 5 failed sync attempts, silently, on both platforms; Android's 30s backoff can exhaust all 5 in minutes; Android's cold-start token wipe means post-reboot workers burn attempts on 401s</w:t>
            </w:r>
          </w:p>
        </w:tc>
        <w:tc>
          <w:tcPr>
            <w:tcW w:type="dxa" w:w="1877"/>
            <w:tcW w:w="21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Permanent silent loss of scans and asset creates</w:t>
            </w:r>
          </w:p>
        </w:tc>
        <w:tc>
          <w:tcPr>
            <w:tcW w:type="dxa" w:w="1877"/>
            <w:tcW w:w="2736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Dead-letter state + 'failed items' retry/discard UI; never count network errors; skip sync when unauthenticated</w:t>
            </w:r>
          </w:p>
        </w:tc>
        <w:tc>
          <w:tcPr>
            <w:tcW w:type="dxa" w:w="1877"/>
            <w:tcW w:w="9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M</w:t>
            </w:r>
          </w:p>
        </w:tc>
      </w:tr>
      <w:tr>
        <w:tc>
          <w:tcPr>
            <w:tcW w:type="dxa" w:w="1877"/>
            <w:tcW w:w="45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2</w:t>
            </w:r>
          </w:p>
        </w:tc>
        <w:tc>
          <w:tcPr>
            <w:tcW w:type="dxa" w:w="1877"/>
            <w:tcW w:w="320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Android blind-audit offline scans are always rejected: queued without locationId/condition (columns exist, unpopulated); server requires them; 5 fails then dropped</w:t>
            </w:r>
          </w:p>
        </w:tc>
        <w:tc>
          <w:tcPr>
            <w:tcW w:type="dxa" w:w="1877"/>
            <w:tcW w:w="210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100% loss of offline blind-audit data</w:t>
            </w:r>
          </w:p>
        </w:tc>
        <w:tc>
          <w:tcPr>
            <w:tcW w:type="dxa" w:w="1877"/>
            <w:tcW w:w="2736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Persist and replay both fields — near two-line fix on each side</w:t>
            </w:r>
          </w:p>
        </w:tc>
        <w:tc>
          <w:tcPr>
            <w:tcW w:type="dxa" w:w="1877"/>
            <w:tcW w:w="90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S</w:t>
            </w:r>
          </w:p>
        </w:tc>
      </w:tr>
      <w:tr>
        <w:tc>
          <w:tcPr>
            <w:tcW w:type="dxa" w:w="1877"/>
            <w:tcW w:w="45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3</w:t>
            </w:r>
          </w:p>
        </w:tc>
        <w:tc>
          <w:tcPr>
            <w:tcW w:type="dxa" w:w="1877"/>
            <w:tcW w:w="32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No idempotency on replay: crash between API success and queue-delete duplicates assets/scan events; no unique constraint on barcode/rfidTag; asset-number race under concurrent drains</w:t>
            </w:r>
          </w:p>
        </w:tc>
        <w:tc>
          <w:tcPr>
            <w:tcW w:type="dxa" w:w="1877"/>
            <w:tcW w:w="21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Duplicate assets, inflated audit counts</w:t>
            </w:r>
          </w:p>
        </w:tc>
        <w:tc>
          <w:tcPr>
            <w:tcW w:type="dxa" w:w="1877"/>
            <w:tcW w:w="2736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Send client UUID as clientRequestId (iOS already generates one); server dedupe; serialise asset numbering</w:t>
            </w:r>
          </w:p>
        </w:tc>
        <w:tc>
          <w:tcPr>
            <w:tcW w:type="dxa" w:w="1877"/>
            <w:tcW w:w="9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M</w:t>
            </w:r>
          </w:p>
        </w:tc>
      </w:tr>
      <w:tr>
        <w:tc>
          <w:tcPr>
            <w:tcW w:type="dxa" w:w="1877"/>
            <w:tcW w:w="45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4</w:t>
            </w:r>
          </w:p>
        </w:tc>
        <w:tc>
          <w:tcPr>
            <w:tcW w:type="dxa" w:w="1877"/>
            <w:tcW w:w="320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Offline photo capture loses the photo — no queue, no gating; upload fails and the image is discarded</w:t>
            </w:r>
          </w:p>
        </w:tc>
        <w:tc>
          <w:tcPr>
            <w:tcW w:type="dxa" w:w="1877"/>
            <w:tcW w:w="210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Field effort lost with only an error toast</w:t>
            </w:r>
          </w:p>
        </w:tc>
        <w:tc>
          <w:tcPr>
            <w:tcW w:type="dxa" w:w="1877"/>
            <w:tcW w:w="2736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Queue photo files on disk and drain with existing workers (or minimally gate capture offline)</w:t>
            </w:r>
          </w:p>
        </w:tc>
        <w:tc>
          <w:tcPr>
            <w:tcW w:type="dxa" w:w="1877"/>
            <w:tcW w:w="90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M / S</w:t>
            </w:r>
          </w:p>
        </w:tc>
      </w:tr>
      <w:tr>
        <w:tc>
          <w:tcPr>
            <w:tcW w:type="dxa" w:w="1877"/>
            <w:tcW w:w="45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5</w:t>
            </w:r>
          </w:p>
        </w:tc>
        <w:tc>
          <w:tcPr>
            <w:tcW w:type="dxa" w:w="1877"/>
            <w:tcW w:w="32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Android session lifecycle defeats offline: cold-start token wipe plus token clear on any refresh 5xx</w:t>
            </w:r>
          </w:p>
        </w:tc>
        <w:tc>
          <w:tcPr>
            <w:tcW w:type="dxa" w:w="1877"/>
            <w:tcW w:w="21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Offline cold start lands on an unusable login screen despite cached data</w:t>
            </w:r>
          </w:p>
        </w:tc>
        <w:tc>
          <w:tcPr>
            <w:tcW w:type="dxa" w:w="1877"/>
            <w:tcW w:w="2736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Port the iOS policy: clear only on genuine server rejection</w:t>
            </w:r>
          </w:p>
        </w:tc>
        <w:tc>
          <w:tcPr>
            <w:tcW w:type="dxa" w:w="1877"/>
            <w:tcW w:w="9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S</w:t>
            </w:r>
          </w:p>
        </w:tc>
      </w:tr>
      <w:tr>
        <w:tc>
          <w:tcPr>
            <w:tcW w:type="dxa" w:w="1877"/>
            <w:tcW w:w="45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6</w:t>
            </w:r>
          </w:p>
        </w:tc>
        <w:tc>
          <w:tcPr>
            <w:tcW w:type="dxa" w:w="1877"/>
            <w:tcW w:w="320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No iOS background sync (foreground-only NWPathMonitor)</w:t>
            </w:r>
          </w:p>
        </w:tc>
        <w:tc>
          <w:tcPr>
            <w:tcW w:type="dxa" w:w="1877"/>
            <w:tcW w:w="210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Queued data stranded until next app open</w:t>
            </w:r>
          </w:p>
        </w:tc>
        <w:tc>
          <w:tcPr>
            <w:tcW w:type="dxa" w:w="1877"/>
            <w:tcW w:w="2736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Register a BGProcessingTask calling the existing sync</w:t>
            </w:r>
          </w:p>
        </w:tc>
        <w:tc>
          <w:tcPr>
            <w:tcW w:type="dxa" w:w="1877"/>
            <w:tcW w:w="90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M</w:t>
            </w:r>
          </w:p>
        </w:tc>
      </w:tr>
      <w:tr>
        <w:tc>
          <w:tcPr>
            <w:tcW w:type="dxa" w:w="1877"/>
            <w:tcW w:w="45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7</w:t>
            </w:r>
          </w:p>
        </w:tc>
        <w:tc>
          <w:tcPr>
            <w:tcW w:type="dxa" w:w="1877"/>
            <w:tcW w:w="32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Replayed scans get server-stamped timestamps (no capturedAt field)</w:t>
            </w:r>
          </w:p>
        </w:tc>
        <w:tc>
          <w:tcPr>
            <w:tcW w:type="dxa" w:w="1877"/>
            <w:tcW w:w="21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Audit-evidence timestamps are wrong for offline scans</w:t>
            </w:r>
          </w:p>
        </w:tc>
        <w:tc>
          <w:tcPr>
            <w:tcW w:type="dxa" w:w="1877"/>
            <w:tcW w:w="2736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Add capturedAt with a server-side sanity clamp</w:t>
            </w:r>
          </w:p>
        </w:tc>
        <w:tc>
          <w:tcPr>
            <w:tcW w:type="dxa" w:w="1877"/>
            <w:tcW w:w="9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S</w:t>
            </w:r>
          </w:p>
        </w:tc>
      </w:tr>
      <w:tr>
        <w:tc>
          <w:tcPr>
            <w:tcW w:type="dxa" w:w="1877"/>
            <w:tcW w:w="45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8</w:t>
            </w:r>
          </w:p>
        </w:tc>
        <w:tc>
          <w:tcPr>
            <w:tcW w:type="dxa" w:w="1877"/>
            <w:tcW w:w="320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Full-register re-download on every refresh; no delta sync; cache age tracked but never shown</w:t>
            </w:r>
          </w:p>
        </w:tc>
        <w:tc>
          <w:tcPr>
            <w:tcW w:type="dxa" w:w="1877"/>
            <w:tcW w:w="210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Bandwidth waste; stale decisions in the field</w:t>
            </w:r>
          </w:p>
        </w:tc>
        <w:tc>
          <w:tcPr>
            <w:tcW w:type="dxa" w:w="1877"/>
            <w:tcW w:w="2736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changedSince delta endpoint; 'last synced X ago' label</w:t>
            </w:r>
          </w:p>
        </w:tc>
        <w:tc>
          <w:tcPr>
            <w:tcW w:type="dxa" w:w="1877"/>
            <w:tcW w:w="90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M / S</w:t>
            </w:r>
          </w:p>
        </w:tc>
      </w:tr>
      <w:tr>
        <w:tc>
          <w:tcPr>
            <w:tcW w:type="dxa" w:w="1877"/>
            <w:tcW w:w="45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9</w:t>
            </w:r>
          </w:p>
        </w:tc>
        <w:tc>
          <w:tcPr>
            <w:tcW w:type="dxa" w:w="1877"/>
            <w:tcW w:w="32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Platform parity gaps: Android lacks reference-data cache (offline creates cannot set site/category), provisional rows; iOS lacks RFID sessions, blind-audit zones, pending-count UI</w:t>
            </w:r>
          </w:p>
        </w:tc>
        <w:tc>
          <w:tcPr>
            <w:tcW w:type="dxa" w:w="1877"/>
            <w:tcW w:w="21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Inconsistent field capability between platforms</w:t>
            </w:r>
          </w:p>
        </w:tc>
        <w:tc>
          <w:tcPr>
            <w:tcW w:type="dxa" w:w="1877"/>
            <w:tcW w:w="2736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Port each capability across; fix iOS provisional-row orphan edge cases</w:t>
            </w:r>
          </w:p>
        </w:tc>
        <w:tc>
          <w:tcPr>
            <w:tcW w:type="dxa" w:w="1877"/>
            <w:tcW w:w="9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S–M</w:t>
            </w:r>
          </w:p>
        </w:tc>
      </w:tr>
    </w:tbl>
    <w:p>
      <w:pPr>
        <w:spacing w:before="0" w:after="160"/>
      </w:pPr>
      <w:r>
        <w:rPr>
          <w:rFonts w:ascii="Arial" w:hAnsi="Arial"/>
          <w:b w:val="0"/>
          <w:i w:val="0"/>
          <w:color w:val="2C2C2C"/>
          <w:sz w:val="22"/>
        </w:rPr>
        <w:t>The web and admin applications are fully online-only (no service worker) — acceptable, noted for the roadmap.</w:t>
      </w:r>
    </w:p>
    <w:p>
      <w:pPr>
        <w:shd w:val="clear" w:fill="F6E4E4"/>
        <w:pBdr>
          <w:left w:val="single" w:sz="18" w:space="8" w:color="8B0000"/>
        </w:pBdr>
        <w:spacing w:before="160" w:after="160"/>
        <w:ind w:left="240" w:right="240"/>
      </w:pPr>
      <w:r>
        <w:rPr>
          <w:rFonts w:ascii="Arial" w:hAnsi="Arial"/>
          <w:b/>
          <w:i w:val="0"/>
          <w:color w:val="8B0000"/>
          <w:sz w:val="22"/>
        </w:rPr>
        <w:t xml:space="preserve">Highest priority pair:  </w:t>
      </w:r>
      <w:r>
        <w:rPr>
          <w:rFonts w:ascii="Arial" w:hAnsi="Arial"/>
          <w:b w:val="0"/>
          <w:i w:val="0"/>
          <w:color w:val="2C2C2C"/>
          <w:sz w:val="22"/>
        </w:rPr>
        <w:t>Findings 1 + 2 together mean an Android crew running a blind audit in a dead zone today loses every scan, permanently and silently. Finding 2 is a near two-line fix.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5. Communications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2C2C"/>
          <w:sz w:val="22"/>
        </w:rPr>
        <w:t>API</w:t>
      </w:r>
      <w:r>
        <w:rPr>
          <w:rFonts w:ascii="Arial" w:hAnsi="Arial"/>
          <w:b w:val="0"/>
          <w:i w:val="0"/>
          <w:color w:val="2C2C2C"/>
          <w:sz w:val="22"/>
        </w:rPr>
        <w:t xml:space="preserve"> — Express with helmet, CORS allowlist, request IDs, consistent error envelope, Swagger UI, versioned routes. Validation is per-route and uneven (not schema-first). No response compression anywhere; no tuned server/proxy timeouts; the global 100 req/min per-IP limiter will throttle NAT'd scanner fleets flushing offline queues.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2C2C"/>
          <w:sz w:val="22"/>
        </w:rPr>
        <w:t>Email</w:t>
      </w:r>
      <w:r>
        <w:rPr>
          <w:rFonts w:ascii="Arial" w:hAnsi="Arial"/>
          <w:b w:val="0"/>
          <w:i w:val="0"/>
          <w:color w:val="2C2C2C"/>
          <w:sz w:val="22"/>
        </w:rPr>
        <w:t xml:space="preserve"> — nodemailer/Resend via the worker (invites, audit-complete with CSV, alert digests); SMTP config encrypted at rest.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2C2C"/>
          <w:sz w:val="22"/>
        </w:rPr>
        <w:t>Broken silent feature</w:t>
      </w:r>
      <w:r>
        <w:rPr>
          <w:rFonts w:ascii="Arial" w:hAnsi="Arial"/>
          <w:b w:val="0"/>
          <w:i w:val="0"/>
          <w:color w:val="2C2C2C"/>
          <w:sz w:val="22"/>
        </w:rPr>
        <w:t xml:space="preserve"> — alert digests can never fire: the subscription UI and the worker consumer both exist, but no producer or scheduler ever enqueues the job. Users can subscribe to alerts that will never arrive. Maintenance-due detection is on-demand only — no proactive notifications at all.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2C2C"/>
          <w:sz w:val="22"/>
        </w:rPr>
        <w:t>Push / SMS</w:t>
      </w:r>
      <w:r>
        <w:rPr>
          <w:rFonts w:ascii="Arial" w:hAnsi="Arial"/>
          <w:b w:val="0"/>
          <w:i w:val="0"/>
          <w:color w:val="2C2C2C"/>
          <w:sz w:val="22"/>
        </w:rPr>
        <w:t xml:space="preserve"> — none. Mobile relies on unauthenticated version polling for OTA updates.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2C2C"/>
          <w:sz w:val="22"/>
        </w:rPr>
        <w:t>Real-time</w:t>
      </w:r>
      <w:r>
        <w:rPr>
          <w:rFonts w:ascii="Arial" w:hAnsi="Arial"/>
          <w:b w:val="0"/>
          <w:i w:val="0"/>
          <w:color w:val="2C2C2C"/>
          <w:sz w:val="22"/>
        </w:rPr>
        <w:t xml:space="preserve"> — none; the nginx /ws/ upgrade blocks are dead configuration.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2C2C"/>
          <w:sz w:val="22"/>
        </w:rPr>
        <w:t>Worker</w:t>
      </w:r>
      <w:r>
        <w:rPr>
          <w:rFonts w:ascii="Arial" w:hAnsi="Arial"/>
          <w:b w:val="0"/>
          <w:i w:val="0"/>
          <w:color w:val="2C2C2C"/>
          <w:sz w:val="22"/>
        </w:rPr>
        <w:t xml:space="preserve"> — BullMQ with 3 attempts and exponential backoff, but no dead-letter alerting (failed jobs silently evicted) and enqueue failures are swallowed with a log line.</w:t>
      </w:r>
    </w:p>
    <w:p>
      <w:pPr>
        <w:pStyle w:val="Heading1"/>
      </w:pPr>
      <w:r>
        <w:rPr>
          <w:rFonts w:ascii="Arial" w:hAnsi="Arial"/>
        </w:rPr>
        <w:t>6. Storage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2C2C"/>
          <w:sz w:val="22"/>
        </w:rPr>
        <w:t>Postgres</w:t>
      </w:r>
      <w:r>
        <w:rPr>
          <w:rFonts w:ascii="Arial" w:hAnsi="Arial"/>
          <w:b w:val="0"/>
          <w:i w:val="0"/>
          <w:color w:val="2C2C2C"/>
          <w:sz w:val="22"/>
        </w:rPr>
        <w:t xml:space="preserve"> — 45 models, well-indexed hot paths (barcode/RFID/tenant composites), 32 disciplined Prisma migrations — but nothing runs migrate deploy on deploy, and there are </w:t>
      </w:r>
      <w:r>
        <w:rPr>
          <w:rFonts w:ascii="Arial" w:hAnsi="Arial"/>
          <w:b/>
          <w:i w:val="0"/>
          <w:color w:val="2C2C2C"/>
          <w:sz w:val="22"/>
        </w:rPr>
        <w:t>no backups</w:t>
      </w:r>
      <w:r>
        <w:rPr>
          <w:rFonts w:ascii="Arial" w:hAnsi="Arial"/>
          <w:b w:val="0"/>
          <w:i w:val="0"/>
          <w:color w:val="2C2C2C"/>
          <w:sz w:val="22"/>
        </w:rPr>
        <w:t>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2C2C"/>
          <w:sz w:val="22"/>
        </w:rPr>
        <w:t>MinIO</w:t>
      </w:r>
      <w:r>
        <w:rPr>
          <w:rFonts w:ascii="Arial" w:hAnsi="Arial"/>
          <w:b w:val="0"/>
          <w:i w:val="0"/>
          <w:color w:val="2C2C2C"/>
          <w:sz w:val="22"/>
        </w:rPr>
        <w:t xml:space="preserve"> — three buckets (photos, documents, mobile releases) with tenant-prefixed keys and sensible upload caps. No presigned URLs — every photo/APK streams through the API. No lifecycle rules, no versioning, </w:t>
      </w:r>
      <w:r>
        <w:rPr>
          <w:rFonts w:ascii="Arial" w:hAnsi="Arial"/>
          <w:b/>
          <w:i w:val="0"/>
          <w:color w:val="2C2C2C"/>
          <w:sz w:val="22"/>
        </w:rPr>
        <w:t>no backups</w:t>
      </w:r>
      <w:r>
        <w:rPr>
          <w:rFonts w:ascii="Arial" w:hAnsi="Arial"/>
          <w:b w:val="0"/>
          <w:i w:val="0"/>
          <w:color w:val="2C2C2C"/>
          <w:sz w:val="22"/>
        </w:rPr>
        <w:t>. Swallowed delete errors orphan blobs; no orphan sweep.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2C2C"/>
          <w:sz w:val="22"/>
        </w:rPr>
        <w:t>Volumes</w:t>
      </w:r>
      <w:r>
        <w:rPr>
          <w:rFonts w:ascii="Arial" w:hAnsi="Arial"/>
          <w:b w:val="0"/>
          <w:i w:val="0"/>
          <w:color w:val="2C2C2C"/>
          <w:sz w:val="22"/>
        </w:rPr>
        <w:t xml:space="preserve"> — everything on bind mounts under /opt/Vairiot/infra/data on one host. Host disk death = total loss: all tenant data, all files, all releases, and the unversioned .env — losing APP_ENCRYPTION_KEY also orphans the encrypted SMTP credentials even if a dump existed.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2C2C"/>
          <w:sz w:val="22"/>
        </w:rPr>
        <w:t>Lifecycle</w:t>
      </w:r>
      <w:r>
        <w:rPr>
          <w:rFonts w:ascii="Arial" w:hAnsi="Arial"/>
          <w:b w:val="0"/>
          <w:i w:val="0"/>
          <w:color w:val="2C2C2C"/>
          <w:sz w:val="22"/>
        </w:rPr>
        <w:t xml:space="preserve"> — soft deletes only on User/Asset; solid audit-event log (unbounded growth, no retention); CSV/report exports exist but </w:t>
      </w:r>
      <w:r>
        <w:rPr>
          <w:rFonts w:ascii="Arial" w:hAnsi="Arial"/>
          <w:b/>
          <w:i w:val="0"/>
          <w:color w:val="2C2C2C"/>
          <w:sz w:val="22"/>
        </w:rPr>
        <w:t>no whole-tenant export</w:t>
      </w:r>
      <w:r>
        <w:rPr>
          <w:rFonts w:ascii="Arial" w:hAnsi="Arial"/>
          <w:b w:val="0"/>
          <w:i w:val="0"/>
          <w:color w:val="2C2C2C"/>
          <w:sz w:val="22"/>
        </w:rPr>
        <w:t xml:space="preserve"> for SaaS offboarding/GDPR; ReportSchedule model is a dead stub; no server-side image processing (no EXIF/GPS strip).</w:t>
      </w:r>
    </w:p>
    <w:p>
      <w:pPr>
        <w:pStyle w:val="Heading1"/>
      </w:pPr>
      <w:r>
        <w:rPr>
          <w:rFonts w:ascii="Arial" w:hAnsi="Arial"/>
        </w:rPr>
        <w:t>7. Infrastructure &amp; Operations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2C2C"/>
          <w:sz w:val="22"/>
        </w:rPr>
        <w:t>Deploy</w:t>
      </w:r>
      <w:r>
        <w:rPr>
          <w:rFonts w:ascii="Arial" w:hAnsi="Arial"/>
          <w:b w:val="0"/>
          <w:i w:val="0"/>
          <w:color w:val="2C2C2C"/>
          <w:sz w:val="22"/>
        </w:rPr>
        <w:t xml:space="preserve"> — manual SSH script: git pull + compose up --build on the production box. No registry, no image tags, </w:t>
      </w:r>
      <w:r>
        <w:rPr>
          <w:rFonts w:ascii="Arial" w:hAnsi="Arial"/>
          <w:b/>
          <w:i w:val="0"/>
          <w:color w:val="2C2C2C"/>
          <w:sz w:val="22"/>
        </w:rPr>
        <w:t>no rollback</w:t>
      </w:r>
      <w:r>
        <w:rPr>
          <w:rFonts w:ascii="Arial" w:hAnsi="Arial"/>
          <w:b w:val="0"/>
          <w:i w:val="0"/>
          <w:color w:val="2C2C2C"/>
          <w:sz w:val="22"/>
        </w:rPr>
        <w:t>, not zero-downtime. nginx caches upstream container IPs and must be manually restarted after every deploy (documented 502 foot-gun) — a one-line resolver directive removes this entire failure class.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2C2C"/>
          <w:sz w:val="22"/>
        </w:rPr>
        <w:t>CI</w:t>
      </w:r>
      <w:r>
        <w:rPr>
          <w:rFonts w:ascii="Arial" w:hAnsi="Arial"/>
          <w:b w:val="0"/>
          <w:i w:val="0"/>
          <w:color w:val="2C2C2C"/>
          <w:sz w:val="22"/>
        </w:rPr>
        <w:t xml:space="preserve"> — typecheck + API tests + Android lint only. No ESLint run; zero coverage for worker/admin/shared/reports; no Docker build check; CI runs Node 24 while production runs Node 22; CI does not gate deploys.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2C2C"/>
          <w:sz w:val="22"/>
        </w:rPr>
        <w:t>Resilience</w:t>
      </w:r>
      <w:r>
        <w:rPr>
          <w:rFonts w:ascii="Arial" w:hAnsi="Arial"/>
          <w:b w:val="0"/>
          <w:i w:val="0"/>
          <w:color w:val="2C2C2C"/>
          <w:sz w:val="22"/>
        </w:rPr>
        <w:t xml:space="preserve"> — restart:always everywhere (good), but api/worker/web/admin/nginx have no healthchecks, no resource limits (one leak can OOM the box including Postgres), and no log rotation (disk-full risk).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2C2C"/>
          <w:sz w:val="22"/>
        </w:rPr>
        <w:t>Observability</w:t>
      </w:r>
      <w:r>
        <w:rPr>
          <w:rFonts w:ascii="Arial" w:hAnsi="Arial"/>
          <w:b w:val="0"/>
          <w:i w:val="0"/>
          <w:color w:val="2C2C2C"/>
          <w:sz w:val="22"/>
        </w:rPr>
        <w:t xml:space="preserve"> — console-only logging, in-memory metrics reset on restart, /health endpoints exist but nothing consumes them. No Sentry, no uptime monitor, no alerting.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2C2C"/>
          <w:sz w:val="22"/>
        </w:rPr>
        <w:t>TLS</w:t>
      </w:r>
      <w:r>
        <w:rPr>
          <w:rFonts w:ascii="Arial" w:hAnsi="Arial"/>
          <w:b w:val="0"/>
          <w:i w:val="0"/>
          <w:color w:val="2C2C2C"/>
          <w:sz w:val="22"/>
        </w:rPr>
        <w:t xml:space="preserve"> — solid nginx config (TLS 1.2/1.3, ACME webroot, 444 for unknown SNI) but no certbot deploy-hook: a renewed certificate is not picked up until the next manual nginx restart — a latent expiry incident on any quiet 60–90 day stretch.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2C2C"/>
          <w:sz w:val="22"/>
        </w:rPr>
        <w:t>Pinning</w:t>
      </w:r>
      <w:r>
        <w:rPr>
          <w:rFonts w:ascii="Arial" w:hAnsi="Arial"/>
          <w:b w:val="0"/>
          <w:i w:val="0"/>
          <w:color w:val="2C2C2C"/>
          <w:sz w:val="22"/>
        </w:rPr>
        <w:t xml:space="preserve"> — minio/minio:latest unpinned in all three compose files (breaking-change landmine); no Dependabot/Renovate.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8. Hosting Assessment (Europe &amp; UAE client base)</w:t>
      </w:r>
    </w:p>
    <w:p>
      <w:pPr>
        <w:spacing w:before="0" w:after="160"/>
      </w:pPr>
      <w:r>
        <w:rPr>
          <w:rFonts w:ascii="Arial" w:hAnsi="Arial"/>
          <w:b w:val="0"/>
          <w:i w:val="0"/>
          <w:color w:val="2C2C2C"/>
          <w:sz w:val="22"/>
        </w:rPr>
        <w:t xml:space="preserve">The production VPS geolocates to UK/EU ranges, which </w:t>
      </w:r>
      <w:r>
        <w:rPr>
          <w:rFonts w:ascii="Arial" w:hAnsi="Arial"/>
          <w:b/>
          <w:i w:val="0"/>
          <w:color w:val="2C2C2C"/>
          <w:sz w:val="22"/>
        </w:rPr>
        <w:t>suits the client base well</w:t>
      </w:r>
      <w:r>
        <w:rPr>
          <w:rFonts w:ascii="Arial" w:hAnsi="Arial"/>
          <w:b w:val="0"/>
          <w:i w:val="0"/>
          <w:color w:val="2C2C2C"/>
          <w:sz w:val="22"/>
        </w:rPr>
        <w:t xml:space="preserve">: European clients get low latency, and UAE clients see roughly 120–160 ms to Europe — workable for the API and further softened by the offline-first mobile design. </w:t>
      </w:r>
      <w:r>
        <w:rPr>
          <w:rFonts w:ascii="Arial" w:hAnsi="Arial"/>
          <w:b/>
          <w:i w:val="0"/>
          <w:color w:val="2C2C2C"/>
          <w:sz w:val="22"/>
        </w:rPr>
        <w:t>Relocation is not required.</w:t>
      </w:r>
      <w:r>
        <w:rPr>
          <w:rFonts w:ascii="Arial" w:hAnsi="Arial"/>
          <w:b w:val="0"/>
          <w:i w:val="0"/>
          <w:color w:val="2C2C2C"/>
          <w:sz w:val="22"/>
        </w:rPr>
        <w:t xml:space="preserve"> The drivers for hosting change are: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2C2C"/>
          <w:sz w:val="22"/>
        </w:rPr>
        <w:t>Resilience</w:t>
      </w:r>
      <w:r>
        <w:rPr>
          <w:rFonts w:ascii="Arial" w:hAnsi="Arial"/>
          <w:b w:val="0"/>
          <w:i w:val="0"/>
          <w:color w:val="2C2C2C"/>
          <w:sz w:val="22"/>
        </w:rPr>
        <w:t xml:space="preserve"> — all state on one unmanaged disk. The priority is moving Postgres and object storage to managed EU services, not moving regions.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2C2C"/>
          <w:sz w:val="22"/>
        </w:rPr>
        <w:t>GDPR</w:t>
      </w:r>
      <w:r>
        <w:rPr>
          <w:rFonts w:ascii="Arial" w:hAnsi="Arial"/>
          <w:b w:val="0"/>
          <w:i w:val="0"/>
          <w:color w:val="2C2C2C"/>
          <w:sz w:val="22"/>
        </w:rPr>
        <w:t xml:space="preserve"> — EU hosting is the right default for European clients; ensure a data-processing agreement with the hosting provider and keep backups inside the EU/UK.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2C2C"/>
          <w:sz w:val="22"/>
        </w:rPr>
        <w:t>UAE PDPL (Federal Decree-Law 45/2021)</w:t>
      </w:r>
      <w:r>
        <w:rPr>
          <w:rFonts w:ascii="Arial" w:hAnsi="Arial"/>
          <w:b w:val="0"/>
          <w:i w:val="0"/>
          <w:color w:val="2C2C2C"/>
          <w:sz w:val="22"/>
        </w:rPr>
        <w:t xml:space="preserve"> — permits cross-border transfer with adequate safeguards; private-sector UAE clients are generally fine on EU hosting. UAE government/semi-government and regulated sectors (banking under Central Bank rules; health data with in-country requirements) may require in-country hosting. The platform's existing deploymentMode (standalone/saas/hybrid) is the right vehicle: offer a UAE-region deployment (AWS me-central-1 Dubai, Azure UAE North, or local providers such as Khazna/G42) as a per-tenant option when procurement demands it.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2C2C"/>
          <w:sz w:val="22"/>
        </w:rPr>
        <w:t>Ease of access</w:t>
      </w:r>
      <w:r>
        <w:rPr>
          <w:rFonts w:ascii="Arial" w:hAnsi="Arial"/>
          <w:b w:val="0"/>
          <w:i w:val="0"/>
          <w:color w:val="2C2C2C"/>
          <w:sz w:val="22"/>
        </w:rPr>
        <w:t xml:space="preserve"> — put a CDN (e.g. Cloudflare) in front of the SPAs and photo delivery to improve UAE load times cheaply; keep the API in one EU region.</w:t>
      </w:r>
    </w:p>
    <w:p>
      <w:pPr>
        <w:pStyle w:val="Heading2"/>
      </w:pPr>
      <w:r>
        <w:rPr>
          <w:rFonts w:ascii="Arial" w:hAnsi="Arial"/>
        </w:rPr>
        <w:t>Hosting evolution options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86" w:type="dxa"/>
      </w:tblPr>
      <w:tblGrid>
        <w:gridCol w:w="2346"/>
        <w:gridCol w:w="2346"/>
        <w:gridCol w:w="2346"/>
        <w:gridCol w:w="2346"/>
      </w:tblGrid>
      <w:tr>
        <w:trPr>
          <w:tblHeader w:val="true"/>
        </w:trPr>
        <w:tc>
          <w:tcPr>
            <w:tcW w:type="dxa" w:w="2346"/>
            <w:tcW w:w="1500" w:type="dxa"/>
            <w:shd w:val="clear" w:fill="1F38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Option</w:t>
            </w:r>
          </w:p>
        </w:tc>
        <w:tc>
          <w:tcPr>
            <w:tcW w:type="dxa" w:w="2346"/>
            <w:tcW w:w="4200" w:type="dxa"/>
            <w:shd w:val="clear" w:fill="1F38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Shape</w:t>
            </w:r>
          </w:p>
        </w:tc>
        <w:tc>
          <w:tcPr>
            <w:tcW w:type="dxa" w:w="2346"/>
            <w:tcW w:w="1200" w:type="dxa"/>
            <w:shd w:val="clear" w:fill="1F38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Cost (USD/mo)</w:t>
            </w:r>
          </w:p>
        </w:tc>
        <w:tc>
          <w:tcPr>
            <w:tcW w:type="dxa" w:w="2346"/>
            <w:tcW w:w="2486" w:type="dxa"/>
            <w:shd w:val="clear" w:fill="1F38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Migration effort</w:t>
            </w:r>
          </w:p>
        </w:tc>
      </w:tr>
      <w:tr>
        <w:tc>
          <w:tcPr>
            <w:tcW w:type="dxa" w:w="2346"/>
            <w:tcW w:w="15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A — recommended now</w:t>
            </w:r>
          </w:p>
        </w:tc>
        <w:tc>
          <w:tcPr>
            <w:tcW w:type="dxa" w:w="2346"/>
            <w:tcW w:w="42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Stay in an EU region; keep or upgrade the app VPS + managed Postgres + S3-compatible object storage replacing self-hosted MinIO (the API already speaks S3 — a config change). e.g. Hetzner/current VPS + AWS eu-central-1 RDS + S3, or Scaleway/OVH equivalents. Compose largely unchanged.</w:t>
            </w:r>
          </w:p>
        </w:tc>
        <w:tc>
          <w:tcPr>
            <w:tcW w:type="dxa" w:w="2346"/>
            <w:tcW w:w="12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60–150</w:t>
            </w:r>
          </w:p>
        </w:tc>
        <w:tc>
          <w:tcPr>
            <w:tcW w:type="dxa" w:w="2346"/>
            <w:tcW w:w="2486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M — pg_dump/restore + bucket mirror + DNS cutover; one evening of downtime. Removes the single-disk blast radius without a region move.</w:t>
            </w:r>
          </w:p>
        </w:tc>
      </w:tr>
      <w:tr>
        <w:tc>
          <w:tcPr>
            <w:tcW w:type="dxa" w:w="2346"/>
            <w:tcW w:w="150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B — managed platform</w:t>
            </w:r>
          </w:p>
        </w:tc>
        <w:tc>
          <w:tcPr>
            <w:tcW w:type="dxa" w:w="2346"/>
            <w:tcW w:w="420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Fly.io (Frankfurt/London/Amsterdam) or Render (Frankfurt) with CI-built images, health-checked rollouts, instant rollback; Neon/managed Postgres + Tigris/S3.</w:t>
            </w:r>
          </w:p>
        </w:tc>
        <w:tc>
          <w:tcPr>
            <w:tcW w:type="dxa" w:w="2346"/>
            <w:tcW w:w="120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80–250</w:t>
            </w:r>
          </w:p>
        </w:tc>
        <w:tc>
          <w:tcPr>
            <w:tcW w:type="dxa" w:w="2346"/>
            <w:tcW w:w="2486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M–L — platform routing replaces nginx/compose.</w:t>
            </w:r>
          </w:p>
        </w:tc>
      </w:tr>
      <w:tr>
        <w:tc>
          <w:tcPr>
            <w:tcW w:type="dxa" w:w="2346"/>
            <w:tcW w:w="15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C — full cloud</w:t>
            </w:r>
          </w:p>
        </w:tc>
        <w:tc>
          <w:tcPr>
            <w:tcW w:type="dxa" w:w="2346"/>
            <w:tcW w:w="42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AWS eu-central-1 (or eu-west-2) primary: ECS/EC2 + RDS (PITR, multi-AZ) + S3 + ALB + CloudFront; add a me-central-1 (Dubai) satellite later for UAE-residency tenants.</w:t>
            </w:r>
          </w:p>
        </w:tc>
        <w:tc>
          <w:tcPr>
            <w:tcW w:type="dxa" w:w="2346"/>
            <w:tcW w:w="12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250–600+ per region</w:t>
            </w:r>
          </w:p>
        </w:tc>
        <w:tc>
          <w:tcPr>
            <w:tcW w:type="dxa" w:w="2346"/>
            <w:tcW w:w="2486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L — worth it when tenant count or UAE/government procurement demands it.</w:t>
            </w:r>
          </w:p>
        </w:tc>
      </w:tr>
    </w:tbl>
    <w:p>
      <w:pPr>
        <w:spacing w:before="0" w:after="160"/>
      </w:pPr>
      <w:r>
        <w:rPr>
          <w:rFonts w:ascii="Arial" w:hAnsi="Arial"/>
          <w:b w:val="0"/>
          <w:i w:val="0"/>
          <w:color w:val="2C2C2C"/>
          <w:sz w:val="22"/>
        </w:rPr>
        <w:t>Sequence note: do the CI-built-images work first so whichever host you land on receives images, not source builds.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9. Prioritised Remediation Roadmap</w:t>
      </w:r>
    </w:p>
    <w:p>
      <w:pPr>
        <w:pStyle w:val="Heading2"/>
      </w:pPr>
      <w:r>
        <w:rPr>
          <w:rFonts w:ascii="Arial" w:hAnsi="Arial"/>
        </w:rPr>
        <w:t>This week — existential and data-loss items (mostly small)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86" w:type="dxa"/>
      </w:tblPr>
      <w:tblGrid>
        <w:gridCol w:w="3129"/>
        <w:gridCol w:w="3129"/>
        <w:gridCol w:w="3129"/>
      </w:tblGrid>
      <w:tr>
        <w:trPr>
          <w:tblHeader w:val="true"/>
        </w:trPr>
        <w:tc>
          <w:tcPr>
            <w:tcW w:type="dxa" w:w="3129"/>
            <w:tcW w:w="500" w:type="dxa"/>
            <w:shd w:val="clear" w:fill="1F38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129"/>
            <w:tcW w:w="7886" w:type="dxa"/>
            <w:shd w:val="clear" w:fill="1F38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Action</w:t>
            </w:r>
          </w:p>
        </w:tc>
        <w:tc>
          <w:tcPr>
            <w:tcW w:type="dxa" w:w="3129"/>
            <w:tcW w:w="1000" w:type="dxa"/>
            <w:shd w:val="clear" w:fill="1F38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Effort</w:t>
            </w:r>
          </w:p>
        </w:tc>
      </w:tr>
      <w:tr>
        <w:tc>
          <w:tcPr>
            <w:tcW w:type="dxa" w:w="3129"/>
            <w:tcW w:w="5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1</w:t>
            </w:r>
          </w:p>
        </w:tc>
        <w:tc>
          <w:tcPr>
            <w:tcW w:type="dxa" w:w="3129"/>
            <w:tcW w:w="7886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Off-host backups: nightly pg_dump + MinIO mirror + .env copy to EU object storage (~$5/mo); keys into a password manager; documented and tested restore</w:t>
            </w:r>
          </w:p>
        </w:tc>
        <w:tc>
          <w:tcPr>
            <w:tcW w:type="dxa" w:w="3129"/>
            <w:tcW w:w="10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S</w:t>
            </w:r>
          </w:p>
        </w:tc>
      </w:tr>
      <w:tr>
        <w:tc>
          <w:tcPr>
            <w:tcW w:type="dxa" w:w="3129"/>
            <w:tcW w:w="50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2</w:t>
            </w:r>
          </w:p>
        </w:tc>
        <w:tc>
          <w:tcPr>
            <w:tcW w:type="dxa" w:w="3129"/>
            <w:tcW w:w="7886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Fix Android blind-audit offline scans (persist/replay locationId + condition) — currently 100% data loss</w:t>
            </w:r>
          </w:p>
        </w:tc>
        <w:tc>
          <w:tcPr>
            <w:tcW w:type="dxa" w:w="3129"/>
            <w:tcW w:w="100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S</w:t>
            </w:r>
          </w:p>
        </w:tc>
      </w:tr>
      <w:tr>
        <w:tc>
          <w:tcPr>
            <w:tcW w:type="dxa" w:w="3129"/>
            <w:tcW w:w="5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3</w:t>
            </w:r>
          </w:p>
        </w:tc>
        <w:tc>
          <w:tcPr>
            <w:tcW w:type="dxa" w:w="3129"/>
            <w:tcW w:w="7886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Uptime + error monitoring: external /health/ready check with phone alert; Sentry across api/worker/web/admin</w:t>
            </w:r>
          </w:p>
        </w:tc>
        <w:tc>
          <w:tcPr>
            <w:tcW w:type="dxa" w:w="3129"/>
            <w:tcW w:w="10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S</w:t>
            </w:r>
          </w:p>
        </w:tc>
      </w:tr>
      <w:tr>
        <w:tc>
          <w:tcPr>
            <w:tcW w:type="dxa" w:w="3129"/>
            <w:tcW w:w="50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4</w:t>
            </w:r>
          </w:p>
        </w:tc>
        <w:tc>
          <w:tcPr>
            <w:tcW w:type="dxa" w:w="3129"/>
            <w:tcW w:w="7886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Upgrade nodemailer (H1)</w:t>
            </w:r>
          </w:p>
        </w:tc>
        <w:tc>
          <w:tcPr>
            <w:tcW w:type="dxa" w:w="3129"/>
            <w:tcW w:w="100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S</w:t>
            </w:r>
          </w:p>
        </w:tc>
      </w:tr>
      <w:tr>
        <w:tc>
          <w:tcPr>
            <w:tcW w:type="dxa" w:w="3129"/>
            <w:tcW w:w="5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5</w:t>
            </w:r>
          </w:p>
        </w:tc>
        <w:tc>
          <w:tcPr>
            <w:tcW w:type="dxa" w:w="3129"/>
            <w:tcW w:w="7886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Compose hygiene: pin minio image, log rotation, memory limits; nginx resolver fix; certbot deploy-hook; HSTS on SPA hosts; enable gzip</w:t>
            </w:r>
          </w:p>
        </w:tc>
        <w:tc>
          <w:tcPr>
            <w:tcW w:type="dxa" w:w="3129"/>
            <w:tcW w:w="10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S</w:t>
            </w:r>
          </w:p>
        </w:tc>
      </w:tr>
    </w:tbl>
    <w:p>
      <w:pPr>
        <w:pStyle w:val="Heading2"/>
      </w:pPr>
      <w:r>
        <w:rPr>
          <w:rFonts w:ascii="Arial" w:hAnsi="Arial"/>
        </w:rPr>
        <w:t>This month — stability and trust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86" w:type="dxa"/>
      </w:tblPr>
      <w:tblGrid>
        <w:gridCol w:w="3129"/>
        <w:gridCol w:w="3129"/>
        <w:gridCol w:w="3129"/>
      </w:tblGrid>
      <w:tr>
        <w:trPr>
          <w:tblHeader w:val="true"/>
        </w:trPr>
        <w:tc>
          <w:tcPr>
            <w:tcW w:type="dxa" w:w="3129"/>
            <w:tcW w:w="500" w:type="dxa"/>
            <w:shd w:val="clear" w:fill="1F38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129"/>
            <w:tcW w:w="7886" w:type="dxa"/>
            <w:shd w:val="clear" w:fill="1F38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Action</w:t>
            </w:r>
          </w:p>
        </w:tc>
        <w:tc>
          <w:tcPr>
            <w:tcW w:type="dxa" w:w="3129"/>
            <w:tcW w:w="1000" w:type="dxa"/>
            <w:shd w:val="clear" w:fill="1F38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Effort</w:t>
            </w:r>
          </w:p>
        </w:tc>
      </w:tr>
      <w:tr>
        <w:tc>
          <w:tcPr>
            <w:tcW w:type="dxa" w:w="3129"/>
            <w:tcW w:w="5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6</w:t>
            </w:r>
          </w:p>
        </w:tc>
        <w:tc>
          <w:tcPr>
            <w:tcW w:type="dxa" w:w="3129"/>
            <w:tcW w:w="7886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Wire prisma migrate deploy into the deploy pipeline; add healthchecks for api/worker/nginx</w:t>
            </w:r>
          </w:p>
        </w:tc>
        <w:tc>
          <w:tcPr>
            <w:tcW w:type="dxa" w:w="3129"/>
            <w:tcW w:w="10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S–M</w:t>
            </w:r>
          </w:p>
        </w:tc>
      </w:tr>
      <w:tr>
        <w:tc>
          <w:tcPr>
            <w:tcW w:type="dxa" w:w="3129"/>
            <w:tcW w:w="50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7</w:t>
            </w:r>
          </w:p>
        </w:tc>
        <w:tc>
          <w:tcPr>
            <w:tcW w:type="dxa" w:w="3129"/>
            <w:tcW w:w="7886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Offline sync integrity: dead-letter state instead of delete-after-5; don't count network errors; skip sync unauthenticated; port iOS token policy to Android; clientRequestId idempotency</w:t>
            </w:r>
          </w:p>
        </w:tc>
        <w:tc>
          <w:tcPr>
            <w:tcW w:type="dxa" w:w="3129"/>
            <w:tcW w:w="100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M</w:t>
            </w:r>
          </w:p>
        </w:tc>
      </w:tr>
      <w:tr>
        <w:tc>
          <w:tcPr>
            <w:tcW w:type="dxa" w:w="3129"/>
            <w:tcW w:w="5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8</w:t>
            </w:r>
          </w:p>
        </w:tc>
        <w:tc>
          <w:tcPr>
            <w:tcW w:type="dxa" w:w="3129"/>
            <w:tcW w:w="7886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Security mediums: encrypt 2FA secrets + hash backup codes; refresh-token rotation invalidation; scoped MinIO account; password policy; separate JWT secrets</w:t>
            </w:r>
          </w:p>
        </w:tc>
        <w:tc>
          <w:tcPr>
            <w:tcW w:type="dxa" w:w="3129"/>
            <w:tcW w:w="10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M</w:t>
            </w:r>
          </w:p>
        </w:tc>
      </w:tr>
      <w:tr>
        <w:tc>
          <w:tcPr>
            <w:tcW w:type="dxa" w:w="3129"/>
            <w:tcW w:w="50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9</w:t>
            </w:r>
          </w:p>
        </w:tc>
        <w:tc>
          <w:tcPr>
            <w:tcW w:type="dxa" w:w="3129"/>
            <w:tcW w:w="7886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Build the missing scheduler: alert digests + maintenance-due notifications (the UI already promises them)</w:t>
            </w:r>
          </w:p>
        </w:tc>
        <w:tc>
          <w:tcPr>
            <w:tcW w:type="dxa" w:w="3129"/>
            <w:tcW w:w="100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M</w:t>
            </w:r>
          </w:p>
        </w:tc>
      </w:tr>
      <w:tr>
        <w:tc>
          <w:tcPr>
            <w:tcW w:type="dxa" w:w="3129"/>
            <w:tcW w:w="5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10</w:t>
            </w:r>
          </w:p>
        </w:tc>
        <w:tc>
          <w:tcPr>
            <w:tcW w:type="dxa" w:w="3129"/>
            <w:tcW w:w="7886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CI hardening: ESLint; worker/admin/shared/reports coverage; Docker build checks; align Node versions; Dependabot; build images in Actions → registry → pull-based deploys with instant rollback</w:t>
            </w:r>
          </w:p>
        </w:tc>
        <w:tc>
          <w:tcPr>
            <w:tcW w:type="dxa" w:w="3129"/>
            <w:tcW w:w="10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M</w:t>
            </w:r>
          </w:p>
        </w:tc>
      </w:tr>
    </w:tbl>
    <w:p>
      <w:pPr>
        <w:pStyle w:val="Heading2"/>
      </w:pPr>
      <w:r>
        <w:rPr>
          <w:rFonts w:ascii="Arial" w:hAnsi="Arial"/>
        </w:rPr>
        <w:t>This quarter — SaaS growth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86" w:type="dxa"/>
      </w:tblPr>
      <w:tblGrid>
        <w:gridCol w:w="3129"/>
        <w:gridCol w:w="3129"/>
        <w:gridCol w:w="3129"/>
      </w:tblGrid>
      <w:tr>
        <w:trPr>
          <w:tblHeader w:val="true"/>
        </w:trPr>
        <w:tc>
          <w:tcPr>
            <w:tcW w:type="dxa" w:w="3129"/>
            <w:tcW w:w="500" w:type="dxa"/>
            <w:shd w:val="clear" w:fill="1F38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129"/>
            <w:tcW w:w="7886" w:type="dxa"/>
            <w:shd w:val="clear" w:fill="1F38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Action</w:t>
            </w:r>
          </w:p>
        </w:tc>
        <w:tc>
          <w:tcPr>
            <w:tcW w:type="dxa" w:w="3129"/>
            <w:tcW w:w="1000" w:type="dxa"/>
            <w:shd w:val="clear" w:fill="1F38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Effort</w:t>
            </w:r>
          </w:p>
        </w:tc>
      </w:tr>
      <w:tr>
        <w:tc>
          <w:tcPr>
            <w:tcW w:type="dxa" w:w="3129"/>
            <w:tcW w:w="5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11</w:t>
            </w:r>
          </w:p>
        </w:tc>
        <w:tc>
          <w:tcPr>
            <w:tcW w:type="dxa" w:w="3129"/>
            <w:tcW w:w="7886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Move state to managed EU services (managed Postgres + S3-compatible storage); CDN in front of the SPAs; scope a UAE-region deployment option for regulated tenants</w:t>
            </w:r>
          </w:p>
        </w:tc>
        <w:tc>
          <w:tcPr>
            <w:tcW w:type="dxa" w:w="3129"/>
            <w:tcW w:w="10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M–L</w:t>
            </w:r>
          </w:p>
        </w:tc>
      </w:tr>
      <w:tr>
        <w:tc>
          <w:tcPr>
            <w:tcW w:type="dxa" w:w="3129"/>
            <w:tcW w:w="50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12</w:t>
            </w:r>
          </w:p>
        </w:tc>
        <w:tc>
          <w:tcPr>
            <w:tcW w:type="dxa" w:w="3129"/>
            <w:tcW w:w="7886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Stripe Billing onto the existing licence state machine; nightly per-tenant storage metering</w:t>
            </w:r>
          </w:p>
        </w:tc>
        <w:tc>
          <w:tcPr>
            <w:tcW w:type="dxa" w:w="3129"/>
            <w:tcW w:w="100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M</w:t>
            </w:r>
          </w:p>
        </w:tc>
      </w:tr>
      <w:tr>
        <w:tc>
          <w:tcPr>
            <w:tcW w:type="dxa" w:w="3129"/>
            <w:tcW w:w="5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13</w:t>
            </w:r>
          </w:p>
        </w:tc>
        <w:tc>
          <w:tcPr>
            <w:tcW w:type="dxa" w:w="3129"/>
            <w:tcW w:w="7886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Staging environment; Prisma tenant-guard extension + cross-tenant CI fuzz test</w:t>
            </w:r>
          </w:p>
        </w:tc>
        <w:tc>
          <w:tcPr>
            <w:tcW w:type="dxa" w:w="3129"/>
            <w:tcW w:w="10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M</w:t>
            </w:r>
          </w:p>
        </w:tc>
      </w:tr>
      <w:tr>
        <w:tc>
          <w:tcPr>
            <w:tcW w:type="dxa" w:w="3129"/>
            <w:tcW w:w="50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14</w:t>
            </w:r>
          </w:p>
        </w:tc>
        <w:tc>
          <w:tcPr>
            <w:tcW w:type="dxa" w:w="3129"/>
            <w:tcW w:w="7886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Offline photo queue; delta sync (changedSince); iOS background sync; platform parity items</w:t>
            </w:r>
          </w:p>
        </w:tc>
        <w:tc>
          <w:tcPr>
            <w:tcW w:type="dxa" w:w="3129"/>
            <w:tcW w:w="1000" w:type="dxa"/>
            <w:shd w:val="clear" w:fill="D6E4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M</w:t>
            </w:r>
          </w:p>
        </w:tc>
      </w:tr>
      <w:tr>
        <w:tc>
          <w:tcPr>
            <w:tcW w:type="dxa" w:w="3129"/>
            <w:tcW w:w="5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15</w:t>
            </w:r>
          </w:p>
        </w:tc>
        <w:tc>
          <w:tcPr>
            <w:tcW w:type="dxa" w:w="3129"/>
            <w:tcW w:w="7886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Whole-tenant data export; webhook delivery via BullMQ with HMAC signing + delivery log; OTA staged rollout; per-tenant SMTP/branding</w:t>
            </w:r>
          </w:p>
        </w:tc>
        <w:tc>
          <w:tcPr>
            <w:tcW w:type="dxa" w:w="3129"/>
            <w:tcW w:w="1000" w:type="dxa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C2C2C"/>
                <w:sz w:val="19"/>
              </w:rPr>
              <w:t>M–L</w:t>
            </w:r>
          </w:p>
        </w:tc>
      </w:tr>
    </w:tbl>
    <w:p>
      <w:pPr>
        <w:spacing w:before="240" w:after="0"/>
      </w:pPr>
    </w:p>
    <w:p>
      <w:pPr>
        <w:spacing w:before="240"/>
      </w:pPr>
      <w:r>
        <w:rPr>
          <w:rFonts w:ascii="Arial" w:hAnsi="Arial"/>
          <w:b w:val="0"/>
          <w:i/>
          <w:color w:val="5A5A5A"/>
          <w:sz w:val="18"/>
        </w:rPr>
        <w:t>Generated from five parallel audit passes (security, SaaS, offline, communications/storage, infrastructure) over the repository at commit 05c05f9. Full file:line evidence is in docs/AUDIT-2026-07-19.md in the repository.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80" w:right="1260" w:bottom="108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86" w:val="right"/>
      </w:tabs>
      <w:pBdr>
        <w:top w:val="single" w:sz="4" w:space="4" w:color="CCCCCC"/>
      </w:pBdr>
    </w:pPr>
    <w:r>
      <w:rPr>
        <w:rFonts w:ascii="Arial" w:hAnsi="Arial"/>
        <w:b w:val="0"/>
        <w:i w:val="0"/>
        <w:color w:val="5A5A5A"/>
        <w:sz w:val="18"/>
      </w:rPr>
      <w:t>Confidential — 19 July 2026</w:t>
    </w:r>
    <w:r>
      <w:rPr>
        <w:rFonts w:ascii="Arial" w:hAnsi="Arial"/>
        <w:b w:val="0"/>
        <w:i w:val="0"/>
        <w:color w:val="5A5A5A"/>
        <w:sz w:val="18"/>
      </w:rPr>
      <w:tab/>
      <w:t xml:space="preserve">Page </w:t>
    </w:r>
    <w:r>
      <w:rPr>
        <w:rFonts w:ascii="Arial" w:hAnsi="Arial"/>
        <w:color w:val="5A5A5A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86" w:val="right"/>
      </w:tabs>
      <w:pBdr>
        <w:bottom w:val="single" w:sz="6" w:space="4" w:color="2E75B6"/>
      </w:pBdr>
    </w:pPr>
    <w:r>
      <w:rPr>
        <w:rFonts w:ascii="Arial" w:hAnsi="Arial"/>
        <w:b/>
        <w:i w:val="0"/>
        <w:color w:val="1F3864"/>
        <w:sz w:val="20"/>
      </w:rPr>
      <w:t>Vairiot Platform Audit</w:t>
    </w:r>
    <w:r>
      <w:rPr>
        <w:rFonts w:ascii="Arial" w:hAnsi="Arial"/>
        <w:b w:val="0"/>
        <w:i w:val="0"/>
        <w:color w:val="2C2C2C"/>
        <w:sz w:val="20"/>
      </w:rPr>
      <w:tab/>
    </w:r>
    <w:r>
      <w:rPr>
        <w:rFonts w:ascii="Arial" w:hAnsi="Arial"/>
        <w:b w:val="0"/>
        <w:i w:val="0"/>
        <w:color w:val="5A5A5A"/>
        <w:sz w:val="18"/>
      </w:rPr>
      <w:t>Kapiti Management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C2C2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