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5-11：故障树改为割集树：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规定：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G1：违反安全性；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G2：保证不合法的访问；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A1：密码泄露；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A2：密码未改变；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A3：未识别以前的退出。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71770" cy="2313305"/>
            <wp:effectExtent l="0" t="0" r="1270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具体项目下：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G1：违反用户隐私、系统等安全性；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(OR)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G2：违反验证系统的安全性；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G3：违反登录安全性；</w:t>
      </w:r>
    </w:p>
    <w:p>
      <w:pPr>
        <w:numPr>
          <w:ilvl w:val="0"/>
          <w:numId w:val="0"/>
        </w:numPr>
        <w:pBdr>
          <w:bottom w:val="single" w:color="auto" w:sz="4" w:space="0"/>
        </w:pBdr>
        <w:ind w:firstLine="420" w:firstLineChars="0"/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G4：违反支付安全性；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G2下：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(AND)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A1：该用户未登录；</w:t>
      </w:r>
    </w:p>
    <w:p>
      <w:pPr>
        <w:numPr>
          <w:ilvl w:val="0"/>
          <w:numId w:val="0"/>
        </w:numPr>
        <w:pBdr>
          <w:bottom w:val="single" w:color="auto" w:sz="4" w:space="0"/>
        </w:pBdr>
        <w:ind w:firstLine="420" w:firstLineChars="0"/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A2：该用户直接通过路由进入其他界面；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G3下：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(OR)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A3：后台的用户密码未加密；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A4：用户密码在网络传输过程中未加密；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A5：密码输入框支持复制和粘贴；</w:t>
      </w:r>
    </w:p>
    <w:p>
      <w:pPr>
        <w:numPr>
          <w:ilvl w:val="0"/>
          <w:numId w:val="0"/>
        </w:numPr>
        <w:pBdr>
          <w:bottom w:val="single" w:color="auto" w:sz="4" w:space="0"/>
        </w:pBdr>
        <w:ind w:firstLine="420" w:firstLineChars="0"/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A6：统一用户在多客户端同时登录；</w:t>
      </w:r>
    </w:p>
    <w:p>
      <w:pPr>
        <w:numPr>
          <w:ilvl w:val="0"/>
          <w:numId w:val="0"/>
        </w:numPr>
        <w:pBdr>
          <w:bottom w:val="single" w:color="auto" w:sz="4" w:space="0"/>
        </w:pBdr>
        <w:ind w:firstLine="420" w:firstLineChars="0"/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A7：多次登陆失败后企图暴力破解密码；</w:t>
      </w:r>
    </w:p>
    <w:p>
      <w:pPr>
        <w:numPr>
          <w:ilvl w:val="0"/>
          <w:numId w:val="0"/>
        </w:numPr>
        <w:pBdr>
          <w:bottom w:val="single" w:color="auto" w:sz="4" w:space="0"/>
        </w:pBdr>
        <w:ind w:firstLine="420" w:firstLineChars="0"/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G4下：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(OR)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A8：支付密码可见；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A9：支付较大金额时没有对用户进行询问证实；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A10：支付金额与扣除金额不一致；</w:t>
      </w:r>
    </w:p>
    <w:p>
      <w:pPr>
        <w:numPr>
          <w:ilvl w:val="0"/>
          <w:numId w:val="0"/>
        </w:numPr>
        <w:pBdr>
          <w:bottom w:val="single" w:color="auto" w:sz="4" w:space="0"/>
        </w:pBdr>
        <w:ind w:firstLine="420" w:firstLineChars="0"/>
        <w:rPr>
          <w:rFonts w:hint="default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A11：支付成功后没有跳转到账单信息的界面；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对应的故障树如下：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5271770" cy="2811780"/>
            <wp:effectExtent l="0" t="0" r="12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color="auto" w:fill="FFFFFF"/>
          <w:lang w:val="en-US" w:eastAsia="zh-CN"/>
        </w:rPr>
        <w:t>对应的割集树如下：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271770" cy="3059430"/>
            <wp:effectExtent l="0" t="0" r="127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12" w:lineRule="auto"/>
      </w:pPr>
    </w:p>
    <w:p/>
    <w:sectPr>
      <w:pgSz w:w="11905" w:h="16838"/>
      <w:pgMar w:top="1361" w:right="1417" w:bottom="1361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FiMjZlMjIyMWFiY2IxYzk2NjIxYjNmN2ViMTYzYTIifQ=="/>
  </w:docVars>
  <w:rsids>
    <w:rsidRoot w:val="00000000"/>
    <w:rsid w:val="49E73F56"/>
    <w:rsid w:val="5DF2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60" w:after="60" w:line="312" w:lineRule="auto"/>
      <w:jc w:val="left"/>
    </w:pPr>
    <w:rPr>
      <w:rFonts w:asciiTheme="minorHAnsi" w:hAnsiTheme="minorHAnsi" w:eastAsiaTheme="minorEastAsia" w:cstheme="minorBidi"/>
      <w:color w:val="333333"/>
      <w:kern w:val="2"/>
      <w:sz w:val="22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Office_11.1.0.14177_F1E327BC-269C-435d-A152-05C5408002CA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2023-03-08T06:00:00Z</dcterms:created>
  <dc:creator>12149</dc:creator>
  <cp:lastModifiedBy>时逸丁</cp:lastModifiedBy>
  <dcterms:modified xsi:type="dcterms:W3CDTF">2023-05-11T09:03:02Z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2052-11.1.0.14177</vt:lpwstr>
  </property>
  <property fmtid="{D5CDD505-2E9C-101B-9397-08002B2CF9AE}" pid="3" name="ICV">
    <vt:lpwstr>377C8F6610384EE8AB7E3DB6010EC4D1</vt:lpwstr>
  </property>
</Properties>
</file>