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Mar>
          <w:left w:w="0" w:type="dxa"/>
          <w:right w:w="0" w:type="dxa"/>
        </w:tblCellMar>
        <w:tblLook w:val="04A0" w:firstRow="1" w:lastRow="0" w:firstColumn="1" w:lastColumn="0" w:noHBand="0" w:noVBand="1"/>
      </w:tblPr>
      <w:tblGrid>
        <w:gridCol w:w="8306"/>
      </w:tblGrid>
      <w:tr w:rsidR="006B135D" w:rsidRPr="006B135D" w:rsidTr="006B135D">
        <w:tc>
          <w:tcPr>
            <w:tcW w:w="0" w:type="auto"/>
            <w:tcMar>
              <w:top w:w="300" w:type="dxa"/>
              <w:left w:w="0" w:type="dxa"/>
              <w:bottom w:w="150" w:type="dxa"/>
              <w:right w:w="0" w:type="dxa"/>
            </w:tcMar>
            <w:vAlign w:val="center"/>
            <w:hideMark/>
          </w:tcPr>
          <w:p w:rsidR="006B135D" w:rsidRPr="006B135D" w:rsidRDefault="006B135D" w:rsidP="006B135D">
            <w:pPr>
              <w:widowControl/>
              <w:spacing w:line="495" w:lineRule="atLeast"/>
              <w:jc w:val="center"/>
              <w:rPr>
                <w:rFonts w:ascii="宋体" w:eastAsia="宋体" w:hAnsi="宋体" w:cs="宋体"/>
                <w:b/>
                <w:bCs/>
                <w:color w:val="093A96"/>
                <w:kern w:val="0"/>
                <w:sz w:val="33"/>
                <w:szCs w:val="33"/>
              </w:rPr>
            </w:pPr>
            <w:bookmarkStart w:id="0" w:name="_GoBack"/>
            <w:r w:rsidRPr="006B135D">
              <w:rPr>
                <w:rFonts w:ascii="宋体" w:eastAsia="宋体" w:hAnsi="宋体" w:cs="宋体" w:hint="eastAsia"/>
                <w:b/>
                <w:bCs/>
                <w:color w:val="093A96"/>
                <w:kern w:val="0"/>
                <w:sz w:val="33"/>
                <w:szCs w:val="33"/>
              </w:rPr>
              <w:t>含药医疗器械产品注册申报资料撰写指导原则</w:t>
            </w:r>
            <w:bookmarkEnd w:id="0"/>
          </w:p>
        </w:tc>
      </w:tr>
      <w:tr w:rsidR="006B135D" w:rsidRPr="006B135D" w:rsidTr="006B135D">
        <w:tc>
          <w:tcPr>
            <w:tcW w:w="0" w:type="auto"/>
            <w:tcMar>
              <w:top w:w="150" w:type="dxa"/>
              <w:left w:w="0" w:type="dxa"/>
              <w:bottom w:w="0" w:type="dxa"/>
              <w:right w:w="0" w:type="dxa"/>
            </w:tcMar>
            <w:vAlign w:val="center"/>
            <w:hideMark/>
          </w:tcPr>
          <w:p w:rsidR="006B135D" w:rsidRPr="006B135D" w:rsidRDefault="006B135D" w:rsidP="006B135D">
            <w:pPr>
              <w:widowControl/>
              <w:spacing w:line="420" w:lineRule="atLeast"/>
              <w:jc w:val="center"/>
              <w:rPr>
                <w:rFonts w:ascii="宋体" w:eastAsia="宋体" w:hAnsi="宋体" w:cs="宋体"/>
                <w:color w:val="000000"/>
                <w:kern w:val="0"/>
                <w:szCs w:val="21"/>
              </w:rPr>
            </w:pPr>
          </w:p>
        </w:tc>
      </w:tr>
      <w:tr w:rsidR="006B135D" w:rsidRPr="006B135D" w:rsidTr="006B135D">
        <w:tc>
          <w:tcPr>
            <w:tcW w:w="0" w:type="auto"/>
            <w:tcMar>
              <w:top w:w="120" w:type="dxa"/>
              <w:left w:w="0" w:type="dxa"/>
              <w:bottom w:w="0" w:type="dxa"/>
              <w:right w:w="300" w:type="dxa"/>
            </w:tcMar>
            <w:vAlign w:val="center"/>
            <w:hideMark/>
          </w:tcPr>
          <w:p w:rsidR="006B135D" w:rsidRPr="006B135D" w:rsidRDefault="006B135D" w:rsidP="006B135D">
            <w:pPr>
              <w:widowControl/>
              <w:spacing w:line="315" w:lineRule="atLeast"/>
              <w:jc w:val="right"/>
              <w:rPr>
                <w:rFonts w:ascii="宋体" w:eastAsia="宋体" w:hAnsi="宋体" w:cs="宋体"/>
                <w:color w:val="919191"/>
                <w:kern w:val="0"/>
                <w:szCs w:val="21"/>
              </w:rPr>
            </w:pPr>
            <w:r w:rsidRPr="006B135D">
              <w:rPr>
                <w:rFonts w:ascii="宋体" w:eastAsia="宋体" w:hAnsi="宋体" w:cs="宋体" w:hint="eastAsia"/>
                <w:color w:val="919191"/>
                <w:kern w:val="0"/>
                <w:szCs w:val="21"/>
              </w:rPr>
              <w:t>2009-02-20 09:00</w:t>
            </w:r>
          </w:p>
        </w:tc>
      </w:tr>
      <w:tr w:rsidR="006B135D" w:rsidRPr="006B135D" w:rsidTr="006B135D">
        <w:trPr>
          <w:trHeight w:val="60"/>
        </w:trPr>
        <w:tc>
          <w:tcPr>
            <w:tcW w:w="14145" w:type="dxa"/>
            <w:vAlign w:val="center"/>
            <w:hideMark/>
          </w:tcPr>
          <w:p w:rsidR="006B135D" w:rsidRPr="006B135D" w:rsidRDefault="006B135D" w:rsidP="006B135D">
            <w:pPr>
              <w:widowControl/>
              <w:jc w:val="center"/>
              <w:rPr>
                <w:rFonts w:ascii="宋体" w:eastAsia="宋体" w:hAnsi="宋体" w:cs="宋体"/>
                <w:color w:val="000000"/>
                <w:kern w:val="0"/>
                <w:sz w:val="6"/>
                <w:szCs w:val="18"/>
              </w:rPr>
            </w:pPr>
          </w:p>
        </w:tc>
      </w:tr>
      <w:tr w:rsidR="006B135D" w:rsidRPr="006B135D" w:rsidTr="006B135D">
        <w:tc>
          <w:tcPr>
            <w:tcW w:w="0" w:type="auto"/>
            <w:tcMar>
              <w:top w:w="300" w:type="dxa"/>
              <w:left w:w="0" w:type="dxa"/>
              <w:bottom w:w="300" w:type="dxa"/>
              <w:right w:w="0" w:type="dxa"/>
            </w:tcMar>
            <w:vAlign w:val="center"/>
            <w:hideMark/>
          </w:tcPr>
          <w:p w:rsidR="006B135D" w:rsidRPr="006B135D" w:rsidRDefault="006B135D" w:rsidP="006B135D">
            <w:pPr>
              <w:widowControl/>
              <w:wordWrap w:val="0"/>
              <w:spacing w:line="420" w:lineRule="atLeast"/>
              <w:jc w:val="left"/>
              <w:rPr>
                <w:rFonts w:ascii="宋体" w:eastAsia="宋体" w:hAnsi="宋体" w:cs="宋体"/>
                <w:color w:val="000000"/>
                <w:kern w:val="0"/>
                <w:szCs w:val="21"/>
              </w:rPr>
            </w:pPr>
            <w:r w:rsidRPr="006B135D">
              <w:rPr>
                <w:rFonts w:ascii="宋体" w:eastAsia="宋体" w:hAnsi="宋体" w:cs="宋体" w:hint="eastAsia"/>
                <w:color w:val="000000"/>
                <w:kern w:val="0"/>
                <w:szCs w:val="21"/>
              </w:rPr>
              <w:t>    一、 概述</w:t>
            </w:r>
            <w:r w:rsidRPr="006B135D">
              <w:rPr>
                <w:rFonts w:ascii="宋体" w:eastAsia="宋体" w:hAnsi="宋体" w:cs="宋体" w:hint="eastAsia"/>
                <w:color w:val="000000"/>
                <w:kern w:val="0"/>
                <w:szCs w:val="21"/>
              </w:rPr>
              <w:br/>
              <w:t>    含药医疗器械产品是一种由药物和医疗器械组成并以医疗器械起主要作用的新型医疗器械产品。由于该类产品大多具有风险高，技术性能复杂，涉及知识领域广泛，影响产品性能因素较多的特点，与常规医疗器械相比，在该类产品的注册申报中还需生产者提交与药物相关的技术性资料。为指导生产者对该类医疗器械的注册申报资料进行撰写，特制定本指导原则。</w:t>
            </w:r>
            <w:r w:rsidRPr="006B135D">
              <w:rPr>
                <w:rFonts w:ascii="宋体" w:eastAsia="宋体" w:hAnsi="宋体" w:cs="宋体" w:hint="eastAsia"/>
                <w:color w:val="000000"/>
                <w:kern w:val="0"/>
                <w:szCs w:val="21"/>
              </w:rPr>
              <w:br/>
              <w:t>    本指导原则是在符合现行《医疗器械监督管理条例》、《医疗器械注册管理办法》、《医疗器械临床试验规定》、《医疗器械标准管理办法》（试行）、《医疗器械说明书、标签和包装标识管理规定》等规章基础上，根据含药类医疗器械的具体技术特性而制定的指南性文件。</w:t>
            </w:r>
            <w:r w:rsidRPr="006B135D">
              <w:rPr>
                <w:rFonts w:ascii="宋体" w:eastAsia="宋体" w:hAnsi="宋体" w:cs="宋体" w:hint="eastAsia"/>
                <w:color w:val="000000"/>
                <w:kern w:val="0"/>
                <w:szCs w:val="21"/>
              </w:rPr>
              <w:br/>
              <w:t>    由于含药医疗器械种类繁多，本指导原则中主要体现了含药医疗器械（下简称为含药器械）中药物部分相关技术资料的基本内容要求。生产者需根据含药器械产品自身特点，参考本指导原则和《无源植入性医疗器械产品注册申报资料撰写指导原则》等其它相关技术文件撰写产品注册申报技术资料。同样，由于药物种类的多样性，生产者可能需要根据所用药物的自身特点，在本指导原则基础上提供更多的研究资料以证明含药器械的安全有效。</w:t>
            </w:r>
            <w:r w:rsidRPr="006B135D">
              <w:rPr>
                <w:rFonts w:ascii="宋体" w:eastAsia="宋体" w:hAnsi="宋体" w:cs="宋体" w:hint="eastAsia"/>
                <w:color w:val="000000"/>
                <w:kern w:val="0"/>
                <w:szCs w:val="21"/>
              </w:rPr>
              <w:br/>
              <w:t>    本指导原则中仅提出了一些基本的内容要求，各项要求的具体研究方法及参数指标需由生产者自行研究。</w:t>
            </w:r>
            <w:r w:rsidRPr="006B135D">
              <w:rPr>
                <w:rFonts w:ascii="宋体" w:eastAsia="宋体" w:hAnsi="宋体" w:cs="宋体" w:hint="eastAsia"/>
                <w:color w:val="000000"/>
                <w:kern w:val="0"/>
                <w:szCs w:val="21"/>
              </w:rPr>
              <w:br/>
              <w:t>    二、 含药器械注册申报资料中需增加的内容</w:t>
            </w:r>
            <w:r w:rsidRPr="006B135D">
              <w:rPr>
                <w:rFonts w:ascii="宋体" w:eastAsia="宋体" w:hAnsi="宋体" w:cs="宋体" w:hint="eastAsia"/>
                <w:color w:val="000000"/>
                <w:kern w:val="0"/>
                <w:szCs w:val="21"/>
              </w:rPr>
              <w:br/>
              <w:t>    （一） 产品技术报告</w:t>
            </w:r>
            <w:r w:rsidRPr="006B135D">
              <w:rPr>
                <w:rFonts w:ascii="宋体" w:eastAsia="宋体" w:hAnsi="宋体" w:cs="宋体" w:hint="eastAsia"/>
                <w:color w:val="000000"/>
                <w:kern w:val="0"/>
                <w:szCs w:val="21"/>
              </w:rPr>
              <w:br/>
              <w:t>    1、含药器械的描述</w:t>
            </w:r>
            <w:r w:rsidRPr="006B135D">
              <w:rPr>
                <w:rFonts w:ascii="宋体" w:eastAsia="宋体" w:hAnsi="宋体" w:cs="宋体" w:hint="eastAsia"/>
                <w:color w:val="000000"/>
                <w:kern w:val="0"/>
                <w:szCs w:val="21"/>
              </w:rPr>
              <w:br/>
              <w:t>    对含药器械进行详细、准确的描述是体现申报注册产品结构组成、制造材料、预期用途等重要信息的必要条件。</w:t>
            </w:r>
            <w:r w:rsidRPr="006B135D">
              <w:rPr>
                <w:rFonts w:ascii="宋体" w:eastAsia="宋体" w:hAnsi="宋体" w:cs="宋体" w:hint="eastAsia"/>
                <w:color w:val="000000"/>
                <w:kern w:val="0"/>
                <w:szCs w:val="21"/>
              </w:rPr>
              <w:br/>
              <w:t>    因此，技术报告中需有含药器械的描述内容。生产者需详细介绍注册申报产品的预期用途、产品组成、空间结构和制造材料。提供所含药物的相关信息，一般包括：药物名称（通用名及英文名称）、化学结构式、分子量、分子式、商品名称、组成成份、含量、作用、在含药器械中的预期功能及与医疗器械的结合方式等。</w:t>
            </w:r>
            <w:r w:rsidRPr="006B135D">
              <w:rPr>
                <w:rFonts w:ascii="宋体" w:eastAsia="宋体" w:hAnsi="宋体" w:cs="宋体" w:hint="eastAsia"/>
                <w:color w:val="000000"/>
                <w:kern w:val="0"/>
                <w:szCs w:val="21"/>
              </w:rPr>
              <w:br/>
              <w:t>    如已有相同预期用途的含药器械获准进入中国市场，建议对申请注册产品与已获准进入</w:t>
            </w:r>
            <w:r w:rsidRPr="006B135D">
              <w:rPr>
                <w:rFonts w:ascii="宋体" w:eastAsia="宋体" w:hAnsi="宋体" w:cs="宋体" w:hint="eastAsia"/>
                <w:color w:val="000000"/>
                <w:kern w:val="0"/>
                <w:szCs w:val="21"/>
              </w:rPr>
              <w:lastRenderedPageBreak/>
              <w:t>中国市场的含药器械在所含药物种类、药物与医疗器械结合方式、所含药物的剂量、释放速率等方面进行比较。</w:t>
            </w:r>
            <w:r w:rsidRPr="006B135D">
              <w:rPr>
                <w:rFonts w:ascii="宋体" w:eastAsia="宋体" w:hAnsi="宋体" w:cs="宋体" w:hint="eastAsia"/>
                <w:color w:val="000000"/>
                <w:kern w:val="0"/>
                <w:szCs w:val="21"/>
              </w:rPr>
              <w:br/>
              <w:t>    2、药物的来源、质量要求及其他相关信息</w:t>
            </w:r>
            <w:r w:rsidRPr="006B135D">
              <w:rPr>
                <w:rFonts w:ascii="宋体" w:eastAsia="宋体" w:hAnsi="宋体" w:cs="宋体" w:hint="eastAsia"/>
                <w:color w:val="000000"/>
                <w:kern w:val="0"/>
                <w:szCs w:val="21"/>
              </w:rPr>
              <w:br/>
              <w:t>    药物质量的稳定性是保证含药器械</w:t>
            </w:r>
            <w:proofErr w:type="gramStart"/>
            <w:r w:rsidRPr="006B135D">
              <w:rPr>
                <w:rFonts w:ascii="宋体" w:eastAsia="宋体" w:hAnsi="宋体" w:cs="宋体" w:hint="eastAsia"/>
                <w:color w:val="000000"/>
                <w:kern w:val="0"/>
                <w:szCs w:val="21"/>
              </w:rPr>
              <w:t>终产品</w:t>
            </w:r>
            <w:proofErr w:type="gramEnd"/>
            <w:r w:rsidRPr="006B135D">
              <w:rPr>
                <w:rFonts w:ascii="宋体" w:eastAsia="宋体" w:hAnsi="宋体" w:cs="宋体" w:hint="eastAsia"/>
                <w:color w:val="000000"/>
                <w:kern w:val="0"/>
                <w:szCs w:val="21"/>
              </w:rPr>
              <w:t>性能的重要因素之一，需生产者对所用药物的来源、质量要求进行说明。</w:t>
            </w:r>
            <w:r w:rsidRPr="006B135D">
              <w:rPr>
                <w:rFonts w:ascii="宋体" w:eastAsia="宋体" w:hAnsi="宋体" w:cs="宋体" w:hint="eastAsia"/>
                <w:color w:val="000000"/>
                <w:kern w:val="0"/>
                <w:szCs w:val="21"/>
              </w:rPr>
              <w:br/>
              <w:t>    如果生产者使用已在中国境内上市的药品（含原料药），需提供《医药产品注册证》或《进口药品注册证》复印件。如所含药物未获准在中国境内上市，需按相关规定办理。</w:t>
            </w:r>
            <w:r w:rsidRPr="006B135D">
              <w:rPr>
                <w:rFonts w:ascii="宋体" w:eastAsia="宋体" w:hAnsi="宋体" w:cs="宋体" w:hint="eastAsia"/>
                <w:color w:val="000000"/>
                <w:kern w:val="0"/>
                <w:szCs w:val="21"/>
              </w:rPr>
              <w:br/>
              <w:t>    若药物为外购，需提供双方供货协议或同类证明性文件，并明确生产者对药物的质量要求。</w:t>
            </w:r>
            <w:r w:rsidRPr="006B135D">
              <w:rPr>
                <w:rFonts w:ascii="宋体" w:eastAsia="宋体" w:hAnsi="宋体" w:cs="宋体" w:hint="eastAsia"/>
                <w:color w:val="000000"/>
                <w:kern w:val="0"/>
                <w:szCs w:val="21"/>
              </w:rPr>
              <w:br/>
              <w:t>    生产者应对含药器械中所含药物与已在中国境内上市药品在给药途径、作用方式、给药剂量等方面进行比较，并阐明已上市药品的安全、有效性在含药器械中的适用性。</w:t>
            </w:r>
            <w:r w:rsidRPr="006B135D">
              <w:rPr>
                <w:rFonts w:ascii="宋体" w:eastAsia="宋体" w:hAnsi="宋体" w:cs="宋体" w:hint="eastAsia"/>
                <w:color w:val="000000"/>
                <w:kern w:val="0"/>
                <w:szCs w:val="21"/>
              </w:rPr>
              <w:br/>
              <w:t>    若所含药物为牛源性药物、麻醉药物、精神药物和属于新药的放射性药物，应符合我国目前的相关规定。</w:t>
            </w:r>
            <w:r w:rsidRPr="006B135D">
              <w:rPr>
                <w:rFonts w:ascii="宋体" w:eastAsia="宋体" w:hAnsi="宋体" w:cs="宋体" w:hint="eastAsia"/>
                <w:color w:val="000000"/>
                <w:kern w:val="0"/>
                <w:szCs w:val="21"/>
              </w:rPr>
              <w:br/>
              <w:t>    3、含药器械中药物载体材料直接与药物接触，载体材料质量的变化直接影响产品的最终性能。因此，生产者需保证载体材料的质量稳定性，在技术报告中明确含药器械中药物载体的来源及质量要求。</w:t>
            </w:r>
            <w:r w:rsidRPr="006B135D">
              <w:rPr>
                <w:rFonts w:ascii="宋体" w:eastAsia="宋体" w:hAnsi="宋体" w:cs="宋体" w:hint="eastAsia"/>
                <w:color w:val="000000"/>
                <w:kern w:val="0"/>
                <w:szCs w:val="21"/>
              </w:rPr>
              <w:br/>
              <w:t>    4、药物作为含药器械中极为重要的一种原材料，生产者在研发时需要充分了解所选药物的安全有效性。生产者需在技术报告中提供药物的药学、药理毒理、药代动力学等研究资料综述和已上市药物的临床不良反应综述。</w:t>
            </w:r>
            <w:r w:rsidRPr="006B135D">
              <w:rPr>
                <w:rFonts w:ascii="宋体" w:eastAsia="宋体" w:hAnsi="宋体" w:cs="宋体" w:hint="eastAsia"/>
                <w:color w:val="000000"/>
                <w:kern w:val="0"/>
                <w:szCs w:val="21"/>
              </w:rPr>
              <w:br/>
              <w:t>    5、生产工艺的研究是产品研发过程的重要环节。生产者应根据药物及药物载体的理化特性和药物与载体的相互作用，选择适合的药物及药物载体，并制定合理的生产工艺，制定出有效的质量控制措施及控制指标。生产者需在产品技术报告中提供含药器械的生产工艺流程及关键控制点的研究资料，特别需提供药物与医疗器械结合工艺的研究资料和药物与医疗器械结合后的产品加工工艺（如灭菌）对药物性能影响的研究资料。生产者还需提供医疗器械与药物相互作用的研究性资料。如含药器械产品中含有多种药物，生产者需提供药物间相互作用的研究性资料。</w:t>
            </w:r>
            <w:r w:rsidRPr="006B135D">
              <w:rPr>
                <w:rFonts w:ascii="宋体" w:eastAsia="宋体" w:hAnsi="宋体" w:cs="宋体" w:hint="eastAsia"/>
                <w:color w:val="000000"/>
                <w:kern w:val="0"/>
                <w:szCs w:val="21"/>
              </w:rPr>
              <w:br/>
              <w:t>    6、药物含量是含药器械在临床使用中药物能否发挥预期作用的重要指标，生产者需在技术报告中提供含药器械中药物含量选择依据的相关研究资料或文献资料。</w:t>
            </w:r>
            <w:r w:rsidRPr="006B135D">
              <w:rPr>
                <w:rFonts w:ascii="宋体" w:eastAsia="宋体" w:hAnsi="宋体" w:cs="宋体" w:hint="eastAsia"/>
                <w:color w:val="000000"/>
                <w:kern w:val="0"/>
                <w:szCs w:val="21"/>
              </w:rPr>
              <w:br/>
              <w:t>    7、如含药器械中药物的释放型式为缓释或控制，生产者需提交药物释放速率的研究资料或文献资料。</w:t>
            </w:r>
            <w:r w:rsidRPr="006B135D">
              <w:rPr>
                <w:rFonts w:ascii="宋体" w:eastAsia="宋体" w:hAnsi="宋体" w:cs="宋体" w:hint="eastAsia"/>
                <w:color w:val="000000"/>
                <w:kern w:val="0"/>
                <w:szCs w:val="21"/>
              </w:rPr>
              <w:br/>
              <w:t>    8、对于任何一种医疗器械产品，生产者均应对该产品的稳定性进行研究，考察产品在</w:t>
            </w:r>
            <w:r w:rsidRPr="006B135D">
              <w:rPr>
                <w:rFonts w:ascii="宋体" w:eastAsia="宋体" w:hAnsi="宋体" w:cs="宋体" w:hint="eastAsia"/>
                <w:color w:val="000000"/>
                <w:kern w:val="0"/>
                <w:szCs w:val="21"/>
              </w:rPr>
              <w:lastRenderedPageBreak/>
              <w:t>温度、湿度等环境因素影响下保持其原有特性的能力。含药器械产品在生产过程中，生产工艺、药物载体和内包装材料均可能对含药器械中药物的稳定性产生影响。因此，需生产者在产品技术报告中提供含药器械的稳定性研究资料，根据研究结果确定产品的贮存条件及有效期。</w:t>
            </w:r>
            <w:r w:rsidRPr="006B135D">
              <w:rPr>
                <w:rFonts w:ascii="宋体" w:eastAsia="宋体" w:hAnsi="宋体" w:cs="宋体" w:hint="eastAsia"/>
                <w:color w:val="000000"/>
                <w:kern w:val="0"/>
                <w:szCs w:val="21"/>
              </w:rPr>
              <w:br/>
              <w:t>    9、生物安全性评价是医疗器械产品安全性的重要评价项目之一。生产者应在技术报告中提供含药器械的生物安全性评价资料。由于含药器械具有局部释放药物的特点，因此生产者应注意提供含药器械作用于局部的耐受性研究资料。如选用的药物在生殖毒性、长期毒性、致癌性和依赖性方面存在风险，应提供相关试验资料或文献资料。</w:t>
            </w:r>
            <w:r w:rsidRPr="006B135D">
              <w:rPr>
                <w:rFonts w:ascii="宋体" w:eastAsia="宋体" w:hAnsi="宋体" w:cs="宋体" w:hint="eastAsia"/>
                <w:color w:val="000000"/>
                <w:kern w:val="0"/>
                <w:szCs w:val="21"/>
              </w:rPr>
              <w:br/>
              <w:t>    10、需提供含药器械的药效学评价资料。</w:t>
            </w:r>
            <w:r w:rsidRPr="006B135D">
              <w:rPr>
                <w:rFonts w:ascii="宋体" w:eastAsia="宋体" w:hAnsi="宋体" w:cs="宋体" w:hint="eastAsia"/>
                <w:color w:val="000000"/>
                <w:kern w:val="0"/>
                <w:szCs w:val="21"/>
              </w:rPr>
              <w:br/>
              <w:t>    11、药物与医疗器械结合后，所含药物在剂型、辅料、生产工艺和给药途径方面往往与单独使用时发生变化，这些改变可能对药物的药代动力学性能产生影响。因此，需生产者提供含药器械的药代动力学试验资料或文献资料。</w:t>
            </w:r>
            <w:r w:rsidRPr="006B135D">
              <w:rPr>
                <w:rFonts w:ascii="宋体" w:eastAsia="宋体" w:hAnsi="宋体" w:cs="宋体" w:hint="eastAsia"/>
                <w:color w:val="000000"/>
                <w:kern w:val="0"/>
                <w:szCs w:val="21"/>
              </w:rPr>
              <w:br/>
              <w:t>    （二） 产品注册标准</w:t>
            </w:r>
            <w:r w:rsidRPr="006B135D">
              <w:rPr>
                <w:rFonts w:ascii="宋体" w:eastAsia="宋体" w:hAnsi="宋体" w:cs="宋体" w:hint="eastAsia"/>
                <w:color w:val="000000"/>
                <w:kern w:val="0"/>
                <w:szCs w:val="21"/>
              </w:rPr>
              <w:br/>
              <w:t>    除符合医疗器械的有关规定外，还需在注册产品标准中规定出药物名称、含量，在技术要求中规定药物定性、定量的技术要求及检测方法。如适用，还需规定药物在器械中的控制释放量指标及检测方法，并在标准编制说明中明确上述技术要求及检测方法的确定依据。若含药器械在贮存、运输等方面有特殊要求的，需在产品标准中做出具体规定。</w:t>
            </w:r>
            <w:r w:rsidRPr="006B135D">
              <w:rPr>
                <w:rFonts w:ascii="宋体" w:eastAsia="宋体" w:hAnsi="宋体" w:cs="宋体" w:hint="eastAsia"/>
                <w:color w:val="000000"/>
                <w:kern w:val="0"/>
                <w:szCs w:val="21"/>
              </w:rPr>
              <w:br/>
              <w:t>    （三） 产品说明书</w:t>
            </w:r>
            <w:r w:rsidRPr="006B135D">
              <w:rPr>
                <w:rFonts w:ascii="宋体" w:eastAsia="宋体" w:hAnsi="宋体" w:cs="宋体" w:hint="eastAsia"/>
                <w:color w:val="000000"/>
                <w:kern w:val="0"/>
                <w:szCs w:val="21"/>
              </w:rPr>
              <w:br/>
              <w:t>    除执行医疗器械产品说明书有关规定外，产品说明书中还</w:t>
            </w:r>
            <w:proofErr w:type="gramStart"/>
            <w:r w:rsidRPr="006B135D">
              <w:rPr>
                <w:rFonts w:ascii="宋体" w:eastAsia="宋体" w:hAnsi="宋体" w:cs="宋体" w:hint="eastAsia"/>
                <w:color w:val="000000"/>
                <w:kern w:val="0"/>
                <w:szCs w:val="21"/>
              </w:rPr>
              <w:t>需表明</w:t>
            </w:r>
            <w:proofErr w:type="gramEnd"/>
            <w:r w:rsidRPr="006B135D">
              <w:rPr>
                <w:rFonts w:ascii="宋体" w:eastAsia="宋体" w:hAnsi="宋体" w:cs="宋体" w:hint="eastAsia"/>
                <w:color w:val="000000"/>
                <w:kern w:val="0"/>
                <w:szCs w:val="21"/>
              </w:rPr>
              <w:t>所含药物的标识信息，一般应包括：药物名称（通用名）、成份、含量、预期功能、药物在含药器械中特定剂量及给药途径下可导致的药物副作用等内容。若含药器械在贮存、运输等方面有特殊要求的，在产品说明书中应予以具体说明。</w:t>
            </w:r>
            <w:r w:rsidRPr="006B135D">
              <w:rPr>
                <w:rFonts w:ascii="宋体" w:eastAsia="宋体" w:hAnsi="宋体" w:cs="宋体" w:hint="eastAsia"/>
                <w:color w:val="000000"/>
                <w:kern w:val="0"/>
                <w:szCs w:val="21"/>
              </w:rPr>
              <w:br/>
              <w:t>    三、 名词解释</w:t>
            </w:r>
            <w:r w:rsidRPr="006B135D">
              <w:rPr>
                <w:rFonts w:ascii="宋体" w:eastAsia="宋体" w:hAnsi="宋体" w:cs="宋体" w:hint="eastAsia"/>
                <w:color w:val="000000"/>
                <w:kern w:val="0"/>
                <w:szCs w:val="21"/>
              </w:rPr>
              <w:br/>
              <w:t>    1、医疗器械：是指单独或者组合使用于人体的仪器、设备、器具、材料或者其他物品，包括所需要的软件；其用于人体体表及体内的作用不是用药理学、免疫学或者代谢的手段获得，但是可能有这些手段参与并起一定的辅助作用；其使用旨在达到下列预期目的： </w:t>
            </w:r>
            <w:r w:rsidRPr="006B135D">
              <w:rPr>
                <w:rFonts w:ascii="宋体" w:eastAsia="宋体" w:hAnsi="宋体" w:cs="宋体" w:hint="eastAsia"/>
                <w:color w:val="000000"/>
                <w:kern w:val="0"/>
                <w:szCs w:val="21"/>
              </w:rPr>
              <w:br/>
              <w:t>    （一）对疾病的预防、诊断、治疗、监护、缓解； </w:t>
            </w:r>
            <w:r w:rsidRPr="006B135D">
              <w:rPr>
                <w:rFonts w:ascii="宋体" w:eastAsia="宋体" w:hAnsi="宋体" w:cs="宋体" w:hint="eastAsia"/>
                <w:color w:val="000000"/>
                <w:kern w:val="0"/>
                <w:szCs w:val="21"/>
              </w:rPr>
              <w:br/>
              <w:t>    （二）对损伤或者残疾的诊断、治疗、监护、缓解、补偿； </w:t>
            </w:r>
            <w:r w:rsidRPr="006B135D">
              <w:rPr>
                <w:rFonts w:ascii="宋体" w:eastAsia="宋体" w:hAnsi="宋体" w:cs="宋体" w:hint="eastAsia"/>
                <w:color w:val="000000"/>
                <w:kern w:val="0"/>
                <w:szCs w:val="21"/>
              </w:rPr>
              <w:br/>
              <w:t>    （三）对解剖或者生理过程的研究、替代、调节； </w:t>
            </w:r>
            <w:r w:rsidRPr="006B135D">
              <w:rPr>
                <w:rFonts w:ascii="宋体" w:eastAsia="宋体" w:hAnsi="宋体" w:cs="宋体" w:hint="eastAsia"/>
                <w:color w:val="000000"/>
                <w:kern w:val="0"/>
                <w:szCs w:val="21"/>
              </w:rPr>
              <w:br/>
              <w:t>    （四）妊娠控制。</w:t>
            </w:r>
            <w:r w:rsidRPr="006B135D">
              <w:rPr>
                <w:rFonts w:ascii="宋体" w:eastAsia="宋体" w:hAnsi="宋体" w:cs="宋体" w:hint="eastAsia"/>
                <w:color w:val="000000"/>
                <w:kern w:val="0"/>
                <w:szCs w:val="21"/>
              </w:rPr>
              <w:br/>
              <w:t>    2、药品：指用于预防、治疗、诊断人的疾病，有目的地调节人的生理机能并规定有适</w:t>
            </w:r>
            <w:r w:rsidRPr="006B135D">
              <w:rPr>
                <w:rFonts w:ascii="宋体" w:eastAsia="宋体" w:hAnsi="宋体" w:cs="宋体" w:hint="eastAsia"/>
                <w:color w:val="000000"/>
                <w:kern w:val="0"/>
                <w:szCs w:val="21"/>
              </w:rPr>
              <w:lastRenderedPageBreak/>
              <w:t>应症、用法和用量的物质，包括中药材、中药饮片、中成药、化学原料药及其制剂、抗生素、生物制品、放射性药品、血清疫苗、血液制品和诊断药品等。</w:t>
            </w:r>
            <w:r w:rsidRPr="006B135D">
              <w:rPr>
                <w:rFonts w:ascii="宋体" w:eastAsia="宋体" w:hAnsi="宋体" w:cs="宋体" w:hint="eastAsia"/>
                <w:color w:val="000000"/>
                <w:kern w:val="0"/>
                <w:szCs w:val="21"/>
              </w:rPr>
              <w:br/>
              <w:t>    3、含药医疗器械：将某种物质作为医疗器械产品的一部分，若该物质单独使用时，被认定为药物，该药物在该医疗器械产品中具有辅助作用，这种产品则定义含药医疗器械。 </w:t>
            </w:r>
            <w:r w:rsidRPr="006B135D">
              <w:rPr>
                <w:rFonts w:ascii="宋体" w:eastAsia="宋体" w:hAnsi="宋体" w:cs="宋体" w:hint="eastAsia"/>
                <w:color w:val="000000"/>
                <w:kern w:val="0"/>
                <w:szCs w:val="21"/>
              </w:rPr>
              <w:br/>
              <w:t>    四、参考文献</w:t>
            </w:r>
            <w:r w:rsidRPr="006B135D">
              <w:rPr>
                <w:rFonts w:ascii="宋体" w:eastAsia="宋体" w:hAnsi="宋体" w:cs="宋体" w:hint="eastAsia"/>
                <w:color w:val="000000"/>
                <w:kern w:val="0"/>
                <w:szCs w:val="21"/>
              </w:rPr>
              <w:br/>
              <w:t>    1、 《医疗器械监督管理条例》 2004年4月1日</w:t>
            </w:r>
            <w:r w:rsidRPr="006B135D">
              <w:rPr>
                <w:rFonts w:ascii="宋体" w:eastAsia="宋体" w:hAnsi="宋体" w:cs="宋体" w:hint="eastAsia"/>
                <w:color w:val="000000"/>
                <w:kern w:val="0"/>
                <w:szCs w:val="21"/>
              </w:rPr>
              <w:br/>
              <w:t>    2、 《中华人民共和国药品管理法》 2001年12月1日</w:t>
            </w:r>
            <w:r w:rsidRPr="006B135D">
              <w:rPr>
                <w:rFonts w:ascii="宋体" w:eastAsia="宋体" w:hAnsi="宋体" w:cs="宋体" w:hint="eastAsia"/>
                <w:color w:val="000000"/>
                <w:kern w:val="0"/>
                <w:szCs w:val="21"/>
              </w:rPr>
              <w:br/>
              <w:t>    3、 《药品注册管理办法》 2007年10月1日</w:t>
            </w:r>
            <w:r w:rsidRPr="006B135D">
              <w:rPr>
                <w:rFonts w:ascii="宋体" w:eastAsia="宋体" w:hAnsi="宋体" w:cs="宋体" w:hint="eastAsia"/>
                <w:color w:val="000000"/>
                <w:kern w:val="0"/>
                <w:szCs w:val="21"/>
              </w:rPr>
              <w:br/>
              <w:t>    4、 化学药物制剂基本技术指导原则  2005年3月</w:t>
            </w:r>
            <w:r w:rsidRPr="006B135D">
              <w:rPr>
                <w:rFonts w:ascii="宋体" w:eastAsia="宋体" w:hAnsi="宋体" w:cs="宋体" w:hint="eastAsia"/>
                <w:color w:val="000000"/>
                <w:kern w:val="0"/>
                <w:szCs w:val="21"/>
              </w:rPr>
              <w:br/>
              <w:t>    5、 化学药物稳定性研究技术指导原则  2005年3月</w:t>
            </w:r>
            <w:r w:rsidRPr="006B135D">
              <w:rPr>
                <w:rFonts w:ascii="宋体" w:eastAsia="宋体" w:hAnsi="宋体" w:cs="宋体" w:hint="eastAsia"/>
                <w:color w:val="000000"/>
                <w:kern w:val="0"/>
                <w:szCs w:val="21"/>
              </w:rPr>
              <w:br/>
              <w:t>    6、 化学药物非临床药代动力学研究技术指导原则 2005年3月</w:t>
            </w:r>
            <w:r w:rsidRPr="006B135D">
              <w:rPr>
                <w:rFonts w:ascii="宋体" w:eastAsia="宋体" w:hAnsi="宋体" w:cs="宋体" w:hint="eastAsia"/>
                <w:color w:val="000000"/>
                <w:kern w:val="0"/>
                <w:szCs w:val="21"/>
              </w:rPr>
              <w:br/>
              <w:t>    7、《Incorporating First Draft Revision dated 1 October 2004 to COUNCIL DIRECTIVE 93/42/EEC of 14 June 1993 concerning medical devices》</w:t>
            </w:r>
          </w:p>
        </w:tc>
      </w:tr>
    </w:tbl>
    <w:p w:rsidR="0046374F" w:rsidRDefault="0046374F"/>
    <w:sectPr w:rsidR="004637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35D"/>
    <w:rsid w:val="0046374F"/>
    <w:rsid w:val="006B1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796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506</Words>
  <Characters>2886</Characters>
  <Application>Microsoft Office Word</Application>
  <DocSecurity>0</DocSecurity>
  <Lines>24</Lines>
  <Paragraphs>6</Paragraphs>
  <ScaleCrop>false</ScaleCrop>
  <Company>FOUNDERTECH</Company>
  <LinksUpToDate>false</LinksUpToDate>
  <CharactersWithSpaces>3386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2017-10-12T05:40:00Z</dcterms:created>
  <dcterms:modified xsi:type="dcterms:W3CDTF">2017-10-12T05:41:00Z</dcterms:modified>
</cp:coreProperties>
</file>