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D4A" w:rsidRDefault="00613D4A" w:rsidP="00613D4A">
      <w:pPr>
        <w:widowControl/>
        <w:wordWrap w:val="0"/>
        <w:spacing w:before="100" w:beforeAutospacing="1" w:after="100" w:afterAutospacing="1" w:line="600" w:lineRule="exact"/>
        <w:jc w:val="center"/>
        <w:rPr>
          <w:rFonts w:ascii="方正小标宋_GBK" w:eastAsia="方正小标宋_GBK" w:hAnsi="宋体" w:cs="宋体" w:hint="eastAsia"/>
          <w:color w:val="000000"/>
          <w:kern w:val="0"/>
          <w:sz w:val="44"/>
          <w:szCs w:val="44"/>
        </w:rPr>
      </w:pPr>
      <w:r w:rsidRPr="00613D4A">
        <w:rPr>
          <w:rFonts w:ascii="方正小标宋_GBK" w:eastAsia="方正小标宋_GBK" w:hAnsi="宋体" w:cs="宋体" w:hint="eastAsia"/>
          <w:color w:val="000000"/>
          <w:kern w:val="0"/>
          <w:sz w:val="44"/>
          <w:szCs w:val="44"/>
        </w:rPr>
        <w:t>无源植入性医疗器械产品注册申报资料</w:t>
      </w:r>
    </w:p>
    <w:p w:rsidR="00613D4A" w:rsidRPr="00613D4A" w:rsidRDefault="00613D4A" w:rsidP="00613D4A">
      <w:pPr>
        <w:widowControl/>
        <w:wordWrap w:val="0"/>
        <w:spacing w:before="100" w:beforeAutospacing="1" w:after="100" w:afterAutospacing="1" w:line="600" w:lineRule="exact"/>
        <w:jc w:val="center"/>
        <w:rPr>
          <w:rFonts w:ascii="方正小标宋_GBK" w:eastAsia="方正小标宋_GBK" w:hAnsi="宋体" w:cs="宋体" w:hint="eastAsia"/>
          <w:color w:val="000000"/>
          <w:kern w:val="0"/>
          <w:sz w:val="44"/>
          <w:szCs w:val="44"/>
        </w:rPr>
      </w:pPr>
      <w:r w:rsidRPr="00613D4A">
        <w:rPr>
          <w:rFonts w:ascii="方正小标宋_GBK" w:eastAsia="方正小标宋_GBK" w:hAnsi="宋体" w:cs="宋体" w:hint="eastAsia"/>
          <w:color w:val="000000"/>
          <w:kern w:val="0"/>
          <w:sz w:val="44"/>
          <w:szCs w:val="44"/>
        </w:rPr>
        <w:t>指导原则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hint="eastAsia"/>
          <w:color w:val="000000"/>
          <w:kern w:val="0"/>
          <w:sz w:val="15"/>
          <w:szCs w:val="15"/>
        </w:rPr>
      </w:pPr>
      <w:r w:rsidRPr="00613D4A">
        <w:rPr>
          <w:rFonts w:ascii="宋体" w:eastAsia="宋体" w:hAnsi="宋体" w:cs="宋体" w:hint="eastAsia"/>
          <w:color w:val="000000"/>
          <w:kern w:val="0"/>
          <w:sz w:val="15"/>
          <w:szCs w:val="15"/>
        </w:rPr>
        <w:t xml:space="preserve">　　一、前言</w:t>
      </w:r>
      <w:r w:rsidRPr="00613D4A">
        <w:rPr>
          <w:rFonts w:ascii="宋体" w:eastAsia="宋体" w:hAnsi="宋体" w:cs="宋体" w:hint="eastAsia"/>
          <w:color w:val="000000"/>
          <w:kern w:val="0"/>
          <w:sz w:val="15"/>
          <w:szCs w:val="15"/>
        </w:rPr>
        <w:br/>
        <w:t xml:space="preserve">　　无源植入性医疗器械是由各种生物医用材料加工而成的产品，且大多风险高、生产工艺复杂，涉及多学科领域。该类医疗器械在注册时需要提供较多的技术支持性资料。为了进一步明确对无源植入性医疗器械产品注册申报资料的要求，指导申请人/制造商对该类医疗器械的注册申报资料进行准备，特制订本指导原则。</w:t>
      </w:r>
      <w:r w:rsidRPr="00613D4A">
        <w:rPr>
          <w:rFonts w:ascii="宋体" w:eastAsia="宋体" w:hAnsi="宋体" w:cs="宋体" w:hint="eastAsia"/>
          <w:color w:val="000000"/>
          <w:kern w:val="0"/>
          <w:sz w:val="15"/>
          <w:szCs w:val="15"/>
        </w:rPr>
        <w:br/>
        <w:t xml:space="preserve">　　本指导原则系对无源植入性医疗器械的一般要求，除适用于一般意义上的无源植入性医疗器械外，还适用于与人体的骨、组织、组织液或血液接触，且符合以下两个条件或其中之一的医疗器械：一是接触时间大于30天；二是由可吸收/可沥滤材料制成。本指导原则未涉及动物源性医疗器械、含药医疗器械等产品的具体要求，对于这些产品注册申报资料的撰写，还需参见相关的指导原则。申请人/制造商应依据具体产品的特性对注册申报资料的内容进行充实和细化，并依据具体产品的特性确定其中的具体内容是否适用。若不适用，应详细阐述其理由及相应的科学依据。</w:t>
      </w:r>
      <w:r w:rsidRPr="00613D4A">
        <w:rPr>
          <w:rFonts w:ascii="宋体" w:eastAsia="宋体" w:hAnsi="宋体" w:cs="宋体" w:hint="eastAsia"/>
          <w:color w:val="000000"/>
          <w:kern w:val="0"/>
          <w:sz w:val="15"/>
          <w:szCs w:val="15"/>
        </w:rPr>
        <w:br/>
        <w:t xml:space="preserve">　　本指导原则系对申请人/制造商和审查人员的指导性文件，但不包括注册审批所涉及的行政事项，亦不作为法规强制执行。如果有能够满足相关法规要求的其他方法，也可以采用，但是应提供详细的研究资料和验证资料。应在遵循相关法规的前提下使用本指导原则。</w:t>
      </w:r>
      <w:r w:rsidRPr="00613D4A">
        <w:rPr>
          <w:rFonts w:ascii="宋体" w:eastAsia="宋体" w:hAnsi="宋体" w:cs="宋体" w:hint="eastAsia"/>
          <w:color w:val="000000"/>
          <w:kern w:val="0"/>
          <w:sz w:val="15"/>
          <w:szCs w:val="15"/>
        </w:rPr>
        <w:br/>
        <w:t xml:space="preserve">　　本指导原则是在现行法规和标准体系以及当前认知水平下制订的，随着法规和标准的不断完善，以及科学技术的不断发展，本指导原则相关内容也将进行适时的调整。</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hint="eastAsia"/>
          <w:color w:val="000000"/>
          <w:kern w:val="0"/>
          <w:sz w:val="15"/>
          <w:szCs w:val="15"/>
        </w:rPr>
      </w:pPr>
      <w:r w:rsidRPr="00613D4A">
        <w:rPr>
          <w:rFonts w:ascii="宋体" w:eastAsia="宋体" w:hAnsi="宋体" w:cs="宋体" w:hint="eastAsia"/>
          <w:color w:val="000000"/>
          <w:kern w:val="0"/>
          <w:sz w:val="15"/>
          <w:szCs w:val="15"/>
        </w:rPr>
        <w:t xml:space="preserve">　　二、适用范围</w:t>
      </w:r>
      <w:r w:rsidRPr="00613D4A">
        <w:rPr>
          <w:rFonts w:ascii="宋体" w:eastAsia="宋体" w:hAnsi="宋体" w:cs="宋体" w:hint="eastAsia"/>
          <w:color w:val="000000"/>
          <w:kern w:val="0"/>
          <w:sz w:val="15"/>
          <w:szCs w:val="15"/>
        </w:rPr>
        <w:br/>
        <w:t xml:space="preserve">　　本指导原则适用于无源植入性医疗器械产品的注册申报。</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hint="eastAsia"/>
          <w:color w:val="000000"/>
          <w:kern w:val="0"/>
          <w:sz w:val="15"/>
          <w:szCs w:val="15"/>
        </w:rPr>
      </w:pPr>
      <w:r w:rsidRPr="00613D4A">
        <w:rPr>
          <w:rFonts w:ascii="宋体" w:eastAsia="宋体" w:hAnsi="宋体" w:cs="宋体" w:hint="eastAsia"/>
          <w:color w:val="000000"/>
          <w:kern w:val="0"/>
          <w:sz w:val="15"/>
          <w:szCs w:val="15"/>
        </w:rPr>
        <w:t xml:space="preserve">　　三、基本要求</w:t>
      </w:r>
      <w:r w:rsidRPr="00613D4A">
        <w:rPr>
          <w:rFonts w:ascii="宋体" w:eastAsia="宋体" w:hAnsi="宋体" w:cs="宋体" w:hint="eastAsia"/>
          <w:color w:val="000000"/>
          <w:kern w:val="0"/>
          <w:sz w:val="15"/>
          <w:szCs w:val="15"/>
        </w:rPr>
        <w:br/>
        <w:t xml:space="preserve">　　（一）境内无源植入性医疗器械产品注册申报资料要求</w:t>
      </w:r>
      <w:r w:rsidRPr="00613D4A">
        <w:rPr>
          <w:rFonts w:ascii="宋体" w:eastAsia="宋体" w:hAnsi="宋体" w:cs="宋体" w:hint="eastAsia"/>
          <w:color w:val="000000"/>
          <w:kern w:val="0"/>
          <w:sz w:val="15"/>
          <w:szCs w:val="15"/>
        </w:rPr>
        <w:br/>
        <w:t xml:space="preserve">　　在按照《境内第三类、境外医疗器械注册申报资料受理标准》（国食药监械〔2005〕111号）对注册申报资料形式要求的基础上，建议申请人/制造商在产品技术报告、风险分析报告等技术文件中附加目录，并在正文中编写页码；根据有关要求，申请人/制造商在注册申报时除按要求提交其他注册申报资料外，须同时提交两份注册产品标准，建议将该两份注册产品标准独立装订；涉及到的证明文件、试验报告、参考文献文本等可作为附件提交。</w:t>
      </w:r>
    </w:p>
    <w:tbl>
      <w:tblPr>
        <w:tblW w:w="5000" w:type="pct"/>
        <w:tblCellMar>
          <w:left w:w="0" w:type="dxa"/>
          <w:right w:w="0" w:type="dxa"/>
        </w:tblCellMar>
        <w:tblLook w:val="04A0"/>
      </w:tblPr>
      <w:tblGrid>
        <w:gridCol w:w="8306"/>
      </w:tblGrid>
      <w:tr w:rsidR="00613D4A" w:rsidRPr="00613D4A" w:rsidTr="00613D4A">
        <w:tc>
          <w:tcPr>
            <w:tcW w:w="0" w:type="auto"/>
            <w:tcMar>
              <w:top w:w="215" w:type="dxa"/>
              <w:left w:w="0" w:type="dxa"/>
              <w:bottom w:w="0" w:type="dxa"/>
              <w:right w:w="0" w:type="dxa"/>
            </w:tcMar>
            <w:vAlign w:val="center"/>
            <w:hideMark/>
          </w:tcPr>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1．技术报告</w:t>
            </w:r>
            <w:r w:rsidRPr="00613D4A">
              <w:rPr>
                <w:rFonts w:ascii="宋体" w:eastAsia="宋体" w:hAnsi="宋体" w:cs="宋体"/>
                <w:color w:val="000000"/>
                <w:kern w:val="0"/>
                <w:sz w:val="15"/>
                <w:szCs w:val="15"/>
              </w:rPr>
              <w:br/>
              <w:t xml:space="preserve">　　（1）国内外同类产品动态分析，包括国内外同类产品的上市情况及与申报产品在工作原理、原材料、预期用途等方面的对比情况,以便于全面了解同类产品的国内外发展状况。</w:t>
            </w:r>
            <w:r w:rsidRPr="00613D4A">
              <w:rPr>
                <w:rFonts w:ascii="宋体" w:eastAsia="宋体" w:hAnsi="宋体" w:cs="宋体"/>
                <w:color w:val="000000"/>
                <w:kern w:val="0"/>
                <w:sz w:val="15"/>
                <w:szCs w:val="15"/>
              </w:rPr>
              <w:br/>
              <w:t xml:space="preserve">　　（2）对于首次用于医疗器械方面的新材料，应提供该材料适于人体使用的相关研究资料。</w:t>
            </w:r>
            <w:r w:rsidRPr="00613D4A">
              <w:rPr>
                <w:rFonts w:ascii="宋体" w:eastAsia="宋体" w:hAnsi="宋体" w:cs="宋体"/>
                <w:color w:val="000000"/>
                <w:kern w:val="0"/>
                <w:sz w:val="15"/>
                <w:szCs w:val="15"/>
              </w:rPr>
              <w:br/>
              <w:t xml:space="preserve">　　（3）产品分类与产品命名是生产者对产品的品种、型号、规格、基本参数和尺寸进行科学的归并和合理的分档，使其最大限度地满足用户多种多样的需要，也便于制造商组织生产，并作为设计和选用产品的依据。为了便于管理部门全面掌握上述情况，合理判断产品分类和产品命名的科学性与规范性，应在产品技术报告中明确产品分类及产品名称，并提供分类依据及产品名称确定依据。</w:t>
            </w:r>
            <w:r w:rsidRPr="00613D4A">
              <w:rPr>
                <w:rFonts w:ascii="宋体" w:eastAsia="宋体" w:hAnsi="宋体" w:cs="宋体"/>
                <w:color w:val="000000"/>
                <w:kern w:val="0"/>
                <w:sz w:val="15"/>
                <w:szCs w:val="15"/>
              </w:rPr>
              <w:br/>
              <w:t xml:space="preserve">　　（4）植入人体的各种材料必须对人体是安全的，不能对人体组织、血液、免疫等系统产生不良反应。因此，材料生物相容性的优劣应是无源植入性医疗器械研究设计中首先考虑的重要问题。建议制造商在注册产品技术报告中提供有关技术资料，以便于管理部门全面掌握其对产品安全性进行评价的情况。具体包括：</w:t>
            </w:r>
            <w:r w:rsidRPr="00613D4A">
              <w:rPr>
                <w:rFonts w:ascii="宋体" w:eastAsia="宋体" w:hAnsi="宋体" w:cs="宋体"/>
                <w:color w:val="000000"/>
                <w:kern w:val="0"/>
                <w:sz w:val="15"/>
                <w:szCs w:val="15"/>
              </w:rPr>
              <w:br/>
              <w:t xml:space="preserve">　　① 产品作用原理，预期与人体接触的部位（组织）、接触方式、作用时间（包括多量次产品的积累时间）；预期与人体最长接触时间的确定依据及相关研究资料；明确是否含可降解材料，若含，则提供可降解材料的降解周期和降解产物的相关研究</w:t>
            </w:r>
            <w:r w:rsidRPr="00613D4A">
              <w:rPr>
                <w:rFonts w:ascii="宋体" w:eastAsia="宋体" w:hAnsi="宋体" w:cs="宋体"/>
                <w:color w:val="000000"/>
                <w:kern w:val="0"/>
                <w:sz w:val="15"/>
                <w:szCs w:val="15"/>
              </w:rPr>
              <w:lastRenderedPageBreak/>
              <w:t>资料；</w:t>
            </w:r>
            <w:r w:rsidRPr="00613D4A">
              <w:rPr>
                <w:rFonts w:ascii="宋体" w:eastAsia="宋体" w:hAnsi="宋体" w:cs="宋体"/>
                <w:color w:val="000000"/>
                <w:kern w:val="0"/>
                <w:sz w:val="15"/>
                <w:szCs w:val="15"/>
              </w:rPr>
              <w:br/>
              <w:t xml:space="preserve">　　② 产品的所有组成材料（包括涂层、染料、黏合剂等）的基本信息,如:公认的材料化学名称、化学结构式/分子式、分子量、商品名/材料代号等，并提供所使用的原材料可用于生产医疗器械的支持性资料；若产品供货状态是保存在液体中，则提供保存液体的详细成分及含量信息，以及相关安全性评价资料；</w:t>
            </w:r>
            <w:r w:rsidRPr="00613D4A">
              <w:rPr>
                <w:rFonts w:ascii="宋体" w:eastAsia="宋体" w:hAnsi="宋体" w:cs="宋体"/>
                <w:color w:val="000000"/>
                <w:kern w:val="0"/>
                <w:sz w:val="15"/>
                <w:szCs w:val="15"/>
              </w:rPr>
              <w:br/>
              <w:t xml:space="preserve">　　③ 产品性能、结构（相应图示）与组成，应提供产品设计文件及相关研究性资料或文献资料；明确预期与人体接触的组成部分和材料；明确产品型号、规格间的异同点；</w:t>
            </w:r>
            <w:r w:rsidRPr="00613D4A">
              <w:rPr>
                <w:rFonts w:ascii="宋体" w:eastAsia="宋体" w:hAnsi="宋体" w:cs="宋体"/>
                <w:color w:val="000000"/>
                <w:kern w:val="0"/>
                <w:sz w:val="15"/>
                <w:szCs w:val="15"/>
              </w:rPr>
              <w:br/>
              <w:t xml:space="preserve">　　④ 产品生产加工过程，包括各种加工工艺（注明关键工艺）、各种加工助剂的使用情况，对残留单体或小分子残留物的控制情况等；提供产品加工工艺的确定依据以及涉及到的研究性资料、文献资料等；</w:t>
            </w:r>
            <w:r w:rsidRPr="00613D4A">
              <w:rPr>
                <w:rFonts w:ascii="宋体" w:eastAsia="宋体" w:hAnsi="宋体" w:cs="宋体"/>
                <w:color w:val="000000"/>
                <w:kern w:val="0"/>
                <w:sz w:val="15"/>
                <w:szCs w:val="15"/>
              </w:rPr>
              <w:br/>
              <w:t xml:space="preserve">　　⑤ 对于使用前灭菌（消毒）的产品及可重复灭菌（消毒）的产品，应提供产品对推荐的灭菌（消毒）方法耐受性的支持性资料，及所推荐的灭菌（消毒）方法确定的依据。</w:t>
            </w:r>
            <w:r w:rsidRPr="00613D4A">
              <w:rPr>
                <w:rFonts w:ascii="宋体" w:eastAsia="宋体" w:hAnsi="宋体" w:cs="宋体"/>
                <w:color w:val="000000"/>
                <w:kern w:val="0"/>
                <w:sz w:val="15"/>
                <w:szCs w:val="15"/>
              </w:rPr>
              <w:br/>
              <w:t xml:space="preserve">　　（5）产品有效期（货架寿命）确定依据。产品有效期的确定应该建立在科学试验的基础上，如稳定性试验，其目的是考察产品在温度、湿度、光线的影响下随时间变化的规律，为产品的生产、包装、贮存、运输条件提供科学依据，同时通过试验建立产品的有效期。因此，生产者在申报产品注册时应提供产品有效期（包括产品性能稳定性和无菌状态持续性的保证期限）的验证报告及内包装材料信息；若产品无有效期要求，也应当阐述无有效期要求的理由。</w:t>
            </w:r>
            <w:r w:rsidRPr="00613D4A">
              <w:rPr>
                <w:rFonts w:ascii="宋体" w:eastAsia="宋体" w:hAnsi="宋体" w:cs="宋体"/>
                <w:color w:val="000000"/>
                <w:kern w:val="0"/>
                <w:sz w:val="15"/>
                <w:szCs w:val="15"/>
              </w:rPr>
              <w:br/>
              <w:t xml:space="preserve">　　（6）产品使用寿命的研究资料。</w:t>
            </w:r>
            <w:r w:rsidRPr="00613D4A">
              <w:rPr>
                <w:rFonts w:ascii="宋体" w:eastAsia="宋体" w:hAnsi="宋体" w:cs="宋体"/>
                <w:color w:val="000000"/>
                <w:kern w:val="0"/>
                <w:sz w:val="15"/>
                <w:szCs w:val="15"/>
              </w:rPr>
              <w:br/>
              <w:t xml:space="preserve">　　（7）制造商认为应在技术报告中提交的证明产品安全有效所必需的其他资料。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2．风险分析报告</w:t>
            </w:r>
            <w:r w:rsidRPr="00613D4A">
              <w:rPr>
                <w:rFonts w:ascii="宋体" w:eastAsia="宋体" w:hAnsi="宋体" w:cs="宋体"/>
                <w:color w:val="000000"/>
                <w:kern w:val="0"/>
                <w:sz w:val="15"/>
                <w:szCs w:val="15"/>
              </w:rPr>
              <w:br/>
              <w:t xml:space="preserve">　　根据YY/T 0316《医疗器械 风险管理对医疗器械的应用》，制造商应对产品原材料、生产加工过程、包装、灭菌、运输、贮存、使用等产品寿命周期的各个环节,从能量危害（若涉及）、生物学危害、环境危害、有关使用的危害以及由功能失效、维护及老化引起的危害等方面进行风险分析，详述所采取的风险控制措施。</w:t>
            </w:r>
          </w:p>
          <w:tbl>
            <w:tblPr>
              <w:tblW w:w="5000" w:type="pct"/>
              <w:tblCellMar>
                <w:left w:w="0" w:type="dxa"/>
                <w:right w:w="0" w:type="dxa"/>
              </w:tblCellMar>
              <w:tblLook w:val="04A0"/>
            </w:tblPr>
            <w:tblGrid>
              <w:gridCol w:w="8306"/>
            </w:tblGrid>
            <w:tr w:rsidR="00613D4A" w:rsidRPr="00613D4A">
              <w:tc>
                <w:tcPr>
                  <w:tcW w:w="0" w:type="auto"/>
                  <w:tcMar>
                    <w:top w:w="215" w:type="dxa"/>
                    <w:left w:w="0" w:type="dxa"/>
                    <w:bottom w:w="0" w:type="dxa"/>
                    <w:right w:w="0" w:type="dxa"/>
                  </w:tcMar>
                  <w:vAlign w:val="center"/>
                  <w:hideMark/>
                </w:tcPr>
                <w:p w:rsidR="00613D4A" w:rsidRPr="00613D4A" w:rsidRDefault="00613D4A" w:rsidP="00613D4A">
                  <w:pPr>
                    <w:widowControl/>
                    <w:wordWrap w:val="0"/>
                    <w:spacing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3．注册产品标准</w:t>
                  </w:r>
                  <w:r w:rsidRPr="00613D4A">
                    <w:rPr>
                      <w:rFonts w:ascii="宋体" w:eastAsia="宋体" w:hAnsi="宋体" w:cs="宋体"/>
                      <w:color w:val="000000"/>
                      <w:kern w:val="0"/>
                      <w:sz w:val="15"/>
                      <w:szCs w:val="15"/>
                    </w:rPr>
                    <w:br/>
                    <w:t xml:space="preserve">　　（1）根据《医疗器械标准管理办法（试行）》的要求，注册产品标准应符合国家标准、行业标准和有关法律、法规的要求。在此基础上, 制造商应根据产品的特点制定保证产品安全有效、质量可控的技术要求。注册产品标准中技术要求及试验方法均应是已经过验证的。</w:t>
                  </w:r>
                  <w:r w:rsidRPr="00613D4A">
                    <w:rPr>
                      <w:rFonts w:ascii="宋体" w:eastAsia="宋体" w:hAnsi="宋体" w:cs="宋体"/>
                      <w:color w:val="000000"/>
                      <w:kern w:val="0"/>
                      <w:sz w:val="15"/>
                      <w:szCs w:val="15"/>
                    </w:rPr>
                    <w:br/>
                    <w:t xml:space="preserve">　　（2）注册产品标准应包括正文和标准编制说明。标准编制说明应包括下列内容：</w:t>
                  </w:r>
                  <w:r w:rsidRPr="00613D4A">
                    <w:rPr>
                      <w:rFonts w:ascii="宋体" w:eastAsia="宋体" w:hAnsi="宋体" w:cs="宋体"/>
                      <w:color w:val="000000"/>
                      <w:kern w:val="0"/>
                      <w:sz w:val="15"/>
                      <w:szCs w:val="15"/>
                    </w:rPr>
                    <w:br/>
                    <w:t xml:space="preserve">　　① 与人体接触的材料是否已在临床上应用过，其安全性、可靠性是否得到证明；</w:t>
                  </w:r>
                  <w:r w:rsidRPr="00613D4A">
                    <w:rPr>
                      <w:rFonts w:ascii="宋体" w:eastAsia="宋体" w:hAnsi="宋体" w:cs="宋体"/>
                      <w:color w:val="000000"/>
                      <w:kern w:val="0"/>
                      <w:sz w:val="15"/>
                    </w:rPr>
                    <w:t> </w:t>
                  </w:r>
                  <w:r w:rsidRPr="00613D4A">
                    <w:rPr>
                      <w:rFonts w:ascii="宋体" w:eastAsia="宋体" w:hAnsi="宋体" w:cs="宋体"/>
                      <w:color w:val="000000"/>
                      <w:kern w:val="0"/>
                      <w:sz w:val="15"/>
                      <w:szCs w:val="15"/>
                    </w:rPr>
                    <w:br/>
                    <w:t xml:space="preserve">　　② 引用或参照的相关标准和资料；</w:t>
                  </w:r>
                  <w:r w:rsidRPr="00613D4A">
                    <w:rPr>
                      <w:rFonts w:ascii="宋体" w:eastAsia="宋体" w:hAnsi="宋体" w:cs="宋体"/>
                      <w:color w:val="000000"/>
                      <w:kern w:val="0"/>
                      <w:sz w:val="15"/>
                      <w:szCs w:val="15"/>
                    </w:rPr>
                    <w:br/>
                    <w:t xml:space="preserve">　　③ 管理类别确定的依据；</w:t>
                  </w:r>
                  <w:r w:rsidRPr="00613D4A">
                    <w:rPr>
                      <w:rFonts w:ascii="宋体" w:eastAsia="宋体" w:hAnsi="宋体" w:cs="宋体"/>
                      <w:color w:val="000000"/>
                      <w:kern w:val="0"/>
                      <w:sz w:val="15"/>
                      <w:szCs w:val="15"/>
                    </w:rPr>
                    <w:br/>
                    <w:t xml:space="preserve">　　④ 产品概述及主要技术条款确定的依据；</w:t>
                  </w:r>
                  <w:r w:rsidRPr="00613D4A">
                    <w:rPr>
                      <w:rFonts w:ascii="宋体" w:eastAsia="宋体" w:hAnsi="宋体" w:cs="宋体"/>
                      <w:color w:val="000000"/>
                      <w:kern w:val="0"/>
                      <w:sz w:val="15"/>
                      <w:szCs w:val="15"/>
                    </w:rPr>
                    <w:br/>
                    <w:t xml:space="preserve">　　⑤ 其他需要说明的内容。</w:t>
                  </w:r>
                  <w:r w:rsidRPr="00613D4A">
                    <w:rPr>
                      <w:rFonts w:ascii="宋体" w:eastAsia="宋体" w:hAnsi="宋体" w:cs="宋体"/>
                      <w:color w:val="000000"/>
                      <w:kern w:val="0"/>
                      <w:sz w:val="15"/>
                      <w:szCs w:val="15"/>
                    </w:rPr>
                    <w:br/>
                    <w:t xml:space="preserve">　　（3）注册产品标准中，应明示产品使用原材料及各部件的组成成份，有材料牌号的，明确材料牌号；给出产品相应结构图示、详细的规格尺寸。</w:t>
                  </w:r>
                  <w:r w:rsidRPr="00613D4A">
                    <w:rPr>
                      <w:rFonts w:ascii="宋体" w:eastAsia="宋体" w:hAnsi="宋体" w:cs="宋体"/>
                      <w:color w:val="000000"/>
                      <w:kern w:val="0"/>
                      <w:sz w:val="15"/>
                      <w:szCs w:val="15"/>
                    </w:rPr>
                    <w:br/>
                    <w:t xml:space="preserve">　　（4）对于重新注册产品的注册产品标准，若制造商在原注册产品标准基础上进行了修订，制造商在申报产品重新注册时，应同时提供标准修订说明，在标准修订说明中明确修订的内容及修订依据。</w:t>
                  </w:r>
                  <w:r w:rsidRPr="00613D4A">
                    <w:rPr>
                      <w:rFonts w:ascii="宋体" w:eastAsia="宋体" w:hAnsi="宋体" w:cs="宋体"/>
                      <w:color w:val="000000"/>
                      <w:kern w:val="0"/>
                      <w:sz w:val="15"/>
                      <w:szCs w:val="15"/>
                    </w:rPr>
                    <w:br/>
                    <w:t xml:space="preserve">　　有些重新注册产品，虽然产品设计和适用范围均未发生改变，但由于国家/行业标准通过注册产品标准的引用而成为注册产品标准的组成部分，随着这些国家/行业标准的更新，其注册产品标准亦应进行相应的更新。</w:t>
                  </w:r>
                  <w:r w:rsidRPr="00613D4A">
                    <w:rPr>
                      <w:rFonts w:ascii="宋体" w:eastAsia="宋体" w:hAnsi="宋体" w:cs="宋体"/>
                      <w:color w:val="000000"/>
                      <w:kern w:val="0"/>
                      <w:sz w:val="15"/>
                      <w:szCs w:val="15"/>
                    </w:rPr>
                    <w:br/>
                    <w:t xml:space="preserve">　　（5）申请人/制造商在申报过程中，按照补充资料通知单要求进行补充资料时，若对注册产品标准的内容进行了修订并提供了新版的注册产品标准，应同时提供说明标准变更前后对比情况的资料。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4．临床试验资料</w:t>
                  </w:r>
                  <w:r w:rsidRPr="00613D4A">
                    <w:rPr>
                      <w:rFonts w:ascii="宋体" w:eastAsia="宋体" w:hAnsi="宋体" w:cs="宋体"/>
                      <w:color w:val="000000"/>
                      <w:kern w:val="0"/>
                      <w:sz w:val="15"/>
                      <w:szCs w:val="15"/>
                    </w:rPr>
                    <w:br/>
                    <w:t xml:space="preserve">　　（1）根据《医疗器械临床试验规定》的要求提供临床试验资料。</w:t>
                  </w:r>
                  <w:r w:rsidRPr="00613D4A">
                    <w:rPr>
                      <w:rFonts w:ascii="宋体" w:eastAsia="宋体" w:hAnsi="宋体" w:cs="宋体"/>
                      <w:color w:val="000000"/>
                      <w:kern w:val="0"/>
                      <w:sz w:val="15"/>
                      <w:szCs w:val="15"/>
                    </w:rPr>
                    <w:br/>
                  </w:r>
                  <w:r w:rsidRPr="00613D4A">
                    <w:rPr>
                      <w:rFonts w:ascii="宋体" w:eastAsia="宋体" w:hAnsi="宋体" w:cs="宋体"/>
                      <w:color w:val="000000"/>
                      <w:kern w:val="0"/>
                      <w:sz w:val="15"/>
                      <w:szCs w:val="15"/>
                    </w:rPr>
                    <w:lastRenderedPageBreak/>
                    <w:t xml:space="preserve">　　（2）临床试验方案</w:t>
                  </w:r>
                  <w:r w:rsidRPr="00613D4A">
                    <w:rPr>
                      <w:rFonts w:ascii="宋体" w:eastAsia="宋体" w:hAnsi="宋体" w:cs="宋体"/>
                      <w:color w:val="000000"/>
                      <w:kern w:val="0"/>
                      <w:sz w:val="15"/>
                      <w:szCs w:val="15"/>
                    </w:rPr>
                    <w:br/>
                    <w:t xml:space="preserve">　　① 临床试验方案中应明确疗效评价指标，且应采用国际公认的评价标准，如果无公认标准，应采用临床常规疗效评价标准。</w:t>
                  </w:r>
                  <w:r w:rsidRPr="00613D4A">
                    <w:rPr>
                      <w:rFonts w:ascii="宋体" w:eastAsia="宋体" w:hAnsi="宋体" w:cs="宋体"/>
                      <w:color w:val="000000"/>
                      <w:kern w:val="0"/>
                      <w:sz w:val="15"/>
                      <w:szCs w:val="15"/>
                    </w:rPr>
                    <w:br/>
                    <w:t xml:space="preserve">　　② 临床试验方案中试验样本量的确定应按照试验目的、试验类型（优效、非劣效、等效）确定并符合统计学要求，并应采用经典的、公认的统计方法、计算公式、统计软件（如：SAS、SPSS、SYSTAT）。</w:t>
                  </w:r>
                  <w:r w:rsidRPr="00613D4A">
                    <w:rPr>
                      <w:rFonts w:ascii="宋体" w:eastAsia="宋体" w:hAnsi="宋体" w:cs="宋体"/>
                      <w:color w:val="000000"/>
                      <w:kern w:val="0"/>
                      <w:sz w:val="15"/>
                      <w:szCs w:val="15"/>
                    </w:rPr>
                    <w:br/>
                    <w:t xml:space="preserve">　　③ 为了保证得到科学、有效的疗效评价，应根据情况设置合理对照。</w:t>
                  </w:r>
                  <w:r w:rsidRPr="00613D4A">
                    <w:rPr>
                      <w:rFonts w:ascii="宋体" w:eastAsia="宋体" w:hAnsi="宋体" w:cs="宋体"/>
                      <w:color w:val="000000"/>
                      <w:kern w:val="0"/>
                      <w:sz w:val="15"/>
                      <w:szCs w:val="15"/>
                    </w:rPr>
                    <w:br/>
                    <w:t xml:space="preserve">　　④ 为了保证临床试验的科学性，不建议采用文献数据及历史数据作为对照。</w:t>
                  </w:r>
                  <w:r w:rsidRPr="00613D4A">
                    <w:rPr>
                      <w:rFonts w:ascii="宋体" w:eastAsia="宋体" w:hAnsi="宋体" w:cs="宋体"/>
                      <w:color w:val="000000"/>
                      <w:kern w:val="0"/>
                      <w:sz w:val="15"/>
                      <w:szCs w:val="15"/>
                    </w:rPr>
                    <w:br/>
                    <w:t xml:space="preserve">　　⑤ 试验组和对照组应采用统一的入选标准和排除标准，如为多中心临床试验，应按统一的方案进行试验。</w:t>
                  </w:r>
                  <w:r w:rsidRPr="00613D4A">
                    <w:rPr>
                      <w:rFonts w:ascii="宋体" w:eastAsia="宋体" w:hAnsi="宋体" w:cs="宋体"/>
                      <w:color w:val="000000"/>
                      <w:kern w:val="0"/>
                      <w:sz w:val="15"/>
                      <w:szCs w:val="15"/>
                    </w:rPr>
                    <w:br/>
                    <w:t xml:space="preserve">　　⑥ 试验组和对照组的临床观察及随访时间应相同。</w:t>
                  </w:r>
                  <w:r w:rsidRPr="00613D4A">
                    <w:rPr>
                      <w:rFonts w:ascii="宋体" w:eastAsia="宋体" w:hAnsi="宋体" w:cs="宋体"/>
                      <w:color w:val="000000"/>
                      <w:kern w:val="0"/>
                      <w:sz w:val="15"/>
                      <w:szCs w:val="15"/>
                    </w:rPr>
                    <w:br/>
                    <w:t xml:space="preserve">　　（3）临床试验报告</w:t>
                  </w:r>
                  <w:r w:rsidRPr="00613D4A">
                    <w:rPr>
                      <w:rFonts w:ascii="宋体" w:eastAsia="宋体" w:hAnsi="宋体" w:cs="宋体"/>
                      <w:color w:val="000000"/>
                      <w:kern w:val="0"/>
                      <w:sz w:val="15"/>
                      <w:szCs w:val="15"/>
                    </w:rPr>
                    <w:br/>
                    <w:t xml:space="preserve">　　① 临床试验报告应与临床试验方案保持一致，尤其注意明确以下内容：试验产品的产品名称、型号、规格及所对应的试验病种和各个病种的病例数；各病例的随访时间；试验产品的临床适用范围/适应证、禁忌证与注意事项。</w:t>
                  </w:r>
                  <w:r w:rsidRPr="00613D4A">
                    <w:rPr>
                      <w:rFonts w:ascii="宋体" w:eastAsia="宋体" w:hAnsi="宋体" w:cs="宋体"/>
                      <w:color w:val="000000"/>
                      <w:kern w:val="0"/>
                      <w:sz w:val="15"/>
                      <w:szCs w:val="15"/>
                    </w:rPr>
                    <w:br/>
                    <w:t xml:space="preserve">　　临床适用范围/适应证仅限于已进行临床试验并得出具有统计学意义结论的范围/病种。</w:t>
                  </w:r>
                  <w:r w:rsidRPr="00613D4A">
                    <w:rPr>
                      <w:rFonts w:ascii="宋体" w:eastAsia="宋体" w:hAnsi="宋体" w:cs="宋体"/>
                      <w:color w:val="000000"/>
                      <w:kern w:val="0"/>
                      <w:sz w:val="15"/>
                      <w:szCs w:val="15"/>
                    </w:rPr>
                    <w:br/>
                    <w:t xml:space="preserve">　　② 临床试验报告应明确所有病例是否全部完成随访，完成的随访病例是否均纳入统计。失访病例应明确失访原因。</w:t>
                  </w:r>
                  <w:r w:rsidRPr="00613D4A">
                    <w:rPr>
                      <w:rFonts w:ascii="宋体" w:eastAsia="宋体" w:hAnsi="宋体" w:cs="宋体"/>
                      <w:color w:val="000000"/>
                      <w:kern w:val="0"/>
                      <w:sz w:val="15"/>
                      <w:szCs w:val="15"/>
                    </w:rPr>
                    <w:br/>
                    <w:t xml:space="preserve">　　③ 临床试验报告应提交参与疗效评价与安全性评价的统计过程中所涉及到的原始数据。</w:t>
                  </w:r>
                  <w:r w:rsidRPr="00613D4A">
                    <w:rPr>
                      <w:rFonts w:ascii="宋体" w:eastAsia="宋体" w:hAnsi="宋体" w:cs="宋体"/>
                      <w:color w:val="000000"/>
                      <w:kern w:val="0"/>
                      <w:sz w:val="15"/>
                      <w:szCs w:val="15"/>
                    </w:rPr>
                    <w:br/>
                    <w:t xml:space="preserve">　　④ 临床试验报告应报告所有不良事件发生的时间、发生的原因、结果及与试验器械的关系。对于所采取的措施应予以明确。</w:t>
                  </w:r>
                </w:p>
              </w:tc>
            </w:tr>
            <w:tr w:rsidR="00613D4A" w:rsidRPr="00613D4A">
              <w:tc>
                <w:tcPr>
                  <w:tcW w:w="0" w:type="auto"/>
                  <w:vAlign w:val="center"/>
                  <w:hideMark/>
                </w:tcPr>
                <w:tbl>
                  <w:tblPr>
                    <w:tblW w:w="5000" w:type="pct"/>
                    <w:tblCellMar>
                      <w:left w:w="0" w:type="dxa"/>
                      <w:right w:w="0" w:type="dxa"/>
                    </w:tblCellMar>
                    <w:tblLook w:val="04A0"/>
                  </w:tblPr>
                  <w:tblGrid>
                    <w:gridCol w:w="8306"/>
                  </w:tblGrid>
                  <w:tr w:rsidR="00613D4A" w:rsidRPr="00613D4A">
                    <w:tc>
                      <w:tcPr>
                        <w:tcW w:w="0" w:type="auto"/>
                        <w:tcMar>
                          <w:top w:w="215" w:type="dxa"/>
                          <w:left w:w="0" w:type="dxa"/>
                          <w:bottom w:w="0" w:type="dxa"/>
                          <w:right w:w="0" w:type="dxa"/>
                        </w:tcMar>
                        <w:vAlign w:val="center"/>
                        <w:hideMark/>
                      </w:tcPr>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lastRenderedPageBreak/>
                          <w:t xml:space="preserve">　　5．产品说明书</w:t>
                        </w:r>
                        <w:r w:rsidRPr="00613D4A">
                          <w:rPr>
                            <w:rFonts w:ascii="宋体" w:eastAsia="宋体" w:hAnsi="宋体" w:cs="宋体"/>
                            <w:color w:val="000000"/>
                            <w:kern w:val="0"/>
                            <w:sz w:val="15"/>
                            <w:szCs w:val="15"/>
                          </w:rPr>
                          <w:br/>
                          <w:t xml:space="preserve">　　（1）根据《医疗器械说明书、标签和包装标识管理规定》的要求提供产品说明书。</w:t>
                        </w:r>
                        <w:r w:rsidRPr="00613D4A">
                          <w:rPr>
                            <w:rFonts w:ascii="宋体" w:eastAsia="宋体" w:hAnsi="宋体" w:cs="宋体"/>
                            <w:color w:val="000000"/>
                            <w:kern w:val="0"/>
                            <w:sz w:val="15"/>
                            <w:szCs w:val="15"/>
                          </w:rPr>
                          <w:br/>
                          <w:t xml:space="preserve">　　（2）产品临床适用范围/适应证、禁忌证、注意事项应与临床试验报告保持一致。</w:t>
                        </w:r>
                        <w:r w:rsidRPr="00613D4A">
                          <w:rPr>
                            <w:rFonts w:ascii="宋体" w:eastAsia="宋体" w:hAnsi="宋体" w:cs="宋体"/>
                            <w:color w:val="000000"/>
                            <w:kern w:val="0"/>
                            <w:sz w:val="15"/>
                            <w:szCs w:val="15"/>
                          </w:rPr>
                          <w:br/>
                          <w:t xml:space="preserve">　　（3）产品有效期限、使用寿命限制、从人体取出的期限、已采用的灭菌方法、推荐采用的灭菌（消毒）方法等信息应与产品技术报告所述一致。　　　　　　　　</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6．质量跟踪报告（适用于重新注册产品）</w:t>
                        </w:r>
                        <w:r w:rsidRPr="00613D4A">
                          <w:rPr>
                            <w:rFonts w:ascii="宋体" w:eastAsia="宋体" w:hAnsi="宋体" w:cs="宋体"/>
                            <w:color w:val="000000"/>
                            <w:kern w:val="0"/>
                            <w:sz w:val="15"/>
                            <w:szCs w:val="15"/>
                          </w:rPr>
                          <w:br/>
                          <w:t xml:space="preserve">　　（1）为全面了解已注册产品临床使用情况，建议制造商在质量跟踪报告中提供以下信息：已注册产品市场销售情况，包括产品销售量，如果产品型号间差异较大时,应提供不同型号产品销售情况；根据产品临床适用范围/适应证详述产品上市后临床随访情况；详述产品上市后所有不良事件、投诉发生情况，对不良事件、投诉原因的分析与处理情况。</w:t>
                        </w:r>
                        <w:r w:rsidRPr="00613D4A">
                          <w:rPr>
                            <w:rFonts w:ascii="宋体" w:eastAsia="宋体" w:hAnsi="宋体" w:cs="宋体"/>
                            <w:color w:val="000000"/>
                            <w:kern w:val="0"/>
                            <w:sz w:val="15"/>
                            <w:szCs w:val="15"/>
                          </w:rPr>
                          <w:br/>
                          <w:t xml:space="preserve">　　（2）为了对重新注册产品的安全性和有效性做出科学合理的评价，建议制造商详细说明此次申请重新注册产品与原注册产品相比的任何变化情况，可能涉及但不限于以下几个方面：</w:t>
                        </w:r>
                        <w:r w:rsidRPr="00613D4A">
                          <w:rPr>
                            <w:rFonts w:ascii="宋体" w:eastAsia="宋体" w:hAnsi="宋体" w:cs="宋体"/>
                            <w:color w:val="000000"/>
                            <w:kern w:val="0"/>
                            <w:sz w:val="15"/>
                            <w:szCs w:val="15"/>
                          </w:rPr>
                          <w:br/>
                          <w:t xml:space="preserve">　　① 材料及材料供应商</w:t>
                        </w:r>
                        <w:r w:rsidRPr="00613D4A">
                          <w:rPr>
                            <w:rFonts w:ascii="宋体" w:eastAsia="宋体" w:hAnsi="宋体" w:cs="宋体"/>
                            <w:color w:val="000000"/>
                            <w:kern w:val="0"/>
                            <w:sz w:val="15"/>
                            <w:szCs w:val="15"/>
                          </w:rPr>
                          <w:br/>
                          <w:t xml:space="preserve">　　② 加工工艺</w:t>
                        </w:r>
                        <w:r w:rsidRPr="00613D4A">
                          <w:rPr>
                            <w:rFonts w:ascii="宋体" w:eastAsia="宋体" w:hAnsi="宋体" w:cs="宋体"/>
                            <w:color w:val="000000"/>
                            <w:kern w:val="0"/>
                            <w:sz w:val="15"/>
                            <w:szCs w:val="15"/>
                          </w:rPr>
                          <w:br/>
                          <w:t xml:space="preserve">　　③ 产品结构</w:t>
                        </w:r>
                        <w:r w:rsidRPr="00613D4A">
                          <w:rPr>
                            <w:rFonts w:ascii="宋体" w:eastAsia="宋体" w:hAnsi="宋体" w:cs="宋体"/>
                            <w:color w:val="000000"/>
                            <w:kern w:val="0"/>
                            <w:sz w:val="15"/>
                            <w:szCs w:val="15"/>
                          </w:rPr>
                          <w:br/>
                          <w:t xml:space="preserve">　　④ 预期用途</w:t>
                        </w:r>
                        <w:r w:rsidRPr="00613D4A">
                          <w:rPr>
                            <w:rFonts w:ascii="宋体" w:eastAsia="宋体" w:hAnsi="宋体" w:cs="宋体"/>
                            <w:color w:val="000000"/>
                            <w:kern w:val="0"/>
                            <w:sz w:val="15"/>
                            <w:szCs w:val="15"/>
                          </w:rPr>
                          <w:br/>
                          <w:t xml:space="preserve">　　⑤ 包装材料</w:t>
                        </w:r>
                        <w:r w:rsidRPr="00613D4A">
                          <w:rPr>
                            <w:rFonts w:ascii="宋体" w:eastAsia="宋体" w:hAnsi="宋体" w:cs="宋体"/>
                            <w:color w:val="000000"/>
                            <w:kern w:val="0"/>
                            <w:sz w:val="15"/>
                            <w:szCs w:val="15"/>
                          </w:rPr>
                          <w:br/>
                          <w:t xml:space="preserve">　　⑥ 灭菌方式</w:t>
                        </w:r>
                        <w:r w:rsidRPr="00613D4A">
                          <w:rPr>
                            <w:rFonts w:ascii="宋体" w:eastAsia="宋体" w:hAnsi="宋体" w:cs="宋体"/>
                            <w:color w:val="000000"/>
                            <w:kern w:val="0"/>
                            <w:sz w:val="15"/>
                            <w:szCs w:val="15"/>
                          </w:rPr>
                          <w:br/>
                          <w:t xml:space="preserve">　　若存在任何一种涉及产品的技术性变化，则制造商应提交该变化是否会带来新风险的详细论证与评价资料。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7．其他</w:t>
                        </w:r>
                        <w:r w:rsidRPr="00613D4A">
                          <w:rPr>
                            <w:rFonts w:ascii="宋体" w:eastAsia="宋体" w:hAnsi="宋体" w:cs="宋体"/>
                            <w:color w:val="000000"/>
                            <w:kern w:val="0"/>
                            <w:sz w:val="15"/>
                            <w:szCs w:val="15"/>
                          </w:rPr>
                          <w:br/>
                          <w:t xml:space="preserve">　　医疗器械产品名称应规范。通用名称可以已发布的国家标准、行业标准以及《医疗器械产品分类目录》中的产品名称为依据。没有国家标准、行业标准以及《医疗器械产品分类目录》中无相应产品名称的产品，其命名应以体现产品技术结构特征、功能属性为基本原则，并应符合《医疗器械说明书、标签和包装标识管理规定》中有关规定。通用名称、商品名称、型号、规格的命名不应有重复之处，且申报资料中涉及产品名称、商品名称、型号、规格之处均应保持一致。</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（二）境外无源植入性医疗器械产品注册申报资料要求</w:t>
                        </w:r>
                        <w:r w:rsidRPr="00613D4A">
                          <w:rPr>
                            <w:rFonts w:ascii="宋体" w:eastAsia="宋体" w:hAnsi="宋体" w:cs="宋体"/>
                            <w:color w:val="000000"/>
                            <w:kern w:val="0"/>
                            <w:sz w:val="15"/>
                            <w:szCs w:val="15"/>
                          </w:rPr>
                          <w:br/>
                          <w:t xml:space="preserve">　　1．技术支持资料（适用于首次注册产品）</w:t>
                        </w:r>
                        <w:r w:rsidRPr="00613D4A">
                          <w:rPr>
                            <w:rFonts w:ascii="宋体" w:eastAsia="宋体" w:hAnsi="宋体" w:cs="宋体"/>
                            <w:color w:val="000000"/>
                            <w:kern w:val="0"/>
                            <w:sz w:val="15"/>
                            <w:szCs w:val="15"/>
                          </w:rPr>
                          <w:br/>
                        </w:r>
                        <w:r w:rsidRPr="00613D4A">
                          <w:rPr>
                            <w:rFonts w:ascii="宋体" w:eastAsia="宋体" w:hAnsi="宋体" w:cs="宋体"/>
                            <w:color w:val="000000"/>
                            <w:kern w:val="0"/>
                            <w:sz w:val="15"/>
                            <w:szCs w:val="15"/>
                          </w:rPr>
                          <w:lastRenderedPageBreak/>
                          <w:t xml:space="preserve">　　为了对申请注册产品的安全性和有效性做出科学合理的评价，依据技术审评的需要，建议申请人/制造商在无源植入性医疗器械产品首次申请注册时提供产品境外上市批准时要求提交的技术支持资料（内容可参照境内产品注册申报资料中产品技术报告具体要求），作为境外上市批准文件的附件。技术支持资料应由境外产品制造商签章。</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2．注册产品标准</w:t>
                        </w:r>
                        <w:r w:rsidRPr="00613D4A">
                          <w:rPr>
                            <w:rFonts w:ascii="宋体" w:eastAsia="宋体" w:hAnsi="宋体" w:cs="宋体"/>
                            <w:color w:val="000000"/>
                            <w:kern w:val="0"/>
                            <w:sz w:val="15"/>
                            <w:szCs w:val="15"/>
                          </w:rPr>
                          <w:br/>
                          <w:t xml:space="preserve">　　（1）根据《医疗器械标准管理办法（试行）》的要求，注册产品标准应符合国家标准、行业标准和有关法律、法规的要求。在此基础上, 制造商应根据产品的特点制定保证产品安全有效、质量可控的技术要求。注册产品标准中技术要求及试验方法均应是已经过验证的。</w:t>
                        </w:r>
                        <w:r w:rsidRPr="00613D4A">
                          <w:rPr>
                            <w:rFonts w:ascii="宋体" w:eastAsia="宋体" w:hAnsi="宋体" w:cs="宋体"/>
                            <w:color w:val="000000"/>
                            <w:kern w:val="0"/>
                            <w:sz w:val="15"/>
                            <w:szCs w:val="15"/>
                          </w:rPr>
                          <w:br/>
                          <w:t xml:space="preserve">　　（2）注册产品标准应包括正文和标准编制说明。标准编制说明应包括下列内容：</w:t>
                        </w:r>
                        <w:r w:rsidRPr="00613D4A">
                          <w:rPr>
                            <w:rFonts w:ascii="宋体" w:eastAsia="宋体" w:hAnsi="宋体" w:cs="宋体"/>
                            <w:color w:val="000000"/>
                            <w:kern w:val="0"/>
                            <w:sz w:val="15"/>
                            <w:szCs w:val="15"/>
                          </w:rPr>
                          <w:br/>
                          <w:t xml:space="preserve">　　① 与人体接触的材料是否已在临床上应用过，其安全性、可靠性是否得到证明；</w:t>
                        </w:r>
                        <w:r w:rsidRPr="00613D4A">
                          <w:rPr>
                            <w:rFonts w:ascii="宋体" w:eastAsia="宋体" w:hAnsi="宋体" w:cs="宋体"/>
                            <w:color w:val="000000"/>
                            <w:kern w:val="0"/>
                            <w:sz w:val="15"/>
                          </w:rPr>
                          <w:t> </w:t>
                        </w:r>
                        <w:r w:rsidRPr="00613D4A">
                          <w:rPr>
                            <w:rFonts w:ascii="宋体" w:eastAsia="宋体" w:hAnsi="宋体" w:cs="宋体"/>
                            <w:color w:val="000000"/>
                            <w:kern w:val="0"/>
                            <w:sz w:val="15"/>
                            <w:szCs w:val="15"/>
                          </w:rPr>
                          <w:br/>
                          <w:t xml:space="preserve">　　② 引用或参照的相关标准和资料；</w:t>
                        </w:r>
                        <w:r w:rsidRPr="00613D4A">
                          <w:rPr>
                            <w:rFonts w:ascii="宋体" w:eastAsia="宋体" w:hAnsi="宋体" w:cs="宋体"/>
                            <w:color w:val="000000"/>
                            <w:kern w:val="0"/>
                            <w:sz w:val="15"/>
                            <w:szCs w:val="15"/>
                          </w:rPr>
                          <w:br/>
                          <w:t xml:space="preserve">　　③ 管理类别确定的依据；</w:t>
                        </w:r>
                        <w:r w:rsidRPr="00613D4A">
                          <w:rPr>
                            <w:rFonts w:ascii="宋体" w:eastAsia="宋体" w:hAnsi="宋体" w:cs="宋体"/>
                            <w:color w:val="000000"/>
                            <w:kern w:val="0"/>
                            <w:sz w:val="15"/>
                            <w:szCs w:val="15"/>
                          </w:rPr>
                          <w:br/>
                          <w:t xml:space="preserve">　　④ 产品概述及主要技术条款确定的依据；</w:t>
                        </w:r>
                        <w:r w:rsidRPr="00613D4A">
                          <w:rPr>
                            <w:rFonts w:ascii="宋体" w:eastAsia="宋体" w:hAnsi="宋体" w:cs="宋体"/>
                            <w:color w:val="000000"/>
                            <w:kern w:val="0"/>
                            <w:sz w:val="15"/>
                            <w:szCs w:val="15"/>
                          </w:rPr>
                          <w:br/>
                          <w:t xml:space="preserve">　　⑤ 其他需要说明的内容。</w:t>
                        </w:r>
                        <w:r w:rsidRPr="00613D4A">
                          <w:rPr>
                            <w:rFonts w:ascii="宋体" w:eastAsia="宋体" w:hAnsi="宋体" w:cs="宋体"/>
                            <w:color w:val="000000"/>
                            <w:kern w:val="0"/>
                            <w:sz w:val="15"/>
                            <w:szCs w:val="15"/>
                          </w:rPr>
                          <w:br/>
                          <w:t xml:space="preserve">　　（3）注册产品标准中，应明示产品使用原材料及各部件的组成成份，有材料牌号的，明确材料牌号；给出产品相应结构图示、详细的规格尺寸。</w:t>
                        </w:r>
                        <w:r w:rsidRPr="00613D4A">
                          <w:rPr>
                            <w:rFonts w:ascii="宋体" w:eastAsia="宋体" w:hAnsi="宋体" w:cs="宋体"/>
                            <w:color w:val="000000"/>
                            <w:kern w:val="0"/>
                            <w:sz w:val="15"/>
                            <w:szCs w:val="15"/>
                          </w:rPr>
                          <w:br/>
                          <w:t xml:space="preserve">　　（4）对于重新注册产品的注册产品标准，若制造商在原注册产品标准基础上进行了修订，制造商在申报产品重新注册时，应同时提供标准修订说明，在标准修订说明中明确修订的内容及修订依据。</w:t>
                        </w:r>
                        <w:r w:rsidRPr="00613D4A">
                          <w:rPr>
                            <w:rFonts w:ascii="宋体" w:eastAsia="宋体" w:hAnsi="宋体" w:cs="宋体"/>
                            <w:color w:val="000000"/>
                            <w:kern w:val="0"/>
                            <w:sz w:val="15"/>
                            <w:szCs w:val="15"/>
                          </w:rPr>
                          <w:br/>
                          <w:t xml:space="preserve">　　有些重新注册产品，虽然产品设计和适用范围均未发生改变，但由于国家/行业标准通过注册产品标准的引用而成为注册产品标准的组成部分，随着这些国家/行业标准的更新，其注册产品标准亦应进行相应的更新。</w:t>
                        </w:r>
                        <w:r w:rsidRPr="00613D4A">
                          <w:rPr>
                            <w:rFonts w:ascii="宋体" w:eastAsia="宋体" w:hAnsi="宋体" w:cs="宋体"/>
                            <w:color w:val="000000"/>
                            <w:kern w:val="0"/>
                            <w:sz w:val="15"/>
                            <w:szCs w:val="15"/>
                          </w:rPr>
                          <w:br/>
                          <w:t xml:space="preserve">　　（5）申请人/制造商在申报过程中，按照补充资料通知单要求进行补充资料时，若对注册产品标准的内容进行了修订并提供了新版的注册产品标准，应同时提供说明标准变更前后对比情况的资料。</w:t>
                        </w:r>
                      </w:p>
                      <w:tbl>
                        <w:tblPr>
                          <w:tblW w:w="5000" w:type="pct"/>
                          <w:tblCellMar>
                            <w:left w:w="0" w:type="dxa"/>
                            <w:right w:w="0" w:type="dxa"/>
                          </w:tblCellMar>
                          <w:tblLook w:val="04A0"/>
                        </w:tblPr>
                        <w:tblGrid>
                          <w:gridCol w:w="8306"/>
                        </w:tblGrid>
                        <w:tr w:rsidR="00613D4A" w:rsidRPr="00613D4A">
                          <w:tc>
                            <w:tcPr>
                              <w:tcW w:w="0" w:type="auto"/>
                              <w:tcMar>
                                <w:top w:w="215" w:type="dxa"/>
                                <w:left w:w="0" w:type="dxa"/>
                                <w:bottom w:w="0" w:type="dxa"/>
                                <w:right w:w="0" w:type="dxa"/>
                              </w:tcMar>
                              <w:vAlign w:val="center"/>
                              <w:hideMark/>
                            </w:tcPr>
                            <w:p w:rsidR="00613D4A" w:rsidRPr="00613D4A" w:rsidRDefault="00613D4A" w:rsidP="00613D4A">
                              <w:pPr>
                                <w:widowControl/>
                                <w:wordWrap w:val="0"/>
                                <w:spacing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3．临床试验资料</w:t>
                              </w:r>
                              <w:r w:rsidRPr="00613D4A">
                                <w:rPr>
                                  <w:rFonts w:ascii="宋体" w:eastAsia="宋体" w:hAnsi="宋体" w:cs="宋体"/>
                                  <w:color w:val="000000"/>
                                  <w:kern w:val="0"/>
                                  <w:sz w:val="15"/>
                                  <w:szCs w:val="15"/>
                                </w:rPr>
                                <w:br/>
                                <w:t xml:space="preserve">　　（1）申请注册的境外产品需在国内进行临床试验时，应当按照《医疗器械临床试验规定》的要求提供临床试验资料。</w:t>
                              </w:r>
                              <w:r w:rsidRPr="00613D4A">
                                <w:rPr>
                                  <w:rFonts w:ascii="宋体" w:eastAsia="宋体" w:hAnsi="宋体" w:cs="宋体"/>
                                  <w:color w:val="000000"/>
                                  <w:kern w:val="0"/>
                                  <w:sz w:val="15"/>
                                  <w:szCs w:val="15"/>
                                </w:rPr>
                                <w:br/>
                                <w:t xml:space="preserve">　　（2）临床试验方案</w:t>
                              </w:r>
                              <w:r w:rsidRPr="00613D4A">
                                <w:rPr>
                                  <w:rFonts w:ascii="宋体" w:eastAsia="宋体" w:hAnsi="宋体" w:cs="宋体"/>
                                  <w:color w:val="000000"/>
                                  <w:kern w:val="0"/>
                                  <w:sz w:val="15"/>
                                  <w:szCs w:val="15"/>
                                </w:rPr>
                                <w:br/>
                                <w:t xml:space="preserve">　　① 临床试验方案中应明确疗效评价指标，且应采用国际公认的评价标准，如果无公认标准，应采用临床常规疗效评价标准。</w:t>
                              </w:r>
                              <w:r w:rsidRPr="00613D4A">
                                <w:rPr>
                                  <w:rFonts w:ascii="宋体" w:eastAsia="宋体" w:hAnsi="宋体" w:cs="宋体"/>
                                  <w:color w:val="000000"/>
                                  <w:kern w:val="0"/>
                                  <w:sz w:val="15"/>
                                  <w:szCs w:val="15"/>
                                </w:rPr>
                                <w:br/>
                                <w:t xml:space="preserve">　　② 临床试验方案中试验样本量的确定应按照试验目的、试验类型（优效、非劣效、等效）确定并符合统计学要求，并应采用经典的、公认的统计方法、计算公式、统计软件（如：SAS、SPSS、SYSTAT）。</w:t>
                              </w:r>
                              <w:r w:rsidRPr="00613D4A">
                                <w:rPr>
                                  <w:rFonts w:ascii="宋体" w:eastAsia="宋体" w:hAnsi="宋体" w:cs="宋体"/>
                                  <w:color w:val="000000"/>
                                  <w:kern w:val="0"/>
                                  <w:sz w:val="15"/>
                                  <w:szCs w:val="15"/>
                                </w:rPr>
                                <w:br/>
                                <w:t xml:space="preserve">　　③ 为了保证得到科学、有效的疗效评价，应根据情况设置合理对照。</w:t>
                              </w:r>
                              <w:r w:rsidRPr="00613D4A">
                                <w:rPr>
                                  <w:rFonts w:ascii="宋体" w:eastAsia="宋体" w:hAnsi="宋体" w:cs="宋体"/>
                                  <w:color w:val="000000"/>
                                  <w:kern w:val="0"/>
                                  <w:sz w:val="15"/>
                                  <w:szCs w:val="15"/>
                                </w:rPr>
                                <w:br/>
                                <w:t xml:space="preserve">　　④ 为了保证临床试验的科学性，不建议采用文献数据及历史数据作为对照。</w:t>
                              </w:r>
                              <w:r w:rsidRPr="00613D4A">
                                <w:rPr>
                                  <w:rFonts w:ascii="宋体" w:eastAsia="宋体" w:hAnsi="宋体" w:cs="宋体"/>
                                  <w:color w:val="000000"/>
                                  <w:kern w:val="0"/>
                                  <w:sz w:val="15"/>
                                  <w:szCs w:val="15"/>
                                </w:rPr>
                                <w:br/>
                                <w:t xml:space="preserve">　　⑤ 试验组和对照组应采用统一的入选标准和排除标准，如为多中心临床试验，应按统一的方案进行试验。</w:t>
                              </w:r>
                              <w:r w:rsidRPr="00613D4A">
                                <w:rPr>
                                  <w:rFonts w:ascii="宋体" w:eastAsia="宋体" w:hAnsi="宋体" w:cs="宋体"/>
                                  <w:color w:val="000000"/>
                                  <w:kern w:val="0"/>
                                  <w:sz w:val="15"/>
                                  <w:szCs w:val="15"/>
                                </w:rPr>
                                <w:br/>
                                <w:t xml:space="preserve">　　⑥ 试验组和对照组的临床观察及随访时间应相同。</w:t>
                              </w:r>
                              <w:r w:rsidRPr="00613D4A">
                                <w:rPr>
                                  <w:rFonts w:ascii="宋体" w:eastAsia="宋体" w:hAnsi="宋体" w:cs="宋体"/>
                                  <w:color w:val="000000"/>
                                  <w:kern w:val="0"/>
                                  <w:sz w:val="15"/>
                                  <w:szCs w:val="15"/>
                                </w:rPr>
                                <w:br/>
                                <w:t xml:space="preserve">　　（3）临床试验报告</w:t>
                              </w:r>
                              <w:r w:rsidRPr="00613D4A">
                                <w:rPr>
                                  <w:rFonts w:ascii="宋体" w:eastAsia="宋体" w:hAnsi="宋体" w:cs="宋体"/>
                                  <w:color w:val="000000"/>
                                  <w:kern w:val="0"/>
                                  <w:sz w:val="15"/>
                                  <w:szCs w:val="15"/>
                                </w:rPr>
                                <w:br/>
                                <w:t xml:space="preserve">　　① 临床试验报告应与临床试验方案保持一致，尤其注意明确以下内容：试验产品的产品名称、型号、规格及所对应的试验病种和各个病种的病例数；各病例的随访时间；试验产品的临床适用范围/适应证、禁忌证与注意事项。</w:t>
                              </w:r>
                              <w:r w:rsidRPr="00613D4A">
                                <w:rPr>
                                  <w:rFonts w:ascii="宋体" w:eastAsia="宋体" w:hAnsi="宋体" w:cs="宋体"/>
                                  <w:color w:val="000000"/>
                                  <w:kern w:val="0"/>
                                  <w:sz w:val="15"/>
                                  <w:szCs w:val="15"/>
                                </w:rPr>
                                <w:br/>
                                <w:t xml:space="preserve">　　临床适用范围/适应证仅限于已进行临床试验并得出具有统计学意义结论的范围/病种。</w:t>
                              </w:r>
                              <w:r w:rsidRPr="00613D4A">
                                <w:rPr>
                                  <w:rFonts w:ascii="宋体" w:eastAsia="宋体" w:hAnsi="宋体" w:cs="宋体"/>
                                  <w:color w:val="000000"/>
                                  <w:kern w:val="0"/>
                                  <w:sz w:val="15"/>
                                  <w:szCs w:val="15"/>
                                </w:rPr>
                                <w:br/>
                                <w:t xml:space="preserve">　　② 临床试验报告应明确所有病例是否全部完成随访，完成的随访病例是否均纳入统计。失访病例应明确失访原因。</w:t>
                              </w:r>
                              <w:r w:rsidRPr="00613D4A">
                                <w:rPr>
                                  <w:rFonts w:ascii="宋体" w:eastAsia="宋体" w:hAnsi="宋体" w:cs="宋体"/>
                                  <w:color w:val="000000"/>
                                  <w:kern w:val="0"/>
                                  <w:sz w:val="15"/>
                                  <w:szCs w:val="15"/>
                                </w:rPr>
                                <w:br/>
                                <w:t xml:space="preserve">　　③ 临床试验报告应提交参与疗效评价与安全性评价的统计过程中所涉及到的原始数据。</w:t>
                              </w:r>
                              <w:r w:rsidRPr="00613D4A">
                                <w:rPr>
                                  <w:rFonts w:ascii="宋体" w:eastAsia="宋体" w:hAnsi="宋体" w:cs="宋体"/>
                                  <w:color w:val="000000"/>
                                  <w:kern w:val="0"/>
                                  <w:sz w:val="15"/>
                                  <w:szCs w:val="15"/>
                                </w:rPr>
                                <w:br/>
                                <w:t xml:space="preserve">　　④ 临床试验报告应报告所有不良事件发生的时间、发生的原因、结果及与试验器械的关系。对于所采取的措施应予以明确。</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4．产品说明书</w:t>
                              </w:r>
                              <w:r w:rsidRPr="00613D4A">
                                <w:rPr>
                                  <w:rFonts w:ascii="宋体" w:eastAsia="宋体" w:hAnsi="宋体" w:cs="宋体"/>
                                  <w:color w:val="000000"/>
                                  <w:kern w:val="0"/>
                                  <w:sz w:val="15"/>
                                  <w:szCs w:val="15"/>
                                </w:rPr>
                                <w:br/>
                              </w:r>
                              <w:r w:rsidRPr="00613D4A">
                                <w:rPr>
                                  <w:rFonts w:ascii="宋体" w:eastAsia="宋体" w:hAnsi="宋体" w:cs="宋体"/>
                                  <w:color w:val="000000"/>
                                  <w:kern w:val="0"/>
                                  <w:sz w:val="15"/>
                                  <w:szCs w:val="15"/>
                                </w:rPr>
                                <w:lastRenderedPageBreak/>
                                <w:t xml:space="preserve">　　（1）根据《医疗器械说明书、标签和包装标识管理规定》的要求提供产品说明书。</w:t>
                              </w:r>
                              <w:r w:rsidRPr="00613D4A">
                                <w:rPr>
                                  <w:rFonts w:ascii="宋体" w:eastAsia="宋体" w:hAnsi="宋体" w:cs="宋体"/>
                                  <w:color w:val="000000"/>
                                  <w:kern w:val="0"/>
                                  <w:sz w:val="15"/>
                                  <w:szCs w:val="15"/>
                                </w:rPr>
                                <w:br/>
                                <w:t xml:space="preserve">　　（2）产品临床适用范围/适应证、禁忌证、注意事项应与临床试验报告保持一致。</w:t>
                              </w:r>
                              <w:r w:rsidRPr="00613D4A">
                                <w:rPr>
                                  <w:rFonts w:ascii="宋体" w:eastAsia="宋体" w:hAnsi="宋体" w:cs="宋体"/>
                                  <w:color w:val="000000"/>
                                  <w:kern w:val="0"/>
                                  <w:sz w:val="15"/>
                                  <w:szCs w:val="15"/>
                                </w:rPr>
                                <w:br/>
                                <w:t xml:space="preserve">　　（3）产品有效期限、使用寿命限制、从人体取出的期限、已采用的灭菌方法、推荐采用的灭菌（消毒）方法等信息应与产品技术报告所述一致。　　　　　　</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5．质量跟踪报告（适用于重新注册产品）</w:t>
                              </w:r>
                              <w:r w:rsidRPr="00613D4A">
                                <w:rPr>
                                  <w:rFonts w:ascii="宋体" w:eastAsia="宋体" w:hAnsi="宋体" w:cs="宋体"/>
                                  <w:color w:val="000000"/>
                                  <w:kern w:val="0"/>
                                  <w:sz w:val="15"/>
                                  <w:szCs w:val="15"/>
                                </w:rPr>
                                <w:br/>
                                <w:t xml:space="preserve">　　（1）为全面了解已注册产品临床使用情况，建议制造商在质量跟踪报告中提供以下信息：已注册产品市场销售情况，包括产品销售量，如果产品型号间差异较大时,应提供不同型号产品销售情况；根据产品临床适用范围/适应证详述产品上市后临床随访情况；详述产品上市后所有不良事件、投诉发生情况，对不良事件、投诉原因的分析与处理情况。</w:t>
                              </w:r>
                              <w:r w:rsidRPr="00613D4A">
                                <w:rPr>
                                  <w:rFonts w:ascii="宋体" w:eastAsia="宋体" w:hAnsi="宋体" w:cs="宋体"/>
                                  <w:color w:val="000000"/>
                                  <w:kern w:val="0"/>
                                  <w:sz w:val="15"/>
                                  <w:szCs w:val="15"/>
                                </w:rPr>
                                <w:br/>
                                <w:t xml:space="preserve">　　（2）为了对重新注册产品的安全性和有效性做出科学合理的评价，建议制造商详细说明此次申请重新注册产品与原注册产品相比的任何变化情况，可能涉及但不限于以下几个方面：</w:t>
                              </w:r>
                              <w:r w:rsidRPr="00613D4A">
                                <w:rPr>
                                  <w:rFonts w:ascii="宋体" w:eastAsia="宋体" w:hAnsi="宋体" w:cs="宋体"/>
                                  <w:color w:val="000000"/>
                                  <w:kern w:val="0"/>
                                  <w:sz w:val="15"/>
                                  <w:szCs w:val="15"/>
                                </w:rPr>
                                <w:br/>
                                <w:t xml:space="preserve">　　① 材料及材料供应商</w:t>
                              </w:r>
                              <w:r w:rsidRPr="00613D4A">
                                <w:rPr>
                                  <w:rFonts w:ascii="宋体" w:eastAsia="宋体" w:hAnsi="宋体" w:cs="宋体"/>
                                  <w:color w:val="000000"/>
                                  <w:kern w:val="0"/>
                                  <w:sz w:val="15"/>
                                  <w:szCs w:val="15"/>
                                </w:rPr>
                                <w:br/>
                                <w:t xml:space="preserve">　　② 加工工艺</w:t>
                              </w:r>
                              <w:r w:rsidRPr="00613D4A">
                                <w:rPr>
                                  <w:rFonts w:ascii="宋体" w:eastAsia="宋体" w:hAnsi="宋体" w:cs="宋体"/>
                                  <w:color w:val="000000"/>
                                  <w:kern w:val="0"/>
                                  <w:sz w:val="15"/>
                                  <w:szCs w:val="15"/>
                                </w:rPr>
                                <w:br/>
                                <w:t xml:space="preserve">　　③ 产品结构</w:t>
                              </w:r>
                              <w:r w:rsidRPr="00613D4A">
                                <w:rPr>
                                  <w:rFonts w:ascii="宋体" w:eastAsia="宋体" w:hAnsi="宋体" w:cs="宋体"/>
                                  <w:color w:val="000000"/>
                                  <w:kern w:val="0"/>
                                  <w:sz w:val="15"/>
                                  <w:szCs w:val="15"/>
                                </w:rPr>
                                <w:br/>
                                <w:t xml:space="preserve">　　④ 预期用途</w:t>
                              </w:r>
                              <w:r w:rsidRPr="00613D4A">
                                <w:rPr>
                                  <w:rFonts w:ascii="宋体" w:eastAsia="宋体" w:hAnsi="宋体" w:cs="宋体"/>
                                  <w:color w:val="000000"/>
                                  <w:kern w:val="0"/>
                                  <w:sz w:val="15"/>
                                  <w:szCs w:val="15"/>
                                </w:rPr>
                                <w:br/>
                                <w:t xml:space="preserve">　　⑤ 包装材料</w:t>
                              </w:r>
                              <w:r w:rsidRPr="00613D4A">
                                <w:rPr>
                                  <w:rFonts w:ascii="宋体" w:eastAsia="宋体" w:hAnsi="宋体" w:cs="宋体"/>
                                  <w:color w:val="000000"/>
                                  <w:kern w:val="0"/>
                                  <w:sz w:val="15"/>
                                  <w:szCs w:val="15"/>
                                </w:rPr>
                                <w:br/>
                                <w:t xml:space="preserve">　　⑥ 灭菌方式</w:t>
                              </w:r>
                              <w:r w:rsidRPr="00613D4A">
                                <w:rPr>
                                  <w:rFonts w:ascii="宋体" w:eastAsia="宋体" w:hAnsi="宋体" w:cs="宋体"/>
                                  <w:color w:val="000000"/>
                                  <w:kern w:val="0"/>
                                  <w:sz w:val="15"/>
                                  <w:szCs w:val="15"/>
                                </w:rPr>
                                <w:br/>
                                <w:t xml:space="preserve">　　若存在任何一种涉及产品的技术性变化，则制造商应提交该变化是否会带来新风险的详细论证与评价资料。</w:t>
                              </w:r>
                            </w:p>
                          </w:tc>
                        </w:tr>
                        <w:tr w:rsidR="00613D4A" w:rsidRPr="00613D4A">
                          <w:tc>
                            <w:tcPr>
                              <w:tcW w:w="0" w:type="auto"/>
                              <w:vAlign w:val="center"/>
                              <w:hideMark/>
                            </w:tcPr>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lastRenderedPageBreak/>
                                <w:t xml:space="preserve">　　6．其他</w:t>
                              </w:r>
                              <w:r w:rsidRPr="00613D4A">
                                <w:rPr>
                                  <w:rFonts w:ascii="宋体" w:eastAsia="宋体" w:hAnsi="宋体" w:cs="宋体"/>
                                  <w:color w:val="000000"/>
                                  <w:kern w:val="0"/>
                                  <w:sz w:val="15"/>
                                  <w:szCs w:val="15"/>
                                </w:rPr>
                                <w:br/>
                                <w:t xml:space="preserve">　　医疗器械产品名称应规范。通用名称可以已发布的国家标准、行业标准以及《医疗器械产品分类目录》中的产品名称为依据。没有国家标准、行业标准以及《医疗器械产品分类目录》中无相应产品名称的产品，其命名应以体现产品技术结构特征、功能属性为基本原则，并应符合《医疗器械说明书、标签和包装标识管理规定》中有关规定。通用名称、商品名称、型号、规格的命名不应有重复之处，且申报资料中涉及产品名称、商品名称、型号、规格之处均应保持一致。</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四、名词解释</w:t>
                              </w:r>
                              <w:r w:rsidRPr="00613D4A">
                                <w:rPr>
                                  <w:rFonts w:ascii="宋体" w:eastAsia="宋体" w:hAnsi="宋体" w:cs="宋体"/>
                                  <w:color w:val="000000"/>
                                  <w:kern w:val="0"/>
                                  <w:sz w:val="15"/>
                                  <w:szCs w:val="15"/>
                                </w:rPr>
                                <w:br/>
                                <w:t xml:space="preserve">　　植入性医疗器械(Implantable Medical Device)：是指任何通过外科手术达到下列目的的医疗器械：全部或部分插入人体或自然腔道中，或为替代上表皮或眼表面;此类医疗器械，通过外科手段在术后置留体内30天以上，并只能通过内科或外科手段取出。注：该定义不适用于有源植入性医疗器械。</w:t>
                              </w:r>
                              <w:r w:rsidRPr="00613D4A">
                                <w:rPr>
                                  <w:rFonts w:ascii="宋体" w:eastAsia="宋体" w:hAnsi="宋体" w:cs="宋体"/>
                                  <w:color w:val="000000"/>
                                  <w:kern w:val="0"/>
                                  <w:sz w:val="15"/>
                                  <w:szCs w:val="15"/>
                                </w:rPr>
                                <w:br/>
                                <w:t xml:space="preserve">　　生物医用材料，或称生物材料（biomaterials）：是与人体相互作用，用以诊断、治疗、修复或替换机体中的组织、器官或增进其功能的材料；是与人类生命和健康密切相关的，对人体组织、血液不致产生不良反应的材料。</w:t>
                              </w:r>
                              <w:r w:rsidRPr="00613D4A">
                                <w:rPr>
                                  <w:rFonts w:ascii="宋体" w:eastAsia="宋体" w:hAnsi="宋体" w:cs="宋体"/>
                                  <w:color w:val="000000"/>
                                  <w:kern w:val="0"/>
                                  <w:sz w:val="15"/>
                                  <w:szCs w:val="15"/>
                                </w:rPr>
                                <w:br/>
                                <w:t xml:space="preserve">　　多中心临床试验：是指有多名研究者在不同的研究机构内参加并按同一试验方案要求用相同的方法同步进行的临床试验。</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五、参考文献</w:t>
                              </w:r>
                              <w:r w:rsidRPr="00613D4A">
                                <w:rPr>
                                  <w:rFonts w:ascii="宋体" w:eastAsia="宋体" w:hAnsi="宋体" w:cs="宋体"/>
                                  <w:color w:val="000000"/>
                                  <w:kern w:val="0"/>
                                  <w:sz w:val="15"/>
                                  <w:szCs w:val="15"/>
                                </w:rPr>
                                <w:br/>
                                <w:t xml:space="preserve">　　1．《</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"http://www.sda.gov.cn/WS01/CL0063/16570.html"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医疗器械监督管理条例</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》（中华人民共和国国务院令第276号），2000.1.4</w:t>
                              </w:r>
                              <w:r w:rsidRPr="00613D4A">
                                <w:rPr>
                                  <w:rFonts w:ascii="宋体" w:eastAsia="宋体" w:hAnsi="宋体" w:cs="宋体"/>
                                  <w:color w:val="000000"/>
                                  <w:kern w:val="0"/>
                                  <w:sz w:val="15"/>
                                  <w:szCs w:val="15"/>
                                </w:rPr>
                                <w:br/>
                                <w:t xml:space="preserve">　　2．《</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"http://www.sda.gov.cn/WS01/CL0053/25844.html"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医疗器械注册管理办法</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》（局令第16号），2004.8.9</w:t>
                              </w:r>
                              <w:r w:rsidRPr="00613D4A">
                                <w:rPr>
                                  <w:rFonts w:ascii="宋体" w:eastAsia="宋体" w:hAnsi="宋体" w:cs="宋体"/>
                                  <w:color w:val="000000"/>
                                  <w:kern w:val="0"/>
                                  <w:sz w:val="15"/>
                                  <w:szCs w:val="15"/>
                                </w:rPr>
                                <w:br/>
                                <w:t xml:space="preserve">　　3．《</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"http://www.sda.gov.cn/WS01/CL0053/24475.html"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医疗器械临床试验规定</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》（局令第5号），2004.1.17</w:t>
                              </w:r>
                              <w:r w:rsidRPr="00613D4A">
                                <w:rPr>
                                  <w:rFonts w:ascii="宋体" w:eastAsia="宋体" w:hAnsi="宋体" w:cs="宋体"/>
                                  <w:color w:val="000000"/>
                                  <w:kern w:val="0"/>
                                  <w:sz w:val="15"/>
                                  <w:szCs w:val="15"/>
                                </w:rPr>
                                <w:br/>
                                <w:t xml:space="preserve">　　4．《</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"http://www.sda.gov.cn/WS01/CL0053/24469.html"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医疗器械标准管理办法（试行）</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》（局令第31号），2002.1.4</w:t>
                              </w:r>
                              <w:r w:rsidRPr="00613D4A">
                                <w:rPr>
                                  <w:rFonts w:ascii="宋体" w:eastAsia="宋体" w:hAnsi="宋体" w:cs="宋体"/>
                                  <w:color w:val="000000"/>
                                  <w:kern w:val="0"/>
                                  <w:sz w:val="15"/>
                                  <w:szCs w:val="15"/>
                                </w:rPr>
                                <w:br/>
                                <w:t xml:space="preserve">　　5．《</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"http://www.sda.gov.cn/WS01/CL0053/24517.html"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医疗器械说明书、标签和包装标识管理规定</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》（局令第10号），2004.7.8</w:t>
                              </w:r>
                              <w:r w:rsidRPr="00613D4A">
                                <w:rPr>
                                  <w:rFonts w:ascii="宋体" w:eastAsia="宋体" w:hAnsi="宋体" w:cs="宋体"/>
                                  <w:color w:val="000000"/>
                                  <w:kern w:val="0"/>
                                  <w:sz w:val="15"/>
                                  <w:szCs w:val="15"/>
                                </w:rPr>
                                <w:br/>
                                <w:t xml:space="preserve">　　6．《境内第三类、境外医疗器械注册申报资料受理标准》（国食药监械〔2005〕111号）</w:t>
                              </w:r>
                              <w:r w:rsidRPr="00613D4A">
                                <w:rPr>
                                  <w:rFonts w:ascii="宋体" w:eastAsia="宋体" w:hAnsi="宋体" w:cs="宋体"/>
                                  <w:color w:val="000000"/>
                                  <w:kern w:val="0"/>
                                  <w:sz w:val="15"/>
                                  <w:szCs w:val="15"/>
                                </w:rPr>
                                <w:br/>
                                <w:t xml:space="preserve">　　7．俞耀庭主编，《生物医用材料》，天津大学出版社，2000.12</w:t>
                              </w:r>
                              <w:r w:rsidRPr="00613D4A">
                                <w:rPr>
                                  <w:rFonts w:ascii="宋体" w:eastAsia="宋体" w:hAnsi="宋体" w:cs="宋体"/>
                                  <w:color w:val="000000"/>
                                  <w:kern w:val="0"/>
                                  <w:sz w:val="15"/>
                                  <w:szCs w:val="15"/>
                                </w:rPr>
                                <w:br/>
                                <w:t xml:space="preserve">　　8．李玉宝主编，《生物医学材料》，化学工业出版社，2003.8</w:t>
                              </w:r>
                              <w:r w:rsidRPr="00613D4A">
                                <w:rPr>
                                  <w:rFonts w:ascii="宋体" w:eastAsia="宋体" w:hAnsi="宋体" w:cs="宋体"/>
                                  <w:color w:val="000000"/>
                                  <w:kern w:val="0"/>
                                  <w:sz w:val="15"/>
                                  <w:szCs w:val="15"/>
                                </w:rPr>
                                <w:br/>
                                <w:t xml:space="preserve">　　9．《</w:t>
                              </w:r>
                              <w:r w:rsidRPr="00613D4A">
                                <w:rPr>
                                  <w:rFonts w:ascii="宋体" w:eastAsia="宋体" w:hAnsi="宋体" w:cs="宋体"/>
                                  <w:color w:val="000000"/>
                                  <w:kern w:val="0"/>
                                  <w:sz w:val="15"/>
                                  <w:szCs w:val="15"/>
                                </w:rPr>
                                <w:fldChar w:fldCharType="begin"/>
                              </w:r>
                              <w:r w:rsidRPr="00613D4A">
                                <w:rPr>
                                  <w:rFonts w:ascii="宋体" w:eastAsia="宋体" w:hAnsi="宋体" w:cs="宋体"/>
                                  <w:color w:val="000000"/>
                                  <w:kern w:val="0"/>
                                  <w:sz w:val="15"/>
                                  <w:szCs w:val="15"/>
                                </w:rPr>
                                <w:instrText xml:space="preserve"> HYPERLINK "http://www.sda.gov.cn/WS01/CL0055/10368.html" \t "_blank" </w:instrText>
                              </w:r>
                              <w:r w:rsidRPr="00613D4A">
                                <w:rPr>
                                  <w:rFonts w:ascii="宋体" w:eastAsia="宋体" w:hAnsi="宋体" w:cs="宋体"/>
                                  <w:color w:val="000000"/>
                                  <w:kern w:val="0"/>
                                  <w:sz w:val="15"/>
                                  <w:szCs w:val="15"/>
                                </w:rPr>
                                <w:fldChar w:fldCharType="separate"/>
                              </w:r>
                              <w:r w:rsidRPr="00613D4A">
                                <w:rPr>
                                  <w:rFonts w:ascii="宋体" w:eastAsia="宋体" w:hAnsi="宋体" w:cs="宋体"/>
                                  <w:color w:val="0000FF"/>
                                  <w:kern w:val="0"/>
                                  <w:sz w:val="15"/>
                                </w:rPr>
                                <w:t>化学药物制剂研究基本技术指导原则</w:t>
                              </w:r>
                              <w:r w:rsidRPr="00613D4A">
                                <w:rPr>
                                  <w:rFonts w:ascii="宋体" w:eastAsia="宋体" w:hAnsi="宋体" w:cs="宋体"/>
                                  <w:color w:val="000000"/>
                                  <w:kern w:val="0"/>
                                  <w:sz w:val="15"/>
                                  <w:szCs w:val="15"/>
                                </w:rPr>
                                <w:fldChar w:fldCharType="end"/>
                              </w:r>
                              <w:r w:rsidRPr="00613D4A">
                                <w:rPr>
                                  <w:rFonts w:ascii="宋体" w:eastAsia="宋体" w:hAnsi="宋体" w:cs="宋体"/>
                                  <w:color w:val="000000"/>
                                  <w:kern w:val="0"/>
                                  <w:sz w:val="15"/>
                                  <w:szCs w:val="15"/>
                                </w:rPr>
                                <w:t>》（国食药监注〔2005〕106号），2005.3</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lastRenderedPageBreak/>
                                <w:br/>
                                <w:t xml:space="preserve">　　　　　　　　　　动物源性医疗器械产品注册申报资料指导原则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一、前言</w:t>
                              </w:r>
                              <w:r w:rsidRPr="00613D4A">
                                <w:rPr>
                                  <w:rFonts w:ascii="宋体" w:eastAsia="宋体" w:hAnsi="宋体" w:cs="宋体"/>
                                  <w:color w:val="000000"/>
                                  <w:kern w:val="0"/>
                                  <w:sz w:val="15"/>
                                  <w:szCs w:val="15"/>
                                </w:rPr>
                                <w:br/>
                                <w:t xml:space="preserve">　　本指导原则旨在指导申请者/制造商对动物源性医疗器械的注册申报资料进行准备。某些医疗器械可能含有动物来源的材料，这些材料是多种多样的，可以构成该器械的主要部件（例如牛/猪源心脏瓣膜、羊肠缝合线、止血材料等）、涂层或者浸渗剂（例如肝素、明胶、胶原等），也可成为生产过程中所用的辅助材料（例如牛脂等）。动物组织及其衍生物的使用可能会比非动物来源的材料（例如金属、塑料以及织物等）使医疗器械具有更好的性能，但是在另一方面，它们应用到人体则又会增加病毒传播和免疫原性等方面的安全风险。因此，对于动物源性医疗器械安全性的评价，需要考虑比常规医疗器械更多方面的内容。如果申请者/制造商在准备医疗器械注册申报资料时有这方面的考虑，将有助于更加充分、科学地评价医疗器械产品的风险受益比，进而提高产品注册申报的效率。</w:t>
                              </w:r>
                              <w:r w:rsidRPr="00613D4A">
                                <w:rPr>
                                  <w:rFonts w:ascii="宋体" w:eastAsia="宋体" w:hAnsi="宋体" w:cs="宋体"/>
                                  <w:color w:val="000000"/>
                                  <w:kern w:val="0"/>
                                  <w:sz w:val="15"/>
                                  <w:szCs w:val="15"/>
                                </w:rPr>
                                <w:br/>
                                <w:t xml:space="preserve">　　本指导原则是在注册申报资料中有关的技术性文件（技术报告、风险分析报告、注册产品标准及产品说明书）满足一般性要求的基础上，针对动物源性医疗器械产品的特点提出的需特别关注和增加论述的内容要求。对于其他注册申报资料的要求，申请者/制造商应按照《医疗器械注册管理办法》的相关要求并参照《医疗器械临床试验规定》、《医疗器械标准管理办法(试行)》、《医疗器械说明书、标签和包装标识管理规定》、《关于含有牛、羊源性材料医疗器械注册有关事宜的公告》（国食药监械［2006］407号）、《无源植入性医疗器械产品注册申报资料指导原则》等其他相关法规文件的要求。申请人/制造商应依据具体产品的特性对注册申报资料的内容进行充实和细化。申请人/制造商还应当依据具体产品的特性确定其中的具体内容是否适用。若不适用，应详细阐述其理由及相应的科学依据。</w:t>
                              </w:r>
                              <w:r w:rsidRPr="00613D4A">
                                <w:rPr>
                                  <w:rFonts w:ascii="宋体" w:eastAsia="宋体" w:hAnsi="宋体" w:cs="宋体"/>
                                  <w:color w:val="000000"/>
                                  <w:kern w:val="0"/>
                                  <w:sz w:val="15"/>
                                  <w:szCs w:val="15"/>
                                </w:rPr>
                                <w:br/>
                                <w:t xml:space="preserve">　　本指导原则是对申请人/制造商和审查人员的指导性文件，但不包括注册审批所涉及的行政事项，亦不作为法规强制执行。如果有能够满足相关法规要求的其他方法，也可以采用，但是应提供详细的研究资料和验证资料。应在遵循相关法规的前提下使用本指导原则。</w:t>
                              </w:r>
                              <w:r w:rsidRPr="00613D4A">
                                <w:rPr>
                                  <w:rFonts w:ascii="宋体" w:eastAsia="宋体" w:hAnsi="宋体" w:cs="宋体"/>
                                  <w:color w:val="000000"/>
                                  <w:kern w:val="0"/>
                                  <w:sz w:val="15"/>
                                  <w:szCs w:val="15"/>
                                </w:rPr>
                                <w:br/>
                                <w:t xml:space="preserve">　　本指导原则是在现行法规和标准体系以及当前认知水平下制订的，随着法规和标准的不断完善，以及科学技术的不断发展，本指导原则相关内容也将进行适时的调整。</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二、适用范围</w:t>
                              </w:r>
                              <w:r w:rsidRPr="00613D4A">
                                <w:rPr>
                                  <w:rFonts w:ascii="宋体" w:eastAsia="宋体" w:hAnsi="宋体" w:cs="宋体"/>
                                  <w:color w:val="000000"/>
                                  <w:kern w:val="0"/>
                                  <w:sz w:val="15"/>
                                  <w:szCs w:val="15"/>
                                </w:rPr>
                                <w:br/>
                                <w:t xml:space="preserve">　　本指导原则适用于全部或部分采用无生命动物组织制成的或取材于动物组织的医疗器械产品（体外诊断用医疗器械除外）的注册申报。本指导原则同样适用于采用动物组织衍生物或由动物体自然获取物质（例如：牛奶、羊毛等）制成的医疗器械产品注册申报。</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三、基本要求</w:t>
                              </w:r>
                              <w:r w:rsidRPr="00613D4A">
                                <w:rPr>
                                  <w:rFonts w:ascii="宋体" w:eastAsia="宋体" w:hAnsi="宋体" w:cs="宋体"/>
                                  <w:color w:val="000000"/>
                                  <w:kern w:val="0"/>
                                  <w:sz w:val="15"/>
                                  <w:szCs w:val="15"/>
                                </w:rPr>
                                <w:br/>
                                <w:t xml:space="preserve">　　（一）动物源性医疗器械产品注册申报资料要求</w:t>
                              </w:r>
                              <w:r w:rsidRPr="00613D4A">
                                <w:rPr>
                                  <w:rFonts w:ascii="宋体" w:eastAsia="宋体" w:hAnsi="宋体" w:cs="宋体"/>
                                  <w:color w:val="000000"/>
                                  <w:kern w:val="0"/>
                                  <w:sz w:val="15"/>
                                  <w:szCs w:val="15"/>
                                </w:rPr>
                                <w:br/>
                                <w:t xml:space="preserve">　　1．境内动物源性医疗器械产品注册申报资料在满足一般性要求的基础上，还应增加下述内容：</w:t>
                              </w:r>
                              <w:r w:rsidRPr="00613D4A">
                                <w:rPr>
                                  <w:rFonts w:ascii="宋体" w:eastAsia="宋体" w:hAnsi="宋体" w:cs="宋体"/>
                                  <w:color w:val="000000"/>
                                  <w:kern w:val="0"/>
                                  <w:sz w:val="15"/>
                                  <w:szCs w:val="15"/>
                                </w:rPr>
                                <w:br/>
                                <w:t xml:space="preserve">　　（1）技术报告</w:t>
                              </w:r>
                              <w:r w:rsidRPr="00613D4A">
                                <w:rPr>
                                  <w:rFonts w:ascii="宋体" w:eastAsia="宋体" w:hAnsi="宋体" w:cs="宋体"/>
                                  <w:color w:val="000000"/>
                                  <w:kern w:val="0"/>
                                  <w:sz w:val="15"/>
                                  <w:szCs w:val="15"/>
                                </w:rPr>
                                <w:br/>
                                <w:t xml:space="preserve">　　对于动物源性医疗器械，这一部分的资料需要增加涉及控制病毒和/或传染性病原体感染以及免疫原性风险方面有关的技术内容。</w:t>
                              </w:r>
                              <w:r w:rsidRPr="00613D4A">
                                <w:rPr>
                                  <w:rFonts w:ascii="宋体" w:eastAsia="宋体" w:hAnsi="宋体" w:cs="宋体"/>
                                  <w:color w:val="000000"/>
                                  <w:kern w:val="0"/>
                                  <w:sz w:val="15"/>
                                  <w:szCs w:val="15"/>
                                </w:rPr>
                                <w:br/>
                                <w:t xml:space="preserve">　　鉴于不同种类和不同数量的病毒和传染性病原体感染人体的概率不尽相同，而不同动物种类易感染病毒和传染性病原体的种类和程度也千差万别，因此动物种类的确定对于动物源性医疗器械的风险起着重要作用。此外，动物的地理来源、年龄、取材部位的不同也直接影响着动物源性材料所具有风险的高低。</w:t>
                              </w:r>
                              <w:r w:rsidRPr="00613D4A">
                                <w:rPr>
                                  <w:rFonts w:ascii="宋体" w:eastAsia="宋体" w:hAnsi="宋体" w:cs="宋体"/>
                                  <w:color w:val="000000"/>
                                  <w:kern w:val="0"/>
                                  <w:sz w:val="15"/>
                                  <w:szCs w:val="15"/>
                                </w:rPr>
                                <w:br/>
                                <w:t xml:space="preserve">　　对于感染病毒和传染性病原体的风险控制需至少从源头控制和病毒灭活两方面着手，仅依靠源头控制或仅依靠病毒灭活都无法确保风险降至最低。为确保风险的可控性，企业需建立起一套追溯体系，以便在发现不良事件时能够及时查出原因并采取措施以防止类似不良事件的再次发生。此外，定点饲养、定点采购、定点屠杀，以及根据国家相关规定进行动物防疫、检疫，都是降低病毒和传染性病原体传播风险的必要手段。</w:t>
                              </w:r>
                              <w:r w:rsidRPr="00613D4A">
                                <w:rPr>
                                  <w:rFonts w:ascii="宋体" w:eastAsia="宋体" w:hAnsi="宋体" w:cs="宋体"/>
                                  <w:color w:val="000000"/>
                                  <w:kern w:val="0"/>
                                  <w:sz w:val="15"/>
                                  <w:szCs w:val="15"/>
                                </w:rPr>
                                <w:br/>
                                <w:t xml:space="preserve">　　对于动物源性材料带来的免疫原性风险的降低，一般采用在生产工艺中降低其免疫原性的方法，包括脱细胞、去除杂蛋白，</w:t>
                              </w:r>
                              <w:r w:rsidRPr="00613D4A">
                                <w:rPr>
                                  <w:rFonts w:ascii="宋体" w:eastAsia="宋体" w:hAnsi="宋体" w:cs="宋体"/>
                                  <w:color w:val="000000"/>
                                  <w:kern w:val="0"/>
                                  <w:sz w:val="15"/>
                                  <w:szCs w:val="15"/>
                                </w:rPr>
                                <w:lastRenderedPageBreak/>
                                <w:t>以及使蛋白质变性等物理的和/或化学的处理步骤，生产企业需对其降低材料免疫原性的有效性进行验证。然而，这些处理步骤以及灭活和去除病毒和／或传染性病原体的处理步骤有可能是以牺牲材料本身的使用性能为代价的，生产企业需充分评估其对产品的不利影响，以保证产品最终能够安全有效地使用。</w:t>
                              </w:r>
                              <w:r w:rsidRPr="00613D4A">
                                <w:rPr>
                                  <w:rFonts w:ascii="宋体" w:eastAsia="宋体" w:hAnsi="宋体" w:cs="宋体"/>
                                  <w:color w:val="000000"/>
                                  <w:kern w:val="0"/>
                                  <w:sz w:val="15"/>
                                  <w:szCs w:val="15"/>
                                </w:rPr>
                                <w:br/>
                                <w:t>因此，产品技术报告至少应增加以下内容：</w:t>
                              </w:r>
                              <w:r w:rsidRPr="00613D4A">
                                <w:rPr>
                                  <w:rFonts w:ascii="宋体" w:eastAsia="宋体" w:hAnsi="宋体" w:cs="宋体"/>
                                  <w:color w:val="000000"/>
                                  <w:kern w:val="0"/>
                                  <w:sz w:val="15"/>
                                  <w:szCs w:val="15"/>
                                </w:rPr>
                                <w:br/>
                                <w:t xml:space="preserve">　　① 动物的种类、地理来源、年龄、取材部位及取材部位的组织性质的具体描述；</w:t>
                              </w:r>
                              <w:r w:rsidRPr="00613D4A">
                                <w:rPr>
                                  <w:rFonts w:ascii="宋体" w:eastAsia="宋体" w:hAnsi="宋体" w:cs="宋体"/>
                                  <w:color w:val="000000"/>
                                  <w:kern w:val="0"/>
                                  <w:sz w:val="15"/>
                                  <w:szCs w:val="15"/>
                                </w:rPr>
                                <w:br/>
                                <w:t xml:space="preserve">　　② 对于常规定点饲养的动物种类，提供与动物定点饲养单位签订的长期供货协议及饲养单位的资质证明；如果涉及中间商，应提供所有中间商的有关供货协议及资质证明；</w:t>
                              </w:r>
                              <w:r w:rsidRPr="00613D4A">
                                <w:rPr>
                                  <w:rFonts w:ascii="宋体" w:eastAsia="宋体" w:hAnsi="宋体" w:cs="宋体"/>
                                  <w:color w:val="000000"/>
                                  <w:kern w:val="0"/>
                                  <w:sz w:val="15"/>
                                  <w:szCs w:val="15"/>
                                </w:rPr>
                                <w:br/>
                                <w:t xml:space="preserve">　　③ 对于常规定点屠宰的动物种类，提供制造商与屠宰单位签订的合同及屠宰单位的资格证明；</w:t>
                              </w:r>
                              <w:r w:rsidRPr="00613D4A">
                                <w:rPr>
                                  <w:rFonts w:ascii="宋体" w:eastAsia="宋体" w:hAnsi="宋体" w:cs="宋体"/>
                                  <w:color w:val="000000"/>
                                  <w:kern w:val="0"/>
                                  <w:sz w:val="15"/>
                                  <w:szCs w:val="15"/>
                                </w:rPr>
                                <w:br/>
                                <w:t xml:space="preserve">　　④ 对所执行的检疫标准的描述，以及所取材动物的检疫/防疫证明性资料,一般包括动物检疫合格证、动物防疫合格证、对动物进行防疫接种的兽医卫生合格证等；</w:t>
                              </w:r>
                              <w:r w:rsidRPr="00613D4A">
                                <w:rPr>
                                  <w:rFonts w:ascii="宋体" w:eastAsia="宋体" w:hAnsi="宋体" w:cs="宋体"/>
                                  <w:color w:val="000000"/>
                                  <w:kern w:val="0"/>
                                  <w:sz w:val="15"/>
                                </w:rPr>
                                <w:t> </w:t>
                              </w:r>
                              <w:r w:rsidRPr="00613D4A">
                                <w:rPr>
                                  <w:rFonts w:ascii="宋体" w:eastAsia="宋体" w:hAnsi="宋体" w:cs="宋体"/>
                                  <w:color w:val="000000"/>
                                  <w:kern w:val="0"/>
                                  <w:sz w:val="15"/>
                                  <w:szCs w:val="15"/>
                                </w:rPr>
                                <w:br/>
                                <w:t xml:space="preserve">　　⑤ 制造商对保存每一批动物可追溯性文件（该文件中至少应包括：该产品所用动物的地理来源、取材部位、动物的可追溯性标识、动物饲养、检疫、屠宰及加工方面的情况）的承诺；</w:t>
                              </w:r>
                              <w:r w:rsidRPr="00613D4A">
                                <w:rPr>
                                  <w:rFonts w:ascii="宋体" w:eastAsia="宋体" w:hAnsi="宋体" w:cs="宋体"/>
                                  <w:color w:val="000000"/>
                                  <w:kern w:val="0"/>
                                  <w:sz w:val="15"/>
                                  <w:szCs w:val="15"/>
                                </w:rPr>
                                <w:br/>
                                <w:t xml:space="preserve">　　注：这里提到的批是指在同一环境中饲养、检疫、屠宰或加工的一组动物。</w:t>
                              </w:r>
                              <w:r w:rsidRPr="00613D4A">
                                <w:rPr>
                                  <w:rFonts w:ascii="宋体" w:eastAsia="宋体" w:hAnsi="宋体" w:cs="宋体"/>
                                  <w:color w:val="000000"/>
                                  <w:kern w:val="0"/>
                                  <w:sz w:val="15"/>
                                  <w:szCs w:val="15"/>
                                </w:rPr>
                                <w:br/>
                                <w:t xml:space="preserve">　　⑥ 对生产过程中灭活和去除病毒和／或传染性病原体工艺过程的描述及有效性验证数据或相关资料（具体内容可参见本章第（二）节）；</w:t>
                              </w:r>
                              <w:r w:rsidRPr="00613D4A">
                                <w:rPr>
                                  <w:rFonts w:ascii="宋体" w:eastAsia="宋体" w:hAnsi="宋体" w:cs="宋体"/>
                                  <w:color w:val="000000"/>
                                  <w:kern w:val="0"/>
                                  <w:sz w:val="15"/>
                                  <w:szCs w:val="15"/>
                                </w:rPr>
                                <w:br/>
                                <w:t xml:space="preserve">　　⑦ 对清除（或降低）动物源性材料免疫原性工艺过程的描述、质量控制指标与验证性实验数据或相关资料。</w:t>
                              </w:r>
                              <w:r w:rsidRPr="00613D4A">
                                <w:rPr>
                                  <w:rFonts w:ascii="宋体" w:eastAsia="宋体" w:hAnsi="宋体" w:cs="宋体"/>
                                  <w:color w:val="000000"/>
                                  <w:kern w:val="0"/>
                                  <w:sz w:val="15"/>
                                  <w:szCs w:val="15"/>
                                </w:rPr>
                                <w:br/>
                                <w:t xml:space="preserve">　　（2）风险分析报告</w:t>
                              </w:r>
                              <w:r w:rsidRPr="00613D4A">
                                <w:rPr>
                                  <w:rFonts w:ascii="宋体" w:eastAsia="宋体" w:hAnsi="宋体" w:cs="宋体"/>
                                  <w:color w:val="000000"/>
                                  <w:kern w:val="0"/>
                                  <w:sz w:val="15"/>
                                  <w:szCs w:val="15"/>
                                </w:rPr>
                                <w:br/>
                                <w:t xml:space="preserve">　　对于动物源性医疗器械，这一部分的资料需要增加对病毒和/或传染性病原体感染以及免疫原性风险的分析、控制以及残余风险的分析。</w:t>
                              </w:r>
                              <w:r w:rsidRPr="00613D4A">
                                <w:rPr>
                                  <w:rFonts w:ascii="宋体" w:eastAsia="宋体" w:hAnsi="宋体" w:cs="宋体"/>
                                  <w:color w:val="000000"/>
                                  <w:kern w:val="0"/>
                                  <w:sz w:val="15"/>
                                  <w:szCs w:val="15"/>
                                </w:rPr>
                                <w:br/>
                                <w:t xml:space="preserve">　　鉴于使用动物源性材料所带来的潜在风险，申请者/制造商需具体说明在所申报的医疗器械中使用动物源性材料同使用非动物源性材料相比具有哪些优势，以便充分评价使用动物源性材料的风险/受益比。</w:t>
                              </w:r>
                              <w:r w:rsidRPr="00613D4A">
                                <w:rPr>
                                  <w:rFonts w:ascii="宋体" w:eastAsia="宋体" w:hAnsi="宋体" w:cs="宋体"/>
                                  <w:color w:val="000000"/>
                                  <w:kern w:val="0"/>
                                  <w:sz w:val="15"/>
                                  <w:szCs w:val="15"/>
                                </w:rPr>
                                <w:br/>
                                <w:t xml:space="preserve">　　对于不同的动物源性医疗器械，其免疫原性风险也会因取材动物的种类、取材部位的不同而不同，因此需在充分分析免疫原性风险的基础上再对其进行有效地控制。</w:t>
                              </w:r>
                              <w:r w:rsidRPr="00613D4A">
                                <w:rPr>
                                  <w:rFonts w:ascii="宋体" w:eastAsia="宋体" w:hAnsi="宋体" w:cs="宋体"/>
                                  <w:color w:val="000000"/>
                                  <w:kern w:val="0"/>
                                  <w:sz w:val="15"/>
                                  <w:szCs w:val="15"/>
                                </w:rPr>
                                <w:br/>
                                <w:t xml:space="preserve">　　对感染病毒和/或传染性病原体的风险分析需包括动物的饲养、运输、屠宰，动物源性材料的取材、加工处理，以及动物源性医疗器械在人体的使用等各个环节。</w:t>
                              </w:r>
                              <w:r w:rsidRPr="00613D4A">
                                <w:rPr>
                                  <w:rFonts w:ascii="宋体" w:eastAsia="宋体" w:hAnsi="宋体" w:cs="宋体"/>
                                  <w:color w:val="000000"/>
                                  <w:kern w:val="0"/>
                                  <w:sz w:val="15"/>
                                  <w:szCs w:val="15"/>
                                </w:rPr>
                                <w:br/>
                                <w:t>因此，产品风险分析报告应至少增加以下内容：</w:t>
                              </w:r>
                              <w:r w:rsidRPr="00613D4A">
                                <w:rPr>
                                  <w:rFonts w:ascii="宋体" w:eastAsia="宋体" w:hAnsi="宋体" w:cs="宋体"/>
                                  <w:color w:val="000000"/>
                                  <w:kern w:val="0"/>
                                  <w:sz w:val="15"/>
                                  <w:szCs w:val="15"/>
                                </w:rPr>
                                <w:br/>
                                <w:t xml:space="preserve">　　① 使用动物源性材料的原因，对于所用动物源性材料可否用其他材料替代，以及动物源性材料与其他材料的比较分析；</w:t>
                              </w:r>
                              <w:r w:rsidRPr="00613D4A">
                                <w:rPr>
                                  <w:rFonts w:ascii="宋体" w:eastAsia="宋体" w:hAnsi="宋体" w:cs="宋体"/>
                                  <w:color w:val="000000"/>
                                  <w:kern w:val="0"/>
                                  <w:sz w:val="15"/>
                                  <w:szCs w:val="15"/>
                                </w:rPr>
                                <w:br/>
                                <w:t xml:space="preserve">　　② 对动物在饲养过程中可能感染病毒和/或传染性病原体的风险分析（包括饲养方式、饲养条件、饲料种类、防疫情况、运输等方面）和相应的控制措施；</w:t>
                              </w:r>
                              <w:r w:rsidRPr="00613D4A">
                                <w:rPr>
                                  <w:rFonts w:ascii="宋体" w:eastAsia="宋体" w:hAnsi="宋体" w:cs="宋体"/>
                                  <w:color w:val="000000"/>
                                  <w:kern w:val="0"/>
                                  <w:sz w:val="15"/>
                                  <w:szCs w:val="15"/>
                                </w:rPr>
                                <w:br/>
                                <w:t xml:space="preserve">　　③ 对取材和加工处理等过程中产品可能感染病毒和/或传染性病原体的风险分析和相应的控制措施；</w:t>
                              </w:r>
                              <w:r w:rsidRPr="00613D4A">
                                <w:rPr>
                                  <w:rFonts w:ascii="宋体" w:eastAsia="宋体" w:hAnsi="宋体" w:cs="宋体"/>
                                  <w:color w:val="000000"/>
                                  <w:kern w:val="0"/>
                                  <w:sz w:val="15"/>
                                  <w:szCs w:val="15"/>
                                </w:rPr>
                                <w:br/>
                                <w:t xml:space="preserve">　　④ 对产品使用过程中人体可能由动物源性医疗器械感染病毒和/或传染性病原体的风险分析和相应的控制措施；</w:t>
                              </w:r>
                              <w:r w:rsidRPr="00613D4A">
                                <w:rPr>
                                  <w:rFonts w:ascii="宋体" w:eastAsia="宋体" w:hAnsi="宋体" w:cs="宋体"/>
                                  <w:color w:val="000000"/>
                                  <w:kern w:val="0"/>
                                  <w:sz w:val="15"/>
                                  <w:szCs w:val="15"/>
                                </w:rPr>
                                <w:br/>
                                <w:t xml:space="preserve">　　⑤ 对产品使用过程中人体可能因为接触动物源性材料而产生的免疫原性方面的风险分析和相应的控制措施。</w:t>
                              </w:r>
                              <w:r w:rsidRPr="00613D4A">
                                <w:rPr>
                                  <w:rFonts w:ascii="宋体" w:eastAsia="宋体" w:hAnsi="宋体" w:cs="宋体"/>
                                  <w:color w:val="000000"/>
                                  <w:kern w:val="0"/>
                                  <w:sz w:val="15"/>
                                </w:rPr>
                                <w:t> </w:t>
                              </w:r>
                              <w:r w:rsidRPr="00613D4A">
                                <w:rPr>
                                  <w:rFonts w:ascii="宋体" w:eastAsia="宋体" w:hAnsi="宋体" w:cs="宋体"/>
                                  <w:color w:val="000000"/>
                                  <w:kern w:val="0"/>
                                  <w:sz w:val="15"/>
                                  <w:szCs w:val="15"/>
                                </w:rPr>
                                <w:br/>
                                <w:t xml:space="preserve">　　（3）注册产品标准</w:t>
                              </w:r>
                              <w:r w:rsidRPr="00613D4A">
                                <w:rPr>
                                  <w:rFonts w:ascii="宋体" w:eastAsia="宋体" w:hAnsi="宋体" w:cs="宋体"/>
                                  <w:color w:val="000000"/>
                                  <w:kern w:val="0"/>
                                  <w:sz w:val="15"/>
                                  <w:szCs w:val="15"/>
                                </w:rPr>
                                <w:br/>
                                <w:t xml:space="preserve">　　作为产品的重要技术信息，所取材动物的种类和部位应在注册产品标准中予以明确。当产品的免疫原性风险很大程度上取决于生产过程控制时，应在注册产品标准中制定出产品免疫原性或相关性能的控制指标。这些控制指标可能是通过生物化学方法测定的免疫学指标，也可能是通过物理的或化学的方法测定的能够间接地反映产品免疫原性可得到有效控制的产品技术指标（例如残留细胞数量、杂蛋白含量等）。注册产品标准的编制说明中应给出制定这些具体指标及检测方法的科学依据以证明产品的免疫原性可控制在可接受范围。</w:t>
                              </w:r>
                              <w:r w:rsidRPr="00613D4A">
                                <w:rPr>
                                  <w:rFonts w:ascii="宋体" w:eastAsia="宋体" w:hAnsi="宋体" w:cs="宋体"/>
                                  <w:color w:val="000000"/>
                                  <w:kern w:val="0"/>
                                  <w:sz w:val="15"/>
                                  <w:szCs w:val="15"/>
                                </w:rPr>
                                <w:br/>
                                <w:t xml:space="preserve">　　（4）产品说明书</w:t>
                              </w:r>
                              <w:r w:rsidRPr="00613D4A">
                                <w:rPr>
                                  <w:rFonts w:ascii="宋体" w:eastAsia="宋体" w:hAnsi="宋体" w:cs="宋体"/>
                                  <w:color w:val="000000"/>
                                  <w:kern w:val="0"/>
                                  <w:sz w:val="15"/>
                                  <w:szCs w:val="15"/>
                                </w:rPr>
                                <w:br/>
                                <w:t xml:space="preserve">　　出于对患者知情权的考虑，应在产品说明书中明示出产品取材于何种动物的何种组织。</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2．境外动物源性医疗器械产品注册申报资料</w:t>
                              </w:r>
                              <w:r w:rsidRPr="00613D4A">
                                <w:rPr>
                                  <w:rFonts w:ascii="宋体" w:eastAsia="宋体" w:hAnsi="宋体" w:cs="宋体"/>
                                  <w:color w:val="000000"/>
                                  <w:kern w:val="0"/>
                                  <w:sz w:val="15"/>
                                  <w:szCs w:val="15"/>
                                </w:rPr>
                                <w:br/>
                                <w:t xml:space="preserve">　　境外动物源性医疗器械应用于人体的风险同境内动物源性医疗器械一致，因此新增的技术内容可参照境内动物源性医疗器</w:t>
                              </w:r>
                              <w:r w:rsidRPr="00613D4A">
                                <w:rPr>
                                  <w:rFonts w:ascii="宋体" w:eastAsia="宋体" w:hAnsi="宋体" w:cs="宋体"/>
                                  <w:color w:val="000000"/>
                                  <w:kern w:val="0"/>
                                  <w:sz w:val="15"/>
                                  <w:szCs w:val="15"/>
                                </w:rPr>
                                <w:lastRenderedPageBreak/>
                                <w:t>械，但鉴于不同原产国对于动物源性医疗器械的管理方式不同，导致相关技术资料的格式不尽相同，因此对技术资料的格式和编排顺序可以不遵循本指导原则，但对技术内容应全部涵盖，若有不适用的条款应逐条阐述不适用的理由及科学依据。</w:t>
                              </w:r>
                              <w:r w:rsidRPr="00613D4A">
                                <w:rPr>
                                  <w:rFonts w:ascii="宋体" w:eastAsia="宋体" w:hAnsi="宋体" w:cs="宋体"/>
                                  <w:color w:val="000000"/>
                                  <w:kern w:val="0"/>
                                  <w:sz w:val="15"/>
                                  <w:szCs w:val="15"/>
                                </w:rPr>
                                <w:br/>
                                <w:t xml:space="preserve">　　（1）动物源安全性技术资料</w:t>
                              </w:r>
                              <w:r w:rsidRPr="00613D4A">
                                <w:rPr>
                                  <w:rFonts w:ascii="宋体" w:eastAsia="宋体" w:hAnsi="宋体" w:cs="宋体"/>
                                  <w:color w:val="000000"/>
                                  <w:kern w:val="0"/>
                                  <w:sz w:val="15"/>
                                  <w:szCs w:val="15"/>
                                </w:rPr>
                                <w:br/>
                                <w:t xml:space="preserve">　　这一部分的资料可参照境内医疗器械产品技术报告和风险分析报告的内容，至少应包括：</w:t>
                              </w:r>
                              <w:r w:rsidRPr="00613D4A">
                                <w:rPr>
                                  <w:rFonts w:ascii="宋体" w:eastAsia="宋体" w:hAnsi="宋体" w:cs="宋体"/>
                                  <w:color w:val="000000"/>
                                  <w:kern w:val="0"/>
                                  <w:sz w:val="15"/>
                                  <w:szCs w:val="15"/>
                                </w:rPr>
                                <w:br/>
                                <w:t xml:space="preserve">　　① 使用动物源性材料的原因，对于所用动物源性材料可否用其他材料替代，以及动物源性材料与其他材料的比较分析；</w:t>
                              </w:r>
                              <w:r w:rsidRPr="00613D4A">
                                <w:rPr>
                                  <w:rFonts w:ascii="宋体" w:eastAsia="宋体" w:hAnsi="宋体" w:cs="宋体"/>
                                  <w:color w:val="000000"/>
                                  <w:kern w:val="0"/>
                                  <w:sz w:val="15"/>
                                  <w:szCs w:val="15"/>
                                </w:rPr>
                                <w:br/>
                                <w:t xml:space="preserve">　　② 对所取材动物的种类、地理来源、年龄、取材部位及取材部位的组织性质的具体描述；</w:t>
                              </w:r>
                              <w:r w:rsidRPr="00613D4A">
                                <w:rPr>
                                  <w:rFonts w:ascii="宋体" w:eastAsia="宋体" w:hAnsi="宋体" w:cs="宋体"/>
                                  <w:color w:val="000000"/>
                                  <w:kern w:val="0"/>
                                  <w:sz w:val="15"/>
                                  <w:szCs w:val="15"/>
                                </w:rPr>
                                <w:br/>
                                <w:t xml:space="preserve">　　③ 对饲养、取材和加工处理等过程中产品可能感染病毒和/或传染性病原体的风险分析和相应的控制措施（若附有国外官方或第三方出具的证明性文件，应提交原件或公证件），以及对产品使用过程中人体可能由动物源性医疗器械感染病毒和/或传染性病原体的风险分析和相应的控制措施；</w:t>
                              </w:r>
                              <w:r w:rsidRPr="00613D4A">
                                <w:rPr>
                                  <w:rFonts w:ascii="宋体" w:eastAsia="宋体" w:hAnsi="宋体" w:cs="宋体"/>
                                  <w:color w:val="000000"/>
                                  <w:kern w:val="0"/>
                                  <w:sz w:val="15"/>
                                  <w:szCs w:val="15"/>
                                </w:rPr>
                                <w:br/>
                                <w:t xml:space="preserve">　　注：该项内容可按照ISO 22442提供。</w:t>
                              </w:r>
                              <w:r w:rsidRPr="00613D4A">
                                <w:rPr>
                                  <w:rFonts w:ascii="宋体" w:eastAsia="宋体" w:hAnsi="宋体" w:cs="宋体"/>
                                  <w:color w:val="000000"/>
                                  <w:kern w:val="0"/>
                                  <w:sz w:val="15"/>
                                  <w:szCs w:val="15"/>
                                </w:rPr>
                                <w:br/>
                                <w:t xml:space="preserve">　　④ 对产品使用过程中人体可能因为接触动物源性材料而产生的免疫原性方面的风险分析和相应的控制措施，以及清除（或降低）动物源性材料免疫原性工艺过程的描述、质量控制指标与验证性实验数据或相关资料；</w:t>
                              </w:r>
                              <w:r w:rsidRPr="00613D4A">
                                <w:rPr>
                                  <w:rFonts w:ascii="宋体" w:eastAsia="宋体" w:hAnsi="宋体" w:cs="宋体"/>
                                  <w:color w:val="000000"/>
                                  <w:kern w:val="0"/>
                                  <w:sz w:val="15"/>
                                  <w:szCs w:val="15"/>
                                </w:rPr>
                                <w:br/>
                                <w:t xml:space="preserve">　　⑤ 对生产过程中灭活和去除病毒和／或传染性病原体工艺过程的描述及有效性验证数据或相关资料（具体内容可参见本章第（二）节）；</w:t>
                              </w:r>
                              <w:r w:rsidRPr="00613D4A">
                                <w:rPr>
                                  <w:rFonts w:ascii="宋体" w:eastAsia="宋体" w:hAnsi="宋体" w:cs="宋体"/>
                                  <w:color w:val="000000"/>
                                  <w:kern w:val="0"/>
                                  <w:sz w:val="15"/>
                                  <w:szCs w:val="15"/>
                                </w:rPr>
                                <w:br/>
                                <w:t xml:space="preserve">　　⑥ 制造商对保存每一批动物可追溯性文件（该文件中至少应包括：该产品所用动物的地理来源、取材部位、动物的可追溯性标识、动物饲养、检疫、屠宰及加工方面的情况）的承诺。</w:t>
                              </w:r>
                              <w:r w:rsidRPr="00613D4A">
                                <w:rPr>
                                  <w:rFonts w:ascii="宋体" w:eastAsia="宋体" w:hAnsi="宋体" w:cs="宋体"/>
                                  <w:color w:val="000000"/>
                                  <w:kern w:val="0"/>
                                  <w:sz w:val="15"/>
                                  <w:szCs w:val="15"/>
                                </w:rPr>
                                <w:br/>
                                <w:t xml:space="preserve">　　注：这里提到的批是指在同一环境中饲养、检疫、屠宰或加工的一组动物。</w:t>
                              </w:r>
                              <w:r w:rsidRPr="00613D4A">
                                <w:rPr>
                                  <w:rFonts w:ascii="宋体" w:eastAsia="宋体" w:hAnsi="宋体" w:cs="宋体"/>
                                  <w:color w:val="000000"/>
                                  <w:kern w:val="0"/>
                                  <w:sz w:val="15"/>
                                  <w:szCs w:val="15"/>
                                </w:rPr>
                                <w:br/>
                                <w:t xml:space="preserve">　　（2）注册产品标准</w:t>
                              </w:r>
                              <w:r w:rsidRPr="00613D4A">
                                <w:rPr>
                                  <w:rFonts w:ascii="宋体" w:eastAsia="宋体" w:hAnsi="宋体" w:cs="宋体"/>
                                  <w:color w:val="000000"/>
                                  <w:kern w:val="0"/>
                                  <w:sz w:val="15"/>
                                  <w:szCs w:val="15"/>
                                </w:rPr>
                                <w:br/>
                                <w:t xml:space="preserve">　　在注册产品标准中应明确所取材动物的种类和部位。必要时，在注册产品标准中应制定出产品免疫原性或相关性能的控制指标，并在标准编制说明中给出这些具体指标及检测方法制定的科学依据。</w:t>
                              </w:r>
                              <w:r w:rsidRPr="00613D4A">
                                <w:rPr>
                                  <w:rFonts w:ascii="宋体" w:eastAsia="宋体" w:hAnsi="宋体" w:cs="宋体"/>
                                  <w:color w:val="000000"/>
                                  <w:kern w:val="0"/>
                                  <w:sz w:val="15"/>
                                  <w:szCs w:val="15"/>
                                </w:rPr>
                                <w:br/>
                                <w:t xml:space="preserve">　　（3）产品说明书</w:t>
                              </w:r>
                              <w:r w:rsidRPr="00613D4A">
                                <w:rPr>
                                  <w:rFonts w:ascii="宋体" w:eastAsia="宋体" w:hAnsi="宋体" w:cs="宋体"/>
                                  <w:color w:val="000000"/>
                                  <w:kern w:val="0"/>
                                  <w:sz w:val="15"/>
                                  <w:szCs w:val="15"/>
                                </w:rPr>
                                <w:br/>
                                <w:t xml:space="preserve">　　出于对患者知情权的考虑，应在产品说明书中明示出产品取材于何种动物的何种组织。</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（二）病毒灭活有效性验证资料</w:t>
                              </w:r>
                              <w:r w:rsidRPr="00613D4A">
                                <w:rPr>
                                  <w:rFonts w:ascii="宋体" w:eastAsia="宋体" w:hAnsi="宋体" w:cs="宋体"/>
                                  <w:color w:val="000000"/>
                                  <w:kern w:val="0"/>
                                  <w:sz w:val="15"/>
                                  <w:szCs w:val="15"/>
                                </w:rPr>
                                <w:br/>
                                <w:t xml:space="preserve">　　为了提高动物源性医疗器械的安全性，生产过程中需有特定的灭活和去除病毒和／或传染性病原体工艺。因此，在境内和境外动物源性医疗器械产品注册申报资料中需增加对生产过程中灭活和去除病毒和／或传染性病原体工艺过程的描述及有效性验证数据或相关资料。</w:t>
                              </w:r>
                              <w:r w:rsidRPr="00613D4A">
                                <w:rPr>
                                  <w:rFonts w:ascii="宋体" w:eastAsia="宋体" w:hAnsi="宋体" w:cs="宋体"/>
                                  <w:color w:val="000000"/>
                                  <w:kern w:val="0"/>
                                  <w:sz w:val="15"/>
                                  <w:szCs w:val="15"/>
                                </w:rPr>
                                <w:br/>
                                <w:t xml:space="preserve">　　对这些工艺的去除/灭活病毒有效性的验证，应至少遵循以下原则：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1．指示病毒的选择</w:t>
                              </w:r>
                              <w:r w:rsidRPr="00613D4A">
                                <w:rPr>
                                  <w:rFonts w:ascii="宋体" w:eastAsia="宋体" w:hAnsi="宋体" w:cs="宋体"/>
                                  <w:color w:val="000000"/>
                                  <w:kern w:val="0"/>
                                  <w:sz w:val="15"/>
                                  <w:szCs w:val="15"/>
                                </w:rPr>
                                <w:br/>
                                <w:t xml:space="preserve">　　首先，需要选择与生产过程中采用的原材料可能含有病毒种类的相关病毒，不能用相关病毒的，要选择与其理化性质尽可能相似的指示病毒；第二，所选择的病毒理化性质应有代表性（病毒大小、核酸类型以及有无包膜），其中至少应包括一种对物理和/或化学处理有明显抗性的病毒；第三，指示病毒滴度需要尽可能高（病毒滴度一般需≥106/</w:t>
                              </w:r>
                              <w:proofErr w:type="spellStart"/>
                              <w:r w:rsidRPr="00613D4A">
                                <w:rPr>
                                  <w:rFonts w:ascii="宋体" w:eastAsia="宋体" w:hAnsi="宋体" w:cs="宋体"/>
                                  <w:color w:val="000000"/>
                                  <w:kern w:val="0"/>
                                  <w:sz w:val="15"/>
                                  <w:szCs w:val="15"/>
                                </w:rPr>
                                <w:t>mL</w:t>
                              </w:r>
                              <w:proofErr w:type="spellEnd"/>
                              <w:r w:rsidRPr="00613D4A">
                                <w:rPr>
                                  <w:rFonts w:ascii="宋体" w:eastAsia="宋体" w:hAnsi="宋体" w:cs="宋体"/>
                                  <w:color w:val="000000"/>
                                  <w:kern w:val="0"/>
                                  <w:sz w:val="15"/>
                                  <w:szCs w:val="15"/>
                                </w:rPr>
                                <w:t>）。</w:t>
                              </w:r>
                              <w:r w:rsidRPr="00613D4A">
                                <w:rPr>
                                  <w:rFonts w:ascii="宋体" w:eastAsia="宋体" w:hAnsi="宋体" w:cs="宋体"/>
                                  <w:color w:val="000000"/>
                                  <w:kern w:val="0"/>
                                  <w:sz w:val="15"/>
                                  <w:szCs w:val="15"/>
                                </w:rPr>
                                <w:br/>
                                <w:t xml:space="preserve">　　表1列举了已用于病毒清除研究的病毒。这些病毒根据生产工艺研究情况，对物理和/或化学处理具有不同的耐受性。病毒的耐受性与特定的处理方式有关，只有在了解病毒生物特性和生产工艺特定情况下才能使用这些病毒，而且实际结果会随着处理情况的变化而变化。</w:t>
                              </w:r>
                            </w:p>
                            <w:p w:rsidR="00613D4A" w:rsidRPr="00613D4A" w:rsidRDefault="00613D4A" w:rsidP="00613D4A">
                              <w:pPr>
                                <w:widowControl/>
                                <w:wordWrap w:val="0"/>
                                <w:spacing w:before="100" w:beforeAutospacing="1" w:after="100" w:afterAutospacing="1" w:line="226" w:lineRule="atLeast"/>
                                <w:jc w:val="left"/>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表1</w:t>
                              </w:r>
                              <w:r w:rsidRPr="00613D4A">
                                <w:rPr>
                                  <w:rFonts w:ascii="仿宋_GB2312" w:eastAsia="仿宋_GB2312" w:hAnsi="宋体" w:cs="宋体" w:hint="eastAsia"/>
                                  <w:color w:val="000000"/>
                                  <w:kern w:val="0"/>
                                  <w:sz w:val="22"/>
                                </w:rPr>
                                <w:br/>
                              </w:r>
                              <w:r w:rsidRPr="00613D4A">
                                <w:rPr>
                                  <w:rFonts w:ascii="仿宋_GB2312" w:eastAsia="仿宋_GB2312" w:hAnsi="宋体" w:cs="宋体" w:hint="eastAsia"/>
                                  <w:color w:val="000000"/>
                                  <w:kern w:val="0"/>
                                  <w:sz w:val="22"/>
                                </w:rPr>
                                <w:t>                                              </w:t>
                              </w:r>
                              <w:r w:rsidRPr="00613D4A">
                                <w:rPr>
                                  <w:rFonts w:ascii="仿宋_GB2312" w:eastAsia="仿宋_GB2312" w:hAnsi="宋体" w:cs="宋体" w:hint="eastAsia"/>
                                  <w:color w:val="000000"/>
                                  <w:kern w:val="0"/>
                                  <w:sz w:val="22"/>
                                </w:rPr>
                                <w:t xml:space="preserve"> 已用于病毒清除研究的病毒举例</w:t>
                              </w:r>
                            </w:p>
                            <w:tbl>
                              <w:tblPr>
                                <w:tblW w:w="10665" w:type="dxa"/>
                                <w:tblCellMar>
                                  <w:left w:w="0" w:type="dxa"/>
                                  <w:right w:w="0" w:type="dxa"/>
                                </w:tblCellMar>
                                <w:tblLook w:val="04A0"/>
                              </w:tblPr>
                              <w:tblGrid>
                                <w:gridCol w:w="1990"/>
                                <w:gridCol w:w="1264"/>
                                <w:gridCol w:w="1485"/>
                                <w:gridCol w:w="1122"/>
                                <w:gridCol w:w="885"/>
                                <w:gridCol w:w="616"/>
                                <w:gridCol w:w="1138"/>
                                <w:gridCol w:w="1327"/>
                                <w:gridCol w:w="838"/>
                              </w:tblGrid>
                              <w:tr w:rsidR="00613D4A" w:rsidRPr="00613D4A">
                                <w:trPr>
                                  <w:trHeight w:val="376"/>
                                </w:trPr>
                                <w:tc>
                                  <w:tcPr>
                                    <w:tcW w:w="1354"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病毒</w:t>
                                    </w:r>
                                  </w:p>
                                </w:tc>
                                <w:tc>
                                  <w:tcPr>
                                    <w:tcW w:w="860"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科</w:t>
                                    </w:r>
                                  </w:p>
                                </w:tc>
                                <w:tc>
                                  <w:tcPr>
                                    <w:tcW w:w="1010"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属</w:t>
                                    </w:r>
                                  </w:p>
                                </w:tc>
                                <w:tc>
                                  <w:tcPr>
                                    <w:tcW w:w="763"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天然宿主</w:t>
                                    </w:r>
                                  </w:p>
                                </w:tc>
                                <w:tc>
                                  <w:tcPr>
                                    <w:tcW w:w="602"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基因组</w:t>
                                    </w:r>
                                  </w:p>
                                </w:tc>
                                <w:tc>
                                  <w:tcPr>
                                    <w:tcW w:w="419"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囊膜</w:t>
                                    </w:r>
                                  </w:p>
                                </w:tc>
                                <w:tc>
                                  <w:tcPr>
                                    <w:tcW w:w="774"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大小(nm）</w:t>
                                    </w:r>
                                  </w:p>
                                </w:tc>
                                <w:tc>
                                  <w:tcPr>
                                    <w:tcW w:w="903"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形状</w:t>
                                    </w:r>
                                  </w:p>
                                </w:tc>
                                <w:tc>
                                  <w:tcPr>
                                    <w:tcW w:w="570" w:type="dxa"/>
                                    <w:tcBorders>
                                      <w:top w:val="single" w:sz="12" w:space="0" w:color="000000"/>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耐受性</w:t>
                                    </w:r>
                                  </w:p>
                                </w:tc>
                              </w:tr>
                              <w:tr w:rsidR="00613D4A" w:rsidRPr="00613D4A">
                                <w:trPr>
                                  <w:trHeight w:val="300"/>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小囊状口腔炎病毒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弹状病毒</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水泡性病毒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马牛</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70×175</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子弹状</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630"/>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lastRenderedPageBreak/>
                                      <w:t>副流感病毒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副粘属</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副粘液病毒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多种</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100-200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多面体/球形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630"/>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鼠白血病病毒（</w:t>
                                    </w:r>
                                    <w:proofErr w:type="spellStart"/>
                                    <w:r w:rsidRPr="00613D4A">
                                      <w:rPr>
                                        <w:rFonts w:ascii="仿宋_GB2312" w:eastAsia="仿宋_GB2312" w:hAnsi="宋体" w:cs="宋体" w:hint="eastAsia"/>
                                        <w:color w:val="000000"/>
                                        <w:kern w:val="0"/>
                                        <w:sz w:val="22"/>
                                      </w:rPr>
                                      <w:t>MulV</w:t>
                                    </w:r>
                                    <w:proofErr w:type="spellEnd"/>
                                    <w:r w:rsidRPr="00613D4A">
                                      <w:rPr>
                                        <w:rFonts w:ascii="仿宋_GB2312" w:eastAsia="仿宋_GB2312" w:hAnsi="宋体" w:cs="宋体" w:hint="eastAsia"/>
                                        <w:color w:val="000000"/>
                                        <w:kern w:val="0"/>
                                        <w:sz w:val="22"/>
                                      </w:rPr>
                                      <w:t>）</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逆转录</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C型肿瘤病毒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小鼠</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80-110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300"/>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辛德比斯病毒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外衣</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阿尔发病毒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人</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60－70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451"/>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牛滤过性腹泻病毒（BVDV）</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黄热</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疫瘟病毒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牛</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50－70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多面体/球形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312"/>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伪狂犬病毒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疱疹病毒</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水痘病毒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猪</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DNA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120-200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中</w:t>
                                    </w:r>
                                  </w:p>
                                </w:tc>
                              </w:tr>
                              <w:tr w:rsidR="00613D4A" w:rsidRPr="00613D4A">
                                <w:trPr>
                                  <w:trHeight w:val="505"/>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301"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脊髓灰质炎萨宾1型病毒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微小RNA病毒</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肠道病毒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人</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25-30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二十面体</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中</w:t>
                                    </w:r>
                                  </w:p>
                                </w:tc>
                              </w:tr>
                              <w:tr w:rsidR="00613D4A" w:rsidRPr="00613D4A">
                                <w:trPr>
                                  <w:trHeight w:val="484"/>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301"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脑心肌炎病毒（EMC）</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微小RNA病毒</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心病毒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小鼠</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25-30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二十面体</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中</w:t>
                                    </w:r>
                                  </w:p>
                                </w:tc>
                              </w:tr>
                              <w:tr w:rsidR="00613D4A" w:rsidRPr="00613D4A">
                                <w:trPr>
                                  <w:trHeight w:val="322"/>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呼肠病毒3</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呼肠</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正呼肠病毒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各种</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60-80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中</w:t>
                                    </w:r>
                                  </w:p>
                                </w:tc>
                              </w:tr>
                              <w:tr w:rsidR="00613D4A" w:rsidRPr="00613D4A">
                                <w:trPr>
                                  <w:trHeight w:val="451"/>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SV40</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乳多孔</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多瘤病毒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猴</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DNA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40-50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二十面体</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很高</w:t>
                                    </w:r>
                                  </w:p>
                                </w:tc>
                              </w:tr>
                              <w:tr w:rsidR="00613D4A" w:rsidRPr="00613D4A">
                                <w:trPr>
                                  <w:trHeight w:val="355"/>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人类免疫缺陷病毒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逆转录</w:t>
                                    </w:r>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proofErr w:type="spellStart"/>
                                    <w:r w:rsidRPr="00613D4A">
                                      <w:rPr>
                                        <w:rFonts w:ascii="仿宋_GB2312" w:eastAsia="仿宋_GB2312" w:hAnsi="宋体" w:cs="宋体" w:hint="eastAsia"/>
                                        <w:color w:val="000000"/>
                                        <w:kern w:val="0"/>
                                        <w:sz w:val="22"/>
                                      </w:rPr>
                                      <w:t>Lentivirus</w:t>
                                    </w:r>
                                    <w:proofErr w:type="spellEnd"/>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人</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有</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80-100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球形</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低</w:t>
                                    </w:r>
                                  </w:p>
                                </w:tc>
                              </w:tr>
                              <w:tr w:rsidR="00613D4A" w:rsidRPr="00613D4A">
                                <w:trPr>
                                  <w:trHeight w:val="451"/>
                                </w:trPr>
                                <w:tc>
                                  <w:tcPr>
                                    <w:tcW w:w="135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甲型肝炎病毒</w:t>
                                    </w:r>
                                  </w:p>
                                </w:tc>
                                <w:tc>
                                  <w:tcPr>
                                    <w:tcW w:w="86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proofErr w:type="spellStart"/>
                                    <w:r w:rsidRPr="00613D4A">
                                      <w:rPr>
                                        <w:rFonts w:ascii="仿宋_GB2312" w:eastAsia="仿宋_GB2312" w:hAnsi="宋体" w:cs="宋体" w:hint="eastAsia"/>
                                        <w:color w:val="000000"/>
                                        <w:kern w:val="0"/>
                                        <w:sz w:val="22"/>
                                      </w:rPr>
                                      <w:t>Picorna</w:t>
                                    </w:r>
                                    <w:proofErr w:type="spellEnd"/>
                                  </w:p>
                                </w:tc>
                                <w:tc>
                                  <w:tcPr>
                                    <w:tcW w:w="101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肝病毒</w:t>
                                    </w:r>
                                  </w:p>
                                </w:tc>
                                <w:tc>
                                  <w:tcPr>
                                    <w:tcW w:w="76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人</w:t>
                                    </w:r>
                                  </w:p>
                                </w:tc>
                                <w:tc>
                                  <w:tcPr>
                                    <w:tcW w:w="602"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RNA</w:t>
                                    </w:r>
                                  </w:p>
                                </w:tc>
                                <w:tc>
                                  <w:tcPr>
                                    <w:tcW w:w="419"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25-30</w:t>
                                    </w:r>
                                  </w:p>
                                </w:tc>
                                <w:tc>
                                  <w:tcPr>
                                    <w:tcW w:w="903"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二十面体</w:t>
                                    </w:r>
                                  </w:p>
                                </w:tc>
                                <w:tc>
                                  <w:tcPr>
                                    <w:tcW w:w="570" w:type="dxa"/>
                                    <w:tcBorders>
                                      <w:top w:val="nil"/>
                                      <w:left w:val="nil"/>
                                      <w:bottom w:val="nil"/>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高</w:t>
                                    </w:r>
                                  </w:p>
                                </w:tc>
                              </w:tr>
                              <w:tr w:rsidR="00613D4A" w:rsidRPr="00613D4A">
                                <w:trPr>
                                  <w:trHeight w:val="473"/>
                                </w:trPr>
                                <w:tc>
                                  <w:tcPr>
                                    <w:tcW w:w="1354"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细小病毒(犬、猪)</w:t>
                                    </w:r>
                                  </w:p>
                                </w:tc>
                                <w:tc>
                                  <w:tcPr>
                                    <w:tcW w:w="860"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细小</w:t>
                                    </w:r>
                                  </w:p>
                                </w:tc>
                                <w:tc>
                                  <w:tcPr>
                                    <w:tcW w:w="1010"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细小病毒</w:t>
                                    </w:r>
                                  </w:p>
                                </w:tc>
                                <w:tc>
                                  <w:tcPr>
                                    <w:tcW w:w="763"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犬猪</w:t>
                                    </w:r>
                                  </w:p>
                                </w:tc>
                                <w:tc>
                                  <w:tcPr>
                                    <w:tcW w:w="602"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DNA</w:t>
                                    </w:r>
                                  </w:p>
                                </w:tc>
                                <w:tc>
                                  <w:tcPr>
                                    <w:tcW w:w="419"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无</w:t>
                                    </w:r>
                                  </w:p>
                                </w:tc>
                                <w:tc>
                                  <w:tcPr>
                                    <w:tcW w:w="774"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18-24</w:t>
                                    </w:r>
                                  </w:p>
                                </w:tc>
                                <w:tc>
                                  <w:tcPr>
                                    <w:tcW w:w="903"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二十面体</w:t>
                                    </w:r>
                                  </w:p>
                                </w:tc>
                                <w:tc>
                                  <w:tcPr>
                                    <w:tcW w:w="570" w:type="dxa"/>
                                    <w:tcBorders>
                                      <w:top w:val="nil"/>
                                      <w:left w:val="nil"/>
                                      <w:bottom w:val="single" w:sz="12" w:space="0" w:color="000000"/>
                                      <w:right w:val="nil"/>
                                    </w:tcBorders>
                                    <w:tcMar>
                                      <w:top w:w="0" w:type="dxa"/>
                                      <w:left w:w="28" w:type="dxa"/>
                                      <w:bottom w:w="0" w:type="dxa"/>
                                      <w:right w:w="28" w:type="dxa"/>
                                    </w:tcMar>
                                    <w:vAlign w:val="center"/>
                                    <w:hideMark/>
                                  </w:tcPr>
                                  <w:p w:rsidR="00613D4A" w:rsidRPr="00613D4A" w:rsidRDefault="00613D4A" w:rsidP="00613D4A">
                                    <w:pPr>
                                      <w:widowControl/>
                                      <w:wordWrap w:val="0"/>
                                      <w:spacing w:before="100" w:beforeAutospacing="1" w:after="100" w:afterAutospacing="1" w:line="226" w:lineRule="atLeast"/>
                                      <w:jc w:val="center"/>
                                      <w:rPr>
                                        <w:rFonts w:ascii="宋体" w:eastAsia="宋体" w:hAnsi="宋体" w:cs="宋体"/>
                                        <w:color w:val="000000"/>
                                        <w:kern w:val="0"/>
                                        <w:sz w:val="15"/>
                                        <w:szCs w:val="15"/>
                                      </w:rPr>
                                    </w:pPr>
                                    <w:r w:rsidRPr="00613D4A">
                                      <w:rPr>
                                        <w:rFonts w:ascii="仿宋_GB2312" w:eastAsia="仿宋_GB2312" w:hAnsi="宋体" w:cs="宋体" w:hint="eastAsia"/>
                                        <w:color w:val="000000"/>
                                        <w:kern w:val="0"/>
                                        <w:sz w:val="22"/>
                                      </w:rPr>
                                      <w:t>很高</w:t>
                                    </w:r>
                                  </w:p>
                                </w:tc>
                              </w:tr>
                            </w:tbl>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2．效果的判定</w:t>
                              </w:r>
                              <w:r w:rsidRPr="00613D4A">
                                <w:rPr>
                                  <w:rFonts w:ascii="宋体" w:eastAsia="宋体" w:hAnsi="宋体" w:cs="宋体"/>
                                  <w:color w:val="000000"/>
                                  <w:kern w:val="0"/>
                                  <w:sz w:val="15"/>
                                  <w:szCs w:val="15"/>
                                </w:rPr>
                                <w:br/>
                                <w:t xml:space="preserve">　　验证的目的是为了确定生产工艺去除/灭活病毒的能力，获得生产全过程中估计去除/灭活病毒的总量。如果制品的生产工艺中包含了两步或两步以上病毒去除/灭活步骤，应分别进行病毒灭活效果验证。一般降低的总量是各步降低病毒量的总和。但是由于病毒验证的局限性，如分步骤中病毒降低量≤1 log则不应将其计算在总量中。原则上病毒降低量（log10）≥4 logs表示该工艺去除/灭活病毒有效。如因检测方法造成病毒降低量＜4 logs时，应盲传三代，如无病毒检出,才可认定是有效的病毒灭活工艺。</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3．关于朊蛋白</w:t>
                              </w:r>
                              <w:r w:rsidRPr="00613D4A">
                                <w:rPr>
                                  <w:rFonts w:ascii="宋体" w:eastAsia="宋体" w:hAnsi="宋体" w:cs="宋体"/>
                                  <w:color w:val="000000"/>
                                  <w:kern w:val="0"/>
                                  <w:sz w:val="15"/>
                                  <w:szCs w:val="15"/>
                                </w:rPr>
                                <w:br/>
                                <w:t xml:space="preserve">　　由于目前尚无朊蛋白（如疯牛病因子）的指示病毒/因子，而且对去除朊蛋白的工艺还很难验证，因此对牛、羊源性材料制品的安全性还主要是对源头进行控制。基于目前对朊蛋白灭活工艺验证的认知程度，对于牛、羊源性医疗器械，可以接受按照本节第1、2条规定的原则所进行的病毒灭活有效性验证资料。随着对朊蛋白研究水平的不断提高，相应的要求也将随时调整。</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四、其他需要注意的问题</w:t>
                              </w:r>
                              <w:r w:rsidRPr="00613D4A">
                                <w:rPr>
                                  <w:rFonts w:ascii="宋体" w:eastAsia="宋体" w:hAnsi="宋体" w:cs="宋体"/>
                                  <w:color w:val="000000"/>
                                  <w:kern w:val="0"/>
                                  <w:sz w:val="15"/>
                                  <w:szCs w:val="15"/>
                                </w:rPr>
                                <w:br/>
                                <w:t xml:space="preserve">　　（一）对于由无脊椎动物的组织及其衍生物或天然获取的物质（如壳聚糖、蚕丝、蜂蜡等）制成的医疗器械，也应参照此指导原则。对于一些可能不直接适用的条款，申报者/制造商应进行相应说明，阐述不适用的理由。</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二）利用具有药品注册证的动物源性药品作为医疗器械的原料投入生产的，可提供药品生产企业的相关资质证明文件（如药品生产许可证、药品注册证、GMP证书等），若能证明已经达到了以上提到的对动物源性医疗器械的要求，则可不提交相应的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三）对于某些组成成分中不含动物组织或其衍生物，但在生产过程中使用或接触了本指导原则所包括的动物源性材料的医疗器械（如在采用微生物发酵法制备透明质酸钠的过程中使用了含动物源成分的培养基），原则上也应提交相应的风险分析和控制措施（若附有国外官方具体的证明性文件，应提交原件或公证件），以及相关的验证数据或资料，并提供所使用的原料可用于生产医疗器械的证明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lastRenderedPageBreak/>
                                <w:t xml:space="preserve">　　（四）对于通常情况下不用于医疗器械方面的动物种类应提供该物种适合用于人体使用的相关研究资料。</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（五）对于ISO 22442-1:2007附录C中提到的动物油脂衍生物、兽炭和氨基酸，若证明其处理过程符合ISO 22442-1:2007 附录C，则可不提交其处理过程的病毒灭活有效性验证试验资料，但其他部分资料仍应符合相关法规和本指导原则的要求。</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五、名词解释</w:t>
                              </w:r>
                              <w:r w:rsidRPr="00613D4A">
                                <w:rPr>
                                  <w:rFonts w:ascii="宋体" w:eastAsia="宋体" w:hAnsi="宋体" w:cs="宋体"/>
                                  <w:color w:val="000000"/>
                                  <w:kern w:val="0"/>
                                  <w:sz w:val="15"/>
                                  <w:szCs w:val="15"/>
                                </w:rPr>
                                <w:br/>
                                <w:t xml:space="preserve">　　动物：任何脊椎或无脊椎动物［包括两栖动物、节肢动物（如甲壳纲动物）、鸟、珊瑚、鱼、爬行动物、软体动物和哺乳动物］，不包括人（智人）。</w:t>
                              </w:r>
                              <w:r w:rsidRPr="00613D4A">
                                <w:rPr>
                                  <w:rFonts w:ascii="宋体" w:eastAsia="宋体" w:hAnsi="宋体" w:cs="宋体"/>
                                  <w:color w:val="000000"/>
                                  <w:kern w:val="0"/>
                                  <w:sz w:val="15"/>
                                  <w:szCs w:val="15"/>
                                </w:rPr>
                                <w:br/>
                                <w:t xml:space="preserve">　　无生命的：无新陈代谢或者繁殖功能的。</w:t>
                              </w:r>
                              <w:r w:rsidRPr="00613D4A">
                                <w:rPr>
                                  <w:rFonts w:ascii="宋体" w:eastAsia="宋体" w:hAnsi="宋体" w:cs="宋体"/>
                                  <w:color w:val="000000"/>
                                  <w:kern w:val="0"/>
                                  <w:sz w:val="15"/>
                                  <w:szCs w:val="15"/>
                                </w:rPr>
                                <w:br/>
                                <w:t xml:space="preserve">　　衍生物：通过制造工艺从动物材料中获得的物质。例如：透明质酸、胶原、明胶、单克隆抗体、壳聚糖、白蛋白。</w:t>
                              </w:r>
                              <w:r w:rsidRPr="00613D4A">
                                <w:rPr>
                                  <w:rFonts w:ascii="宋体" w:eastAsia="宋体" w:hAnsi="宋体" w:cs="宋体"/>
                                  <w:color w:val="000000"/>
                                  <w:kern w:val="0"/>
                                  <w:sz w:val="15"/>
                                  <w:szCs w:val="15"/>
                                </w:rPr>
                                <w:br/>
                                <w:t xml:space="preserve">　　组织性质：指所取材动物组织的健康状况。</w:t>
                              </w:r>
                              <w:r w:rsidRPr="00613D4A">
                                <w:rPr>
                                  <w:rFonts w:ascii="宋体" w:eastAsia="宋体" w:hAnsi="宋体" w:cs="宋体"/>
                                  <w:color w:val="000000"/>
                                  <w:kern w:val="0"/>
                                  <w:sz w:val="15"/>
                                  <w:szCs w:val="15"/>
                                </w:rPr>
                                <w:br/>
                                <w:t xml:space="preserve">　　传染性病原体：未被分类的病原体、朊蛋白以及类似的实体，如疯牛病因子、羊痒病因子等。</w:t>
                              </w:r>
                              <w:r w:rsidRPr="00613D4A">
                                <w:rPr>
                                  <w:rFonts w:ascii="宋体" w:eastAsia="宋体" w:hAnsi="宋体" w:cs="宋体"/>
                                  <w:color w:val="000000"/>
                                  <w:kern w:val="0"/>
                                  <w:sz w:val="15"/>
                                  <w:szCs w:val="15"/>
                                </w:rPr>
                                <w:br/>
                                <w:t xml:space="preserve">　　去除：使病毒和传染性病原体的数量减少的过程。</w:t>
                              </w:r>
                              <w:r w:rsidRPr="00613D4A">
                                <w:rPr>
                                  <w:rFonts w:ascii="宋体" w:eastAsia="宋体" w:hAnsi="宋体" w:cs="宋体"/>
                                  <w:color w:val="000000"/>
                                  <w:kern w:val="0"/>
                                  <w:sz w:val="15"/>
                                  <w:szCs w:val="15"/>
                                </w:rPr>
                                <w:br/>
                                <w:t xml:space="preserve">　　灭活：降低病毒和/或传染性病原体引起感染或者致病反应的能力的过程。</w:t>
                              </w:r>
                            </w:p>
                            <w:p w:rsidR="00613D4A" w:rsidRPr="00613D4A" w:rsidRDefault="00613D4A" w:rsidP="00613D4A">
                              <w:pPr>
                                <w:widowControl/>
                                <w:wordWrap w:val="0"/>
                                <w:spacing w:before="100" w:beforeAutospacing="1" w:after="100" w:afterAutospacing="1" w:line="301" w:lineRule="atLeast"/>
                                <w:jc w:val="left"/>
                                <w:rPr>
                                  <w:rFonts w:ascii="宋体" w:eastAsia="宋体" w:hAnsi="宋体" w:cs="宋体"/>
                                  <w:color w:val="000000"/>
                                  <w:kern w:val="0"/>
                                  <w:sz w:val="15"/>
                                  <w:szCs w:val="15"/>
                                </w:rPr>
                              </w:pPr>
                              <w:r w:rsidRPr="00613D4A">
                                <w:rPr>
                                  <w:rFonts w:ascii="宋体" w:eastAsia="宋体" w:hAnsi="宋体" w:cs="宋体"/>
                                  <w:color w:val="000000"/>
                                  <w:kern w:val="0"/>
                                  <w:sz w:val="15"/>
                                  <w:szCs w:val="15"/>
                                </w:rPr>
                                <w:t xml:space="preserve">　　六、参考文献</w:t>
                              </w:r>
                              <w:r w:rsidRPr="00613D4A">
                                <w:rPr>
                                  <w:rFonts w:ascii="宋体" w:eastAsia="宋体" w:hAnsi="宋体" w:cs="宋体"/>
                                  <w:color w:val="000000"/>
                                  <w:kern w:val="0"/>
                                  <w:sz w:val="15"/>
                                  <w:szCs w:val="15"/>
                                </w:rPr>
                                <w:br/>
                                <w:t xml:space="preserve">　　1．ISO 22442-1:2007, Medical devices utilizing animal tissues and their derivatives</w:t>
                              </w:r>
                              <w:r w:rsidRPr="00613D4A">
                                <w:rPr>
                                  <w:rFonts w:ascii="宋体" w:eastAsia="宋体" w:hAnsi="宋体" w:cs="宋体"/>
                                  <w:color w:val="000000"/>
                                  <w:kern w:val="0"/>
                                  <w:sz w:val="15"/>
                                  <w:szCs w:val="15"/>
                                </w:rPr>
                                <w:br/>
                                <w:t xml:space="preserve">　　2．《</w:t>
                              </w:r>
                              <w:hyperlink r:id="rId4" w:tgtFrame="_blank" w:history="1">
                                <w:r w:rsidRPr="00613D4A">
                                  <w:rPr>
                                    <w:rFonts w:ascii="宋体" w:eastAsia="宋体" w:hAnsi="宋体" w:cs="宋体"/>
                                    <w:color w:val="0000FF"/>
                                    <w:kern w:val="0"/>
                                    <w:sz w:val="15"/>
                                  </w:rPr>
                                  <w:t>血液制品去除/灭活病毒技术方法及验证指导原则</w:t>
                                </w:r>
                              </w:hyperlink>
                              <w:r w:rsidRPr="00613D4A">
                                <w:rPr>
                                  <w:rFonts w:ascii="宋体" w:eastAsia="宋体" w:hAnsi="宋体" w:cs="宋体"/>
                                  <w:color w:val="000000"/>
                                  <w:kern w:val="0"/>
                                  <w:sz w:val="15"/>
                                  <w:szCs w:val="15"/>
                                </w:rPr>
                                <w:t>》（国药监注〔2002〕160号），2002.5</w:t>
                              </w:r>
                            </w:p>
                          </w:tc>
                        </w:tr>
                      </w:tbl>
                      <w:p w:rsidR="00613D4A" w:rsidRPr="00613D4A" w:rsidRDefault="00613D4A" w:rsidP="00613D4A">
                        <w:pPr>
                          <w:widowControl/>
                          <w:jc w:val="left"/>
                          <w:rPr>
                            <w:rFonts w:ascii="宋体" w:eastAsia="宋体" w:hAnsi="宋体" w:cs="宋体"/>
                            <w:color w:val="000000"/>
                            <w:kern w:val="0"/>
                            <w:sz w:val="15"/>
                            <w:szCs w:val="15"/>
                          </w:rPr>
                        </w:pPr>
                      </w:p>
                    </w:tc>
                  </w:tr>
                </w:tbl>
                <w:p w:rsidR="00613D4A" w:rsidRPr="00613D4A" w:rsidRDefault="00613D4A" w:rsidP="00613D4A">
                  <w:pPr>
                    <w:widowControl/>
                    <w:jc w:val="left"/>
                    <w:rPr>
                      <w:rFonts w:ascii="宋体" w:eastAsia="宋体" w:hAnsi="宋体" w:cs="宋体"/>
                      <w:kern w:val="0"/>
                      <w:sz w:val="18"/>
                      <w:szCs w:val="18"/>
                    </w:rPr>
                  </w:pPr>
                </w:p>
              </w:tc>
            </w:tr>
          </w:tbl>
          <w:p w:rsidR="00613D4A" w:rsidRPr="00613D4A" w:rsidRDefault="00613D4A" w:rsidP="00613D4A">
            <w:pPr>
              <w:widowControl/>
              <w:jc w:val="left"/>
              <w:rPr>
                <w:rFonts w:ascii="宋体" w:eastAsia="宋体" w:hAnsi="宋体" w:cs="宋体"/>
                <w:color w:val="000000"/>
                <w:kern w:val="0"/>
                <w:sz w:val="15"/>
                <w:szCs w:val="15"/>
              </w:rPr>
            </w:pPr>
          </w:p>
        </w:tc>
      </w:tr>
    </w:tbl>
    <w:p w:rsidR="00123E13" w:rsidRPr="00613D4A" w:rsidRDefault="00123E13">
      <w:pPr>
        <w:rPr>
          <w:rFonts w:hint="eastAsia"/>
        </w:rPr>
      </w:pPr>
    </w:p>
    <w:sectPr w:rsidR="00123E13" w:rsidRPr="00613D4A" w:rsidSect="00283E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13D4A"/>
    <w:rsid w:val="00123E13"/>
    <w:rsid w:val="00283E48"/>
    <w:rsid w:val="003F08CD"/>
    <w:rsid w:val="00613D4A"/>
    <w:rsid w:val="00697F87"/>
    <w:rsid w:val="00D505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E13"/>
    <w:pPr>
      <w:widowControl w:val="0"/>
      <w:jc w:val="both"/>
    </w:pPr>
  </w:style>
  <w:style w:type="paragraph" w:styleId="1">
    <w:name w:val="heading 1"/>
    <w:basedOn w:val="a"/>
    <w:next w:val="a"/>
    <w:link w:val="1Char"/>
    <w:uiPriority w:val="9"/>
    <w:qFormat/>
    <w:rsid w:val="00123E1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23E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23E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3E13"/>
    <w:rPr>
      <w:b/>
      <w:bCs/>
      <w:kern w:val="44"/>
      <w:sz w:val="44"/>
      <w:szCs w:val="44"/>
    </w:rPr>
  </w:style>
  <w:style w:type="character" w:customStyle="1" w:styleId="2Char">
    <w:name w:val="标题 2 Char"/>
    <w:basedOn w:val="a0"/>
    <w:link w:val="2"/>
    <w:uiPriority w:val="9"/>
    <w:rsid w:val="00123E1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23E13"/>
    <w:rPr>
      <w:b/>
      <w:bCs/>
      <w:sz w:val="32"/>
      <w:szCs w:val="32"/>
    </w:rPr>
  </w:style>
  <w:style w:type="paragraph" w:styleId="10">
    <w:name w:val="toc 1"/>
    <w:basedOn w:val="a"/>
    <w:next w:val="a"/>
    <w:autoRedefine/>
    <w:uiPriority w:val="39"/>
    <w:unhideWhenUsed/>
    <w:qFormat/>
    <w:rsid w:val="00123E13"/>
    <w:pPr>
      <w:widowControl/>
      <w:spacing w:after="100" w:line="276" w:lineRule="auto"/>
      <w:jc w:val="left"/>
    </w:pPr>
    <w:rPr>
      <w:kern w:val="0"/>
      <w:sz w:val="22"/>
    </w:rPr>
  </w:style>
  <w:style w:type="paragraph" w:styleId="20">
    <w:name w:val="toc 2"/>
    <w:basedOn w:val="a"/>
    <w:next w:val="a"/>
    <w:autoRedefine/>
    <w:uiPriority w:val="39"/>
    <w:unhideWhenUsed/>
    <w:qFormat/>
    <w:rsid w:val="00123E13"/>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123E13"/>
    <w:pPr>
      <w:widowControl/>
      <w:spacing w:after="100" w:line="276" w:lineRule="auto"/>
      <w:ind w:left="440"/>
      <w:jc w:val="left"/>
    </w:pPr>
    <w:rPr>
      <w:kern w:val="0"/>
      <w:sz w:val="22"/>
    </w:rPr>
  </w:style>
  <w:style w:type="paragraph" w:styleId="TOC">
    <w:name w:val="TOC Heading"/>
    <w:basedOn w:val="1"/>
    <w:next w:val="a"/>
    <w:uiPriority w:val="39"/>
    <w:semiHidden/>
    <w:unhideWhenUsed/>
    <w:qFormat/>
    <w:rsid w:val="00123E1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Normal (Web)"/>
    <w:basedOn w:val="a"/>
    <w:uiPriority w:val="99"/>
    <w:unhideWhenUsed/>
    <w:rsid w:val="00613D4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3D4A"/>
  </w:style>
  <w:style w:type="character" w:styleId="a4">
    <w:name w:val="Hyperlink"/>
    <w:basedOn w:val="a0"/>
    <w:uiPriority w:val="99"/>
    <w:semiHidden/>
    <w:unhideWhenUsed/>
    <w:rsid w:val="00613D4A"/>
    <w:rPr>
      <w:color w:val="0000FF"/>
      <w:u w:val="single"/>
    </w:rPr>
  </w:style>
</w:styles>
</file>

<file path=word/webSettings.xml><?xml version="1.0" encoding="utf-8"?>
<w:webSettings xmlns:r="http://schemas.openxmlformats.org/officeDocument/2006/relationships" xmlns:w="http://schemas.openxmlformats.org/wordprocessingml/2006/main">
  <w:divs>
    <w:div w:id="3206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da.gov.cn/WS01/CL0058/93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HYL</dc:creator>
  <cp:lastModifiedBy>HYL</cp:lastModifiedBy>
  <cp:revision>2</cp:revision>
  <dcterms:created xsi:type="dcterms:W3CDTF">2017-07-03T07:33:00Z</dcterms:created>
  <dcterms:modified xsi:type="dcterms:W3CDTF">2017-07-03T07:34:00Z</dcterms:modified>
</cp:coreProperties>
</file>