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545" w:rsidRPr="00AE42E6" w:rsidRDefault="00223545" w:rsidP="00ED511B">
      <w:pPr>
        <w:spacing w:line="520" w:lineRule="exact"/>
        <w:rPr>
          <w:rFonts w:ascii="黑体" w:eastAsia="黑体" w:hAnsi="黑体" w:cs="黑体"/>
          <w:sz w:val="30"/>
          <w:szCs w:val="30"/>
        </w:rPr>
      </w:pPr>
      <w:r w:rsidRPr="00AE42E6">
        <w:rPr>
          <w:rFonts w:ascii="黑体" w:eastAsia="黑体" w:hAnsi="黑体" w:cs="黑体" w:hint="eastAsia"/>
          <w:sz w:val="30"/>
          <w:szCs w:val="30"/>
        </w:rPr>
        <w:t>附件</w:t>
      </w:r>
      <w:r w:rsidRPr="00AE42E6">
        <w:rPr>
          <w:rFonts w:ascii="黑体" w:eastAsia="黑体" w:hAnsi="黑体" w:cs="黑体"/>
          <w:sz w:val="30"/>
          <w:szCs w:val="30"/>
        </w:rPr>
        <w:t>1</w:t>
      </w:r>
    </w:p>
    <w:p w:rsidR="00223545" w:rsidRPr="005F429B" w:rsidRDefault="00223545" w:rsidP="00AE42E6">
      <w:pPr>
        <w:spacing w:line="560" w:lineRule="exact"/>
        <w:jc w:val="right"/>
        <w:rPr>
          <w:rFonts w:ascii="仿宋" w:eastAsia="仿宋" w:hAnsi="仿宋" w:cs="Times New Roman"/>
          <w:b/>
          <w:bCs/>
          <w:color w:val="000000"/>
          <w:sz w:val="32"/>
          <w:szCs w:val="32"/>
        </w:rPr>
      </w:pPr>
    </w:p>
    <w:p w:rsidR="00223545" w:rsidRPr="00AE42E6" w:rsidRDefault="00223545" w:rsidP="008C3FCD">
      <w:pPr>
        <w:spacing w:line="560" w:lineRule="exact"/>
        <w:ind w:leftChars="-86" w:left="31680" w:rightChars="-70" w:right="31680" w:hangingChars="40" w:firstLine="31680"/>
        <w:jc w:val="center"/>
        <w:rPr>
          <w:rFonts w:ascii="方正小标宋_GBK" w:eastAsia="方正小标宋_GBK" w:hAnsi="宋体" w:cs="Times New Roman"/>
          <w:color w:val="000000"/>
          <w:sz w:val="36"/>
          <w:szCs w:val="36"/>
        </w:rPr>
      </w:pPr>
      <w:r w:rsidRPr="00AE42E6">
        <w:rPr>
          <w:rFonts w:ascii="方正小标宋_GBK" w:eastAsia="方正小标宋_GBK" w:hAnsi="宋体" w:cs="方正小标宋_GBK" w:hint="eastAsia"/>
          <w:color w:val="000000"/>
          <w:sz w:val="36"/>
          <w:szCs w:val="36"/>
        </w:rPr>
        <w:t>牙科树脂类充填材料产品注册技术审查指导原则</w:t>
      </w:r>
    </w:p>
    <w:p w:rsidR="00223545" w:rsidRPr="00771167" w:rsidRDefault="00223545" w:rsidP="008C3FCD">
      <w:pPr>
        <w:spacing w:line="560" w:lineRule="exact"/>
        <w:ind w:firstLineChars="200" w:firstLine="31680"/>
        <w:jc w:val="left"/>
        <w:outlineLvl w:val="0"/>
        <w:rPr>
          <w:rFonts w:ascii="仿宋" w:eastAsia="仿宋" w:hAnsi="仿宋" w:cs="Times New Roman"/>
          <w:b/>
          <w:bCs/>
          <w:color w:val="000000"/>
          <w:sz w:val="28"/>
          <w:szCs w:val="28"/>
        </w:rPr>
      </w:pPr>
    </w:p>
    <w:p w:rsidR="00223545" w:rsidRPr="00AE42E6" w:rsidRDefault="00223545" w:rsidP="008C3FCD">
      <w:pPr>
        <w:spacing w:line="560" w:lineRule="exact"/>
        <w:ind w:firstLineChars="200" w:firstLine="31680"/>
        <w:rPr>
          <w:rFonts w:ascii="黑体" w:eastAsia="黑体" w:hAnsi="黑体" w:cs="Times New Roman"/>
          <w:color w:val="000000"/>
          <w:sz w:val="30"/>
          <w:szCs w:val="30"/>
        </w:rPr>
      </w:pPr>
      <w:r w:rsidRPr="00AE42E6">
        <w:rPr>
          <w:rFonts w:ascii="黑体" w:eastAsia="黑体" w:hAnsi="黑体" w:cs="黑体" w:hint="eastAsia"/>
          <w:color w:val="000000"/>
          <w:sz w:val="30"/>
          <w:szCs w:val="30"/>
        </w:rPr>
        <w:t>一、前言</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本指导原则旨在指导生产企业研究开发牙科树脂类充填材料和撰写该类产品注册申报资料，以及规范该类产品的技术审评要求。</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本指导原则是对牙科树脂类充填材料的一般要求，生产企业应依据具体产品的特性对注册申报资料的内容进行充分说明和细化。生产企业还应依据具体产品的特性确定其中的具体内容是否适用，若不适用，需详细阐述理由及相应的科学依据。</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本指导原则是对生产企业和审查人员的指导性文件，但不包括注册审批所涉及的行政事项，亦不作为法规强制执行，如果有能满足相关法规要求的其他方法，也可以采用，但是需要提供详细的研究资料和验证资料。应在遵循相关法规的前提下使用本指导原则。</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本指导原则是在现行法规和标准体系以及当前认知水平下制定的，随着法规和标准的不断完善，以及科学技术的不断发展，本指导原则相关内容也将进行适时的调整。</w:t>
      </w:r>
    </w:p>
    <w:p w:rsidR="00223545" w:rsidRPr="00AE42E6" w:rsidRDefault="00223545" w:rsidP="008C3FCD">
      <w:pPr>
        <w:spacing w:line="560" w:lineRule="exact"/>
        <w:ind w:firstLineChars="200" w:firstLine="31680"/>
        <w:rPr>
          <w:rFonts w:ascii="黑体" w:eastAsia="黑体" w:hAnsi="黑体" w:cs="Times New Roman"/>
          <w:color w:val="000000"/>
          <w:sz w:val="30"/>
          <w:szCs w:val="30"/>
        </w:rPr>
      </w:pPr>
      <w:r w:rsidRPr="00AE42E6">
        <w:rPr>
          <w:rFonts w:ascii="黑体" w:eastAsia="黑体" w:hAnsi="黑体" w:cs="黑体" w:hint="eastAsia"/>
          <w:color w:val="000000"/>
          <w:sz w:val="30"/>
          <w:szCs w:val="30"/>
        </w:rPr>
        <w:t>二、适用范围</w:t>
      </w:r>
    </w:p>
    <w:p w:rsidR="00223545" w:rsidRPr="00AE42E6" w:rsidRDefault="00223545" w:rsidP="008C3FCD">
      <w:pPr>
        <w:pStyle w:val="NormalWeb"/>
        <w:tabs>
          <w:tab w:val="left" w:pos="540"/>
        </w:tabs>
        <w:spacing w:before="0" w:beforeAutospacing="0" w:after="0" w:afterAutospacing="0" w:line="560" w:lineRule="exact"/>
        <w:ind w:firstLineChars="192"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本指导原则适用于充填和修复牙体各种缺损的牙科树脂类充填材料。</w:t>
      </w:r>
    </w:p>
    <w:p w:rsidR="00223545" w:rsidRPr="00AE42E6" w:rsidRDefault="00223545" w:rsidP="008C3FCD">
      <w:pPr>
        <w:autoSpaceDE w:val="0"/>
        <w:autoSpaceDN w:val="0"/>
        <w:adjustRightInd w:val="0"/>
        <w:snapToGrid w:val="0"/>
        <w:spacing w:line="560" w:lineRule="exact"/>
        <w:ind w:firstLineChars="200" w:firstLine="31680"/>
        <w:rPr>
          <w:rFonts w:ascii="楷体_GB2312" w:eastAsia="楷体_GB2312" w:hAnsi="楷体" w:cs="Times New Roman"/>
          <w:color w:val="000000"/>
          <w:sz w:val="30"/>
          <w:szCs w:val="30"/>
        </w:rPr>
      </w:pPr>
      <w:r w:rsidRPr="00AE42E6">
        <w:rPr>
          <w:rFonts w:ascii="楷体_GB2312" w:eastAsia="楷体_GB2312" w:hAnsi="楷体" w:cs="楷体_GB2312" w:hint="eastAsia"/>
          <w:color w:val="000000"/>
          <w:sz w:val="30"/>
          <w:szCs w:val="30"/>
        </w:rPr>
        <w:t>（一）牙科树脂类充填材料可分为以下几型：</w:t>
      </w:r>
    </w:p>
    <w:p w:rsidR="00223545" w:rsidRPr="00AE42E6" w:rsidRDefault="00223545" w:rsidP="008C3FCD">
      <w:pPr>
        <w:tabs>
          <w:tab w:val="left" w:pos="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Ⅰ型：生产厂家声称适合用于涉及到牙</w:t>
      </w:r>
      <w:r w:rsidRPr="00AE42E6">
        <w:rPr>
          <w:rFonts w:ascii="仿宋_GB2312" w:eastAsia="仿宋_GB2312" w:hAnsi="仿宋" w:cs="仿宋_GB2312" w:hint="eastAsia"/>
          <w:color w:val="000000"/>
          <w:spacing w:val="-60"/>
          <w:sz w:val="30"/>
          <w:szCs w:val="30"/>
        </w:rPr>
        <w:t>合面</w:t>
      </w:r>
      <w:r w:rsidRPr="00AE42E6">
        <w:rPr>
          <w:rFonts w:ascii="仿宋_GB2312" w:eastAsia="仿宋_GB2312" w:hAnsi="仿宋" w:cs="仿宋_GB2312"/>
          <w:color w:val="000000"/>
          <w:spacing w:val="-60"/>
          <w:sz w:val="30"/>
          <w:szCs w:val="30"/>
        </w:rPr>
        <w:t xml:space="preserve">    </w:t>
      </w:r>
      <w:r w:rsidRPr="00AE42E6">
        <w:rPr>
          <w:rFonts w:ascii="仿宋_GB2312" w:eastAsia="仿宋_GB2312" w:hAnsi="仿宋" w:cs="仿宋_GB2312" w:hint="eastAsia"/>
          <w:color w:val="000000"/>
          <w:sz w:val="30"/>
          <w:szCs w:val="30"/>
        </w:rPr>
        <w:t>修复的树脂类充填材料。</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Ⅱ型：除Ⅰ型外的其他树脂类充填材料。</w:t>
      </w:r>
    </w:p>
    <w:p w:rsidR="00223545" w:rsidRPr="00AE42E6" w:rsidRDefault="00223545" w:rsidP="008C3FCD">
      <w:pPr>
        <w:autoSpaceDE w:val="0"/>
        <w:autoSpaceDN w:val="0"/>
        <w:adjustRightInd w:val="0"/>
        <w:snapToGrid w:val="0"/>
        <w:spacing w:line="560" w:lineRule="exact"/>
        <w:ind w:firstLineChars="200" w:firstLine="31680"/>
        <w:rPr>
          <w:rFonts w:ascii="楷体_GB2312" w:eastAsia="楷体_GB2312" w:hAnsi="楷体" w:cs="Times New Roman"/>
          <w:color w:val="000000"/>
          <w:sz w:val="30"/>
          <w:szCs w:val="30"/>
        </w:rPr>
      </w:pPr>
      <w:r w:rsidRPr="00AE42E6">
        <w:rPr>
          <w:rFonts w:ascii="楷体_GB2312" w:eastAsia="楷体_GB2312" w:hAnsi="楷体" w:cs="楷体_GB2312" w:hint="eastAsia"/>
          <w:color w:val="000000"/>
          <w:sz w:val="30"/>
          <w:szCs w:val="30"/>
        </w:rPr>
        <w:t>（二）牙科树脂类充填材料可分为以下几类：</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Ⅰ类：通过调和引发剂和催化剂，使其固化的材料（化学固化材料）。</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Ⅱ类：通过外部能源如光和加热，使其固化的材料（外部能量激活材料）。</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Ⅱ类牙科树脂类充填材料又可分为以下两组：</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1</w:t>
      </w:r>
      <w:r>
        <w:rPr>
          <w:rFonts w:ascii="仿宋_GB2312" w:eastAsia="仿宋_GB2312" w:hAnsi="仿宋" w:cs="仿宋_GB2312"/>
          <w:color w:val="000000"/>
          <w:sz w:val="30"/>
          <w:szCs w:val="30"/>
        </w:rPr>
        <w:t xml:space="preserve"> </w:t>
      </w:r>
      <w:r w:rsidRPr="00AE42E6">
        <w:rPr>
          <w:rFonts w:ascii="仿宋_GB2312" w:eastAsia="仿宋_GB2312" w:hAnsi="仿宋" w:cs="仿宋_GB2312" w:hint="eastAsia"/>
          <w:color w:val="000000"/>
          <w:sz w:val="30"/>
          <w:szCs w:val="30"/>
        </w:rPr>
        <w:t>组：需要在口腔内完成外部能量激活的材料。</w:t>
      </w:r>
    </w:p>
    <w:p w:rsidR="00223545" w:rsidRPr="00AE42E6" w:rsidRDefault="00223545" w:rsidP="008C3FCD">
      <w:pPr>
        <w:tabs>
          <w:tab w:val="left" w:pos="540"/>
        </w:tabs>
        <w:spacing w:line="560" w:lineRule="exact"/>
        <w:ind w:firstLineChars="200" w:firstLine="31680"/>
        <w:rPr>
          <w:rFonts w:ascii="仿宋_GB2312" w:eastAsia="仿宋_GB2312" w:hAnsi="仿宋" w:cs="Times New Roman"/>
          <w:color w:val="000000"/>
          <w:sz w:val="30"/>
          <w:szCs w:val="30"/>
        </w:rPr>
      </w:pPr>
      <w:r>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组：需要在口腔外完成外部能量激活的材料，固化完成后再粘固到待修复部位。</w:t>
      </w:r>
    </w:p>
    <w:p w:rsidR="00223545" w:rsidRPr="00AE42E6" w:rsidRDefault="00223545" w:rsidP="008C3FCD">
      <w:pPr>
        <w:pStyle w:val="NormalWeb"/>
        <w:tabs>
          <w:tab w:val="left" w:pos="540"/>
        </w:tabs>
        <w:spacing w:before="0" w:beforeAutospacing="0" w:after="0" w:afterAutospacing="0" w:line="560" w:lineRule="exact"/>
        <w:ind w:firstLineChars="200" w:firstLine="31680"/>
        <w:jc w:val="both"/>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Ⅲ类：通过外部能源可使其固化，同时又具有化学固化机制的材料（双重固化材料）。</w:t>
      </w:r>
    </w:p>
    <w:p w:rsidR="00223545" w:rsidRPr="00AE42E6" w:rsidRDefault="00223545" w:rsidP="008C3FCD">
      <w:pPr>
        <w:pStyle w:val="NormalWeb"/>
        <w:tabs>
          <w:tab w:val="left" w:pos="540"/>
        </w:tabs>
        <w:spacing w:before="0" w:beforeAutospacing="0" w:after="0" w:afterAutospacing="0" w:line="560" w:lineRule="exact"/>
        <w:ind w:firstLineChars="22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本指导原则不适用于粘固、涂层、固定、垫底或临时修复等用途的牙科树脂材料产品，如牙科树脂粘接剂、牙科水门汀、表面封闭剂及上光剂、树脂型托槽粘接剂及处理剂、临时冠桥树脂、流动树脂、窝沟封闭剂等。</w:t>
      </w:r>
    </w:p>
    <w:p w:rsidR="00223545" w:rsidRPr="00AE42E6" w:rsidRDefault="00223545" w:rsidP="008C3FCD">
      <w:pPr>
        <w:spacing w:line="560" w:lineRule="exact"/>
        <w:ind w:firstLineChars="200" w:firstLine="31680"/>
        <w:rPr>
          <w:rFonts w:ascii="黑体" w:eastAsia="黑体" w:hAnsi="黑体" w:cs="Times New Roman"/>
          <w:color w:val="000000"/>
          <w:sz w:val="30"/>
          <w:szCs w:val="30"/>
        </w:rPr>
      </w:pPr>
      <w:r w:rsidRPr="00AE42E6">
        <w:rPr>
          <w:rFonts w:ascii="黑体" w:eastAsia="黑体" w:hAnsi="黑体" w:cs="黑体" w:hint="eastAsia"/>
          <w:color w:val="000000"/>
          <w:sz w:val="30"/>
          <w:szCs w:val="30"/>
        </w:rPr>
        <w:t>三、注册申报资料要求</w:t>
      </w:r>
    </w:p>
    <w:p w:rsidR="00223545" w:rsidRPr="00AE42E6" w:rsidRDefault="00223545" w:rsidP="008C3FCD">
      <w:pPr>
        <w:spacing w:line="560" w:lineRule="exact"/>
        <w:ind w:firstLineChars="200" w:firstLine="31680"/>
        <w:rPr>
          <w:rFonts w:ascii="楷体_GB2312" w:eastAsia="楷体_GB2312" w:hAnsi="楷体" w:cs="Times New Roman"/>
          <w:color w:val="000000"/>
          <w:sz w:val="30"/>
          <w:szCs w:val="30"/>
        </w:rPr>
      </w:pPr>
      <w:r w:rsidRPr="00AE42E6">
        <w:rPr>
          <w:rFonts w:ascii="楷体_GB2312" w:eastAsia="楷体_GB2312" w:hAnsi="楷体" w:cs="楷体_GB2312" w:hint="eastAsia"/>
          <w:color w:val="000000"/>
          <w:sz w:val="30"/>
          <w:szCs w:val="30"/>
        </w:rPr>
        <w:t>（一）产品的技术报告</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技术报告应包括以下内容：</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产品描述</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包括：</w:t>
      </w:r>
    </w:p>
    <w:p w:rsidR="00223545" w:rsidRPr="00AE42E6" w:rsidRDefault="00223545" w:rsidP="008C3FCD">
      <w:pPr>
        <w:spacing w:line="560" w:lineRule="exact"/>
        <w:ind w:firstLineChars="200" w:firstLine="31680"/>
        <w:rPr>
          <w:rFonts w:ascii="仿宋_GB2312" w:eastAsia="仿宋_GB2312" w:hAnsi="仿宋" w:cs="仿宋_GB2312"/>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）产品的性能结构组成、规格型号、成分组成、所属类别、色度范围、有效期、储存方式，是否属于本指导原则适用的范围等。</w:t>
      </w:r>
      <w:r w:rsidRPr="00AE42E6">
        <w:rPr>
          <w:rFonts w:ascii="仿宋_GB2312" w:eastAsia="仿宋_GB2312" w:hAnsi="仿宋" w:cs="仿宋_GB2312"/>
          <w:color w:val="000000"/>
          <w:sz w:val="30"/>
          <w:szCs w:val="30"/>
        </w:rPr>
        <w:t xml:space="preserve"> </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）工作原理（即产品如何实现其预期用途的原理）及产品设计等。</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）产品的性能描述。</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4</w:t>
      </w:r>
      <w:r w:rsidRPr="00AE42E6">
        <w:rPr>
          <w:rFonts w:ascii="仿宋_GB2312" w:eastAsia="仿宋_GB2312" w:hAnsi="仿宋" w:cs="仿宋_GB2312" w:hint="eastAsia"/>
          <w:color w:val="000000"/>
          <w:sz w:val="30"/>
          <w:szCs w:val="30"/>
        </w:rPr>
        <w:t>）产品临床应用的适应证。</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5</w:t>
      </w:r>
      <w:r w:rsidRPr="00AE42E6">
        <w:rPr>
          <w:rFonts w:ascii="仿宋_GB2312" w:eastAsia="仿宋_GB2312" w:hAnsi="仿宋" w:cs="仿宋_GB2312" w:hint="eastAsia"/>
          <w:color w:val="000000"/>
          <w:sz w:val="30"/>
          <w:szCs w:val="30"/>
        </w:rPr>
        <w:t>）推荐的临床操作方法以及建议使用的粘接系统。</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材料</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列出产品所有成分的化学名称及其含量，包括所含的填料、有机树脂、偶联剂、引发剂</w:t>
      </w:r>
      <w:r w:rsidRPr="00AE42E6">
        <w:rPr>
          <w:rFonts w:ascii="仿宋_GB2312" w:eastAsia="仿宋_GB2312" w:hAnsi="仿宋" w:cs="仿宋_GB2312"/>
          <w:color w:val="000000"/>
          <w:sz w:val="30"/>
          <w:szCs w:val="30"/>
        </w:rPr>
        <w:t>/</w:t>
      </w:r>
      <w:r w:rsidRPr="00AE42E6">
        <w:rPr>
          <w:rFonts w:ascii="仿宋_GB2312" w:eastAsia="仿宋_GB2312" w:hAnsi="仿宋" w:cs="仿宋_GB2312" w:hint="eastAsia"/>
          <w:color w:val="000000"/>
          <w:sz w:val="30"/>
          <w:szCs w:val="30"/>
        </w:rPr>
        <w:t>催化剂、促进剂、着色剂、添加剂等。应注明各成分的化学文摘登记号（</w:t>
      </w:r>
      <w:r w:rsidRPr="00AE42E6">
        <w:rPr>
          <w:rFonts w:ascii="仿宋_GB2312" w:eastAsia="仿宋_GB2312" w:hAnsi="仿宋" w:cs="仿宋_GB2312"/>
          <w:color w:val="000000"/>
          <w:sz w:val="30"/>
          <w:szCs w:val="30"/>
        </w:rPr>
        <w:t>CAS</w:t>
      </w:r>
      <w:r w:rsidRPr="00AE42E6">
        <w:rPr>
          <w:rFonts w:ascii="仿宋_GB2312" w:eastAsia="仿宋_GB2312" w:hAnsi="仿宋" w:cs="仿宋_GB2312" w:hint="eastAsia"/>
          <w:color w:val="000000"/>
          <w:sz w:val="30"/>
          <w:szCs w:val="30"/>
        </w:rPr>
        <w:t>号），着色剂注明化学文摘登记号或颜色索引号，并描述产品的加工过程。</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产品性能</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根据产品的性能特点，建议描述产品适用的指标：</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·工作时间（秒）</w:t>
      </w:r>
      <w:r w:rsidRPr="00AE42E6">
        <w:rPr>
          <w:rFonts w:ascii="仿宋_GB2312" w:eastAsia="仿宋_GB2312" w:hAnsi="仿宋" w:cs="仿宋_GB2312"/>
          <w:color w:val="000000"/>
          <w:kern w:val="2"/>
          <w:sz w:val="30"/>
          <w:szCs w:val="30"/>
        </w:rPr>
        <w:t>——</w:t>
      </w:r>
      <w:r w:rsidRPr="00AE42E6">
        <w:rPr>
          <w:rFonts w:ascii="仿宋_GB2312" w:eastAsia="仿宋_GB2312" w:hAnsi="仿宋" w:cs="仿宋_GB2312" w:hint="eastAsia"/>
          <w:color w:val="000000"/>
          <w:kern w:val="2"/>
          <w:sz w:val="30"/>
          <w:szCs w:val="30"/>
        </w:rPr>
        <w:t>对于化学固化或双重固化材料</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·固化时间（分钟）</w:t>
      </w:r>
      <w:r w:rsidRPr="00AE42E6">
        <w:rPr>
          <w:rFonts w:ascii="仿宋_GB2312" w:eastAsia="仿宋_GB2312" w:hAnsi="仿宋" w:cs="仿宋_GB2312"/>
          <w:color w:val="000000"/>
          <w:kern w:val="2"/>
          <w:sz w:val="30"/>
          <w:szCs w:val="30"/>
        </w:rPr>
        <w:t>——</w:t>
      </w:r>
      <w:r w:rsidRPr="00AE42E6">
        <w:rPr>
          <w:rFonts w:ascii="仿宋_GB2312" w:eastAsia="仿宋_GB2312" w:hAnsi="仿宋" w:cs="仿宋_GB2312" w:hint="eastAsia"/>
          <w:color w:val="000000"/>
          <w:kern w:val="2"/>
          <w:sz w:val="30"/>
          <w:szCs w:val="30"/>
        </w:rPr>
        <w:t>对于化学固化或双重固化材料</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·对环境光线的敏感性</w:t>
      </w:r>
      <w:r w:rsidRPr="00AE42E6">
        <w:rPr>
          <w:rFonts w:ascii="仿宋_GB2312" w:eastAsia="仿宋_GB2312" w:hAnsi="仿宋" w:cs="仿宋_GB2312"/>
          <w:color w:val="000000"/>
          <w:kern w:val="2"/>
          <w:sz w:val="30"/>
          <w:szCs w:val="30"/>
        </w:rPr>
        <w:t>——</w:t>
      </w:r>
      <w:r w:rsidRPr="00AE42E6">
        <w:rPr>
          <w:rFonts w:ascii="仿宋_GB2312" w:eastAsia="仿宋_GB2312" w:hAnsi="仿宋" w:cs="仿宋_GB2312" w:hint="eastAsia"/>
          <w:color w:val="000000"/>
          <w:kern w:val="2"/>
          <w:sz w:val="30"/>
          <w:szCs w:val="30"/>
        </w:rPr>
        <w:t>对于光固化材料</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·固化条件：如光固化材料，应明确固化光照强度（</w:t>
      </w:r>
      <w:r w:rsidRPr="00AE42E6">
        <w:rPr>
          <w:rFonts w:ascii="仿宋_GB2312" w:eastAsia="仿宋_GB2312" w:hAnsi="仿宋" w:cs="仿宋_GB2312"/>
          <w:color w:val="000000"/>
          <w:kern w:val="2"/>
          <w:sz w:val="30"/>
          <w:szCs w:val="30"/>
        </w:rPr>
        <w:t>mW/cm2</w:t>
      </w:r>
      <w:r w:rsidRPr="00AE42E6">
        <w:rPr>
          <w:rFonts w:ascii="仿宋_GB2312" w:eastAsia="仿宋_GB2312" w:hAnsi="仿宋" w:cs="仿宋_GB2312" w:hint="eastAsia"/>
          <w:color w:val="000000"/>
          <w:kern w:val="2"/>
          <w:sz w:val="30"/>
          <w:szCs w:val="30"/>
        </w:rPr>
        <w:t>）、波长（</w:t>
      </w:r>
      <w:r w:rsidRPr="00AE42E6">
        <w:rPr>
          <w:rFonts w:ascii="仿宋_GB2312" w:eastAsia="仿宋_GB2312" w:hAnsi="仿宋" w:cs="仿宋_GB2312"/>
          <w:color w:val="000000"/>
          <w:kern w:val="2"/>
          <w:sz w:val="30"/>
          <w:szCs w:val="30"/>
        </w:rPr>
        <w:t>nm</w:t>
      </w:r>
      <w:r w:rsidRPr="00AE42E6">
        <w:rPr>
          <w:rFonts w:ascii="仿宋_GB2312" w:eastAsia="仿宋_GB2312" w:hAnsi="仿宋" w:cs="仿宋_GB2312" w:hint="eastAsia"/>
          <w:color w:val="000000"/>
          <w:kern w:val="2"/>
          <w:sz w:val="30"/>
          <w:szCs w:val="30"/>
        </w:rPr>
        <w:t>）及时间；如加热固化材料，应明确加热固化的方式、温度及时间</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·固化深度（</w:t>
      </w:r>
      <w:r w:rsidRPr="00AE42E6">
        <w:rPr>
          <w:rFonts w:ascii="仿宋_GB2312" w:eastAsia="仿宋_GB2312" w:hAnsi="仿宋" w:cs="仿宋_GB2312"/>
          <w:color w:val="000000"/>
          <w:kern w:val="2"/>
          <w:sz w:val="30"/>
          <w:szCs w:val="30"/>
        </w:rPr>
        <w:t>mm</w:t>
      </w:r>
      <w:r w:rsidRPr="00AE42E6">
        <w:rPr>
          <w:rFonts w:ascii="仿宋_GB2312" w:eastAsia="仿宋_GB2312" w:hAnsi="仿宋" w:cs="仿宋_GB2312" w:hint="eastAsia"/>
          <w:color w:val="000000"/>
          <w:kern w:val="2"/>
          <w:sz w:val="30"/>
          <w:szCs w:val="30"/>
        </w:rPr>
        <w:t>）</w:t>
      </w:r>
      <w:r w:rsidRPr="00AE42E6">
        <w:rPr>
          <w:rFonts w:ascii="仿宋_GB2312" w:eastAsia="仿宋_GB2312" w:hAnsi="仿宋" w:cs="仿宋_GB2312"/>
          <w:color w:val="000000"/>
          <w:kern w:val="2"/>
          <w:sz w:val="30"/>
          <w:szCs w:val="30"/>
        </w:rPr>
        <w:t>——</w:t>
      </w:r>
      <w:r w:rsidRPr="00AE42E6">
        <w:rPr>
          <w:rFonts w:ascii="仿宋_GB2312" w:eastAsia="仿宋_GB2312" w:hAnsi="仿宋" w:cs="仿宋_GB2312" w:hint="eastAsia"/>
          <w:color w:val="000000"/>
          <w:kern w:val="2"/>
          <w:sz w:val="30"/>
          <w:szCs w:val="30"/>
        </w:rPr>
        <w:t>对于外部能量激活材料</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·固化放热</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·抗压强度（</w:t>
      </w:r>
      <w:r w:rsidRPr="00AE42E6">
        <w:rPr>
          <w:rFonts w:ascii="仿宋_GB2312" w:eastAsia="仿宋_GB2312" w:hAnsi="仿宋" w:cs="仿宋_GB2312"/>
          <w:color w:val="000000"/>
          <w:kern w:val="2"/>
          <w:sz w:val="30"/>
          <w:szCs w:val="30"/>
        </w:rPr>
        <w:t>MPa</w:t>
      </w:r>
      <w:r w:rsidRPr="00AE42E6">
        <w:rPr>
          <w:rFonts w:ascii="仿宋_GB2312" w:eastAsia="仿宋_GB2312" w:hAnsi="仿宋" w:cs="仿宋_GB2312" w:hint="eastAsia"/>
          <w:color w:val="000000"/>
          <w:kern w:val="2"/>
          <w:sz w:val="30"/>
          <w:szCs w:val="30"/>
        </w:rPr>
        <w:t>）</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·挠曲强度（</w:t>
      </w:r>
      <w:r w:rsidRPr="00AE42E6">
        <w:rPr>
          <w:rFonts w:ascii="仿宋_GB2312" w:eastAsia="仿宋_GB2312" w:hAnsi="仿宋" w:cs="仿宋_GB2312"/>
          <w:color w:val="000000"/>
          <w:kern w:val="2"/>
          <w:sz w:val="30"/>
          <w:szCs w:val="30"/>
        </w:rPr>
        <w:t>MPa</w:t>
      </w:r>
      <w:r w:rsidRPr="00AE42E6">
        <w:rPr>
          <w:rFonts w:ascii="仿宋_GB2312" w:eastAsia="仿宋_GB2312" w:hAnsi="仿宋" w:cs="仿宋_GB2312" w:hint="eastAsia"/>
          <w:color w:val="000000"/>
          <w:kern w:val="2"/>
          <w:sz w:val="30"/>
          <w:szCs w:val="30"/>
        </w:rPr>
        <w:t>）</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·拉伸强度</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·热胀系数</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·弹性模量</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·表面硬度（</w:t>
      </w:r>
      <w:r w:rsidRPr="00AE42E6">
        <w:rPr>
          <w:rFonts w:ascii="仿宋_GB2312" w:eastAsia="仿宋_GB2312" w:hAnsi="仿宋" w:cs="仿宋_GB2312"/>
          <w:color w:val="000000"/>
          <w:kern w:val="2"/>
          <w:sz w:val="30"/>
          <w:szCs w:val="30"/>
        </w:rPr>
        <w:t>KHN</w:t>
      </w:r>
      <w:r w:rsidRPr="00AE42E6">
        <w:rPr>
          <w:rFonts w:ascii="仿宋_GB2312" w:eastAsia="仿宋_GB2312" w:hAnsi="仿宋" w:cs="仿宋_GB2312" w:hint="eastAsia"/>
          <w:color w:val="000000"/>
          <w:kern w:val="2"/>
          <w:sz w:val="30"/>
          <w:szCs w:val="30"/>
        </w:rPr>
        <w:t>）</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·表面粗糙度</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·耐磨耗性能</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·聚合收缩特性</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·色调、色稳定性</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w:t>
      </w:r>
      <w:r w:rsidRPr="00AE42E6">
        <w:rPr>
          <w:rFonts w:ascii="仿宋_GB2312" w:eastAsia="仿宋_GB2312" w:hAnsi="仿宋" w:cs="仿宋_GB2312"/>
          <w:color w:val="000000"/>
          <w:kern w:val="2"/>
          <w:sz w:val="30"/>
          <w:szCs w:val="30"/>
        </w:rPr>
        <w:t>X</w:t>
      </w:r>
      <w:r w:rsidRPr="00AE42E6">
        <w:rPr>
          <w:rFonts w:ascii="仿宋_GB2312" w:eastAsia="仿宋_GB2312" w:hAnsi="仿宋" w:cs="仿宋_GB2312" w:hint="eastAsia"/>
          <w:color w:val="000000"/>
          <w:kern w:val="2"/>
          <w:sz w:val="30"/>
          <w:szCs w:val="30"/>
        </w:rPr>
        <w:t>射线阻射性（</w:t>
      </w:r>
      <w:r w:rsidRPr="00AE42E6">
        <w:rPr>
          <w:rFonts w:ascii="仿宋_GB2312" w:eastAsia="仿宋_GB2312" w:hAnsi="仿宋" w:cs="仿宋_GB2312"/>
          <w:color w:val="000000"/>
          <w:kern w:val="2"/>
          <w:sz w:val="30"/>
          <w:szCs w:val="30"/>
        </w:rPr>
        <w:t>mm/Al</w:t>
      </w:r>
      <w:r w:rsidRPr="00AE42E6">
        <w:rPr>
          <w:rFonts w:ascii="仿宋_GB2312" w:eastAsia="仿宋_GB2312" w:hAnsi="仿宋" w:cs="仿宋_GB2312" w:hint="eastAsia"/>
          <w:color w:val="000000"/>
          <w:kern w:val="2"/>
          <w:sz w:val="30"/>
          <w:szCs w:val="30"/>
        </w:rPr>
        <w:t>）</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·吸水值（μ</w:t>
      </w:r>
      <w:r w:rsidRPr="00AE42E6">
        <w:rPr>
          <w:rFonts w:ascii="仿宋_GB2312" w:eastAsia="仿宋_GB2312" w:hAnsi="仿宋" w:cs="仿宋_GB2312"/>
          <w:color w:val="000000"/>
          <w:kern w:val="2"/>
          <w:sz w:val="30"/>
          <w:szCs w:val="30"/>
        </w:rPr>
        <w:t>g/mm3</w:t>
      </w:r>
      <w:r w:rsidRPr="00AE42E6">
        <w:rPr>
          <w:rFonts w:ascii="仿宋_GB2312" w:eastAsia="仿宋_GB2312" w:hAnsi="仿宋" w:cs="仿宋_GB2312" w:hint="eastAsia"/>
          <w:color w:val="000000"/>
          <w:kern w:val="2"/>
          <w:sz w:val="30"/>
          <w:szCs w:val="30"/>
        </w:rPr>
        <w:t>）</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·溶解值（μ</w:t>
      </w:r>
      <w:r w:rsidRPr="00AE42E6">
        <w:rPr>
          <w:rFonts w:ascii="仿宋_GB2312" w:eastAsia="仿宋_GB2312" w:hAnsi="仿宋" w:cs="仿宋_GB2312"/>
          <w:color w:val="000000"/>
          <w:kern w:val="2"/>
          <w:sz w:val="30"/>
          <w:szCs w:val="30"/>
        </w:rPr>
        <w:t>g/mm3</w:t>
      </w:r>
      <w:r w:rsidRPr="00AE42E6">
        <w:rPr>
          <w:rFonts w:ascii="仿宋_GB2312" w:eastAsia="仿宋_GB2312" w:hAnsi="仿宋" w:cs="仿宋_GB2312" w:hint="eastAsia"/>
          <w:color w:val="000000"/>
          <w:kern w:val="2"/>
          <w:sz w:val="30"/>
          <w:szCs w:val="30"/>
        </w:rPr>
        <w:t>）</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·残余单体的溶出量</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·重金属含量</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·物质释放（μ</w:t>
      </w:r>
      <w:r w:rsidRPr="00AE42E6">
        <w:rPr>
          <w:rFonts w:ascii="仿宋_GB2312" w:eastAsia="仿宋_GB2312" w:hAnsi="仿宋" w:cs="仿宋_GB2312"/>
          <w:color w:val="000000"/>
          <w:kern w:val="2"/>
          <w:sz w:val="30"/>
          <w:szCs w:val="30"/>
        </w:rPr>
        <w:t>g/mm</w:t>
      </w:r>
      <w:r w:rsidRPr="00AE42E6">
        <w:rPr>
          <w:rFonts w:ascii="仿宋_GB2312" w:eastAsia="仿宋_GB2312" w:hAnsi="仿宋" w:cs="仿宋_GB2312"/>
          <w:color w:val="000000"/>
          <w:kern w:val="2"/>
          <w:sz w:val="30"/>
          <w:szCs w:val="30"/>
          <w:vertAlign w:val="superscript"/>
        </w:rPr>
        <w:t>3</w:t>
      </w:r>
      <w:r w:rsidRPr="00AE42E6">
        <w:rPr>
          <w:rFonts w:ascii="仿宋_GB2312" w:eastAsia="仿宋_GB2312" w:hAnsi="仿宋" w:cs="仿宋_GB2312" w:hint="eastAsia"/>
          <w:color w:val="000000"/>
          <w:kern w:val="2"/>
          <w:sz w:val="30"/>
          <w:szCs w:val="30"/>
        </w:rPr>
        <w:t>）：如含有可释放的物质（如氟离子），建议做出由典型性样品在</w:t>
      </w:r>
      <w:r w:rsidRPr="00AE42E6">
        <w:rPr>
          <w:rFonts w:ascii="仿宋_GB2312" w:eastAsia="仿宋_GB2312" w:hAnsi="仿宋" w:cs="仿宋_GB2312"/>
          <w:color w:val="000000"/>
          <w:kern w:val="2"/>
          <w:sz w:val="30"/>
          <w:szCs w:val="30"/>
        </w:rPr>
        <w:t>37</w:t>
      </w:r>
      <w:r w:rsidRPr="00AE42E6">
        <w:rPr>
          <w:rFonts w:ascii="仿宋_GB2312" w:eastAsia="仿宋_GB2312" w:hAnsi="仿宋" w:cs="仿宋_GB2312" w:hint="eastAsia"/>
          <w:color w:val="000000"/>
          <w:kern w:val="2"/>
          <w:sz w:val="30"/>
          <w:szCs w:val="30"/>
        </w:rPr>
        <w:t>℃的蒸馏水中最初</w:t>
      </w:r>
      <w:r w:rsidRPr="00AE42E6">
        <w:rPr>
          <w:rFonts w:ascii="仿宋_GB2312" w:eastAsia="仿宋_GB2312" w:hAnsi="仿宋" w:cs="仿宋_GB2312"/>
          <w:color w:val="000000"/>
          <w:kern w:val="2"/>
          <w:sz w:val="30"/>
          <w:szCs w:val="30"/>
        </w:rPr>
        <w:t>7</w:t>
      </w:r>
      <w:r w:rsidRPr="00AE42E6">
        <w:rPr>
          <w:rFonts w:ascii="仿宋_GB2312" w:eastAsia="仿宋_GB2312" w:hAnsi="仿宋" w:cs="仿宋_GB2312" w:hint="eastAsia"/>
          <w:color w:val="000000"/>
          <w:kern w:val="2"/>
          <w:sz w:val="30"/>
          <w:szCs w:val="30"/>
        </w:rPr>
        <w:t>天以上每天所释放出离子的蓄积浓度对应时间变化的曲线或根据</w:t>
      </w:r>
      <w:r w:rsidRPr="00AE42E6">
        <w:rPr>
          <w:rFonts w:ascii="仿宋_GB2312" w:eastAsia="仿宋_GB2312" w:hAnsi="仿宋" w:cs="仿宋_GB2312"/>
          <w:color w:val="000000"/>
          <w:kern w:val="2"/>
          <w:sz w:val="30"/>
          <w:szCs w:val="30"/>
        </w:rPr>
        <w:t>YY 0623</w:t>
      </w:r>
      <w:r w:rsidRPr="00AE42E6">
        <w:rPr>
          <w:rFonts w:ascii="仿宋_GB2312" w:eastAsia="仿宋_GB2312" w:hAnsi="仿宋" w:cs="仿宋_GB2312" w:hint="eastAsia"/>
          <w:color w:val="000000"/>
          <w:kern w:val="2"/>
          <w:sz w:val="30"/>
          <w:szCs w:val="30"/>
        </w:rPr>
        <w:t>《牙科材料可溶出氟》的测定方法</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填料性能：明确填料颗粒的化学名称、粒径范围、纯度、添加量、粒径及粒径分布、颗粒表面处理方法等。使用纳米级颗粒的产品，应明确比表面积等纳米颗粒的表征参数，并提交与纳米颗粒安全性相关的技术评价资料。</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·生物学性能</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·其他</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如有不适用的项目，请予以说明。</w:t>
      </w:r>
    </w:p>
    <w:p w:rsidR="00223545" w:rsidRPr="00AE42E6" w:rsidRDefault="00223545" w:rsidP="008C3FCD">
      <w:pPr>
        <w:pStyle w:val="NormalWeb"/>
        <w:spacing w:before="0" w:beforeAutospacing="0" w:after="0" w:afterAutospacing="0" w:line="560" w:lineRule="exact"/>
        <w:ind w:firstLineChars="200" w:firstLine="31680"/>
        <w:jc w:val="both"/>
        <w:rPr>
          <w:rFonts w:ascii="楷体_GB2312" w:eastAsia="楷体_GB2312" w:hAnsi="楷体" w:cs="Times New Roman"/>
          <w:color w:val="000000"/>
          <w:kern w:val="2"/>
          <w:sz w:val="30"/>
          <w:szCs w:val="30"/>
        </w:rPr>
      </w:pPr>
      <w:r w:rsidRPr="00AE42E6">
        <w:rPr>
          <w:rFonts w:ascii="楷体_GB2312" w:eastAsia="楷体_GB2312" w:hAnsi="楷体" w:cs="楷体_GB2312" w:hint="eastAsia"/>
          <w:color w:val="000000"/>
          <w:kern w:val="2"/>
          <w:sz w:val="30"/>
          <w:szCs w:val="30"/>
        </w:rPr>
        <w:t>（二）产品的风险管理报告</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产品的风险管理报告应包括以下内容：</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color w:val="000000"/>
          <w:kern w:val="2"/>
          <w:sz w:val="30"/>
          <w:szCs w:val="30"/>
        </w:rPr>
        <w:t>1.</w:t>
      </w:r>
      <w:r w:rsidRPr="00AE42E6">
        <w:rPr>
          <w:rFonts w:ascii="仿宋_GB2312" w:eastAsia="仿宋_GB2312" w:hAnsi="仿宋" w:cs="仿宋_GB2312" w:hint="eastAsia"/>
          <w:color w:val="000000"/>
          <w:kern w:val="2"/>
          <w:sz w:val="30"/>
          <w:szCs w:val="30"/>
        </w:rPr>
        <w:t>风险分析方法的描述</w:t>
      </w:r>
    </w:p>
    <w:p w:rsidR="00223545" w:rsidRPr="00AE42E6" w:rsidRDefault="00223545" w:rsidP="008C3FCD">
      <w:pPr>
        <w:pStyle w:val="NormalWeb"/>
        <w:spacing w:before="0" w:beforeAutospacing="0" w:after="0" w:afterAutospacing="0" w:line="560" w:lineRule="exact"/>
        <w:ind w:firstLineChars="200" w:firstLine="31680"/>
        <w:jc w:val="both"/>
        <w:rPr>
          <w:rFonts w:ascii="仿宋_GB2312" w:eastAsia="仿宋_GB2312" w:hAnsi="仿宋" w:cs="Times New Roman"/>
          <w:color w:val="000000"/>
          <w:kern w:val="2"/>
          <w:sz w:val="30"/>
          <w:szCs w:val="30"/>
        </w:rPr>
      </w:pPr>
      <w:r w:rsidRPr="00AE42E6">
        <w:rPr>
          <w:rFonts w:ascii="仿宋_GB2312" w:eastAsia="仿宋_GB2312" w:hAnsi="仿宋" w:cs="仿宋_GB2312" w:hint="eastAsia"/>
          <w:color w:val="000000"/>
          <w:kern w:val="2"/>
          <w:sz w:val="30"/>
          <w:szCs w:val="30"/>
        </w:rPr>
        <w:t>在产品的风险管理报告中应描述所采用的评估产品风险的分析方法，若选用某一替代法来解决本指导原则中指出的风险，应提供足够详细的资料来支持采用这种解决风险的替代方法。</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风险分析报告</w:t>
      </w:r>
    </w:p>
    <w:p w:rsidR="00223545" w:rsidRPr="00AE42E6" w:rsidRDefault="00223545" w:rsidP="008C3FCD">
      <w:pPr>
        <w:spacing w:line="560" w:lineRule="exact"/>
        <w:ind w:firstLineChars="200" w:firstLine="31680"/>
        <w:rPr>
          <w:rFonts w:ascii="仿宋_GB2312" w:eastAsia="仿宋_GB2312" w:hAnsi="仿宋" w:cs="仿宋_GB2312"/>
          <w:color w:val="000000"/>
          <w:sz w:val="30"/>
          <w:szCs w:val="30"/>
        </w:rPr>
      </w:pPr>
      <w:r w:rsidRPr="00AE42E6">
        <w:rPr>
          <w:rFonts w:ascii="仿宋_GB2312" w:eastAsia="仿宋_GB2312" w:hAnsi="仿宋" w:cs="仿宋_GB2312" w:hint="eastAsia"/>
          <w:color w:val="000000"/>
          <w:sz w:val="30"/>
          <w:szCs w:val="30"/>
        </w:rPr>
        <w:t>应进行风险分析，指出拟申报产品的相关风险以及风险分析结果，并给出降低风险的建议措施及产生的效果与评估。</w:t>
      </w:r>
      <w:r w:rsidRPr="00AE42E6">
        <w:rPr>
          <w:rFonts w:ascii="仿宋_GB2312" w:eastAsia="仿宋_GB2312" w:hAnsi="仿宋" w:cs="仿宋_GB2312"/>
          <w:color w:val="000000"/>
          <w:sz w:val="30"/>
          <w:szCs w:val="30"/>
        </w:rPr>
        <w:t xml:space="preserve"> </w:t>
      </w:r>
    </w:p>
    <w:p w:rsidR="00223545" w:rsidRPr="00AE42E6" w:rsidRDefault="00223545" w:rsidP="008C3FCD">
      <w:pPr>
        <w:pStyle w:val="NormalWeb"/>
        <w:spacing w:before="0" w:beforeAutospacing="0" w:after="0" w:afterAutospacing="0" w:line="560" w:lineRule="exact"/>
        <w:ind w:firstLineChars="200" w:firstLine="31680"/>
        <w:jc w:val="both"/>
        <w:rPr>
          <w:rFonts w:ascii="楷体_GB2312" w:eastAsia="楷体_GB2312" w:hAnsi="楷体" w:cs="Times New Roman"/>
          <w:color w:val="000000"/>
          <w:kern w:val="2"/>
          <w:sz w:val="30"/>
          <w:szCs w:val="30"/>
        </w:rPr>
      </w:pPr>
      <w:r w:rsidRPr="00AE42E6">
        <w:rPr>
          <w:rFonts w:ascii="楷体_GB2312" w:eastAsia="楷体_GB2312" w:hAnsi="楷体" w:cs="楷体_GB2312" w:hint="eastAsia"/>
          <w:color w:val="000000"/>
          <w:kern w:val="2"/>
          <w:sz w:val="30"/>
          <w:szCs w:val="30"/>
        </w:rPr>
        <w:t>（三）产品的标准</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注册产品标准应根据产品的特性，确定产品安全有效、质量可控的技术要求。制定注册产品标准的技术指标应不低于相关行业标准、国家标准或国际标准的适用条款。若对公认标准中的试验方法有所修改，应说明修改的内容及原因，并提交验证资料。对于相关行业标准、国家标准或国际标准中不适用的推荐要求条款，建议在注册产品标准编制说明中根据产品特性说明不适用的原因。</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产品应按照</w:t>
      </w:r>
      <w:r w:rsidRPr="00AE42E6">
        <w:rPr>
          <w:rFonts w:ascii="仿宋_GB2312" w:eastAsia="仿宋_GB2312" w:hAnsi="仿宋" w:cs="仿宋_GB2312"/>
          <w:color w:val="000000"/>
          <w:sz w:val="30"/>
          <w:szCs w:val="30"/>
        </w:rPr>
        <w:t>GB/T 16886</w:t>
      </w:r>
      <w:r w:rsidRPr="00AE42E6">
        <w:rPr>
          <w:rFonts w:ascii="仿宋_GB2312" w:eastAsia="仿宋_GB2312" w:hAnsi="仿宋" w:cs="仿宋_GB2312" w:hint="eastAsia"/>
          <w:color w:val="000000"/>
          <w:sz w:val="30"/>
          <w:szCs w:val="30"/>
        </w:rPr>
        <w:t>和</w:t>
      </w:r>
      <w:r w:rsidRPr="00AE42E6">
        <w:rPr>
          <w:rFonts w:ascii="仿宋_GB2312" w:eastAsia="仿宋_GB2312" w:hAnsi="仿宋" w:cs="仿宋_GB2312"/>
          <w:color w:val="000000"/>
          <w:sz w:val="30"/>
          <w:szCs w:val="30"/>
        </w:rPr>
        <w:t>YY/T 0268</w:t>
      </w: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YY/T 0127</w:t>
      </w:r>
      <w:r w:rsidRPr="00AE42E6">
        <w:rPr>
          <w:rFonts w:ascii="仿宋_GB2312" w:eastAsia="仿宋_GB2312" w:hAnsi="仿宋" w:cs="仿宋_GB2312" w:hint="eastAsia"/>
          <w:color w:val="000000"/>
          <w:sz w:val="30"/>
          <w:szCs w:val="30"/>
        </w:rPr>
        <w:t>系列标准进行生物学评价。除常规的生物学相容性评价项目外，牙科树脂类充填材料属于近髓接触材料，还建议进行牙髓牙本质应用试验。</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注册产品标准编制说明应符合《医疗器械标准管理办法》（试行）的要求。</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4.</w:t>
      </w:r>
      <w:r w:rsidRPr="00AE42E6">
        <w:rPr>
          <w:rFonts w:ascii="仿宋_GB2312" w:eastAsia="仿宋_GB2312" w:hAnsi="仿宋" w:cs="仿宋_GB2312" w:hint="eastAsia"/>
          <w:color w:val="000000"/>
          <w:sz w:val="30"/>
          <w:szCs w:val="30"/>
        </w:rPr>
        <w:t>标准中应明确产品使用的材料；申报的产品型号划分，应尽量采用国家标准、行业标准的表示方法，应能涵盖产品所有的组件、材料。</w:t>
      </w:r>
    </w:p>
    <w:p w:rsidR="00223545" w:rsidRPr="00AE42E6" w:rsidRDefault="00223545" w:rsidP="008C3FCD">
      <w:pPr>
        <w:pStyle w:val="NormalWeb"/>
        <w:spacing w:before="0" w:beforeAutospacing="0" w:after="0" w:afterAutospacing="0" w:line="560" w:lineRule="exact"/>
        <w:ind w:firstLineChars="200" w:firstLine="31680"/>
        <w:jc w:val="both"/>
        <w:rPr>
          <w:rFonts w:ascii="楷体_GB2312" w:eastAsia="楷体_GB2312" w:hAnsi="楷体" w:cs="Times New Roman"/>
          <w:color w:val="000000"/>
          <w:kern w:val="2"/>
          <w:sz w:val="30"/>
          <w:szCs w:val="30"/>
        </w:rPr>
      </w:pPr>
      <w:r w:rsidRPr="00AE42E6">
        <w:rPr>
          <w:rFonts w:ascii="楷体_GB2312" w:eastAsia="楷体_GB2312" w:hAnsi="楷体" w:cs="楷体_GB2312" w:hint="eastAsia"/>
          <w:color w:val="000000"/>
          <w:kern w:val="2"/>
          <w:sz w:val="30"/>
          <w:szCs w:val="30"/>
        </w:rPr>
        <w:t>（四）产品的检测</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检测报告应由国家食品药品监督管理</w:t>
      </w:r>
      <w:r>
        <w:rPr>
          <w:rFonts w:ascii="仿宋_GB2312" w:eastAsia="仿宋_GB2312" w:hAnsi="仿宋" w:cs="仿宋_GB2312" w:hint="eastAsia"/>
          <w:color w:val="000000"/>
          <w:sz w:val="30"/>
          <w:szCs w:val="30"/>
        </w:rPr>
        <w:t>部门</w:t>
      </w:r>
      <w:r w:rsidRPr="00AE42E6">
        <w:rPr>
          <w:rFonts w:ascii="仿宋_GB2312" w:eastAsia="仿宋_GB2312" w:hAnsi="仿宋" w:cs="仿宋_GB2312" w:hint="eastAsia"/>
          <w:color w:val="000000"/>
          <w:sz w:val="30"/>
          <w:szCs w:val="30"/>
        </w:rPr>
        <w:t>认可的检验机构出具，产品在检验机构承检范围内。若申报的产品包括多个型号，应当按材料及组件分类分别选取典型性型号进行检测，选取检测的典型性型号应当能代表本注册单元内其他产品的安全性和有效性。符合豁免生物相容性检测的，应提交符合相关规定的说明和申请。</w:t>
      </w:r>
    </w:p>
    <w:p w:rsidR="00223545" w:rsidRPr="00AE42E6" w:rsidRDefault="00223545" w:rsidP="008C3FCD">
      <w:pPr>
        <w:pStyle w:val="NormalWeb"/>
        <w:spacing w:before="0" w:beforeAutospacing="0" w:after="0" w:afterAutospacing="0" w:line="560" w:lineRule="exact"/>
        <w:ind w:firstLineChars="200" w:firstLine="31680"/>
        <w:jc w:val="both"/>
        <w:rPr>
          <w:rFonts w:ascii="楷体_GB2312" w:eastAsia="楷体_GB2312" w:hAnsi="楷体" w:cs="Times New Roman"/>
          <w:color w:val="000000"/>
          <w:kern w:val="2"/>
          <w:sz w:val="30"/>
          <w:szCs w:val="30"/>
        </w:rPr>
      </w:pPr>
      <w:r w:rsidRPr="00AE42E6">
        <w:rPr>
          <w:rFonts w:ascii="楷体_GB2312" w:eastAsia="楷体_GB2312" w:hAnsi="楷体" w:cs="楷体_GB2312" w:hint="eastAsia"/>
          <w:color w:val="000000"/>
          <w:kern w:val="2"/>
          <w:sz w:val="30"/>
          <w:szCs w:val="30"/>
        </w:rPr>
        <w:t>（五）产品的临床资料</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按《医疗器械注册管理办法》的规定提供临床资料。</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临床试验基本要求</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）受试对象</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①受试者纳入标准及排除标准</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应在临床研究方案中规定完善合理的受试者纳入标准及排除标准；对不符合纳入标准及符合排除标准的入选者应予剔除。</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②受试者情况描述</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应根据下列内容对受试者进行描述：预期用途、试验组人数、性别及年龄分布、预修复的部位、病损类型及程度、受试者口腔状况、使用辅助材料情况等。</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）临床试验设计类型和比较类型</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应明确临床试验设计类型和比较类型。若属于非劣效性检验、等效性检验或优效性检验的比较类型，应事先规定具有临床意义的界值。常规牙科树脂类充填材料的临床试验可考虑采用单组目标值法。</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）临床试验样本含量</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常规牙科树脂类充填材料的临床试验样本含量建议参照《聚合物基牙体修复材料临床试验指南》。</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以下</w:t>
      </w: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类新型牙科树脂类充填材料，建议进行随机对照的临床研究，根据产品的性能特点，结合确定样本含量的统计学原则确定临床研究的样本量：</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①适应证和目前已上市的同类牙科树脂类充填材料不同，如产品的临床适应证与再矿化、龋齿预防或其他治疗作用有关；</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②材料体系的设计与已上市的牙科树脂类充填材料不同，如新型聚合物系统；</w:t>
      </w:r>
    </w:p>
    <w:p w:rsidR="00223545" w:rsidRPr="00AE42E6" w:rsidRDefault="00223545" w:rsidP="008C3FCD">
      <w:pPr>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③临床操作使用了与已上市牙科树脂类充填材料不同的新技术或新方法，如采用了新型固化机制或充填技术。</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4</w:t>
      </w:r>
      <w:r w:rsidRPr="00AE42E6">
        <w:rPr>
          <w:rFonts w:ascii="仿宋_GB2312" w:eastAsia="仿宋_GB2312" w:hAnsi="仿宋" w:cs="仿宋_GB2312" w:hint="eastAsia"/>
          <w:color w:val="000000"/>
          <w:sz w:val="30"/>
          <w:szCs w:val="30"/>
        </w:rPr>
        <w:t>）观测指标</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①应明确主要疗效指标与次要疗效指标；</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②应明确主要安全性指标与次要安全性指标。</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临床观察</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）修复前评估</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临床方案中修复前评估应包含：受试者的全身状况，可能影响试验结果的任何疾病情况及受试者口腔状况，预修复的部位，病损类型及程度等。</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）临床操作步骤</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应详细记录临床的操作步骤，如是否去除牙面软垢、牙石、腐质或原充填体等，是否进行局部麻醉，窝洞部位、深度及类型，窝洞预备情况，是否进行窝洞清理及该处理所用的材料，洞底是否近髓或露髓，是否进行盖髓或垫底及该处理所用材料，树脂充填方法，配套使用的粘接剂系统，树脂固化条件，充填体修整和抛光系统等。</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）修复后评估</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依据表</w:t>
      </w:r>
      <w:r w:rsidRPr="00AE42E6">
        <w:rPr>
          <w:rFonts w:ascii="仿宋_GB2312" w:eastAsia="仿宋_GB2312" w:hAnsi="仿宋" w:cs="仿宋_GB2312"/>
          <w:color w:val="000000"/>
          <w:sz w:val="30"/>
          <w:szCs w:val="30"/>
        </w:rPr>
        <w:t xml:space="preserve"> 1 </w:t>
      </w:r>
      <w:r w:rsidRPr="00AE42E6">
        <w:rPr>
          <w:rFonts w:ascii="仿宋_GB2312" w:eastAsia="仿宋_GB2312" w:hAnsi="仿宋" w:cs="仿宋_GB2312" w:hint="eastAsia"/>
          <w:color w:val="000000"/>
          <w:sz w:val="30"/>
          <w:szCs w:val="30"/>
        </w:rPr>
        <w:t>牙科树脂类充填材料临床评价标准中有关的项目对充填体进行即刻评价，并记录评价的结果。应对评估人员进行结果判定的一致性检验。</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4</w:t>
      </w:r>
      <w:r w:rsidRPr="00AE42E6">
        <w:rPr>
          <w:rFonts w:ascii="仿宋_GB2312" w:eastAsia="仿宋_GB2312" w:hAnsi="仿宋" w:cs="仿宋_GB2312" w:hint="eastAsia"/>
          <w:color w:val="000000"/>
          <w:sz w:val="30"/>
          <w:szCs w:val="30"/>
        </w:rPr>
        <w:t>）临床观察时间</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临床试验观察时间点为１周、</w:t>
      </w:r>
      <w:r w:rsidRPr="00AE42E6">
        <w:rPr>
          <w:rFonts w:ascii="仿宋_GB2312" w:eastAsia="仿宋_GB2312" w:hAnsi="仿宋" w:cs="仿宋_GB2312"/>
          <w:color w:val="000000"/>
          <w:sz w:val="30"/>
          <w:szCs w:val="30"/>
        </w:rPr>
        <w:t>12</w:t>
      </w:r>
      <w:r w:rsidRPr="00AE42E6">
        <w:rPr>
          <w:rFonts w:ascii="仿宋_GB2312" w:eastAsia="仿宋_GB2312" w:hAnsi="仿宋" w:cs="仿宋_GB2312" w:hint="eastAsia"/>
          <w:color w:val="000000"/>
          <w:sz w:val="30"/>
          <w:szCs w:val="30"/>
        </w:rPr>
        <w:t>个月。</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对于</w:t>
      </w: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类新型牙科树脂类充填材料，临床试验观察时间点建议根据产品宣称的性能和用途等，延长观察时间点，以达到其宣称临床效果所需的评价终点。</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评价标准</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依据表</w:t>
      </w:r>
      <w:r w:rsidRPr="00AE42E6">
        <w:rPr>
          <w:rFonts w:ascii="仿宋_GB2312" w:eastAsia="仿宋_GB2312" w:hAnsi="仿宋" w:cs="仿宋_GB2312"/>
          <w:color w:val="000000"/>
          <w:sz w:val="30"/>
          <w:szCs w:val="30"/>
        </w:rPr>
        <w:t xml:space="preserve"> 1 </w:t>
      </w:r>
      <w:r w:rsidRPr="00AE42E6">
        <w:rPr>
          <w:rFonts w:ascii="仿宋_GB2312" w:eastAsia="仿宋_GB2312" w:hAnsi="仿宋" w:cs="仿宋_GB2312" w:hint="eastAsia"/>
          <w:color w:val="000000"/>
          <w:sz w:val="30"/>
          <w:szCs w:val="30"/>
        </w:rPr>
        <w:t>牙科树脂类充填材料临床评价标准对充填体进行评价，至少应评价如下几个方面：充填体的外形、充填体折裂、边缘适合性、邻面接触、颜色匹配、表面粗糙度、表面着色、边缘变色、继发龋、牙髓状态等，即刻评价的指标均为</w:t>
      </w:r>
      <w:r w:rsidRPr="00AE42E6">
        <w:rPr>
          <w:rFonts w:ascii="仿宋_GB2312" w:eastAsia="仿宋_GB2312" w:hAnsi="仿宋" w:cs="仿宋_GB2312"/>
          <w:color w:val="000000"/>
          <w:sz w:val="30"/>
          <w:szCs w:val="30"/>
        </w:rPr>
        <w:t>A</w:t>
      </w:r>
      <w:r w:rsidRPr="00AE42E6">
        <w:rPr>
          <w:rFonts w:ascii="仿宋_GB2312" w:eastAsia="仿宋_GB2312" w:hAnsi="仿宋" w:cs="仿宋_GB2312" w:hint="eastAsia"/>
          <w:color w:val="000000"/>
          <w:sz w:val="30"/>
          <w:szCs w:val="30"/>
        </w:rPr>
        <w:t>的受试者方可进入后期评价程序。对于</w:t>
      </w:r>
      <w:r w:rsidRPr="00AE42E6">
        <w:rPr>
          <w:rFonts w:ascii="仿宋_GB2312" w:eastAsia="仿宋_GB2312" w:hAnsi="仿宋" w:cs="仿宋_GB2312"/>
          <w:color w:val="000000"/>
          <w:sz w:val="30"/>
          <w:szCs w:val="30"/>
        </w:rPr>
        <w:t>3</w:t>
      </w:r>
      <w:r w:rsidRPr="00AE42E6">
        <w:rPr>
          <w:rFonts w:ascii="仿宋_GB2312" w:eastAsia="仿宋_GB2312" w:hAnsi="仿宋" w:cs="仿宋_GB2312" w:hint="eastAsia"/>
          <w:color w:val="000000"/>
          <w:sz w:val="30"/>
          <w:szCs w:val="30"/>
        </w:rPr>
        <w:t>类新型牙科树脂类充填材料，还应根据其宣称的适应证和性能等，增加相应的评价项目。</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记录各组患者的就诊次数和操作时间并进行比较；记录在临床研究期间任何可能影响研究结果的药物治疗及服用</w:t>
      </w:r>
      <w:r w:rsidRPr="00AE42E6">
        <w:rPr>
          <w:rFonts w:ascii="仿宋_GB2312" w:eastAsia="仿宋_GB2312" w:hAnsi="仿宋" w:cs="仿宋_GB2312"/>
          <w:color w:val="000000"/>
          <w:sz w:val="30"/>
          <w:szCs w:val="30"/>
        </w:rPr>
        <w:t>/</w:t>
      </w:r>
      <w:r w:rsidRPr="00AE42E6">
        <w:rPr>
          <w:rFonts w:ascii="仿宋_GB2312" w:eastAsia="仿宋_GB2312" w:hAnsi="仿宋" w:cs="仿宋_GB2312" w:hint="eastAsia"/>
          <w:color w:val="000000"/>
          <w:sz w:val="30"/>
          <w:szCs w:val="30"/>
        </w:rPr>
        <w:t>使用剂量，如抗生素、镇痛剂、漱口水等的用药情况均需记录。</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1</w:t>
      </w:r>
      <w:r w:rsidRPr="00AE42E6">
        <w:rPr>
          <w:rFonts w:ascii="仿宋_GB2312" w:eastAsia="仿宋_GB2312" w:hAnsi="仿宋" w:cs="仿宋_GB2312" w:hint="eastAsia"/>
          <w:color w:val="000000"/>
          <w:sz w:val="30"/>
          <w:szCs w:val="30"/>
        </w:rPr>
        <w:t>）有效性评价指标及可接受标准</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①</w:t>
      </w:r>
      <w:r w:rsidRPr="00AE42E6">
        <w:rPr>
          <w:rFonts w:ascii="仿宋_GB2312" w:eastAsia="仿宋_GB2312" w:hAnsi="仿宋" w:cs="仿宋_GB2312"/>
          <w:color w:val="000000"/>
          <w:sz w:val="30"/>
          <w:szCs w:val="30"/>
        </w:rPr>
        <w:t xml:space="preserve"> 1</w:t>
      </w:r>
      <w:r w:rsidRPr="00AE42E6">
        <w:rPr>
          <w:rFonts w:ascii="仿宋_GB2312" w:eastAsia="仿宋_GB2312" w:hAnsi="仿宋" w:cs="仿宋_GB2312" w:hint="eastAsia"/>
          <w:color w:val="000000"/>
          <w:sz w:val="30"/>
          <w:szCs w:val="30"/>
        </w:rPr>
        <w:t>周：依据表</w:t>
      </w:r>
      <w:r w:rsidRPr="00AE42E6">
        <w:rPr>
          <w:rFonts w:ascii="仿宋_GB2312" w:eastAsia="仿宋_GB2312" w:hAnsi="仿宋" w:cs="仿宋_GB2312"/>
          <w:color w:val="000000"/>
          <w:sz w:val="30"/>
          <w:szCs w:val="30"/>
        </w:rPr>
        <w:t xml:space="preserve"> 1 </w:t>
      </w:r>
      <w:r w:rsidRPr="00AE42E6">
        <w:rPr>
          <w:rFonts w:ascii="仿宋_GB2312" w:eastAsia="仿宋_GB2312" w:hAnsi="仿宋" w:cs="仿宋_GB2312" w:hint="eastAsia"/>
          <w:color w:val="000000"/>
          <w:sz w:val="30"/>
          <w:szCs w:val="30"/>
        </w:rPr>
        <w:t>评价标准，所有评价指标均为</w:t>
      </w:r>
      <w:r w:rsidRPr="00AE42E6">
        <w:rPr>
          <w:rFonts w:ascii="仿宋_GB2312" w:eastAsia="仿宋_GB2312" w:hAnsi="仿宋" w:cs="仿宋_GB2312"/>
          <w:color w:val="000000"/>
          <w:sz w:val="30"/>
          <w:szCs w:val="30"/>
        </w:rPr>
        <w:t>A</w:t>
      </w:r>
      <w:r w:rsidRPr="00AE42E6">
        <w:rPr>
          <w:rFonts w:ascii="仿宋_GB2312" w:eastAsia="仿宋_GB2312" w:hAnsi="仿宋" w:cs="仿宋_GB2312" w:hint="eastAsia"/>
          <w:color w:val="000000"/>
          <w:sz w:val="30"/>
          <w:szCs w:val="30"/>
        </w:rPr>
        <w:t>或</w:t>
      </w:r>
      <w:r w:rsidRPr="00AE42E6">
        <w:rPr>
          <w:rFonts w:ascii="仿宋_GB2312" w:eastAsia="仿宋_GB2312" w:hAnsi="仿宋" w:cs="仿宋_GB2312"/>
          <w:color w:val="000000"/>
          <w:sz w:val="30"/>
          <w:szCs w:val="30"/>
        </w:rPr>
        <w:t>B</w:t>
      </w:r>
      <w:r w:rsidRPr="00AE42E6">
        <w:rPr>
          <w:rFonts w:ascii="仿宋_GB2312" w:eastAsia="仿宋_GB2312" w:hAnsi="仿宋" w:cs="仿宋_GB2312" w:hint="eastAsia"/>
          <w:color w:val="000000"/>
          <w:sz w:val="30"/>
          <w:szCs w:val="30"/>
        </w:rPr>
        <w:t>，视为临床可接受。</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②</w:t>
      </w:r>
      <w:r w:rsidRPr="00AE42E6">
        <w:rPr>
          <w:rFonts w:ascii="仿宋_GB2312" w:eastAsia="仿宋_GB2312" w:hAnsi="仿宋" w:cs="仿宋_GB2312"/>
          <w:color w:val="000000"/>
          <w:sz w:val="30"/>
          <w:szCs w:val="30"/>
        </w:rPr>
        <w:t xml:space="preserve"> 12</w:t>
      </w:r>
      <w:r w:rsidRPr="00AE42E6">
        <w:rPr>
          <w:rFonts w:ascii="仿宋_GB2312" w:eastAsia="仿宋_GB2312" w:hAnsi="仿宋" w:cs="仿宋_GB2312" w:hint="eastAsia"/>
          <w:color w:val="000000"/>
          <w:sz w:val="30"/>
          <w:szCs w:val="30"/>
        </w:rPr>
        <w:t>个月：依据表</w:t>
      </w:r>
      <w:r w:rsidRPr="00AE42E6">
        <w:rPr>
          <w:rFonts w:ascii="仿宋_GB2312" w:eastAsia="仿宋_GB2312" w:hAnsi="仿宋" w:cs="仿宋_GB2312"/>
          <w:color w:val="000000"/>
          <w:sz w:val="30"/>
          <w:szCs w:val="30"/>
        </w:rPr>
        <w:t xml:space="preserve"> 1 </w:t>
      </w:r>
      <w:r w:rsidRPr="00AE42E6">
        <w:rPr>
          <w:rFonts w:ascii="仿宋_GB2312" w:eastAsia="仿宋_GB2312" w:hAnsi="仿宋" w:cs="仿宋_GB2312" w:hint="eastAsia"/>
          <w:color w:val="000000"/>
          <w:sz w:val="30"/>
          <w:szCs w:val="30"/>
        </w:rPr>
        <w:t>评价标准，所有充填体固位和折裂评价为</w:t>
      </w:r>
      <w:r w:rsidRPr="00AE42E6">
        <w:rPr>
          <w:rFonts w:ascii="仿宋_GB2312" w:eastAsia="仿宋_GB2312" w:hAnsi="仿宋" w:cs="仿宋_GB2312"/>
          <w:color w:val="000000"/>
          <w:sz w:val="30"/>
          <w:szCs w:val="30"/>
        </w:rPr>
        <w:t>A</w:t>
      </w:r>
      <w:r w:rsidRPr="00AE42E6">
        <w:rPr>
          <w:rFonts w:ascii="仿宋_GB2312" w:eastAsia="仿宋_GB2312" w:hAnsi="仿宋" w:cs="仿宋_GB2312" w:hint="eastAsia"/>
          <w:color w:val="000000"/>
          <w:sz w:val="30"/>
          <w:szCs w:val="30"/>
        </w:rPr>
        <w:t>；充填体边缘折裂、充填体的外形和边缘适合性评价指标为</w:t>
      </w:r>
      <w:r w:rsidRPr="00AE42E6">
        <w:rPr>
          <w:rFonts w:ascii="仿宋_GB2312" w:eastAsia="仿宋_GB2312" w:hAnsi="仿宋" w:cs="仿宋_GB2312"/>
          <w:color w:val="000000"/>
          <w:sz w:val="30"/>
          <w:szCs w:val="30"/>
        </w:rPr>
        <w:t>C</w:t>
      </w:r>
      <w:r w:rsidRPr="00AE42E6">
        <w:rPr>
          <w:rFonts w:ascii="仿宋_GB2312" w:eastAsia="仿宋_GB2312" w:hAnsi="仿宋" w:cs="仿宋_GB2312" w:hint="eastAsia"/>
          <w:color w:val="000000"/>
          <w:sz w:val="30"/>
          <w:szCs w:val="30"/>
        </w:rPr>
        <w:t>的充填体不超过</w:t>
      </w:r>
      <w:r w:rsidRPr="00AE42E6">
        <w:rPr>
          <w:rFonts w:ascii="仿宋_GB2312" w:eastAsia="仿宋_GB2312" w:hAnsi="仿宋" w:cs="仿宋_GB2312"/>
          <w:color w:val="000000"/>
          <w:sz w:val="30"/>
          <w:szCs w:val="30"/>
        </w:rPr>
        <w:t>5%</w:t>
      </w:r>
      <w:r w:rsidRPr="00AE42E6">
        <w:rPr>
          <w:rFonts w:ascii="仿宋_GB2312" w:eastAsia="仿宋_GB2312" w:hAnsi="仿宋" w:cs="仿宋_GB2312" w:hint="eastAsia"/>
          <w:color w:val="000000"/>
          <w:sz w:val="30"/>
          <w:szCs w:val="30"/>
        </w:rPr>
        <w:t>，视为临床可接受。</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w:t>
      </w:r>
      <w:r w:rsidRPr="00AE42E6">
        <w:rPr>
          <w:rFonts w:ascii="仿宋_GB2312" w:eastAsia="仿宋_GB2312" w:hAnsi="仿宋" w:cs="仿宋_GB2312"/>
          <w:color w:val="000000"/>
          <w:sz w:val="30"/>
          <w:szCs w:val="30"/>
        </w:rPr>
        <w:t>2</w:t>
      </w:r>
      <w:r w:rsidRPr="00AE42E6">
        <w:rPr>
          <w:rFonts w:ascii="仿宋_GB2312" w:eastAsia="仿宋_GB2312" w:hAnsi="仿宋" w:cs="仿宋_GB2312" w:hint="eastAsia"/>
          <w:color w:val="000000"/>
          <w:sz w:val="30"/>
          <w:szCs w:val="30"/>
        </w:rPr>
        <w:t>）安全性评价指标</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30"/>
          <w:szCs w:val="30"/>
        </w:rPr>
      </w:pPr>
      <w:r w:rsidRPr="00AE42E6">
        <w:rPr>
          <w:rFonts w:ascii="仿宋_GB2312" w:eastAsia="仿宋_GB2312" w:hAnsi="仿宋" w:cs="仿宋_GB2312" w:hint="eastAsia"/>
          <w:color w:val="000000"/>
          <w:sz w:val="30"/>
          <w:szCs w:val="30"/>
        </w:rPr>
        <w:t>安全性评价指标包括：副反应、不良事件及并发症、牙科检查、生命体征等。应对每例副反应、不良事件及并发症进行描述、制表并提供详细完备的事件分析报告，还应提供失访受试者的数目、原因及失访时间。</w:t>
      </w: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8C3FCD">
      <w:pPr>
        <w:autoSpaceDE w:val="0"/>
        <w:autoSpaceDN w:val="0"/>
        <w:spacing w:line="520" w:lineRule="exact"/>
        <w:ind w:firstLineChars="200" w:firstLine="31680"/>
        <w:rPr>
          <w:rFonts w:ascii="仿宋" w:eastAsia="仿宋" w:hAnsi="仿宋" w:cs="Times New Roman"/>
          <w:color w:val="000000"/>
          <w:sz w:val="28"/>
          <w:szCs w:val="28"/>
        </w:rPr>
      </w:pPr>
    </w:p>
    <w:p w:rsidR="00223545" w:rsidRPr="00771167" w:rsidRDefault="00223545" w:rsidP="00AE42E6">
      <w:pPr>
        <w:widowControl/>
        <w:spacing w:line="520" w:lineRule="exact"/>
        <w:jc w:val="left"/>
        <w:rPr>
          <w:rFonts w:ascii="仿宋" w:eastAsia="仿宋" w:hAnsi="仿宋" w:cs="Times New Roman"/>
          <w:color w:val="000000"/>
          <w:sz w:val="32"/>
          <w:szCs w:val="32"/>
        </w:rPr>
        <w:sectPr w:rsidR="00223545" w:rsidRPr="00771167" w:rsidSect="00581448">
          <w:footerReference w:type="default" r:id="rId7"/>
          <w:pgSz w:w="11906" w:h="16838"/>
          <w:pgMar w:top="1758" w:right="1588" w:bottom="1440" w:left="1588" w:header="851" w:footer="731" w:gutter="0"/>
          <w:pgNumType w:start="3"/>
          <w:cols w:space="425"/>
          <w:docGrid w:type="lines" w:linePitch="312"/>
        </w:sectPr>
      </w:pPr>
    </w:p>
    <w:p w:rsidR="00223545" w:rsidRDefault="00223545" w:rsidP="00771167">
      <w:pPr>
        <w:spacing w:line="520" w:lineRule="exact"/>
        <w:jc w:val="center"/>
        <w:rPr>
          <w:rFonts w:ascii="方正小标宋_GBK" w:eastAsia="方正小标宋_GBK" w:hAnsi="仿宋" w:cs="Times New Roman"/>
          <w:color w:val="000000"/>
          <w:sz w:val="36"/>
          <w:szCs w:val="36"/>
        </w:rPr>
      </w:pPr>
      <w:r w:rsidRPr="00AE42E6">
        <w:rPr>
          <w:rFonts w:ascii="方正小标宋_GBK" w:eastAsia="方正小标宋_GBK" w:hAnsi="仿宋" w:cs="方正小标宋_GBK" w:hint="eastAsia"/>
          <w:color w:val="000000"/>
          <w:sz w:val="36"/>
          <w:szCs w:val="36"/>
        </w:rPr>
        <w:t>表</w:t>
      </w:r>
      <w:r w:rsidRPr="00AE42E6">
        <w:rPr>
          <w:rFonts w:ascii="方正小标宋_GBK" w:eastAsia="方正小标宋_GBK" w:hAnsi="仿宋" w:cs="方正小标宋_GBK"/>
          <w:color w:val="000000"/>
          <w:sz w:val="36"/>
          <w:szCs w:val="36"/>
        </w:rPr>
        <w:t xml:space="preserve">1  </w:t>
      </w:r>
      <w:r w:rsidRPr="00AE42E6">
        <w:rPr>
          <w:rFonts w:ascii="方正小标宋_GBK" w:eastAsia="方正小标宋_GBK" w:hAnsi="仿宋" w:cs="方正小标宋_GBK" w:hint="eastAsia"/>
          <w:color w:val="000000"/>
          <w:sz w:val="36"/>
          <w:szCs w:val="36"/>
        </w:rPr>
        <w:t>牙科树脂类充填材料临床评价标准</w:t>
      </w:r>
    </w:p>
    <w:p w:rsidR="00223545" w:rsidRPr="00AE42E6" w:rsidRDefault="00223545" w:rsidP="00AE42E6">
      <w:pPr>
        <w:spacing w:line="360" w:lineRule="exact"/>
        <w:jc w:val="center"/>
        <w:rPr>
          <w:rFonts w:ascii="方正小标宋_GBK" w:eastAsia="方正小标宋_GBK" w:hAnsi="仿宋" w:cs="Times New Roman"/>
          <w:color w:val="000000"/>
          <w:sz w:val="36"/>
          <w:szCs w:val="36"/>
        </w:rPr>
      </w:pPr>
    </w:p>
    <w:tbl>
      <w:tblPr>
        <w:tblW w:w="526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09"/>
        <w:gridCol w:w="1370"/>
        <w:gridCol w:w="1783"/>
        <w:gridCol w:w="1234"/>
        <w:gridCol w:w="1921"/>
        <w:gridCol w:w="2336"/>
        <w:gridCol w:w="1380"/>
        <w:gridCol w:w="1912"/>
        <w:gridCol w:w="1371"/>
      </w:tblGrid>
      <w:tr w:rsidR="00223545" w:rsidRPr="00AE42E6">
        <w:trPr>
          <w:trHeight w:val="1734"/>
          <w:jc w:val="center"/>
        </w:trPr>
        <w:tc>
          <w:tcPr>
            <w:tcW w:w="448"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充填体固位和折裂</w:t>
            </w:r>
          </w:p>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20"/>
                <w:sz w:val="24"/>
                <w:szCs w:val="24"/>
              </w:rPr>
              <w:t>（视诊）</w:t>
            </w:r>
          </w:p>
        </w:tc>
        <w:tc>
          <w:tcPr>
            <w:tcW w:w="469"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充填体边缘折裂</w:t>
            </w:r>
          </w:p>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20"/>
                <w:sz w:val="24"/>
                <w:szCs w:val="24"/>
              </w:rPr>
              <w:t>（视诊）</w:t>
            </w:r>
          </w:p>
        </w:tc>
        <w:tc>
          <w:tcPr>
            <w:tcW w:w="610"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外形和边缘适合性</w:t>
            </w:r>
          </w:p>
          <w:p w:rsidR="00223545" w:rsidRPr="00AE42E6" w:rsidRDefault="00223545" w:rsidP="00223545">
            <w:pPr>
              <w:tabs>
                <w:tab w:val="left" w:pos="1260"/>
              </w:tabs>
              <w:autoSpaceDE w:val="0"/>
              <w:autoSpaceDN w:val="0"/>
              <w:adjustRightInd w:val="0"/>
              <w:spacing w:line="440" w:lineRule="exact"/>
              <w:ind w:leftChars="-51" w:left="31680"/>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20"/>
                <w:sz w:val="24"/>
                <w:szCs w:val="24"/>
              </w:rPr>
              <w:t>（视诊、探诊）</w:t>
            </w:r>
          </w:p>
        </w:tc>
        <w:tc>
          <w:tcPr>
            <w:tcW w:w="422"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pacing w:val="-16"/>
                <w:sz w:val="24"/>
                <w:szCs w:val="24"/>
              </w:rPr>
            </w:pPr>
            <w:r w:rsidRPr="00AE42E6">
              <w:rPr>
                <w:rFonts w:ascii="仿宋_GB2312" w:eastAsia="仿宋_GB2312" w:hAnsi="仿宋" w:cs="仿宋_GB2312" w:hint="eastAsia"/>
                <w:color w:val="000000"/>
                <w:spacing w:val="-16"/>
                <w:sz w:val="24"/>
                <w:szCs w:val="24"/>
              </w:rPr>
              <w:t>邻面接触</w:t>
            </w:r>
          </w:p>
          <w:p w:rsidR="00223545" w:rsidRPr="00AE42E6" w:rsidRDefault="00223545" w:rsidP="00223545">
            <w:pPr>
              <w:tabs>
                <w:tab w:val="left" w:pos="1260"/>
              </w:tabs>
              <w:autoSpaceDE w:val="0"/>
              <w:autoSpaceDN w:val="0"/>
              <w:adjustRightInd w:val="0"/>
              <w:spacing w:line="440" w:lineRule="exact"/>
              <w:ind w:leftChars="-37" w:left="31680" w:hangingChars="41" w:firstLine="31680"/>
              <w:jc w:val="center"/>
              <w:rPr>
                <w:rFonts w:ascii="仿宋_GB2312" w:eastAsia="仿宋_GB2312" w:hAnsi="仿宋" w:cs="Times New Roman"/>
                <w:color w:val="000000"/>
                <w:spacing w:val="-20"/>
                <w:sz w:val="24"/>
                <w:szCs w:val="24"/>
              </w:rPr>
            </w:pPr>
            <w:r w:rsidRPr="00AE42E6">
              <w:rPr>
                <w:rFonts w:ascii="仿宋_GB2312" w:eastAsia="仿宋_GB2312" w:hAnsi="仿宋" w:cs="仿宋_GB2312" w:hint="eastAsia"/>
                <w:color w:val="000000"/>
                <w:spacing w:val="-20"/>
                <w:sz w:val="24"/>
                <w:szCs w:val="24"/>
              </w:rPr>
              <w:t>（视诊、</w:t>
            </w:r>
          </w:p>
          <w:p w:rsidR="00223545" w:rsidRPr="00AE42E6" w:rsidRDefault="00223545" w:rsidP="00223545">
            <w:pPr>
              <w:tabs>
                <w:tab w:val="left" w:pos="1260"/>
              </w:tabs>
              <w:autoSpaceDE w:val="0"/>
              <w:autoSpaceDN w:val="0"/>
              <w:adjustRightInd w:val="0"/>
              <w:spacing w:line="440" w:lineRule="exact"/>
              <w:ind w:leftChars="-3" w:left="31680"/>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30"/>
                <w:sz w:val="24"/>
                <w:szCs w:val="24"/>
              </w:rPr>
              <w:t>牙线检查）</w:t>
            </w:r>
          </w:p>
        </w:tc>
        <w:tc>
          <w:tcPr>
            <w:tcW w:w="657"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pacing w:val="-16"/>
                <w:sz w:val="24"/>
                <w:szCs w:val="24"/>
              </w:rPr>
            </w:pPr>
            <w:r w:rsidRPr="00AE42E6">
              <w:rPr>
                <w:rFonts w:ascii="仿宋_GB2312" w:eastAsia="仿宋_GB2312" w:hAnsi="仿宋" w:cs="仿宋_GB2312" w:hint="eastAsia"/>
                <w:color w:val="000000"/>
                <w:spacing w:val="-16"/>
                <w:sz w:val="24"/>
                <w:szCs w:val="24"/>
              </w:rPr>
              <w:t>颜色匹配</w:t>
            </w:r>
          </w:p>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20"/>
                <w:sz w:val="24"/>
                <w:szCs w:val="24"/>
              </w:rPr>
              <w:t>（视诊）</w:t>
            </w:r>
          </w:p>
        </w:tc>
        <w:tc>
          <w:tcPr>
            <w:tcW w:w="799"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表面粗糙度</w:t>
            </w:r>
          </w:p>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pacing w:val="-20"/>
                <w:sz w:val="24"/>
                <w:szCs w:val="24"/>
              </w:rPr>
            </w:pPr>
            <w:r w:rsidRPr="00AE42E6">
              <w:rPr>
                <w:rFonts w:ascii="仿宋_GB2312" w:eastAsia="仿宋_GB2312" w:hAnsi="仿宋" w:cs="仿宋_GB2312" w:hint="eastAsia"/>
                <w:color w:val="000000"/>
                <w:spacing w:val="-20"/>
                <w:sz w:val="24"/>
                <w:szCs w:val="24"/>
              </w:rPr>
              <w:t>（视诊）</w:t>
            </w:r>
          </w:p>
        </w:tc>
        <w:tc>
          <w:tcPr>
            <w:tcW w:w="472"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表面着色</w:t>
            </w:r>
          </w:p>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pacing w:val="-30"/>
                <w:sz w:val="24"/>
                <w:szCs w:val="24"/>
              </w:rPr>
            </w:pPr>
            <w:r w:rsidRPr="00AE42E6">
              <w:rPr>
                <w:rFonts w:ascii="仿宋_GB2312" w:eastAsia="仿宋_GB2312" w:hAnsi="仿宋" w:cs="仿宋_GB2312" w:hint="eastAsia"/>
                <w:color w:val="000000"/>
                <w:spacing w:val="-30"/>
                <w:sz w:val="24"/>
                <w:szCs w:val="24"/>
              </w:rPr>
              <w:t>（视诊）</w:t>
            </w:r>
          </w:p>
        </w:tc>
        <w:tc>
          <w:tcPr>
            <w:tcW w:w="654" w:type="pct"/>
            <w:vAlign w:val="center"/>
          </w:tcPr>
          <w:p w:rsidR="00223545"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边缘变色和</w:t>
            </w:r>
          </w:p>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继发龋</w:t>
            </w:r>
          </w:p>
          <w:p w:rsidR="00223545" w:rsidRPr="00AE42E6" w:rsidRDefault="00223545" w:rsidP="00223545">
            <w:pPr>
              <w:tabs>
                <w:tab w:val="left" w:pos="1260"/>
              </w:tabs>
              <w:autoSpaceDE w:val="0"/>
              <w:autoSpaceDN w:val="0"/>
              <w:adjustRightInd w:val="0"/>
              <w:spacing w:line="440" w:lineRule="exact"/>
              <w:ind w:leftChars="-56" w:left="31680" w:hangingChars="59" w:firstLine="31680"/>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20"/>
                <w:sz w:val="24"/>
                <w:szCs w:val="24"/>
              </w:rPr>
              <w:t>（视诊、探诊及Ｘ线片检查）</w:t>
            </w:r>
          </w:p>
        </w:tc>
        <w:tc>
          <w:tcPr>
            <w:tcW w:w="469" w:type="pct"/>
            <w:vAlign w:val="center"/>
          </w:tcPr>
          <w:p w:rsidR="00223545" w:rsidRPr="00AE42E6" w:rsidRDefault="00223545" w:rsidP="00AE42E6">
            <w:pPr>
              <w:tabs>
                <w:tab w:val="left" w:pos="1260"/>
              </w:tabs>
              <w:autoSpaceDE w:val="0"/>
              <w:autoSpaceDN w:val="0"/>
              <w:adjustRightInd w:val="0"/>
              <w:spacing w:line="440" w:lineRule="exact"/>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z w:val="24"/>
                <w:szCs w:val="24"/>
              </w:rPr>
              <w:t>牙髓状态</w:t>
            </w:r>
          </w:p>
          <w:p w:rsidR="00223545" w:rsidRPr="00AE42E6" w:rsidRDefault="00223545" w:rsidP="00223545">
            <w:pPr>
              <w:tabs>
                <w:tab w:val="left" w:pos="1260"/>
              </w:tabs>
              <w:autoSpaceDE w:val="0"/>
              <w:autoSpaceDN w:val="0"/>
              <w:adjustRightInd w:val="0"/>
              <w:spacing w:line="440" w:lineRule="exact"/>
              <w:ind w:leftChars="-15" w:left="31680" w:hangingChars="13" w:firstLine="31680"/>
              <w:jc w:val="center"/>
              <w:rPr>
                <w:rFonts w:ascii="仿宋_GB2312" w:eastAsia="仿宋_GB2312" w:hAnsi="仿宋" w:cs="Times New Roman"/>
                <w:color w:val="000000"/>
                <w:sz w:val="24"/>
                <w:szCs w:val="24"/>
              </w:rPr>
            </w:pPr>
            <w:r w:rsidRPr="00AE42E6">
              <w:rPr>
                <w:rFonts w:ascii="仿宋_GB2312" w:eastAsia="仿宋_GB2312" w:hAnsi="仿宋" w:cs="仿宋_GB2312" w:hint="eastAsia"/>
                <w:color w:val="000000"/>
                <w:spacing w:val="-20"/>
                <w:sz w:val="24"/>
                <w:szCs w:val="24"/>
              </w:rPr>
              <w:t>（活力测试）</w:t>
            </w:r>
          </w:p>
        </w:tc>
      </w:tr>
      <w:tr w:rsidR="00223545" w:rsidRPr="00AE42E6">
        <w:trPr>
          <w:trHeight w:val="1289"/>
          <w:jc w:val="center"/>
        </w:trPr>
        <w:tc>
          <w:tcPr>
            <w:tcW w:w="448"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充填体完好</w:t>
            </w: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充填体边缘无折裂</w:t>
            </w:r>
          </w:p>
        </w:tc>
        <w:tc>
          <w:tcPr>
            <w:tcW w:w="610"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充填体外形好，充填体和牙面探诊连续</w:t>
            </w:r>
          </w:p>
        </w:tc>
        <w:tc>
          <w:tcPr>
            <w:tcW w:w="422"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邻面接触好</w:t>
            </w:r>
          </w:p>
        </w:tc>
        <w:tc>
          <w:tcPr>
            <w:tcW w:w="657"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充填体和邻近牙齿组织颜色和透明度匹配</w:t>
            </w:r>
          </w:p>
        </w:tc>
        <w:tc>
          <w:tcPr>
            <w:tcW w:w="79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充填体吹干后，表面光滑，有光泽，与周围牙体组织相近</w:t>
            </w:r>
          </w:p>
        </w:tc>
        <w:tc>
          <w:tcPr>
            <w:tcW w:w="472" w:type="pct"/>
          </w:tcPr>
          <w:p w:rsidR="00223545" w:rsidRPr="00AE42E6" w:rsidRDefault="00223545" w:rsidP="00771167">
            <w:pPr>
              <w:tabs>
                <w:tab w:val="left" w:pos="1200"/>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充填体表面无着色</w:t>
            </w:r>
          </w:p>
        </w:tc>
        <w:tc>
          <w:tcPr>
            <w:tcW w:w="654"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充填体</w:t>
            </w:r>
            <w:r w:rsidRPr="00AE42E6">
              <w:rPr>
                <w:rFonts w:ascii="仿宋_GB2312" w:eastAsia="仿宋_GB2312" w:hAnsi="仿宋" w:cs="仿宋_GB2312"/>
                <w:color w:val="000000"/>
                <w:sz w:val="24"/>
                <w:szCs w:val="24"/>
              </w:rPr>
              <w:t>-</w:t>
            </w:r>
            <w:r w:rsidRPr="00AE42E6">
              <w:rPr>
                <w:rFonts w:ascii="仿宋_GB2312" w:eastAsia="仿宋_GB2312" w:hAnsi="仿宋" w:cs="仿宋_GB2312" w:hint="eastAsia"/>
                <w:color w:val="000000"/>
                <w:sz w:val="24"/>
                <w:szCs w:val="24"/>
              </w:rPr>
              <w:t>牙齿界面无变色</w:t>
            </w: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A.</w:t>
            </w:r>
            <w:r w:rsidRPr="00AE42E6">
              <w:rPr>
                <w:rFonts w:ascii="仿宋_GB2312" w:eastAsia="仿宋_GB2312" w:hAnsi="仿宋" w:cs="仿宋_GB2312" w:hint="eastAsia"/>
                <w:color w:val="000000"/>
                <w:sz w:val="24"/>
                <w:szCs w:val="24"/>
              </w:rPr>
              <w:t>正常（温度测试）</w:t>
            </w:r>
          </w:p>
        </w:tc>
      </w:tr>
      <w:tr w:rsidR="00223545" w:rsidRPr="00AE42E6">
        <w:trPr>
          <w:trHeight w:val="699"/>
          <w:jc w:val="center"/>
        </w:trPr>
        <w:tc>
          <w:tcPr>
            <w:tcW w:w="448"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p>
        </w:tc>
        <w:tc>
          <w:tcPr>
            <w:tcW w:w="610"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B.</w:t>
            </w:r>
            <w:r w:rsidRPr="00AE42E6">
              <w:rPr>
                <w:rFonts w:ascii="仿宋_GB2312" w:eastAsia="仿宋_GB2312" w:hAnsi="仿宋" w:cs="仿宋_GB2312" w:hint="eastAsia"/>
                <w:color w:val="000000"/>
                <w:sz w:val="24"/>
                <w:szCs w:val="24"/>
              </w:rPr>
              <w:t>充填体表面有凹陷，充填体和牙面探诊不连续，但无牙本质暴露</w:t>
            </w:r>
          </w:p>
        </w:tc>
        <w:tc>
          <w:tcPr>
            <w:tcW w:w="422"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B.</w:t>
            </w:r>
            <w:r w:rsidRPr="00AE42E6">
              <w:rPr>
                <w:rFonts w:ascii="仿宋_GB2312" w:eastAsia="仿宋_GB2312" w:hAnsi="仿宋" w:cs="仿宋_GB2312" w:hint="eastAsia"/>
                <w:color w:val="000000"/>
                <w:sz w:val="24"/>
                <w:szCs w:val="24"/>
              </w:rPr>
              <w:t>邻面接触在临床接受范围内</w:t>
            </w:r>
          </w:p>
        </w:tc>
        <w:tc>
          <w:tcPr>
            <w:tcW w:w="657"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B.</w:t>
            </w:r>
            <w:r w:rsidRPr="00AE42E6">
              <w:rPr>
                <w:rFonts w:ascii="仿宋_GB2312" w:eastAsia="仿宋_GB2312" w:hAnsi="仿宋" w:cs="仿宋_GB2312" w:hint="eastAsia"/>
                <w:color w:val="000000"/>
                <w:sz w:val="24"/>
                <w:szCs w:val="24"/>
              </w:rPr>
              <w:t>充填体和邻近牙体组织颜色和透明度略有差异</w:t>
            </w:r>
          </w:p>
        </w:tc>
        <w:tc>
          <w:tcPr>
            <w:tcW w:w="79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B.</w:t>
            </w:r>
            <w:r w:rsidRPr="00AE42E6">
              <w:rPr>
                <w:rFonts w:ascii="仿宋_GB2312" w:eastAsia="仿宋_GB2312" w:hAnsi="仿宋" w:cs="仿宋_GB2312" w:hint="eastAsia"/>
                <w:color w:val="000000"/>
                <w:sz w:val="24"/>
                <w:szCs w:val="24"/>
              </w:rPr>
              <w:t>充填体吹干后，表面光滑，但无光泽</w:t>
            </w:r>
          </w:p>
        </w:tc>
        <w:tc>
          <w:tcPr>
            <w:tcW w:w="472"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p>
        </w:tc>
        <w:tc>
          <w:tcPr>
            <w:tcW w:w="654"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B.</w:t>
            </w:r>
            <w:r w:rsidRPr="00AE42E6">
              <w:rPr>
                <w:rFonts w:ascii="仿宋_GB2312" w:eastAsia="仿宋_GB2312" w:hAnsi="仿宋" w:cs="仿宋_GB2312" w:hint="eastAsia"/>
                <w:color w:val="000000"/>
                <w:sz w:val="24"/>
                <w:szCs w:val="24"/>
              </w:rPr>
              <w:t>充填体</w:t>
            </w:r>
            <w:r w:rsidRPr="00AE42E6">
              <w:rPr>
                <w:rFonts w:ascii="仿宋_GB2312" w:eastAsia="仿宋_GB2312" w:hAnsi="仿宋" w:cs="仿宋_GB2312"/>
                <w:color w:val="000000"/>
                <w:sz w:val="24"/>
                <w:szCs w:val="24"/>
              </w:rPr>
              <w:t>-</w:t>
            </w:r>
            <w:r w:rsidRPr="00AE42E6">
              <w:rPr>
                <w:rFonts w:ascii="仿宋_GB2312" w:eastAsia="仿宋_GB2312" w:hAnsi="仿宋" w:cs="仿宋_GB2312" w:hint="eastAsia"/>
                <w:color w:val="000000"/>
                <w:sz w:val="24"/>
                <w:szCs w:val="24"/>
              </w:rPr>
              <w:t>牙齿界面部分变色，但未向髓腔方向进展，抛光可去除</w:t>
            </w: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B.</w:t>
            </w:r>
            <w:r w:rsidRPr="00AE42E6">
              <w:rPr>
                <w:rFonts w:ascii="仿宋_GB2312" w:eastAsia="仿宋_GB2312" w:hAnsi="仿宋" w:cs="仿宋_GB2312" w:hint="eastAsia"/>
                <w:color w:val="000000"/>
                <w:sz w:val="24"/>
                <w:szCs w:val="24"/>
              </w:rPr>
              <w:t>一过性敏感（温度测试）</w:t>
            </w:r>
          </w:p>
        </w:tc>
      </w:tr>
      <w:tr w:rsidR="00223545" w:rsidRPr="00AE42E6">
        <w:trPr>
          <w:trHeight w:val="1580"/>
          <w:jc w:val="center"/>
        </w:trPr>
        <w:tc>
          <w:tcPr>
            <w:tcW w:w="448"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充填体折裂，或充填体部分</w:t>
            </w:r>
            <w:r w:rsidRPr="00AE42E6">
              <w:rPr>
                <w:rFonts w:ascii="仿宋_GB2312" w:eastAsia="仿宋_GB2312" w:hAnsi="仿宋" w:cs="仿宋_GB2312"/>
                <w:color w:val="000000"/>
                <w:sz w:val="24"/>
                <w:szCs w:val="24"/>
              </w:rPr>
              <w:t>/</w:t>
            </w:r>
            <w:r w:rsidRPr="00AE42E6">
              <w:rPr>
                <w:rFonts w:ascii="仿宋_GB2312" w:eastAsia="仿宋_GB2312" w:hAnsi="仿宋" w:cs="仿宋_GB2312" w:hint="eastAsia"/>
                <w:color w:val="000000"/>
                <w:sz w:val="24"/>
                <w:szCs w:val="24"/>
              </w:rPr>
              <w:t>全部缺失</w:t>
            </w:r>
          </w:p>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充填体边缘发生折裂</w:t>
            </w:r>
          </w:p>
        </w:tc>
        <w:tc>
          <w:tcPr>
            <w:tcW w:w="610"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充填体表面重度磨耗凹陷，牙本质暴露，或充填体边缘卡探针</w:t>
            </w:r>
          </w:p>
        </w:tc>
        <w:tc>
          <w:tcPr>
            <w:tcW w:w="422"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无邻面接触</w:t>
            </w:r>
          </w:p>
        </w:tc>
        <w:tc>
          <w:tcPr>
            <w:tcW w:w="657"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充填体和邻近牙体组织颜色和透明度显著差异</w:t>
            </w:r>
          </w:p>
        </w:tc>
        <w:tc>
          <w:tcPr>
            <w:tcW w:w="79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充填体吹干后，表面粗糙，有表面缺损</w:t>
            </w:r>
          </w:p>
        </w:tc>
        <w:tc>
          <w:tcPr>
            <w:tcW w:w="472"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充填体表面有异常着色</w:t>
            </w:r>
          </w:p>
        </w:tc>
        <w:tc>
          <w:tcPr>
            <w:tcW w:w="654"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充填体</w:t>
            </w:r>
            <w:r w:rsidRPr="00AE42E6">
              <w:rPr>
                <w:rFonts w:ascii="仿宋_GB2312" w:eastAsia="仿宋_GB2312" w:hAnsi="仿宋" w:cs="仿宋_GB2312"/>
                <w:color w:val="000000"/>
                <w:sz w:val="24"/>
                <w:szCs w:val="24"/>
              </w:rPr>
              <w:t>-</w:t>
            </w:r>
            <w:r w:rsidRPr="00AE42E6">
              <w:rPr>
                <w:rFonts w:ascii="仿宋_GB2312" w:eastAsia="仿宋_GB2312" w:hAnsi="仿宋" w:cs="仿宋_GB2312" w:hint="eastAsia"/>
                <w:color w:val="000000"/>
                <w:sz w:val="24"/>
                <w:szCs w:val="24"/>
              </w:rPr>
              <w:t>牙齿界面部分变色，已向髓腔方向进展，抛光不可去除，或有继发龋</w:t>
            </w: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C.</w:t>
            </w:r>
            <w:r w:rsidRPr="00AE42E6">
              <w:rPr>
                <w:rFonts w:ascii="仿宋_GB2312" w:eastAsia="仿宋_GB2312" w:hAnsi="仿宋" w:cs="仿宋_GB2312" w:hint="eastAsia"/>
                <w:color w:val="000000"/>
                <w:sz w:val="24"/>
                <w:szCs w:val="24"/>
              </w:rPr>
              <w:t>敏感并持续性疼痛，或迟缓性疼痛（温度测试）</w:t>
            </w:r>
          </w:p>
        </w:tc>
      </w:tr>
      <w:tr w:rsidR="00223545" w:rsidRPr="00AE42E6">
        <w:trPr>
          <w:trHeight w:val="591"/>
          <w:jc w:val="center"/>
        </w:trPr>
        <w:tc>
          <w:tcPr>
            <w:tcW w:w="448"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469"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610"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422"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657"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799"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472"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654" w:type="pct"/>
          </w:tcPr>
          <w:p w:rsidR="00223545" w:rsidRPr="00AE42E6" w:rsidRDefault="00223545" w:rsidP="00771167">
            <w:pPr>
              <w:spacing w:line="276" w:lineRule="auto"/>
              <w:rPr>
                <w:rFonts w:ascii="仿宋_GB2312" w:eastAsia="仿宋_GB2312" w:hAnsi="仿宋" w:cs="Times New Roman"/>
                <w:color w:val="000000"/>
                <w:sz w:val="24"/>
                <w:szCs w:val="24"/>
              </w:rPr>
            </w:pPr>
          </w:p>
        </w:tc>
        <w:tc>
          <w:tcPr>
            <w:tcW w:w="469" w:type="pct"/>
          </w:tcPr>
          <w:p w:rsidR="00223545" w:rsidRPr="00AE42E6" w:rsidRDefault="00223545" w:rsidP="00771167">
            <w:pPr>
              <w:tabs>
                <w:tab w:val="left" w:pos="1260"/>
              </w:tabs>
              <w:autoSpaceDE w:val="0"/>
              <w:autoSpaceDN w:val="0"/>
              <w:adjustRightInd w:val="0"/>
              <w:spacing w:line="276" w:lineRule="auto"/>
              <w:rPr>
                <w:rFonts w:ascii="仿宋_GB2312" w:eastAsia="仿宋_GB2312" w:hAnsi="仿宋" w:cs="Times New Roman"/>
                <w:color w:val="000000"/>
                <w:sz w:val="24"/>
                <w:szCs w:val="24"/>
              </w:rPr>
            </w:pPr>
            <w:r w:rsidRPr="00AE42E6">
              <w:rPr>
                <w:rFonts w:ascii="仿宋_GB2312" w:eastAsia="仿宋_GB2312" w:hAnsi="仿宋" w:cs="仿宋_GB2312"/>
                <w:color w:val="000000"/>
                <w:sz w:val="24"/>
                <w:szCs w:val="24"/>
              </w:rPr>
              <w:t>D.</w:t>
            </w:r>
            <w:r w:rsidRPr="00AE42E6">
              <w:rPr>
                <w:rFonts w:ascii="仿宋_GB2312" w:eastAsia="仿宋_GB2312" w:hAnsi="仿宋" w:cs="仿宋_GB2312" w:hint="eastAsia"/>
                <w:color w:val="000000"/>
                <w:sz w:val="24"/>
                <w:szCs w:val="24"/>
              </w:rPr>
              <w:t>无反应（电活力测试）</w:t>
            </w:r>
          </w:p>
        </w:tc>
      </w:tr>
    </w:tbl>
    <w:p w:rsidR="00223545" w:rsidRPr="00771167" w:rsidRDefault="00223545" w:rsidP="00223545">
      <w:pPr>
        <w:autoSpaceDE w:val="0"/>
        <w:autoSpaceDN w:val="0"/>
        <w:spacing w:line="520" w:lineRule="exact"/>
        <w:ind w:firstLineChars="200" w:firstLine="31680"/>
        <w:rPr>
          <w:rFonts w:ascii="仿宋" w:eastAsia="仿宋" w:hAnsi="仿宋" w:cs="Times New Roman"/>
          <w:color w:val="000000"/>
          <w:sz w:val="28"/>
          <w:szCs w:val="28"/>
        </w:rPr>
        <w:sectPr w:rsidR="00223545" w:rsidRPr="00771167" w:rsidSect="00581448">
          <w:pgSz w:w="16838" w:h="11906" w:orient="landscape"/>
          <w:pgMar w:top="1758" w:right="1588" w:bottom="1418" w:left="1588" w:header="851" w:footer="692" w:gutter="0"/>
          <w:pgNumType w:start="13"/>
          <w:cols w:space="425"/>
          <w:docGrid w:type="linesAndChars" w:linePitch="312"/>
        </w:sectPr>
      </w:pP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color w:val="000000"/>
          <w:sz w:val="28"/>
          <w:szCs w:val="28"/>
        </w:rPr>
        <w:t>4.</w:t>
      </w:r>
      <w:r w:rsidRPr="00AE42E6">
        <w:rPr>
          <w:rFonts w:ascii="仿宋_GB2312" w:eastAsia="仿宋_GB2312" w:hAnsi="仿宋" w:cs="仿宋_GB2312" w:hint="eastAsia"/>
          <w:color w:val="000000"/>
          <w:sz w:val="28"/>
          <w:szCs w:val="28"/>
        </w:rPr>
        <w:t>临床试验报告</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w:t>
      </w:r>
      <w:r w:rsidRPr="00AE42E6">
        <w:rPr>
          <w:rFonts w:ascii="仿宋_GB2312" w:eastAsia="仿宋_GB2312" w:hAnsi="仿宋" w:cs="仿宋_GB2312"/>
          <w:color w:val="000000"/>
          <w:sz w:val="28"/>
          <w:szCs w:val="28"/>
        </w:rPr>
        <w:t>1</w:t>
      </w:r>
      <w:r w:rsidRPr="00AE42E6">
        <w:rPr>
          <w:rFonts w:ascii="仿宋_GB2312" w:eastAsia="仿宋_GB2312" w:hAnsi="仿宋" w:cs="仿宋_GB2312" w:hint="eastAsia"/>
          <w:color w:val="000000"/>
          <w:sz w:val="28"/>
          <w:szCs w:val="28"/>
        </w:rPr>
        <w:t>）概述</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临床试验报告内容包括：受试者资料、试验方法、评价方法、评价标准、试验结果、试验结论、副反应、不良事件、并发症及其处理、试验效果分析、适用范围、禁忌证和注意事项、存在问题及改进意见等。</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w:t>
      </w:r>
      <w:r w:rsidRPr="00AE42E6">
        <w:rPr>
          <w:rFonts w:ascii="仿宋_GB2312" w:eastAsia="仿宋_GB2312" w:hAnsi="仿宋" w:cs="仿宋_GB2312"/>
          <w:color w:val="000000"/>
          <w:sz w:val="28"/>
          <w:szCs w:val="28"/>
        </w:rPr>
        <w:t>2</w:t>
      </w:r>
      <w:r w:rsidRPr="00AE42E6">
        <w:rPr>
          <w:rFonts w:ascii="仿宋_GB2312" w:eastAsia="仿宋_GB2312" w:hAnsi="仿宋" w:cs="仿宋_GB2312" w:hint="eastAsia"/>
          <w:color w:val="000000"/>
          <w:sz w:val="28"/>
          <w:szCs w:val="28"/>
        </w:rPr>
        <w:t>）数据集</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应对所有受试者报告表中的数据进行制表，包括未完成调查受试者资料的副本；应明确给出各种数据集的定义。</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w:t>
      </w:r>
      <w:r w:rsidRPr="00AE42E6">
        <w:rPr>
          <w:rFonts w:ascii="仿宋_GB2312" w:eastAsia="仿宋_GB2312" w:hAnsi="仿宋" w:cs="仿宋_GB2312"/>
          <w:color w:val="000000"/>
          <w:sz w:val="28"/>
          <w:szCs w:val="28"/>
        </w:rPr>
        <w:t>3</w:t>
      </w:r>
      <w:r w:rsidRPr="00AE42E6">
        <w:rPr>
          <w:rFonts w:ascii="仿宋_GB2312" w:eastAsia="仿宋_GB2312" w:hAnsi="仿宋" w:cs="仿宋_GB2312" w:hint="eastAsia"/>
          <w:color w:val="000000"/>
          <w:sz w:val="28"/>
          <w:szCs w:val="28"/>
        </w:rPr>
        <w:t>）计算方法与软件</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应根据试验设计类型、比较类型、资料性质和统计分析目的，合理选择统计分析方法，对所用的统计学方法，必须引用参考目录或列出公式，并对任何变更进行解释。应明确交代采用何种统计分析软件对临床试验数据进行统计分析。</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w:t>
      </w:r>
      <w:r w:rsidRPr="00AE42E6">
        <w:rPr>
          <w:rFonts w:ascii="仿宋_GB2312" w:eastAsia="仿宋_GB2312" w:hAnsi="仿宋" w:cs="仿宋_GB2312"/>
          <w:color w:val="000000"/>
          <w:sz w:val="28"/>
          <w:szCs w:val="28"/>
        </w:rPr>
        <w:t>4</w:t>
      </w:r>
      <w:r w:rsidRPr="00AE42E6">
        <w:rPr>
          <w:rFonts w:ascii="仿宋_GB2312" w:eastAsia="仿宋_GB2312" w:hAnsi="仿宋" w:cs="仿宋_GB2312" w:hint="eastAsia"/>
          <w:color w:val="000000"/>
          <w:sz w:val="28"/>
          <w:szCs w:val="28"/>
        </w:rPr>
        <w:t>）结果报告</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统计分析结果的报告，应呈现检验统计量的值和具体的</w:t>
      </w:r>
      <w:r w:rsidRPr="00AE42E6">
        <w:rPr>
          <w:rFonts w:ascii="仿宋_GB2312" w:eastAsia="仿宋_GB2312" w:hAnsi="仿宋" w:cs="仿宋_GB2312"/>
          <w:color w:val="000000"/>
          <w:sz w:val="28"/>
          <w:szCs w:val="28"/>
        </w:rPr>
        <w:t>P</w:t>
      </w:r>
      <w:r w:rsidRPr="00AE42E6">
        <w:rPr>
          <w:rFonts w:ascii="仿宋_GB2312" w:eastAsia="仿宋_GB2312" w:hAnsi="仿宋" w:cs="仿宋_GB2312" w:hint="eastAsia"/>
          <w:color w:val="000000"/>
          <w:sz w:val="28"/>
          <w:szCs w:val="28"/>
        </w:rPr>
        <w:t>值，给出总体参数的置信区间；应结合统计学和专业知识，给出明确的统计和专业结论。</w:t>
      </w:r>
    </w:p>
    <w:p w:rsidR="00223545" w:rsidRPr="00AE42E6" w:rsidRDefault="00223545" w:rsidP="008C3FCD">
      <w:pPr>
        <w:pStyle w:val="NormalWeb"/>
        <w:spacing w:before="0" w:beforeAutospacing="0" w:after="0" w:afterAutospacing="0" w:line="560" w:lineRule="exact"/>
        <w:ind w:firstLineChars="200" w:firstLine="31680"/>
        <w:jc w:val="both"/>
        <w:rPr>
          <w:rFonts w:ascii="楷体_GB2312" w:eastAsia="楷体_GB2312" w:hAnsi="楷体" w:cs="Times New Roman"/>
          <w:color w:val="000000"/>
          <w:kern w:val="2"/>
          <w:sz w:val="28"/>
          <w:szCs w:val="28"/>
        </w:rPr>
      </w:pPr>
      <w:r w:rsidRPr="00AE42E6">
        <w:rPr>
          <w:rFonts w:ascii="楷体_GB2312" w:eastAsia="楷体_GB2312" w:hAnsi="楷体" w:cs="楷体_GB2312" w:hint="eastAsia"/>
          <w:color w:val="000000"/>
          <w:kern w:val="2"/>
          <w:sz w:val="28"/>
          <w:szCs w:val="28"/>
        </w:rPr>
        <w:t>（六）产品说明书、标签和包装标识</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按照</w:t>
      </w:r>
      <w:r w:rsidRPr="00AE42E6">
        <w:rPr>
          <w:rFonts w:ascii="仿宋_GB2312" w:eastAsia="仿宋_GB2312" w:hAnsi="仿宋" w:cs="仿宋_GB2312" w:hint="eastAsia"/>
          <w:sz w:val="28"/>
          <w:szCs w:val="28"/>
        </w:rPr>
        <w:t>《医疗器械说明书、标签和包装标识管理规定》</w:t>
      </w:r>
      <w:r w:rsidRPr="00AE42E6">
        <w:rPr>
          <w:rFonts w:ascii="仿宋_GB2312" w:eastAsia="仿宋_GB2312" w:hAnsi="仿宋" w:cs="仿宋_GB2312"/>
          <w:sz w:val="28"/>
          <w:szCs w:val="28"/>
        </w:rPr>
        <w:t>(</w:t>
      </w:r>
      <w:r w:rsidRPr="00AE42E6">
        <w:rPr>
          <w:rFonts w:ascii="仿宋_GB2312" w:eastAsia="仿宋_GB2312" w:hAnsi="仿宋" w:cs="仿宋_GB2312" w:hint="eastAsia"/>
          <w:sz w:val="28"/>
          <w:szCs w:val="28"/>
        </w:rPr>
        <w:t>国家食品药品监督管理局令第</w:t>
      </w:r>
      <w:r w:rsidRPr="00AE42E6">
        <w:rPr>
          <w:rFonts w:ascii="仿宋_GB2312" w:eastAsia="仿宋_GB2312" w:hAnsi="仿宋" w:cs="仿宋_GB2312"/>
          <w:sz w:val="28"/>
          <w:szCs w:val="28"/>
        </w:rPr>
        <w:t>10</w:t>
      </w:r>
      <w:r w:rsidRPr="00AE42E6">
        <w:rPr>
          <w:rFonts w:ascii="仿宋_GB2312" w:eastAsia="仿宋_GB2312" w:hAnsi="仿宋" w:cs="仿宋_GB2312" w:hint="eastAsia"/>
          <w:sz w:val="28"/>
          <w:szCs w:val="28"/>
        </w:rPr>
        <w:t>号</w:t>
      </w:r>
      <w:r w:rsidRPr="00AE42E6">
        <w:rPr>
          <w:rFonts w:ascii="仿宋_GB2312" w:eastAsia="仿宋_GB2312" w:hAnsi="仿宋" w:cs="仿宋_GB2312"/>
          <w:sz w:val="28"/>
          <w:szCs w:val="28"/>
        </w:rPr>
        <w:t>)</w:t>
      </w:r>
      <w:r w:rsidRPr="00AE42E6">
        <w:rPr>
          <w:rFonts w:ascii="仿宋_GB2312" w:eastAsia="仿宋_GB2312" w:hAnsi="仿宋" w:cs="仿宋_GB2312" w:hint="eastAsia"/>
          <w:sz w:val="28"/>
          <w:szCs w:val="28"/>
        </w:rPr>
        <w:t>要求提供产品说明书。</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说明书中产品通用名称、英文名称、商品名称应和申报名称、标准名称相符合。原则上说明书中介绍的产品应和申报产品（包括规格型号）、标准中规定产品具有唯一的对应性，避免使用涵盖未申报产品或规格型号的所谓大产品说明书备案，只有当说明书中所介绍的产品和申报产品一起配合使用，有利于最终用户正确使用申报产品时才可以使用大产品说明书备案。但应在说明书中出现未注册产品或规格型号的地方标注其是“非本次注册产品”。</w:t>
      </w:r>
    </w:p>
    <w:p w:rsidR="00223545" w:rsidRPr="00AE42E6" w:rsidRDefault="00223545" w:rsidP="008C3FCD">
      <w:pPr>
        <w:autoSpaceDE w:val="0"/>
        <w:autoSpaceDN w:val="0"/>
        <w:spacing w:line="560" w:lineRule="exact"/>
        <w:ind w:firstLineChars="200" w:firstLine="31680"/>
        <w:rPr>
          <w:rFonts w:ascii="仿宋_GB2312" w:eastAsia="仿宋_GB2312" w:hAnsi="仿宋" w:cs="Times New Roman"/>
          <w:color w:val="000000"/>
          <w:sz w:val="28"/>
          <w:szCs w:val="28"/>
        </w:rPr>
      </w:pPr>
      <w:r w:rsidRPr="00AE42E6">
        <w:rPr>
          <w:rFonts w:ascii="仿宋_GB2312" w:eastAsia="仿宋_GB2312" w:hAnsi="仿宋" w:cs="仿宋_GB2312" w:hint="eastAsia"/>
          <w:color w:val="000000"/>
          <w:sz w:val="28"/>
          <w:szCs w:val="28"/>
        </w:rPr>
        <w:t>说明书应列明产品的组成成分，提示对其组分过敏的患者注意。不应宣称没有依据和夸大了的产品性能指标，应实事求是地介绍产品的特点。凡宣称产品性能和特点的，应有产品标准或提交的注册技术资料依据。不使用“系列”、“等”、“无毒”、“对人体无害”等含混和绝对性用词。明确产品禁忌症、使用注意事项和其他应该说明的问题。</w:t>
      </w:r>
    </w:p>
    <w:p w:rsidR="00223545" w:rsidRPr="00AE42E6" w:rsidRDefault="00223545" w:rsidP="008C3FCD">
      <w:pPr>
        <w:spacing w:line="560" w:lineRule="exact"/>
        <w:ind w:firstLineChars="200" w:firstLine="31680"/>
        <w:rPr>
          <w:rFonts w:ascii="黑体" w:eastAsia="黑体" w:hAnsi="黑体" w:cs="Times New Roman"/>
          <w:color w:val="000000"/>
          <w:sz w:val="28"/>
          <w:szCs w:val="28"/>
        </w:rPr>
      </w:pPr>
      <w:r w:rsidRPr="00AE42E6">
        <w:rPr>
          <w:rFonts w:ascii="黑体" w:eastAsia="黑体" w:hAnsi="黑体" w:cs="黑体" w:hint="eastAsia"/>
          <w:color w:val="000000"/>
          <w:sz w:val="28"/>
          <w:szCs w:val="28"/>
        </w:rPr>
        <w:t>四、参考文献</w:t>
      </w:r>
    </w:p>
    <w:p w:rsidR="00223545" w:rsidRPr="00AE42E6" w:rsidRDefault="00223545" w:rsidP="008C3FCD">
      <w:pPr>
        <w:autoSpaceDE w:val="0"/>
        <w:autoSpaceDN w:val="0"/>
        <w:spacing w:line="560" w:lineRule="exact"/>
        <w:ind w:firstLineChars="200" w:firstLine="31680"/>
        <w:jc w:val="left"/>
        <w:rPr>
          <w:rFonts w:ascii="仿宋_GB2312" w:eastAsia="仿宋_GB2312" w:hAnsi="仿宋" w:cs="仿宋_GB2312"/>
          <w:color w:val="000000"/>
          <w:sz w:val="28"/>
          <w:szCs w:val="28"/>
        </w:rPr>
      </w:pPr>
      <w:r>
        <w:rPr>
          <w:rFonts w:ascii="仿宋_GB2312" w:eastAsia="仿宋_GB2312" w:hAnsi="仿宋" w:cs="仿宋_GB2312"/>
          <w:color w:val="000000"/>
          <w:sz w:val="28"/>
          <w:szCs w:val="28"/>
        </w:rPr>
        <w:t>1.</w:t>
      </w:r>
      <w:r w:rsidRPr="00AE42E6">
        <w:rPr>
          <w:rFonts w:ascii="仿宋_GB2312" w:eastAsia="仿宋_GB2312" w:hAnsi="仿宋" w:cs="仿宋_GB2312"/>
          <w:color w:val="000000"/>
          <w:sz w:val="28"/>
          <w:szCs w:val="28"/>
        </w:rPr>
        <w:t xml:space="preserve">Guidance for Industry and FDA Staff Dental Composite Resin Devices </w:t>
      </w:r>
      <w:r w:rsidRPr="00AE42E6">
        <w:rPr>
          <w:rFonts w:ascii="仿宋" w:eastAsia="仿宋_GB2312" w:hAnsi="仿宋" w:cs="仿宋_GB2312"/>
          <w:color w:val="000000"/>
          <w:sz w:val="28"/>
          <w:szCs w:val="28"/>
        </w:rPr>
        <w:t>–</w:t>
      </w:r>
      <w:r w:rsidRPr="00AE42E6">
        <w:rPr>
          <w:rFonts w:ascii="仿宋_GB2312" w:eastAsia="仿宋_GB2312" w:hAnsi="仿宋" w:cs="仿宋_GB2312"/>
          <w:color w:val="000000"/>
          <w:sz w:val="28"/>
          <w:szCs w:val="28"/>
        </w:rPr>
        <w:t xml:space="preserve"> Premarket Notification [510(k)] Submissions</w:t>
      </w:r>
    </w:p>
    <w:p w:rsidR="00223545" w:rsidRPr="00AE42E6" w:rsidRDefault="00223545" w:rsidP="008C3FCD">
      <w:pPr>
        <w:autoSpaceDE w:val="0"/>
        <w:autoSpaceDN w:val="0"/>
        <w:spacing w:line="560" w:lineRule="exact"/>
        <w:ind w:firstLineChars="200" w:firstLine="31680"/>
        <w:jc w:val="left"/>
        <w:rPr>
          <w:rFonts w:ascii="仿宋_GB2312" w:eastAsia="仿宋_GB2312" w:hAnsi="仿宋" w:cs="仿宋_GB2312"/>
          <w:color w:val="000000"/>
          <w:sz w:val="28"/>
          <w:szCs w:val="28"/>
        </w:rPr>
      </w:pPr>
      <w:r>
        <w:rPr>
          <w:rFonts w:ascii="仿宋_GB2312" w:eastAsia="仿宋_GB2312" w:hAnsi="仿宋" w:cs="仿宋_GB2312"/>
          <w:color w:val="000000"/>
          <w:sz w:val="28"/>
          <w:szCs w:val="28"/>
        </w:rPr>
        <w:t>2.</w:t>
      </w:r>
      <w:r w:rsidRPr="00AE42E6">
        <w:rPr>
          <w:rFonts w:ascii="仿宋_GB2312" w:eastAsia="仿宋_GB2312" w:hAnsi="仿宋" w:cs="仿宋_GB2312"/>
          <w:color w:val="000000"/>
          <w:sz w:val="28"/>
          <w:szCs w:val="28"/>
        </w:rPr>
        <w:t xml:space="preserve">ISO 4049-2009 Dentistry </w:t>
      </w:r>
      <w:r w:rsidRPr="00AE42E6">
        <w:rPr>
          <w:rFonts w:ascii="仿宋" w:eastAsia="仿宋_GB2312" w:hAnsi="仿宋" w:cs="仿宋_GB2312"/>
          <w:color w:val="000000"/>
          <w:sz w:val="28"/>
          <w:szCs w:val="28"/>
        </w:rPr>
        <w:t>–</w:t>
      </w:r>
      <w:r w:rsidRPr="00AE42E6">
        <w:rPr>
          <w:rFonts w:ascii="仿宋_GB2312" w:eastAsia="仿宋_GB2312" w:hAnsi="仿宋" w:cs="仿宋_GB2312"/>
          <w:color w:val="000000"/>
          <w:sz w:val="28"/>
          <w:szCs w:val="28"/>
        </w:rPr>
        <w:t xml:space="preserve"> Polymer-based restorative materials</w:t>
      </w:r>
    </w:p>
    <w:p w:rsidR="00223545" w:rsidRPr="00AE42E6" w:rsidRDefault="00223545" w:rsidP="008C3FCD">
      <w:pPr>
        <w:autoSpaceDE w:val="0"/>
        <w:autoSpaceDN w:val="0"/>
        <w:spacing w:line="560" w:lineRule="exact"/>
        <w:ind w:firstLineChars="200" w:firstLine="31680"/>
        <w:jc w:val="left"/>
        <w:rPr>
          <w:rFonts w:ascii="仿宋_GB2312" w:eastAsia="仿宋_GB2312" w:hAnsi="仿宋" w:cs="仿宋_GB2312"/>
          <w:color w:val="000000"/>
          <w:sz w:val="28"/>
          <w:szCs w:val="28"/>
        </w:rPr>
      </w:pPr>
      <w:r>
        <w:rPr>
          <w:rFonts w:ascii="仿宋_GB2312" w:eastAsia="仿宋_GB2312" w:hAnsi="仿宋" w:cs="仿宋_GB2312"/>
          <w:color w:val="000000"/>
          <w:sz w:val="28"/>
          <w:szCs w:val="28"/>
        </w:rPr>
        <w:t>3.</w:t>
      </w:r>
      <w:r w:rsidRPr="00AE42E6">
        <w:rPr>
          <w:rFonts w:ascii="仿宋_GB2312" w:eastAsia="仿宋_GB2312" w:hAnsi="仿宋" w:cs="仿宋_GB2312"/>
          <w:color w:val="000000"/>
          <w:sz w:val="28"/>
          <w:szCs w:val="28"/>
        </w:rPr>
        <w:t>ISO 11405-2003 Dental materials</w:t>
      </w:r>
      <w:r w:rsidRPr="00AE42E6">
        <w:rPr>
          <w:rFonts w:ascii="仿宋" w:eastAsia="仿宋_GB2312" w:hAnsi="仿宋" w:cs="仿宋_GB2312"/>
          <w:color w:val="000000"/>
          <w:sz w:val="28"/>
          <w:szCs w:val="28"/>
        </w:rPr>
        <w:t>–</w:t>
      </w:r>
      <w:r w:rsidRPr="00AE42E6">
        <w:rPr>
          <w:rFonts w:ascii="仿宋_GB2312" w:eastAsia="仿宋_GB2312" w:hAnsi="仿宋" w:cs="仿宋_GB2312"/>
          <w:color w:val="000000"/>
          <w:sz w:val="28"/>
          <w:szCs w:val="28"/>
        </w:rPr>
        <w:t xml:space="preserve">Testing of adhesion to tooth structure </w:t>
      </w:r>
    </w:p>
    <w:p w:rsidR="00223545" w:rsidRPr="00AE42E6" w:rsidRDefault="00223545" w:rsidP="008C3FCD">
      <w:pPr>
        <w:autoSpaceDE w:val="0"/>
        <w:autoSpaceDN w:val="0"/>
        <w:spacing w:line="560" w:lineRule="exact"/>
        <w:ind w:firstLineChars="200" w:firstLine="31680"/>
        <w:jc w:val="left"/>
        <w:rPr>
          <w:rFonts w:ascii="仿宋_GB2312" w:eastAsia="仿宋_GB2312" w:hAnsi="仿宋" w:cs="仿宋_GB2312"/>
          <w:color w:val="000000"/>
          <w:sz w:val="28"/>
          <w:szCs w:val="28"/>
        </w:rPr>
      </w:pPr>
      <w:r>
        <w:rPr>
          <w:rFonts w:ascii="仿宋_GB2312" w:eastAsia="仿宋_GB2312" w:hAnsi="仿宋" w:cs="仿宋_GB2312"/>
          <w:color w:val="000000"/>
          <w:sz w:val="28"/>
          <w:szCs w:val="28"/>
        </w:rPr>
        <w:t>4.</w:t>
      </w:r>
      <w:r w:rsidRPr="00AE42E6">
        <w:rPr>
          <w:rFonts w:ascii="仿宋_GB2312" w:eastAsia="仿宋_GB2312" w:hAnsi="仿宋" w:cs="仿宋_GB2312"/>
          <w:color w:val="000000"/>
          <w:sz w:val="28"/>
          <w:szCs w:val="28"/>
        </w:rPr>
        <w:t>Acceptance Program Guidelines. Resin based composites for posterior restorations</w:t>
      </w:r>
    </w:p>
    <w:p w:rsidR="00223545" w:rsidRPr="00AE42E6" w:rsidRDefault="00223545" w:rsidP="008C3FCD">
      <w:pPr>
        <w:autoSpaceDE w:val="0"/>
        <w:autoSpaceDN w:val="0"/>
        <w:spacing w:line="560" w:lineRule="exact"/>
        <w:ind w:firstLineChars="200" w:firstLine="31680"/>
        <w:jc w:val="left"/>
        <w:rPr>
          <w:rFonts w:ascii="仿宋_GB2312" w:eastAsia="仿宋_GB2312" w:hAnsi="仿宋" w:cs="Times New Roman"/>
          <w:color w:val="000000"/>
          <w:sz w:val="28"/>
          <w:szCs w:val="28"/>
        </w:rPr>
      </w:pPr>
      <w:r>
        <w:rPr>
          <w:rFonts w:ascii="仿宋_GB2312" w:eastAsia="仿宋_GB2312" w:hAnsi="仿宋" w:cs="仿宋_GB2312"/>
          <w:color w:val="000000"/>
          <w:sz w:val="28"/>
          <w:szCs w:val="28"/>
        </w:rPr>
        <w:t>5.</w:t>
      </w:r>
      <w:r w:rsidRPr="00AE42E6">
        <w:rPr>
          <w:rFonts w:ascii="仿宋_GB2312" w:eastAsia="仿宋_GB2312" w:hAnsi="仿宋" w:cs="仿宋_GB2312" w:hint="eastAsia"/>
          <w:color w:val="000000"/>
          <w:sz w:val="28"/>
          <w:szCs w:val="28"/>
        </w:rPr>
        <w:t>复合树脂粘结修复操作规范及评定标准（建议稿）</w:t>
      </w:r>
    </w:p>
    <w:p w:rsidR="00223545" w:rsidRPr="00AE42E6" w:rsidRDefault="00223545" w:rsidP="00AE42E6">
      <w:pPr>
        <w:autoSpaceDE w:val="0"/>
        <w:autoSpaceDN w:val="0"/>
        <w:spacing w:line="560" w:lineRule="exact"/>
        <w:jc w:val="left"/>
        <w:rPr>
          <w:rFonts w:ascii="仿宋_GB2312" w:eastAsia="仿宋_GB2312" w:hAnsi="仿宋" w:cs="Times New Roman"/>
          <w:color w:val="000000"/>
          <w:sz w:val="28"/>
          <w:szCs w:val="28"/>
        </w:rPr>
      </w:pPr>
    </w:p>
    <w:sectPr w:rsidR="00223545" w:rsidRPr="00AE42E6" w:rsidSect="00581448">
      <w:pgSz w:w="11906" w:h="16838"/>
      <w:pgMar w:top="1440" w:right="1800" w:bottom="1276" w:left="1800" w:header="851" w:footer="744" w:gutter="0"/>
      <w:pgNumType w:start="13"/>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545" w:rsidRDefault="00223545" w:rsidP="00815764">
      <w:pPr>
        <w:rPr>
          <w:rFonts w:cs="Times New Roman"/>
        </w:rPr>
      </w:pPr>
      <w:r>
        <w:rPr>
          <w:rFonts w:cs="Times New Roman"/>
        </w:rPr>
        <w:separator/>
      </w:r>
    </w:p>
  </w:endnote>
  <w:endnote w:type="continuationSeparator" w:id="0">
    <w:p w:rsidR="00223545" w:rsidRDefault="00223545" w:rsidP="0081576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panose1 w:val="00000000000000000000"/>
    <w:charset w:val="86"/>
    <w:family w:val="modern"/>
    <w:notTrueType/>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545" w:rsidRPr="00581448" w:rsidRDefault="00223545" w:rsidP="00EE2F89">
    <w:pPr>
      <w:pStyle w:val="Footer"/>
      <w:framePr w:wrap="auto" w:vAnchor="text" w:hAnchor="margin" w:xAlign="outside" w:y="1"/>
      <w:rPr>
        <w:rStyle w:val="PageNumber"/>
        <w:rFonts w:ascii="Times New Roman" w:hAnsi="Times New Roman" w:cs="Times New Roman"/>
        <w:sz w:val="28"/>
        <w:szCs w:val="28"/>
      </w:rPr>
    </w:pPr>
    <w:r>
      <w:rPr>
        <w:rStyle w:val="PageNumber"/>
        <w:rFonts w:ascii="Times New Roman" w:hAnsi="Times New Roman" w:cs="Times New Roman"/>
        <w:sz w:val="28"/>
        <w:szCs w:val="28"/>
      </w:rPr>
      <w:t xml:space="preserve">— </w:t>
    </w:r>
    <w:r w:rsidRPr="00581448">
      <w:rPr>
        <w:rStyle w:val="PageNumber"/>
        <w:rFonts w:ascii="Times New Roman" w:hAnsi="Times New Roman" w:cs="Times New Roman"/>
        <w:sz w:val="28"/>
        <w:szCs w:val="28"/>
      </w:rPr>
      <w:fldChar w:fldCharType="begin"/>
    </w:r>
    <w:r w:rsidRPr="00581448">
      <w:rPr>
        <w:rStyle w:val="PageNumber"/>
        <w:rFonts w:ascii="Times New Roman" w:hAnsi="Times New Roman" w:cs="Times New Roman"/>
        <w:sz w:val="28"/>
        <w:szCs w:val="28"/>
      </w:rPr>
      <w:instrText xml:space="preserve">PAGE  </w:instrText>
    </w:r>
    <w:r w:rsidRPr="00581448">
      <w:rPr>
        <w:rStyle w:val="PageNumber"/>
        <w:rFonts w:ascii="Times New Roman" w:hAnsi="Times New Roman" w:cs="Times New Roman"/>
        <w:sz w:val="28"/>
        <w:szCs w:val="28"/>
      </w:rPr>
      <w:fldChar w:fldCharType="separate"/>
    </w:r>
    <w:r>
      <w:rPr>
        <w:rStyle w:val="PageNumber"/>
        <w:rFonts w:ascii="Times New Roman" w:hAnsi="Times New Roman" w:cs="Times New Roman"/>
        <w:noProof/>
        <w:sz w:val="28"/>
        <w:szCs w:val="28"/>
      </w:rPr>
      <w:t>3</w:t>
    </w:r>
    <w:r w:rsidRPr="00581448">
      <w:rPr>
        <w:rStyle w:val="PageNumber"/>
        <w:rFonts w:ascii="Times New Roman" w:hAnsi="Times New Roman" w:cs="Times New Roman"/>
        <w:sz w:val="28"/>
        <w:szCs w:val="28"/>
      </w:rPr>
      <w:fldChar w:fldCharType="end"/>
    </w:r>
    <w:r>
      <w:rPr>
        <w:rStyle w:val="PageNumber"/>
        <w:rFonts w:ascii="Times New Roman" w:hAnsi="Times New Roman" w:cs="Times New Roman"/>
        <w:sz w:val="28"/>
        <w:szCs w:val="28"/>
      </w:rPr>
      <w:t xml:space="preserve"> —</w:t>
    </w:r>
  </w:p>
  <w:p w:rsidR="00223545" w:rsidRDefault="00223545" w:rsidP="00581448">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545" w:rsidRDefault="00223545" w:rsidP="00815764">
      <w:pPr>
        <w:rPr>
          <w:rFonts w:cs="Times New Roman"/>
        </w:rPr>
      </w:pPr>
      <w:r>
        <w:rPr>
          <w:rFonts w:cs="Times New Roman"/>
        </w:rPr>
        <w:separator/>
      </w:r>
    </w:p>
  </w:footnote>
  <w:footnote w:type="continuationSeparator" w:id="0">
    <w:p w:rsidR="00223545" w:rsidRDefault="00223545" w:rsidP="0081576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A5C4C"/>
    <w:multiLevelType w:val="hybridMultilevel"/>
    <w:tmpl w:val="0E9A8078"/>
    <w:lvl w:ilvl="0" w:tplc="BBE6102E">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
    <w:nsid w:val="50773DCB"/>
    <w:multiLevelType w:val="hybridMultilevel"/>
    <w:tmpl w:val="A06CB7AC"/>
    <w:lvl w:ilvl="0" w:tplc="BBE6102E">
      <w:start w:val="1"/>
      <w:numFmt w:val="bullet"/>
      <w:lvlText w:val=""/>
      <w:lvlJc w:val="left"/>
      <w:pPr>
        <w:ind w:left="1060" w:hanging="420"/>
      </w:pPr>
      <w:rPr>
        <w:rFonts w:ascii="Wingdings" w:hAnsi="Wingdings" w:cs="Wingdings" w:hint="default"/>
        <w:sz w:val="15"/>
        <w:szCs w:val="15"/>
      </w:rPr>
    </w:lvl>
    <w:lvl w:ilvl="1" w:tplc="04090003">
      <w:start w:val="1"/>
      <w:numFmt w:val="bullet"/>
      <w:lvlText w:val=""/>
      <w:lvlJc w:val="left"/>
      <w:pPr>
        <w:ind w:left="1480" w:hanging="420"/>
      </w:pPr>
      <w:rPr>
        <w:rFonts w:ascii="Wingdings" w:hAnsi="Wingdings" w:cs="Wingdings" w:hint="default"/>
      </w:rPr>
    </w:lvl>
    <w:lvl w:ilvl="2" w:tplc="04090005">
      <w:start w:val="1"/>
      <w:numFmt w:val="bullet"/>
      <w:lvlText w:val=""/>
      <w:lvlJc w:val="left"/>
      <w:pPr>
        <w:ind w:left="1900" w:hanging="420"/>
      </w:pPr>
      <w:rPr>
        <w:rFonts w:ascii="Wingdings" w:hAnsi="Wingdings" w:cs="Wingdings" w:hint="default"/>
      </w:rPr>
    </w:lvl>
    <w:lvl w:ilvl="3" w:tplc="04090001">
      <w:start w:val="1"/>
      <w:numFmt w:val="bullet"/>
      <w:lvlText w:val=""/>
      <w:lvlJc w:val="left"/>
      <w:pPr>
        <w:ind w:left="2320" w:hanging="420"/>
      </w:pPr>
      <w:rPr>
        <w:rFonts w:ascii="Wingdings" w:hAnsi="Wingdings" w:cs="Wingdings" w:hint="default"/>
      </w:rPr>
    </w:lvl>
    <w:lvl w:ilvl="4" w:tplc="04090003">
      <w:start w:val="1"/>
      <w:numFmt w:val="bullet"/>
      <w:lvlText w:val=""/>
      <w:lvlJc w:val="left"/>
      <w:pPr>
        <w:ind w:left="2740" w:hanging="420"/>
      </w:pPr>
      <w:rPr>
        <w:rFonts w:ascii="Wingdings" w:hAnsi="Wingdings" w:cs="Wingdings" w:hint="default"/>
      </w:rPr>
    </w:lvl>
    <w:lvl w:ilvl="5" w:tplc="04090005">
      <w:start w:val="1"/>
      <w:numFmt w:val="bullet"/>
      <w:lvlText w:val=""/>
      <w:lvlJc w:val="left"/>
      <w:pPr>
        <w:ind w:left="3160" w:hanging="420"/>
      </w:pPr>
      <w:rPr>
        <w:rFonts w:ascii="Wingdings" w:hAnsi="Wingdings" w:cs="Wingdings" w:hint="default"/>
      </w:rPr>
    </w:lvl>
    <w:lvl w:ilvl="6" w:tplc="04090001">
      <w:start w:val="1"/>
      <w:numFmt w:val="bullet"/>
      <w:lvlText w:val=""/>
      <w:lvlJc w:val="left"/>
      <w:pPr>
        <w:ind w:left="3580" w:hanging="420"/>
      </w:pPr>
      <w:rPr>
        <w:rFonts w:ascii="Wingdings" w:hAnsi="Wingdings" w:cs="Wingdings" w:hint="default"/>
      </w:rPr>
    </w:lvl>
    <w:lvl w:ilvl="7" w:tplc="04090003">
      <w:start w:val="1"/>
      <w:numFmt w:val="bullet"/>
      <w:lvlText w:val=""/>
      <w:lvlJc w:val="left"/>
      <w:pPr>
        <w:ind w:left="4000" w:hanging="420"/>
      </w:pPr>
      <w:rPr>
        <w:rFonts w:ascii="Wingdings" w:hAnsi="Wingdings" w:cs="Wingdings" w:hint="default"/>
      </w:rPr>
    </w:lvl>
    <w:lvl w:ilvl="8" w:tplc="04090005">
      <w:start w:val="1"/>
      <w:numFmt w:val="bullet"/>
      <w:lvlText w:val=""/>
      <w:lvlJc w:val="left"/>
      <w:pPr>
        <w:ind w:left="4420" w:hanging="420"/>
      </w:pPr>
      <w:rPr>
        <w:rFonts w:ascii="Wingdings" w:hAnsi="Wingdings" w:cs="Wingdings" w:hint="default"/>
      </w:rPr>
    </w:lvl>
  </w:abstractNum>
  <w:abstractNum w:abstractNumId="2">
    <w:nsid w:val="5199224E"/>
    <w:multiLevelType w:val="hybridMultilevel"/>
    <w:tmpl w:val="74067A26"/>
    <w:lvl w:ilvl="0" w:tplc="5BF2DEF4">
      <w:start w:val="1"/>
      <w:numFmt w:val="japaneseCounting"/>
      <w:lvlText w:val="%1、"/>
      <w:lvlJc w:val="left"/>
      <w:pPr>
        <w:tabs>
          <w:tab w:val="num" w:pos="1080"/>
        </w:tabs>
        <w:ind w:left="1080" w:hanging="720"/>
      </w:pPr>
      <w:rPr>
        <w:rFonts w:hint="default"/>
      </w:rPr>
    </w:lvl>
    <w:lvl w:ilvl="1" w:tplc="91E2090A">
      <w:start w:val="1"/>
      <w:numFmt w:val="decimal"/>
      <w:lvlText w:val="（%2）"/>
      <w:lvlJc w:val="left"/>
      <w:pPr>
        <w:ind w:left="750" w:hanging="750"/>
      </w:pPr>
      <w:rPr>
        <w:rFonts w:hint="default"/>
      </w:rPr>
    </w:lvl>
    <w:lvl w:ilvl="2" w:tplc="0409001B">
      <w:start w:val="1"/>
      <w:numFmt w:val="lowerRoman"/>
      <w:lvlText w:val="%3."/>
      <w:lvlJc w:val="right"/>
      <w:pPr>
        <w:tabs>
          <w:tab w:val="num" w:pos="1620"/>
        </w:tabs>
        <w:ind w:left="1620" w:hanging="420"/>
      </w:pPr>
    </w:lvl>
    <w:lvl w:ilvl="3" w:tplc="0409000F">
      <w:start w:val="1"/>
      <w:numFmt w:val="decimal"/>
      <w:lvlText w:val="%4."/>
      <w:lvlJc w:val="left"/>
      <w:pPr>
        <w:tabs>
          <w:tab w:val="num" w:pos="2040"/>
        </w:tabs>
        <w:ind w:left="2040" w:hanging="420"/>
      </w:pPr>
    </w:lvl>
    <w:lvl w:ilvl="4" w:tplc="04090019">
      <w:start w:val="1"/>
      <w:numFmt w:val="lowerLetter"/>
      <w:lvlText w:val="%5)"/>
      <w:lvlJc w:val="left"/>
      <w:pPr>
        <w:tabs>
          <w:tab w:val="num" w:pos="2460"/>
        </w:tabs>
        <w:ind w:left="2460" w:hanging="420"/>
      </w:pPr>
    </w:lvl>
    <w:lvl w:ilvl="5" w:tplc="0409001B">
      <w:start w:val="1"/>
      <w:numFmt w:val="lowerRoman"/>
      <w:lvlText w:val="%6."/>
      <w:lvlJc w:val="right"/>
      <w:pPr>
        <w:tabs>
          <w:tab w:val="num" w:pos="2880"/>
        </w:tabs>
        <w:ind w:left="2880" w:hanging="420"/>
      </w:pPr>
    </w:lvl>
    <w:lvl w:ilvl="6" w:tplc="0409000F">
      <w:start w:val="1"/>
      <w:numFmt w:val="decimal"/>
      <w:lvlText w:val="%7."/>
      <w:lvlJc w:val="left"/>
      <w:pPr>
        <w:tabs>
          <w:tab w:val="num" w:pos="3300"/>
        </w:tabs>
        <w:ind w:left="3300" w:hanging="420"/>
      </w:pPr>
    </w:lvl>
    <w:lvl w:ilvl="7" w:tplc="04090019">
      <w:start w:val="1"/>
      <w:numFmt w:val="lowerLetter"/>
      <w:lvlText w:val="%8)"/>
      <w:lvlJc w:val="left"/>
      <w:pPr>
        <w:tabs>
          <w:tab w:val="num" w:pos="3720"/>
        </w:tabs>
        <w:ind w:left="3720" w:hanging="420"/>
      </w:pPr>
    </w:lvl>
    <w:lvl w:ilvl="8" w:tplc="0409001B">
      <w:start w:val="1"/>
      <w:numFmt w:val="lowerRoman"/>
      <w:lvlText w:val="%9."/>
      <w:lvlJc w:val="right"/>
      <w:pPr>
        <w:tabs>
          <w:tab w:val="num" w:pos="4140"/>
        </w:tabs>
        <w:ind w:left="4140" w:hanging="42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4A93"/>
    <w:rsid w:val="00013D3F"/>
    <w:rsid w:val="000320BF"/>
    <w:rsid w:val="000446B4"/>
    <w:rsid w:val="00047BB0"/>
    <w:rsid w:val="00080486"/>
    <w:rsid w:val="00085083"/>
    <w:rsid w:val="000B336D"/>
    <w:rsid w:val="000C7323"/>
    <w:rsid w:val="000D0E2D"/>
    <w:rsid w:val="000F0D80"/>
    <w:rsid w:val="00117F9A"/>
    <w:rsid w:val="00141F9D"/>
    <w:rsid w:val="00163032"/>
    <w:rsid w:val="001747A8"/>
    <w:rsid w:val="00193E4D"/>
    <w:rsid w:val="001C4A93"/>
    <w:rsid w:val="001C5691"/>
    <w:rsid w:val="001E1C66"/>
    <w:rsid w:val="001E20A7"/>
    <w:rsid w:val="00222A23"/>
    <w:rsid w:val="00223545"/>
    <w:rsid w:val="00233929"/>
    <w:rsid w:val="002C1749"/>
    <w:rsid w:val="002C34E8"/>
    <w:rsid w:val="002E2B80"/>
    <w:rsid w:val="00307492"/>
    <w:rsid w:val="00332A28"/>
    <w:rsid w:val="00333C66"/>
    <w:rsid w:val="003410B0"/>
    <w:rsid w:val="00347715"/>
    <w:rsid w:val="0042091F"/>
    <w:rsid w:val="00423D38"/>
    <w:rsid w:val="00430D42"/>
    <w:rsid w:val="00455B08"/>
    <w:rsid w:val="00482C3D"/>
    <w:rsid w:val="00550284"/>
    <w:rsid w:val="00581448"/>
    <w:rsid w:val="005C2046"/>
    <w:rsid w:val="005E515D"/>
    <w:rsid w:val="005F429B"/>
    <w:rsid w:val="00622425"/>
    <w:rsid w:val="006276C7"/>
    <w:rsid w:val="006343D1"/>
    <w:rsid w:val="00673A38"/>
    <w:rsid w:val="007055DF"/>
    <w:rsid w:val="0073112B"/>
    <w:rsid w:val="0076454F"/>
    <w:rsid w:val="00770290"/>
    <w:rsid w:val="00771167"/>
    <w:rsid w:val="007E30D4"/>
    <w:rsid w:val="0080764A"/>
    <w:rsid w:val="00810842"/>
    <w:rsid w:val="00815764"/>
    <w:rsid w:val="008A6297"/>
    <w:rsid w:val="008A6E32"/>
    <w:rsid w:val="008B4975"/>
    <w:rsid w:val="008B7935"/>
    <w:rsid w:val="008C3FCD"/>
    <w:rsid w:val="008E084B"/>
    <w:rsid w:val="0093441A"/>
    <w:rsid w:val="009359D1"/>
    <w:rsid w:val="009506BC"/>
    <w:rsid w:val="00966A32"/>
    <w:rsid w:val="009A0656"/>
    <w:rsid w:val="009B3DF8"/>
    <w:rsid w:val="009D25DE"/>
    <w:rsid w:val="00A15AF8"/>
    <w:rsid w:val="00A426EC"/>
    <w:rsid w:val="00AE42E6"/>
    <w:rsid w:val="00AF0A68"/>
    <w:rsid w:val="00AF25C0"/>
    <w:rsid w:val="00B237A7"/>
    <w:rsid w:val="00B25264"/>
    <w:rsid w:val="00BB69E2"/>
    <w:rsid w:val="00BD45E6"/>
    <w:rsid w:val="00BF7321"/>
    <w:rsid w:val="00C46D67"/>
    <w:rsid w:val="00C944D6"/>
    <w:rsid w:val="00CD1C60"/>
    <w:rsid w:val="00CF6B19"/>
    <w:rsid w:val="00D573D0"/>
    <w:rsid w:val="00D765A9"/>
    <w:rsid w:val="00DF5B87"/>
    <w:rsid w:val="00E76D37"/>
    <w:rsid w:val="00EC26FA"/>
    <w:rsid w:val="00ED511B"/>
    <w:rsid w:val="00EE2F89"/>
    <w:rsid w:val="00F01279"/>
    <w:rsid w:val="00F41426"/>
    <w:rsid w:val="00F500E1"/>
    <w:rsid w:val="00FD7B67"/>
    <w:rsid w:val="00FF79A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A93"/>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157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15764"/>
    <w:rPr>
      <w:sz w:val="18"/>
      <w:szCs w:val="18"/>
    </w:rPr>
  </w:style>
  <w:style w:type="paragraph" w:styleId="Footer">
    <w:name w:val="footer"/>
    <w:basedOn w:val="Normal"/>
    <w:link w:val="FooterChar"/>
    <w:uiPriority w:val="99"/>
    <w:rsid w:val="008157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15764"/>
    <w:rPr>
      <w:sz w:val="18"/>
      <w:szCs w:val="18"/>
    </w:rPr>
  </w:style>
  <w:style w:type="paragraph" w:styleId="Date">
    <w:name w:val="Date"/>
    <w:basedOn w:val="Normal"/>
    <w:next w:val="Normal"/>
    <w:link w:val="DateChar"/>
    <w:uiPriority w:val="99"/>
    <w:semiHidden/>
    <w:rsid w:val="00430D42"/>
    <w:pPr>
      <w:ind w:leftChars="2500" w:left="100"/>
    </w:pPr>
  </w:style>
  <w:style w:type="character" w:customStyle="1" w:styleId="DateChar">
    <w:name w:val="Date Char"/>
    <w:basedOn w:val="DefaultParagraphFont"/>
    <w:link w:val="Date"/>
    <w:uiPriority w:val="99"/>
    <w:semiHidden/>
    <w:locked/>
    <w:rsid w:val="00430D42"/>
  </w:style>
  <w:style w:type="paragraph" w:styleId="NormalWeb">
    <w:name w:val="Normal (Web)"/>
    <w:basedOn w:val="Normal"/>
    <w:uiPriority w:val="99"/>
    <w:rsid w:val="001C5691"/>
    <w:pPr>
      <w:widowControl/>
      <w:spacing w:before="100" w:beforeAutospacing="1" w:after="100" w:afterAutospacing="1"/>
      <w:jc w:val="left"/>
    </w:pPr>
    <w:rPr>
      <w:rFonts w:ascii="宋体" w:hAnsi="宋体" w:cs="宋体"/>
      <w:kern w:val="0"/>
      <w:sz w:val="24"/>
      <w:szCs w:val="24"/>
    </w:rPr>
  </w:style>
  <w:style w:type="character" w:styleId="PageNumber">
    <w:name w:val="page number"/>
    <w:basedOn w:val="DefaultParagraphFont"/>
    <w:uiPriority w:val="99"/>
    <w:rsid w:val="005814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12</Pages>
  <Words>846</Words>
  <Characters>4825</Characters>
  <Application>Microsoft Office Outlook</Application>
  <DocSecurity>0</DocSecurity>
  <Lines>0</Lines>
  <Paragraphs>0</Paragraphs>
  <ScaleCrop>false</ScaleCrop>
  <Company>药监局</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qhtf</dc:creator>
  <cp:keywords/>
  <dc:description/>
  <cp:lastModifiedBy>员工01</cp:lastModifiedBy>
  <cp:revision>6</cp:revision>
  <cp:lastPrinted>2014-05-22T03:02:00Z</cp:lastPrinted>
  <dcterms:created xsi:type="dcterms:W3CDTF">2014-05-15T00:31:00Z</dcterms:created>
  <dcterms:modified xsi:type="dcterms:W3CDTF">2014-05-22T03:02:00Z</dcterms:modified>
</cp:coreProperties>
</file>