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8BF" w:rsidRPr="00E00848" w:rsidRDefault="009968BF" w:rsidP="00CF13D9">
      <w:pPr>
        <w:autoSpaceDE w:val="0"/>
        <w:autoSpaceDN w:val="0"/>
        <w:adjustRightInd w:val="0"/>
        <w:jc w:val="center"/>
        <w:rPr>
          <w:rFonts w:ascii="方正小标宋_GBK" w:eastAsia="方正小标宋_GBK" w:cs="Times New Roman" w:hint="eastAsia"/>
          <w:bCs/>
          <w:color w:val="000000"/>
          <w:sz w:val="42"/>
          <w:szCs w:val="42"/>
        </w:rPr>
      </w:pPr>
      <w:r w:rsidRPr="00E00848">
        <w:rPr>
          <w:rFonts w:ascii="方正小标宋_GBK" w:eastAsia="方正小标宋_GBK" w:cs="仿宋_GB2312" w:hint="eastAsia"/>
          <w:bCs/>
          <w:color w:val="000000"/>
          <w:sz w:val="42"/>
          <w:szCs w:val="42"/>
        </w:rPr>
        <w:t>经导管植入式主动脉瓣膜临床试验审查原则</w:t>
      </w:r>
    </w:p>
    <w:p w:rsidR="009968BF" w:rsidRPr="006A110B" w:rsidRDefault="00D0715E" w:rsidP="00CF13D9">
      <w:pPr>
        <w:autoSpaceDE w:val="0"/>
        <w:autoSpaceDN w:val="0"/>
        <w:adjustRightInd w:val="0"/>
        <w:jc w:val="center"/>
        <w:rPr>
          <w:rFonts w:ascii="仿宋_GB2312" w:eastAsia="仿宋_GB2312" w:cs="Times New Roman"/>
          <w:color w:val="000000"/>
          <w:sz w:val="28"/>
          <w:szCs w:val="28"/>
        </w:rPr>
      </w:pPr>
      <w:r>
        <w:rPr>
          <w:rFonts w:ascii="仿宋_GB2312" w:eastAsia="仿宋_GB2312" w:cs="Times New Roman" w:hint="eastAsia"/>
          <w:color w:val="000000"/>
          <w:sz w:val="28"/>
          <w:szCs w:val="28"/>
        </w:rPr>
        <w:t>（征求意见稿）</w:t>
      </w:r>
    </w:p>
    <w:p w:rsidR="00E00848" w:rsidRDefault="00E00848" w:rsidP="001734D6">
      <w:pPr>
        <w:autoSpaceDE w:val="0"/>
        <w:autoSpaceDN w:val="0"/>
        <w:adjustRightInd w:val="0"/>
        <w:ind w:firstLineChars="200" w:firstLine="560"/>
        <w:rPr>
          <w:rFonts w:ascii="FreeSerif" w:cs="宋体" w:hint="eastAsia"/>
          <w:kern w:val="0"/>
          <w:sz w:val="28"/>
          <w:szCs w:val="28"/>
        </w:rPr>
      </w:pPr>
    </w:p>
    <w:p w:rsidR="009968BF" w:rsidRPr="00E00848" w:rsidRDefault="009968BF" w:rsidP="00E00848">
      <w:pPr>
        <w:autoSpaceDE w:val="0"/>
        <w:autoSpaceDN w:val="0"/>
        <w:ind w:firstLineChars="200" w:firstLine="640"/>
        <w:jc w:val="both"/>
        <w:rPr>
          <w:rFonts w:ascii="仿宋_GB2312" w:eastAsia="仿宋_GB2312" w:cs="宋体" w:hint="eastAsia"/>
          <w:kern w:val="0"/>
          <w:sz w:val="32"/>
          <w:szCs w:val="32"/>
        </w:rPr>
      </w:pPr>
      <w:r w:rsidRPr="00E00848">
        <w:rPr>
          <w:rFonts w:ascii="仿宋_GB2312" w:eastAsia="仿宋_GB2312" w:cs="宋体" w:hint="eastAsia"/>
          <w:kern w:val="0"/>
          <w:sz w:val="32"/>
          <w:szCs w:val="32"/>
        </w:rPr>
        <w:t>经导管植入式人工心脏瓣膜（</w:t>
      </w:r>
      <w:proofErr w:type="spellStart"/>
      <w:r w:rsidRPr="00E00848">
        <w:rPr>
          <w:rFonts w:ascii="仿宋_GB2312" w:eastAsia="仿宋_GB2312" w:cs="宋体" w:hint="eastAsia"/>
          <w:kern w:val="0"/>
          <w:sz w:val="32"/>
          <w:szCs w:val="32"/>
        </w:rPr>
        <w:t>Transcatheter</w:t>
      </w:r>
      <w:proofErr w:type="spellEnd"/>
      <w:r w:rsidRPr="00E00848">
        <w:rPr>
          <w:rFonts w:ascii="仿宋_GB2312" w:eastAsia="仿宋_GB2312" w:cs="宋体" w:hint="eastAsia"/>
          <w:kern w:val="0"/>
          <w:sz w:val="32"/>
          <w:szCs w:val="32"/>
        </w:rPr>
        <w:t xml:space="preserve"> Aortic Valve Implantation，TAVI）产品在开展临床试验研究前，应完成必要的、科学的临床前研究（如性能验证、体外试验、生物学评价、动物实验研究等）。</w:t>
      </w:r>
    </w:p>
    <w:p w:rsidR="009968BF" w:rsidRPr="00E00848" w:rsidRDefault="009968BF" w:rsidP="00E00848">
      <w:pPr>
        <w:ind w:firstLineChars="200" w:firstLine="640"/>
        <w:jc w:val="both"/>
        <w:rPr>
          <w:rFonts w:ascii="仿宋_GB2312" w:eastAsia="仿宋_GB2312" w:cs="宋体" w:hint="eastAsia"/>
          <w:kern w:val="0"/>
          <w:sz w:val="32"/>
          <w:szCs w:val="32"/>
        </w:rPr>
      </w:pPr>
      <w:r w:rsidRPr="00E00848">
        <w:rPr>
          <w:rFonts w:ascii="仿宋_GB2312" w:eastAsia="仿宋_GB2312" w:cs="宋体" w:hint="eastAsia"/>
          <w:kern w:val="0"/>
          <w:sz w:val="32"/>
          <w:szCs w:val="32"/>
        </w:rPr>
        <w:t>由于该类产品的安全性和有效性尚需进一步观察，对于首次临床应用的新产品，在开展确证性临床试验前应首先开展可行性试验研究，该研究建议是前瞻性的小样本研究，对产品设计的安全性和性能进行初步评估，然后根据逐渐积累的结果对后期的确证性试验设计提供相应的信息。可行性试验应有清晰和明确的研究目标。可行性试验可为系列试验，可在单个中心完成。单个可行性试验研究时病例数应不少于10例，观察时间应不短于30天。观察指标为即刻器械成功率及手术成功率，以及30天的全因死亡。在可行性研究过程中，出现失败病例时应即时进行分析，以确认是否可继续研究；可行性试验结束后，应对数据进行分析评估，为进一步设计临床试验方案（确证性试验或重新开展可行性试验）提供依据。可行性试验中如出现不良事件时需按相关规定处理。</w:t>
      </w:r>
    </w:p>
    <w:p w:rsidR="009968BF" w:rsidRPr="00E00848" w:rsidRDefault="009968BF" w:rsidP="00E00848">
      <w:pPr>
        <w:autoSpaceDE w:val="0"/>
        <w:autoSpaceDN w:val="0"/>
        <w:ind w:firstLineChars="200" w:firstLine="640"/>
        <w:jc w:val="both"/>
        <w:rPr>
          <w:rFonts w:ascii="仿宋_GB2312" w:eastAsia="仿宋_GB2312" w:cs="宋体" w:hint="eastAsia"/>
          <w:kern w:val="0"/>
          <w:sz w:val="32"/>
          <w:szCs w:val="32"/>
        </w:rPr>
      </w:pPr>
      <w:r w:rsidRPr="00E00848">
        <w:rPr>
          <w:rFonts w:ascii="仿宋_GB2312" w:eastAsia="仿宋_GB2312" w:cs="宋体" w:hint="eastAsia"/>
          <w:kern w:val="0"/>
          <w:sz w:val="32"/>
          <w:szCs w:val="32"/>
        </w:rPr>
        <w:lastRenderedPageBreak/>
        <w:t>企业在开展确证性试验研究时，在临床试验方案制定中建议考虑以下因素，包括但不限于：</w:t>
      </w:r>
    </w:p>
    <w:p w:rsidR="009968BF" w:rsidRPr="00E00848" w:rsidRDefault="009968BF" w:rsidP="00E00848">
      <w:pPr>
        <w:autoSpaceDE w:val="0"/>
        <w:autoSpaceDN w:val="0"/>
        <w:ind w:firstLineChars="200" w:firstLine="640"/>
        <w:jc w:val="both"/>
        <w:rPr>
          <w:rFonts w:ascii="黑体" w:eastAsia="黑体" w:hAnsi="黑体" w:cs="宋体" w:hint="eastAsia"/>
          <w:kern w:val="0"/>
          <w:sz w:val="32"/>
          <w:szCs w:val="32"/>
        </w:rPr>
      </w:pPr>
      <w:r w:rsidRPr="00E00848">
        <w:rPr>
          <w:rFonts w:ascii="黑体" w:eastAsia="黑体" w:hAnsi="黑体" w:cs="宋体" w:hint="eastAsia"/>
          <w:kern w:val="0"/>
          <w:sz w:val="32"/>
          <w:szCs w:val="32"/>
        </w:rPr>
        <w:t>一、患者人群的选择</w:t>
      </w:r>
    </w:p>
    <w:p w:rsidR="009968BF" w:rsidRPr="00E00848" w:rsidRDefault="009968BF" w:rsidP="00E00848">
      <w:pPr>
        <w:ind w:firstLineChars="200" w:firstLine="640"/>
        <w:jc w:val="both"/>
        <w:rPr>
          <w:rFonts w:ascii="仿宋_GB2312" w:eastAsia="仿宋_GB2312" w:cs="宋体" w:hint="eastAsia"/>
          <w:kern w:val="0"/>
          <w:sz w:val="32"/>
          <w:szCs w:val="32"/>
        </w:rPr>
      </w:pPr>
      <w:r w:rsidRPr="00E00848">
        <w:rPr>
          <w:rFonts w:ascii="仿宋_GB2312" w:eastAsia="仿宋_GB2312" w:cs="宋体" w:hint="eastAsia"/>
          <w:kern w:val="0"/>
          <w:sz w:val="32"/>
          <w:szCs w:val="32"/>
        </w:rPr>
        <w:t>由于</w:t>
      </w:r>
      <w:r w:rsidRPr="00E00848">
        <w:rPr>
          <w:rFonts w:ascii="仿宋_GB2312" w:eastAsia="仿宋_GB2312" w:cs="FreeSerif" w:hint="eastAsia"/>
          <w:kern w:val="0"/>
          <w:sz w:val="32"/>
          <w:szCs w:val="32"/>
        </w:rPr>
        <w:t>TAVI</w:t>
      </w:r>
      <w:r w:rsidRPr="00E00848">
        <w:rPr>
          <w:rFonts w:ascii="仿宋_GB2312" w:eastAsia="仿宋_GB2312" w:cs="宋体" w:hint="eastAsia"/>
          <w:kern w:val="0"/>
          <w:sz w:val="32"/>
          <w:szCs w:val="32"/>
        </w:rPr>
        <w:t>技术作为一种治疗主动脉瓣膜狭窄的全新技术，其安全性和有效性还需进一步进行评估，因此在开展临床试验时，对入组患者的选择应特别注重风险评估，建议建立由心血管内科和心血管外科专家、影像学专家、麻醉专家等组成的多学科心脏团队（心血管外科专家至少两名），对入组患者的风险进行充分评估。在临床试验中，研究者应确保有足够数量且符合试验方案中入选标准的受试者进入临床试验。</w:t>
      </w:r>
    </w:p>
    <w:p w:rsidR="009968BF" w:rsidRPr="00E00848" w:rsidRDefault="00E00848" w:rsidP="00E00848">
      <w:pPr>
        <w:autoSpaceDE w:val="0"/>
        <w:autoSpaceDN w:val="0"/>
        <w:ind w:firstLineChars="200" w:firstLine="643"/>
        <w:jc w:val="both"/>
        <w:rPr>
          <w:rFonts w:ascii="仿宋_GB2312" w:eastAsia="仿宋_GB2312" w:cs="Times New Roman" w:hint="eastAsia"/>
          <w:b/>
          <w:kern w:val="0"/>
          <w:sz w:val="32"/>
          <w:szCs w:val="32"/>
        </w:rPr>
      </w:pPr>
      <w:r>
        <w:rPr>
          <w:rFonts w:ascii="仿宋_GB2312" w:eastAsia="仿宋_GB2312" w:cs="宋体" w:hint="eastAsia"/>
          <w:b/>
          <w:kern w:val="0"/>
          <w:sz w:val="32"/>
          <w:szCs w:val="32"/>
        </w:rPr>
        <w:t>(</w:t>
      </w:r>
      <w:proofErr w:type="gramStart"/>
      <w:r>
        <w:rPr>
          <w:rFonts w:ascii="仿宋_GB2312" w:eastAsia="仿宋_GB2312" w:cs="宋体" w:hint="eastAsia"/>
          <w:b/>
          <w:kern w:val="0"/>
          <w:sz w:val="32"/>
          <w:szCs w:val="32"/>
        </w:rPr>
        <w:t>一</w:t>
      </w:r>
      <w:proofErr w:type="gramEnd"/>
      <w:r>
        <w:rPr>
          <w:rFonts w:ascii="仿宋_GB2312" w:eastAsia="仿宋_GB2312" w:cs="宋体" w:hint="eastAsia"/>
          <w:b/>
          <w:kern w:val="0"/>
          <w:sz w:val="32"/>
          <w:szCs w:val="32"/>
        </w:rPr>
        <w:t>)</w:t>
      </w:r>
      <w:r w:rsidR="009968BF" w:rsidRPr="00E00848">
        <w:rPr>
          <w:rFonts w:ascii="仿宋_GB2312" w:eastAsia="仿宋_GB2312" w:cs="宋体" w:hint="eastAsia"/>
          <w:b/>
          <w:kern w:val="0"/>
          <w:sz w:val="32"/>
          <w:szCs w:val="32"/>
        </w:rPr>
        <w:t>不适合</w:t>
      </w:r>
      <w:bookmarkStart w:id="0" w:name="OLE_LINK13"/>
      <w:bookmarkStart w:id="1" w:name="OLE_LINK14"/>
      <w:r w:rsidR="009968BF" w:rsidRPr="00E00848">
        <w:rPr>
          <w:rFonts w:ascii="仿宋_GB2312" w:eastAsia="仿宋_GB2312" w:cs="宋体" w:hint="eastAsia"/>
          <w:b/>
          <w:kern w:val="0"/>
          <w:sz w:val="32"/>
          <w:szCs w:val="32"/>
        </w:rPr>
        <w:t>常规外科</w:t>
      </w:r>
      <w:bookmarkEnd w:id="0"/>
      <w:bookmarkEnd w:id="1"/>
      <w:r w:rsidR="009968BF" w:rsidRPr="00E00848">
        <w:rPr>
          <w:rFonts w:ascii="仿宋_GB2312" w:eastAsia="仿宋_GB2312" w:cs="宋体" w:hint="eastAsia"/>
          <w:b/>
          <w:kern w:val="0"/>
          <w:sz w:val="32"/>
          <w:szCs w:val="32"/>
        </w:rPr>
        <w:t>手术有</w:t>
      </w:r>
      <w:bookmarkStart w:id="2" w:name="OLE_LINK11"/>
      <w:bookmarkStart w:id="3" w:name="OLE_LINK12"/>
      <w:r w:rsidR="009968BF" w:rsidRPr="00E00848">
        <w:rPr>
          <w:rFonts w:ascii="仿宋_GB2312" w:eastAsia="仿宋_GB2312" w:cs="宋体" w:hint="eastAsia"/>
          <w:b/>
          <w:kern w:val="0"/>
          <w:sz w:val="32"/>
          <w:szCs w:val="32"/>
        </w:rPr>
        <w:t>症状的重度主动脉瓣狭窄</w:t>
      </w:r>
      <w:bookmarkEnd w:id="2"/>
      <w:bookmarkEnd w:id="3"/>
      <w:r w:rsidR="009968BF" w:rsidRPr="00E00848">
        <w:rPr>
          <w:rFonts w:ascii="仿宋_GB2312" w:eastAsia="仿宋_GB2312" w:cs="宋体" w:hint="eastAsia"/>
          <w:b/>
          <w:kern w:val="0"/>
          <w:sz w:val="32"/>
          <w:szCs w:val="32"/>
        </w:rPr>
        <w:t>患者</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对于经心脏团队评估后认为患有症状的重度主动脉瓣狭窄，不适合接受常规外科手术置换瓣膜，</w:t>
      </w:r>
      <w:r w:rsidRPr="00E00848">
        <w:rPr>
          <w:rFonts w:ascii="仿宋_GB2312" w:eastAsia="仿宋_GB2312" w:cs="FreeSerif" w:hint="eastAsia"/>
          <w:kern w:val="0"/>
          <w:sz w:val="32"/>
          <w:szCs w:val="32"/>
        </w:rPr>
        <w:t>TAVI</w:t>
      </w:r>
      <w:r w:rsidRPr="00E00848">
        <w:rPr>
          <w:rFonts w:ascii="仿宋_GB2312" w:eastAsia="仿宋_GB2312" w:cs="宋体" w:hint="eastAsia"/>
          <w:kern w:val="0"/>
          <w:sz w:val="32"/>
          <w:szCs w:val="32"/>
        </w:rPr>
        <w:t>术后预期能够提高生活质量的患者，由于目前国际公认的瓣膜疾病治疗指南中对于该类人群是作为</w:t>
      </w:r>
      <w:r w:rsidRPr="00E00848">
        <w:rPr>
          <w:rFonts w:ascii="仿宋_GB2312" w:eastAsia="仿宋_GB2312" w:cs="FreeSerif" w:hint="eastAsia"/>
          <w:kern w:val="0"/>
          <w:sz w:val="32"/>
          <w:szCs w:val="32"/>
        </w:rPr>
        <w:t>I</w:t>
      </w:r>
      <w:r w:rsidRPr="00E00848">
        <w:rPr>
          <w:rFonts w:ascii="仿宋_GB2312" w:eastAsia="仿宋_GB2312" w:cs="宋体" w:hint="eastAsia"/>
          <w:kern w:val="0"/>
          <w:sz w:val="32"/>
          <w:szCs w:val="32"/>
        </w:rPr>
        <w:t>级推荐</w:t>
      </w:r>
      <w:r w:rsidRPr="00E00848">
        <w:rPr>
          <w:rFonts w:ascii="仿宋_GB2312" w:eastAsia="仿宋_GB2312" w:cs="FreeSerif" w:hint="eastAsia"/>
          <w:kern w:val="0"/>
          <w:sz w:val="32"/>
          <w:szCs w:val="32"/>
        </w:rPr>
        <w:t>B</w:t>
      </w:r>
      <w:r w:rsidRPr="00E00848">
        <w:rPr>
          <w:rFonts w:ascii="仿宋_GB2312" w:eastAsia="仿宋_GB2312" w:cs="宋体" w:hint="eastAsia"/>
          <w:kern w:val="0"/>
          <w:sz w:val="32"/>
          <w:szCs w:val="32"/>
        </w:rPr>
        <w:t>类证据使用，使用</w:t>
      </w:r>
      <w:r w:rsidRPr="00E00848">
        <w:rPr>
          <w:rFonts w:ascii="仿宋_GB2312" w:eastAsia="仿宋_GB2312" w:cs="FreeSerif" w:hint="eastAsia"/>
          <w:kern w:val="0"/>
          <w:sz w:val="32"/>
          <w:szCs w:val="32"/>
        </w:rPr>
        <w:t>TAVI</w:t>
      </w:r>
      <w:r w:rsidRPr="00E00848">
        <w:rPr>
          <w:rFonts w:ascii="仿宋_GB2312" w:eastAsia="仿宋_GB2312" w:cs="宋体" w:hint="eastAsia"/>
          <w:kern w:val="0"/>
          <w:sz w:val="32"/>
          <w:szCs w:val="32"/>
        </w:rPr>
        <w:t>技术的预期风险</w:t>
      </w:r>
      <w:r w:rsidRPr="00E00848">
        <w:rPr>
          <w:rFonts w:ascii="仿宋_GB2312" w:eastAsia="仿宋_GB2312" w:cs="FreeSerif" w:hint="eastAsia"/>
          <w:kern w:val="0"/>
          <w:sz w:val="32"/>
          <w:szCs w:val="32"/>
        </w:rPr>
        <w:t>/</w:t>
      </w:r>
      <w:r w:rsidRPr="00E00848">
        <w:rPr>
          <w:rFonts w:ascii="仿宋_GB2312" w:eastAsia="仿宋_GB2312" w:cs="宋体" w:hint="eastAsia"/>
          <w:kern w:val="0"/>
          <w:sz w:val="32"/>
          <w:szCs w:val="32"/>
        </w:rPr>
        <w:t>受益是可接受的，建议优先选择该类患者作为受试者开展临床试验研究。</w:t>
      </w:r>
    </w:p>
    <w:p w:rsidR="009968BF" w:rsidRPr="00E00848" w:rsidRDefault="009968BF" w:rsidP="00E00848">
      <w:pPr>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开展临床试验时建议采用与已上市同类产品进行对照的前瞻性、多中心、随机临床试验设计。如有充分的、科学合理证据，采用单臂研究也是合理的；目标值的设定应依据</w:t>
      </w:r>
      <w:r w:rsidRPr="00E00848">
        <w:rPr>
          <w:rFonts w:ascii="仿宋_GB2312" w:eastAsia="仿宋_GB2312" w:cs="宋体" w:hint="eastAsia"/>
          <w:kern w:val="0"/>
          <w:sz w:val="32"/>
          <w:szCs w:val="32"/>
        </w:rPr>
        <w:lastRenderedPageBreak/>
        <w:t>当前充分、科学、合理的同类产品循证医学证据，同时需考虑该类产品技术的发展，目标值的设定应有前瞻性。临床试验样本应符合统计学原则且</w:t>
      </w:r>
      <w:r w:rsidR="00F22928" w:rsidRPr="00E00848">
        <w:rPr>
          <w:rFonts w:ascii="仿宋_GB2312" w:eastAsia="仿宋_GB2312" w:cs="宋体" w:hint="eastAsia"/>
          <w:kern w:val="0"/>
          <w:sz w:val="32"/>
          <w:szCs w:val="32"/>
        </w:rPr>
        <w:t>现阶段</w:t>
      </w:r>
      <w:r w:rsidRPr="00E00848">
        <w:rPr>
          <w:rFonts w:ascii="仿宋_GB2312" w:eastAsia="仿宋_GB2312" w:cs="宋体" w:hint="eastAsia"/>
          <w:kern w:val="0"/>
          <w:sz w:val="32"/>
          <w:szCs w:val="32"/>
        </w:rPr>
        <w:t>可评价病例样本量不低于</w:t>
      </w:r>
      <w:r w:rsidRPr="00E00848">
        <w:rPr>
          <w:rFonts w:ascii="仿宋_GB2312" w:eastAsia="仿宋_GB2312" w:cs="FreeSerif" w:hint="eastAsia"/>
          <w:kern w:val="0"/>
          <w:sz w:val="32"/>
          <w:szCs w:val="32"/>
        </w:rPr>
        <w:t>100</w:t>
      </w:r>
      <w:r w:rsidRPr="00E00848">
        <w:rPr>
          <w:rFonts w:ascii="仿宋_GB2312" w:eastAsia="仿宋_GB2312" w:cs="宋体" w:hint="eastAsia"/>
          <w:kern w:val="0"/>
          <w:sz w:val="32"/>
          <w:szCs w:val="32"/>
        </w:rPr>
        <w:t>例。如采用单臂研究，建议连续入选所有符合入选</w:t>
      </w:r>
      <w:r w:rsidRPr="00E00848">
        <w:rPr>
          <w:rFonts w:ascii="仿宋_GB2312" w:eastAsia="仿宋_GB2312" w:cs="FreeSerif" w:hint="eastAsia"/>
          <w:kern w:val="0"/>
          <w:sz w:val="32"/>
          <w:szCs w:val="32"/>
        </w:rPr>
        <w:t>/</w:t>
      </w:r>
      <w:r w:rsidRPr="00E00848">
        <w:rPr>
          <w:rFonts w:ascii="仿宋_GB2312" w:eastAsia="仿宋_GB2312" w:cs="宋体" w:hint="eastAsia"/>
          <w:kern w:val="0"/>
          <w:sz w:val="32"/>
          <w:szCs w:val="32"/>
        </w:rPr>
        <w:t>排除标准的病人，并采用基于互联网（</w:t>
      </w:r>
      <w:r w:rsidRPr="00E00848">
        <w:rPr>
          <w:rFonts w:ascii="仿宋_GB2312" w:eastAsia="仿宋_GB2312" w:cs="FreeSerif" w:hint="eastAsia"/>
          <w:kern w:val="0"/>
          <w:sz w:val="32"/>
          <w:szCs w:val="32"/>
        </w:rPr>
        <w:t>IWR</w:t>
      </w:r>
      <w:r w:rsidR="00F85527" w:rsidRPr="00E00848">
        <w:rPr>
          <w:rFonts w:ascii="仿宋_GB2312" w:eastAsia="仿宋_GB2312" w:cs="FreeSerif" w:hint="eastAsia"/>
          <w:kern w:val="0"/>
          <w:sz w:val="32"/>
          <w:szCs w:val="32"/>
        </w:rPr>
        <w:t>S</w:t>
      </w:r>
      <w:r w:rsidRPr="00E00848">
        <w:rPr>
          <w:rFonts w:ascii="仿宋_GB2312" w:eastAsia="仿宋_GB2312" w:cs="宋体" w:hint="eastAsia"/>
          <w:kern w:val="0"/>
          <w:sz w:val="32"/>
          <w:szCs w:val="32"/>
        </w:rPr>
        <w:t>）</w:t>
      </w:r>
      <w:r w:rsidRPr="00E00848">
        <w:rPr>
          <w:rFonts w:ascii="仿宋_GB2312" w:eastAsia="仿宋_GB2312" w:cs="FreeSerif" w:hint="eastAsia"/>
          <w:kern w:val="0"/>
          <w:sz w:val="32"/>
          <w:szCs w:val="32"/>
        </w:rPr>
        <w:t>/</w:t>
      </w:r>
      <w:r w:rsidRPr="00E00848">
        <w:rPr>
          <w:rFonts w:ascii="仿宋_GB2312" w:eastAsia="仿宋_GB2312" w:cs="宋体" w:hint="eastAsia"/>
          <w:kern w:val="0"/>
          <w:sz w:val="32"/>
          <w:szCs w:val="32"/>
        </w:rPr>
        <w:t>电话（</w:t>
      </w:r>
      <w:r w:rsidRPr="00E00848">
        <w:rPr>
          <w:rFonts w:ascii="仿宋_GB2312" w:eastAsia="仿宋_GB2312" w:cs="FreeSerif" w:hint="eastAsia"/>
          <w:kern w:val="0"/>
          <w:sz w:val="32"/>
          <w:szCs w:val="32"/>
        </w:rPr>
        <w:t>IVR</w:t>
      </w:r>
      <w:r w:rsidR="00F85527" w:rsidRPr="00E00848">
        <w:rPr>
          <w:rFonts w:ascii="仿宋_GB2312" w:eastAsia="仿宋_GB2312" w:cs="FreeSerif" w:hint="eastAsia"/>
          <w:kern w:val="0"/>
          <w:sz w:val="32"/>
          <w:szCs w:val="32"/>
        </w:rPr>
        <w:t>S</w:t>
      </w:r>
      <w:r w:rsidRPr="00E00848">
        <w:rPr>
          <w:rFonts w:ascii="仿宋_GB2312" w:eastAsia="仿宋_GB2312" w:cs="宋体" w:hint="eastAsia"/>
          <w:kern w:val="0"/>
          <w:sz w:val="32"/>
          <w:szCs w:val="32"/>
        </w:rPr>
        <w:t>）</w:t>
      </w:r>
      <w:r w:rsidRPr="00E00848">
        <w:rPr>
          <w:rFonts w:ascii="仿宋_GB2312" w:eastAsia="仿宋_GB2312" w:cs="FreeSerif" w:hint="eastAsia"/>
          <w:kern w:val="0"/>
          <w:sz w:val="32"/>
          <w:szCs w:val="32"/>
        </w:rPr>
        <w:t>/</w:t>
      </w:r>
      <w:r w:rsidRPr="00E00848">
        <w:rPr>
          <w:rFonts w:ascii="仿宋_GB2312" w:eastAsia="仿宋_GB2312" w:cs="宋体" w:hint="eastAsia"/>
          <w:kern w:val="0"/>
          <w:sz w:val="32"/>
          <w:szCs w:val="32"/>
        </w:rPr>
        <w:t>传真等计算机系统分配病例登记号，所有病例登记</w:t>
      </w:r>
      <w:proofErr w:type="gramStart"/>
      <w:r w:rsidRPr="00E00848">
        <w:rPr>
          <w:rFonts w:ascii="仿宋_GB2312" w:eastAsia="仿宋_GB2312" w:cs="宋体" w:hint="eastAsia"/>
          <w:kern w:val="0"/>
          <w:sz w:val="32"/>
          <w:szCs w:val="32"/>
        </w:rPr>
        <w:t>号不得</w:t>
      </w:r>
      <w:proofErr w:type="gramEnd"/>
      <w:r w:rsidRPr="00E00848">
        <w:rPr>
          <w:rFonts w:ascii="仿宋_GB2312" w:eastAsia="仿宋_GB2312" w:cs="宋体" w:hint="eastAsia"/>
          <w:kern w:val="0"/>
          <w:sz w:val="32"/>
          <w:szCs w:val="32"/>
        </w:rPr>
        <w:t>二次使用。</w:t>
      </w:r>
    </w:p>
    <w:p w:rsidR="009968BF" w:rsidRPr="00E00848" w:rsidRDefault="00E00848" w:rsidP="00E00848">
      <w:pPr>
        <w:autoSpaceDE w:val="0"/>
        <w:autoSpaceDN w:val="0"/>
        <w:ind w:firstLineChars="200" w:firstLine="643"/>
        <w:jc w:val="both"/>
        <w:rPr>
          <w:rFonts w:ascii="仿宋_GB2312" w:eastAsia="仿宋_GB2312" w:cs="Times New Roman" w:hint="eastAsia"/>
          <w:b/>
          <w:kern w:val="0"/>
          <w:sz w:val="32"/>
          <w:szCs w:val="32"/>
        </w:rPr>
      </w:pPr>
      <w:r>
        <w:rPr>
          <w:rFonts w:ascii="仿宋_GB2312" w:eastAsia="仿宋_GB2312" w:cs="宋体" w:hint="eastAsia"/>
          <w:b/>
          <w:kern w:val="0"/>
          <w:sz w:val="32"/>
          <w:szCs w:val="32"/>
        </w:rPr>
        <w:t>（二）</w:t>
      </w:r>
      <w:r w:rsidR="009968BF" w:rsidRPr="00E00848">
        <w:rPr>
          <w:rFonts w:ascii="仿宋_GB2312" w:eastAsia="仿宋_GB2312" w:cs="宋体" w:hint="eastAsia"/>
          <w:b/>
          <w:kern w:val="0"/>
          <w:sz w:val="32"/>
          <w:szCs w:val="32"/>
        </w:rPr>
        <w:t>手术高风险但可进行常规外科手术有症状的重度主动脉瓣狭窄患者</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建议开展与标准手术治疗方法（外科主动脉瓣置换手术）或有相同适用范围的已上市同类产品作为对照的前瞻性、多中心、随机对照临床试验。临床试验样本应符合统计学原则。</w:t>
      </w:r>
    </w:p>
    <w:p w:rsidR="009968BF" w:rsidRPr="00E00848" w:rsidRDefault="00E00848" w:rsidP="00E00848">
      <w:pPr>
        <w:autoSpaceDE w:val="0"/>
        <w:autoSpaceDN w:val="0"/>
        <w:ind w:firstLineChars="200" w:firstLine="643"/>
        <w:jc w:val="both"/>
        <w:rPr>
          <w:rFonts w:ascii="仿宋_GB2312" w:eastAsia="仿宋_GB2312" w:cs="Times New Roman" w:hint="eastAsia"/>
          <w:b/>
          <w:kern w:val="0"/>
          <w:sz w:val="32"/>
          <w:szCs w:val="32"/>
        </w:rPr>
      </w:pPr>
      <w:r>
        <w:rPr>
          <w:rFonts w:ascii="仿宋_GB2312" w:eastAsia="仿宋_GB2312" w:cs="宋体" w:hint="eastAsia"/>
          <w:b/>
          <w:kern w:val="0"/>
          <w:sz w:val="32"/>
          <w:szCs w:val="32"/>
        </w:rPr>
        <w:t>（三）</w:t>
      </w:r>
      <w:r w:rsidR="009968BF" w:rsidRPr="00E00848">
        <w:rPr>
          <w:rFonts w:ascii="仿宋_GB2312" w:eastAsia="仿宋_GB2312" w:cs="宋体" w:hint="eastAsia"/>
          <w:b/>
          <w:kern w:val="0"/>
          <w:sz w:val="32"/>
          <w:szCs w:val="32"/>
        </w:rPr>
        <w:t>其它</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对于其它病理特征如单纯的主动脉瓣膜返流、主动脉瓣置换后结构毁损、二瓣化畸形导致主动脉瓣狭窄，由于目前缺乏足够的临床证据证明</w:t>
      </w:r>
      <w:r w:rsidRPr="00E00848">
        <w:rPr>
          <w:rFonts w:ascii="仿宋_GB2312" w:eastAsia="仿宋_GB2312" w:cs="FreeSerif" w:hint="eastAsia"/>
          <w:kern w:val="0"/>
          <w:sz w:val="32"/>
          <w:szCs w:val="32"/>
        </w:rPr>
        <w:t>TAVI</w:t>
      </w:r>
      <w:r w:rsidRPr="00E00848">
        <w:rPr>
          <w:rFonts w:ascii="仿宋_GB2312" w:eastAsia="仿宋_GB2312" w:cs="宋体" w:hint="eastAsia"/>
          <w:kern w:val="0"/>
          <w:sz w:val="32"/>
          <w:szCs w:val="32"/>
        </w:rPr>
        <w:t>治疗的有效性，如选择具有该类病理特征人群时应十分慎重，建议进行前瞻性多中心随机对照的临床试验设计，并提供符合统计学原则的充分证据。</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患者入组前应由心脏团队进行严谨地评估，选择合适的人群开展临床试验研究，同时建议注意以下问题：</w:t>
      </w:r>
    </w:p>
    <w:p w:rsidR="009968BF" w:rsidRPr="00E00848" w:rsidRDefault="00E00848" w:rsidP="00E00848">
      <w:pPr>
        <w:autoSpaceDE w:val="0"/>
        <w:autoSpaceDN w:val="0"/>
        <w:ind w:firstLineChars="200" w:firstLine="643"/>
        <w:jc w:val="both"/>
        <w:rPr>
          <w:rFonts w:ascii="仿宋_GB2312" w:eastAsia="仿宋_GB2312" w:cs="Times New Roman" w:hint="eastAsia"/>
          <w:b/>
          <w:kern w:val="0"/>
          <w:sz w:val="32"/>
          <w:szCs w:val="32"/>
        </w:rPr>
      </w:pPr>
      <w:r>
        <w:rPr>
          <w:rFonts w:ascii="仿宋_GB2312" w:eastAsia="仿宋_GB2312" w:cs="宋体" w:hint="eastAsia"/>
          <w:b/>
          <w:kern w:val="0"/>
          <w:sz w:val="32"/>
          <w:szCs w:val="32"/>
        </w:rPr>
        <w:t>1.</w:t>
      </w:r>
      <w:r w:rsidR="009968BF" w:rsidRPr="00E00848">
        <w:rPr>
          <w:rFonts w:ascii="仿宋_GB2312" w:eastAsia="仿宋_GB2312" w:cs="宋体" w:hint="eastAsia"/>
          <w:b/>
          <w:kern w:val="0"/>
          <w:sz w:val="32"/>
          <w:szCs w:val="32"/>
        </w:rPr>
        <w:t>确定主动脉瓣膜狭窄程度</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可采用超声心动技术如经</w:t>
      </w:r>
      <w:r w:rsidR="00763BD0" w:rsidRPr="00E00848">
        <w:rPr>
          <w:rFonts w:ascii="仿宋_GB2312" w:eastAsia="仿宋_GB2312" w:cs="宋体" w:hint="eastAsia"/>
          <w:kern w:val="0"/>
          <w:sz w:val="32"/>
          <w:szCs w:val="32"/>
        </w:rPr>
        <w:t>食道</w:t>
      </w:r>
      <w:r w:rsidRPr="00E00848">
        <w:rPr>
          <w:rFonts w:ascii="仿宋_GB2312" w:eastAsia="仿宋_GB2312" w:cs="FreeSerif" w:hint="eastAsia"/>
          <w:kern w:val="0"/>
          <w:sz w:val="32"/>
          <w:szCs w:val="32"/>
        </w:rPr>
        <w:t>/</w:t>
      </w:r>
      <w:r w:rsidR="00763BD0" w:rsidRPr="00E00848">
        <w:rPr>
          <w:rFonts w:ascii="仿宋_GB2312" w:eastAsia="仿宋_GB2312" w:cs="宋体" w:hint="eastAsia"/>
          <w:kern w:val="0"/>
          <w:sz w:val="32"/>
          <w:szCs w:val="32"/>
        </w:rPr>
        <w:t>胸</w:t>
      </w:r>
      <w:r w:rsidRPr="00E00848">
        <w:rPr>
          <w:rFonts w:ascii="仿宋_GB2312" w:eastAsia="仿宋_GB2312" w:cs="宋体" w:hint="eastAsia"/>
          <w:kern w:val="0"/>
          <w:sz w:val="32"/>
          <w:szCs w:val="32"/>
        </w:rPr>
        <w:t>超声，结合瓣口面积</w:t>
      </w:r>
      <w:r w:rsidRPr="00E00848">
        <w:rPr>
          <w:rFonts w:ascii="仿宋_GB2312" w:eastAsia="仿宋_GB2312" w:cs="宋体" w:hint="eastAsia"/>
          <w:kern w:val="0"/>
          <w:sz w:val="32"/>
          <w:szCs w:val="32"/>
        </w:rPr>
        <w:lastRenderedPageBreak/>
        <w:t>及血流依赖指数（</w:t>
      </w:r>
      <w:r w:rsidRPr="00E00848">
        <w:rPr>
          <w:rFonts w:ascii="仿宋_GB2312" w:eastAsia="仿宋_GB2312" w:cs="FreeSerif" w:hint="eastAsia"/>
          <w:kern w:val="0"/>
          <w:sz w:val="32"/>
          <w:szCs w:val="32"/>
        </w:rPr>
        <w:t>flow-dependent indices</w:t>
      </w:r>
      <w:r w:rsidRPr="00E00848">
        <w:rPr>
          <w:rFonts w:ascii="仿宋_GB2312" w:eastAsia="仿宋_GB2312" w:cs="宋体" w:hint="eastAsia"/>
          <w:kern w:val="0"/>
          <w:sz w:val="32"/>
          <w:szCs w:val="32"/>
        </w:rPr>
        <w:t>）对瓣膜狭窄程度进行评估，评估中注意鉴别低压力梯度和低流量的严重主动脉瓣膜狭窄患者。</w:t>
      </w:r>
    </w:p>
    <w:p w:rsidR="009968BF" w:rsidRPr="00E00848" w:rsidRDefault="00E00848" w:rsidP="00E00848">
      <w:pPr>
        <w:autoSpaceDE w:val="0"/>
        <w:autoSpaceDN w:val="0"/>
        <w:ind w:firstLineChars="200" w:firstLine="643"/>
        <w:jc w:val="both"/>
        <w:rPr>
          <w:rFonts w:ascii="仿宋_GB2312" w:eastAsia="仿宋_GB2312" w:cs="Times New Roman" w:hint="eastAsia"/>
          <w:b/>
          <w:kern w:val="0"/>
          <w:sz w:val="32"/>
          <w:szCs w:val="32"/>
        </w:rPr>
      </w:pPr>
      <w:r>
        <w:rPr>
          <w:rFonts w:ascii="仿宋_GB2312" w:eastAsia="仿宋_GB2312" w:cs="宋体" w:hint="eastAsia"/>
          <w:b/>
          <w:kern w:val="0"/>
          <w:sz w:val="32"/>
          <w:szCs w:val="32"/>
        </w:rPr>
        <w:t>2.</w:t>
      </w:r>
      <w:r w:rsidR="009968BF" w:rsidRPr="00E00848">
        <w:rPr>
          <w:rFonts w:ascii="仿宋_GB2312" w:eastAsia="仿宋_GB2312" w:cs="宋体" w:hint="eastAsia"/>
          <w:b/>
          <w:kern w:val="0"/>
          <w:sz w:val="32"/>
          <w:szCs w:val="32"/>
        </w:rPr>
        <w:t>对于临床症状进行评估</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由于目前对于该技术的安全性和有效性评估数据较少，建议仅用于明确的症状性严重主动脉瓣膜狭窄患者。</w:t>
      </w:r>
    </w:p>
    <w:p w:rsidR="009968BF" w:rsidRPr="00E00848" w:rsidRDefault="00E00848" w:rsidP="00E00848">
      <w:pPr>
        <w:autoSpaceDE w:val="0"/>
        <w:autoSpaceDN w:val="0"/>
        <w:ind w:firstLineChars="200" w:firstLine="643"/>
        <w:jc w:val="both"/>
        <w:rPr>
          <w:rFonts w:ascii="仿宋_GB2312" w:eastAsia="仿宋_GB2312" w:cs="Times New Roman" w:hint="eastAsia"/>
          <w:b/>
          <w:kern w:val="0"/>
          <w:sz w:val="32"/>
          <w:szCs w:val="32"/>
        </w:rPr>
      </w:pPr>
      <w:r>
        <w:rPr>
          <w:rFonts w:ascii="仿宋_GB2312" w:eastAsia="仿宋_GB2312" w:cs="宋体" w:hint="eastAsia"/>
          <w:b/>
          <w:kern w:val="0"/>
          <w:sz w:val="32"/>
          <w:szCs w:val="32"/>
        </w:rPr>
        <w:t>3.</w:t>
      </w:r>
      <w:r w:rsidR="009968BF" w:rsidRPr="00E00848">
        <w:rPr>
          <w:rFonts w:ascii="仿宋_GB2312" w:eastAsia="仿宋_GB2312" w:cs="宋体" w:hint="eastAsia"/>
          <w:b/>
          <w:kern w:val="0"/>
          <w:sz w:val="32"/>
          <w:szCs w:val="32"/>
        </w:rPr>
        <w:t>分析外科手术风险并评估患者的生存期</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心脏团队应对入组患者的外科手术风险进行评估，可结合不同的评分系统，如</w:t>
      </w:r>
      <w:proofErr w:type="spellStart"/>
      <w:r w:rsidRPr="00E00848">
        <w:rPr>
          <w:rFonts w:ascii="仿宋_GB2312" w:eastAsia="仿宋_GB2312" w:cs="FreeSerif" w:hint="eastAsia"/>
          <w:kern w:val="0"/>
          <w:sz w:val="32"/>
          <w:szCs w:val="32"/>
        </w:rPr>
        <w:t>EuroScore</w:t>
      </w:r>
      <w:proofErr w:type="spellEnd"/>
      <w:r w:rsidRPr="00E00848">
        <w:rPr>
          <w:rFonts w:ascii="仿宋_GB2312" w:eastAsia="仿宋_GB2312" w:cs="宋体" w:hint="eastAsia"/>
          <w:kern w:val="0"/>
          <w:sz w:val="32"/>
          <w:szCs w:val="32"/>
        </w:rPr>
        <w:t>、</w:t>
      </w:r>
      <w:r w:rsidRPr="00E00848">
        <w:rPr>
          <w:rFonts w:ascii="仿宋_GB2312" w:eastAsia="仿宋_GB2312" w:cs="FreeSerif" w:hint="eastAsia"/>
          <w:kern w:val="0"/>
          <w:sz w:val="32"/>
          <w:szCs w:val="32"/>
        </w:rPr>
        <w:t>STS score</w:t>
      </w:r>
      <w:r w:rsidRPr="00E00848">
        <w:rPr>
          <w:rFonts w:ascii="仿宋_GB2312" w:eastAsia="仿宋_GB2312" w:cs="宋体" w:hint="eastAsia"/>
          <w:kern w:val="0"/>
          <w:sz w:val="32"/>
          <w:szCs w:val="32"/>
        </w:rPr>
        <w:t>或</w:t>
      </w:r>
      <w:r w:rsidRPr="00E00848">
        <w:rPr>
          <w:rFonts w:ascii="仿宋_GB2312" w:eastAsia="仿宋_GB2312" w:cs="FreeSerif" w:hint="eastAsia"/>
          <w:kern w:val="0"/>
          <w:sz w:val="32"/>
          <w:szCs w:val="32"/>
        </w:rPr>
        <w:t>Ambler score</w:t>
      </w:r>
      <w:r w:rsidRPr="00E00848">
        <w:rPr>
          <w:rFonts w:ascii="仿宋_GB2312" w:eastAsia="仿宋_GB2312" w:cs="宋体" w:hint="eastAsia"/>
          <w:kern w:val="0"/>
          <w:sz w:val="32"/>
          <w:szCs w:val="32"/>
        </w:rPr>
        <w:t>、虚弱指数等，但由于评分系统具有局限性，因此心脏团队也应结合临床判断对于外科手术风险进行评估，如</w:t>
      </w:r>
      <w:r w:rsidRPr="00E00848">
        <w:rPr>
          <w:rFonts w:ascii="仿宋_GB2312" w:eastAsia="仿宋_GB2312" w:cs="FreeSerif" w:hint="eastAsia"/>
          <w:kern w:val="0"/>
          <w:sz w:val="32"/>
          <w:szCs w:val="32"/>
        </w:rPr>
        <w:t>30</w:t>
      </w:r>
      <w:r w:rsidRPr="00E00848">
        <w:rPr>
          <w:rFonts w:ascii="仿宋_GB2312" w:eastAsia="仿宋_GB2312" w:cs="宋体" w:hint="eastAsia"/>
          <w:kern w:val="0"/>
          <w:sz w:val="32"/>
          <w:szCs w:val="32"/>
        </w:rPr>
        <w:t>天死亡率。</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由于共患疾病严重影响生存期，因此应对患者生存期进行严谨、仔细评估，对预期生存期</w:t>
      </w:r>
      <w:r w:rsidRPr="00E00848">
        <w:rPr>
          <w:rFonts w:ascii="仿宋_GB2312" w:eastAsia="仿宋_GB2312" w:cs="FreeSerif" w:hint="eastAsia"/>
          <w:kern w:val="0"/>
          <w:sz w:val="32"/>
          <w:szCs w:val="32"/>
        </w:rPr>
        <w:t>&lt;1</w:t>
      </w:r>
      <w:r w:rsidRPr="00E00848">
        <w:rPr>
          <w:rFonts w:ascii="仿宋_GB2312" w:eastAsia="仿宋_GB2312" w:cs="宋体" w:hint="eastAsia"/>
          <w:kern w:val="0"/>
          <w:sz w:val="32"/>
          <w:szCs w:val="32"/>
        </w:rPr>
        <w:t>年的患者需谨慎选择。考虑经导管生物瓣膜的长期使用寿命，建议年龄应不低于</w:t>
      </w:r>
      <w:r w:rsidRPr="00E00848">
        <w:rPr>
          <w:rFonts w:ascii="仿宋_GB2312" w:eastAsia="仿宋_GB2312" w:cs="FreeSerif" w:hint="eastAsia"/>
          <w:kern w:val="0"/>
          <w:sz w:val="32"/>
          <w:szCs w:val="32"/>
        </w:rPr>
        <w:t>70</w:t>
      </w:r>
      <w:r w:rsidRPr="00E00848">
        <w:rPr>
          <w:rFonts w:ascii="仿宋_GB2312" w:eastAsia="仿宋_GB2312" w:cs="宋体" w:hint="eastAsia"/>
          <w:kern w:val="0"/>
          <w:sz w:val="32"/>
          <w:szCs w:val="32"/>
        </w:rPr>
        <w:t>岁，如降低年龄下限需非常慎重。</w:t>
      </w:r>
    </w:p>
    <w:p w:rsidR="009968BF" w:rsidRPr="00E00848" w:rsidRDefault="009968BF" w:rsidP="00E00848">
      <w:pPr>
        <w:autoSpaceDE w:val="0"/>
        <w:autoSpaceDN w:val="0"/>
        <w:ind w:firstLineChars="200" w:firstLine="640"/>
        <w:jc w:val="both"/>
        <w:rPr>
          <w:rFonts w:ascii="黑体" w:eastAsia="黑体" w:hAnsi="黑体" w:cs="宋体" w:hint="eastAsia"/>
          <w:kern w:val="0"/>
          <w:sz w:val="32"/>
          <w:szCs w:val="32"/>
        </w:rPr>
      </w:pPr>
      <w:r w:rsidRPr="00E00848">
        <w:rPr>
          <w:rFonts w:ascii="黑体" w:eastAsia="黑体" w:hAnsi="黑体" w:cs="宋体" w:hint="eastAsia"/>
          <w:kern w:val="0"/>
          <w:sz w:val="32"/>
          <w:szCs w:val="32"/>
        </w:rPr>
        <w:t>二、临床试验中的研究终点</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无论采用何种临床设计，在临床方案中均应对研究终点进行明确的定义，提供确定依据。建议对发生的主要心脑血管不良事件（</w:t>
      </w:r>
      <w:r w:rsidRPr="00E00848">
        <w:rPr>
          <w:rFonts w:ascii="仿宋_GB2312" w:eastAsia="仿宋_GB2312" w:cs="FreeSerif" w:hint="eastAsia"/>
          <w:kern w:val="0"/>
          <w:sz w:val="32"/>
          <w:szCs w:val="32"/>
        </w:rPr>
        <w:t>MACCE</w:t>
      </w:r>
      <w:r w:rsidRPr="00E00848">
        <w:rPr>
          <w:rFonts w:ascii="仿宋_GB2312" w:eastAsia="仿宋_GB2312" w:cs="宋体" w:hint="eastAsia"/>
          <w:kern w:val="0"/>
          <w:sz w:val="32"/>
          <w:szCs w:val="32"/>
        </w:rPr>
        <w:t>，包括死亡率、卒中、心肌梗死、再手术、心律失常、传导阻滞）及预期的和非预期的不良事件均进行记录，并详细分析原因。</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临床试验主要研究终点应选择具有临床意义的主要评</w:t>
      </w:r>
      <w:r w:rsidRPr="00E00848">
        <w:rPr>
          <w:rFonts w:ascii="仿宋_GB2312" w:eastAsia="仿宋_GB2312" w:cs="宋体" w:hint="eastAsia"/>
          <w:kern w:val="0"/>
          <w:sz w:val="32"/>
          <w:szCs w:val="32"/>
        </w:rPr>
        <w:lastRenderedPageBreak/>
        <w:t>价指标，目前建议以</w:t>
      </w:r>
      <w:r w:rsidRPr="00E00848">
        <w:rPr>
          <w:rFonts w:ascii="仿宋_GB2312" w:eastAsia="仿宋_GB2312" w:cs="FreeSerif" w:hint="eastAsia"/>
          <w:kern w:val="0"/>
          <w:sz w:val="32"/>
          <w:szCs w:val="32"/>
        </w:rPr>
        <w:t>12</w:t>
      </w:r>
      <w:r w:rsidRPr="00E00848">
        <w:rPr>
          <w:rFonts w:ascii="仿宋_GB2312" w:eastAsia="仿宋_GB2312" w:cs="宋体" w:hint="eastAsia"/>
          <w:kern w:val="0"/>
          <w:sz w:val="32"/>
          <w:szCs w:val="32"/>
        </w:rPr>
        <w:t>个月的累积全因死亡率作为主要研究终点并估计样本量，同时应对以下次要终点进行评估，包括但不限于：</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1.</w:t>
      </w:r>
      <w:r w:rsidR="009968BF" w:rsidRPr="00E00848">
        <w:rPr>
          <w:rFonts w:ascii="仿宋_GB2312" w:eastAsia="仿宋_GB2312" w:cs="宋体" w:hint="eastAsia"/>
          <w:kern w:val="0"/>
          <w:sz w:val="32"/>
          <w:szCs w:val="32"/>
        </w:rPr>
        <w:t>器械成功率和手术成功率</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2.</w:t>
      </w:r>
      <w:r w:rsidR="009968BF" w:rsidRPr="00E00848">
        <w:rPr>
          <w:rFonts w:ascii="仿宋_GB2312" w:eastAsia="仿宋_GB2312" w:cs="宋体" w:hint="eastAsia"/>
          <w:kern w:val="0"/>
          <w:sz w:val="32"/>
          <w:szCs w:val="32"/>
        </w:rPr>
        <w:t>死亡率</w:t>
      </w:r>
    </w:p>
    <w:p w:rsidR="009968BF" w:rsidRPr="00E00848" w:rsidRDefault="00E00848" w:rsidP="00E00848">
      <w:pPr>
        <w:autoSpaceDE w:val="0"/>
        <w:autoSpaceDN w:val="0"/>
        <w:ind w:firstLineChars="200" w:firstLine="640"/>
        <w:jc w:val="both"/>
        <w:rPr>
          <w:rFonts w:ascii="仿宋_GB2312" w:eastAsia="仿宋_GB2312" w:cs="Times New Roman" w:hint="eastAsia"/>
          <w:kern w:val="0"/>
          <w:sz w:val="32"/>
          <w:szCs w:val="32"/>
        </w:rPr>
      </w:pPr>
      <w:r>
        <w:rPr>
          <w:rFonts w:ascii="仿宋_GB2312" w:eastAsia="仿宋_GB2312" w:cs="宋体" w:hint="eastAsia"/>
          <w:kern w:val="0"/>
          <w:sz w:val="32"/>
          <w:szCs w:val="32"/>
        </w:rPr>
        <w:t>（1）</w:t>
      </w:r>
      <w:r w:rsidR="009968BF" w:rsidRPr="00E00848">
        <w:rPr>
          <w:rFonts w:ascii="仿宋_GB2312" w:eastAsia="仿宋_GB2312" w:cs="宋体" w:hint="eastAsia"/>
          <w:kern w:val="0"/>
          <w:sz w:val="32"/>
          <w:szCs w:val="32"/>
        </w:rPr>
        <w:t>即刻死亡率，用于评估导致即刻或术后</w:t>
      </w:r>
      <w:r w:rsidR="009968BF" w:rsidRPr="00E00848">
        <w:rPr>
          <w:rFonts w:ascii="仿宋_GB2312" w:eastAsia="仿宋_GB2312" w:cs="FreeSerif" w:hint="eastAsia"/>
          <w:kern w:val="0"/>
          <w:sz w:val="32"/>
          <w:szCs w:val="32"/>
        </w:rPr>
        <w:t>72h</w:t>
      </w:r>
      <w:r w:rsidR="009968BF" w:rsidRPr="00E00848">
        <w:rPr>
          <w:rFonts w:ascii="仿宋_GB2312" w:eastAsia="仿宋_GB2312" w:cs="宋体" w:hint="eastAsia"/>
          <w:kern w:val="0"/>
          <w:sz w:val="32"/>
          <w:szCs w:val="32"/>
        </w:rPr>
        <w:t>内死亡的术中事件；</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（2）</w:t>
      </w:r>
      <w:r w:rsidR="009968BF" w:rsidRPr="00E00848">
        <w:rPr>
          <w:rFonts w:ascii="仿宋_GB2312" w:eastAsia="仿宋_GB2312" w:cs="宋体" w:hint="eastAsia"/>
          <w:kern w:val="0"/>
          <w:sz w:val="32"/>
          <w:szCs w:val="32"/>
        </w:rPr>
        <w:t>术后</w:t>
      </w:r>
      <w:r w:rsidR="009968BF" w:rsidRPr="00E00848">
        <w:rPr>
          <w:rFonts w:ascii="仿宋_GB2312" w:eastAsia="仿宋_GB2312" w:cs="FreeSerif" w:hint="eastAsia"/>
          <w:kern w:val="0"/>
          <w:sz w:val="32"/>
          <w:szCs w:val="32"/>
        </w:rPr>
        <w:t>30</w:t>
      </w:r>
      <w:r w:rsidR="009968BF" w:rsidRPr="00E00848">
        <w:rPr>
          <w:rFonts w:ascii="仿宋_GB2312" w:eastAsia="仿宋_GB2312" w:cs="宋体" w:hint="eastAsia"/>
          <w:kern w:val="0"/>
          <w:sz w:val="32"/>
          <w:szCs w:val="32"/>
        </w:rPr>
        <w:t>天及以后随访中的死亡事件；</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（3）</w:t>
      </w:r>
      <w:r w:rsidR="009968BF" w:rsidRPr="00E00848">
        <w:rPr>
          <w:rFonts w:ascii="仿宋_GB2312" w:eastAsia="仿宋_GB2312" w:cs="宋体" w:hint="eastAsia"/>
          <w:kern w:val="0"/>
          <w:sz w:val="32"/>
          <w:szCs w:val="32"/>
        </w:rPr>
        <w:t>对于所有的死亡原因应进行分析并记录，非心源性死亡和心源性死亡的原因都应进行分析，并判定同器械相关性。</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3.</w:t>
      </w:r>
      <w:r w:rsidR="009968BF" w:rsidRPr="00E00848">
        <w:rPr>
          <w:rFonts w:ascii="仿宋_GB2312" w:eastAsia="仿宋_GB2312" w:cs="宋体" w:hint="eastAsia"/>
          <w:kern w:val="0"/>
          <w:sz w:val="32"/>
          <w:szCs w:val="32"/>
        </w:rPr>
        <w:t>心肌梗死</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可通过临床标准和</w:t>
      </w:r>
      <w:bookmarkStart w:id="4" w:name="OLE_LINK7"/>
      <w:bookmarkStart w:id="5" w:name="OLE_LINK8"/>
      <w:r w:rsidRPr="00E00848">
        <w:rPr>
          <w:rFonts w:ascii="仿宋_GB2312" w:eastAsia="仿宋_GB2312" w:cs="宋体" w:hint="eastAsia"/>
          <w:kern w:val="0"/>
          <w:sz w:val="32"/>
          <w:szCs w:val="32"/>
        </w:rPr>
        <w:t>心脏生物标记物</w:t>
      </w:r>
      <w:bookmarkEnd w:id="4"/>
      <w:bookmarkEnd w:id="5"/>
      <w:r w:rsidRPr="00E00848">
        <w:rPr>
          <w:rFonts w:ascii="仿宋_GB2312" w:eastAsia="仿宋_GB2312" w:cs="宋体" w:hint="eastAsia"/>
          <w:kern w:val="0"/>
          <w:sz w:val="32"/>
          <w:szCs w:val="32"/>
        </w:rPr>
        <w:t>相结合的方式评估心肌梗死，建议在术前和术后</w:t>
      </w:r>
      <w:r w:rsidRPr="00E00848">
        <w:rPr>
          <w:rFonts w:ascii="仿宋_GB2312" w:eastAsia="仿宋_GB2312" w:cs="FreeSerif" w:hint="eastAsia"/>
          <w:kern w:val="0"/>
          <w:sz w:val="32"/>
          <w:szCs w:val="32"/>
        </w:rPr>
        <w:t>12-24h</w:t>
      </w:r>
      <w:r w:rsidRPr="00E00848">
        <w:rPr>
          <w:rFonts w:ascii="仿宋_GB2312" w:eastAsia="仿宋_GB2312" w:cs="宋体" w:hint="eastAsia"/>
          <w:kern w:val="0"/>
          <w:sz w:val="32"/>
          <w:szCs w:val="32"/>
        </w:rPr>
        <w:t>测量心脏生物标记物，之后间隔</w:t>
      </w:r>
      <w:r w:rsidRPr="00E00848">
        <w:rPr>
          <w:rFonts w:ascii="仿宋_GB2312" w:eastAsia="仿宋_GB2312" w:cs="FreeSerif" w:hint="eastAsia"/>
          <w:kern w:val="0"/>
          <w:sz w:val="32"/>
          <w:szCs w:val="32"/>
        </w:rPr>
        <w:t>24h</w:t>
      </w:r>
      <w:r w:rsidRPr="00E00848">
        <w:rPr>
          <w:rFonts w:ascii="仿宋_GB2312" w:eastAsia="仿宋_GB2312" w:cs="宋体" w:hint="eastAsia"/>
          <w:kern w:val="0"/>
          <w:sz w:val="32"/>
          <w:szCs w:val="32"/>
        </w:rPr>
        <w:t>至</w:t>
      </w:r>
      <w:r w:rsidRPr="00E00848">
        <w:rPr>
          <w:rFonts w:ascii="仿宋_GB2312" w:eastAsia="仿宋_GB2312" w:cs="FreeSerif" w:hint="eastAsia"/>
          <w:kern w:val="0"/>
          <w:sz w:val="32"/>
          <w:szCs w:val="32"/>
        </w:rPr>
        <w:t>72h</w:t>
      </w:r>
      <w:r w:rsidRPr="00E00848">
        <w:rPr>
          <w:rFonts w:ascii="仿宋_GB2312" w:eastAsia="仿宋_GB2312" w:cs="宋体" w:hint="eastAsia"/>
          <w:kern w:val="0"/>
          <w:sz w:val="32"/>
          <w:szCs w:val="32"/>
        </w:rPr>
        <w:t>或至测量值下降进行监测。</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4.</w:t>
      </w:r>
      <w:r w:rsidR="009968BF" w:rsidRPr="00E00848">
        <w:rPr>
          <w:rFonts w:ascii="仿宋_GB2312" w:eastAsia="仿宋_GB2312" w:cs="宋体" w:hint="eastAsia"/>
          <w:kern w:val="0"/>
          <w:sz w:val="32"/>
          <w:szCs w:val="32"/>
        </w:rPr>
        <w:t>卒中</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分级包括缺血性卒中（包括短暂性缺血发作，</w:t>
      </w:r>
      <w:r w:rsidRPr="00E00848">
        <w:rPr>
          <w:rFonts w:ascii="仿宋_GB2312" w:eastAsia="仿宋_GB2312" w:cs="FreeSerif" w:hint="eastAsia"/>
          <w:kern w:val="0"/>
          <w:sz w:val="32"/>
          <w:szCs w:val="32"/>
        </w:rPr>
        <w:t>TIA</w:t>
      </w:r>
      <w:r w:rsidRPr="00E00848">
        <w:rPr>
          <w:rFonts w:ascii="仿宋_GB2312" w:eastAsia="仿宋_GB2312" w:cs="宋体" w:hint="eastAsia"/>
          <w:kern w:val="0"/>
          <w:sz w:val="32"/>
          <w:szCs w:val="32"/>
        </w:rPr>
        <w:t>）和出血性卒中；定义包括致残性卒中和非致残性卒中。应对发生的卒中事件进行记录，并详细分析原因。</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5.</w:t>
      </w:r>
      <w:r w:rsidR="009968BF" w:rsidRPr="00E00848">
        <w:rPr>
          <w:rFonts w:ascii="仿宋_GB2312" w:eastAsia="仿宋_GB2312" w:cs="宋体" w:hint="eastAsia"/>
          <w:kern w:val="0"/>
          <w:sz w:val="32"/>
          <w:szCs w:val="32"/>
        </w:rPr>
        <w:t>出血</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6.</w:t>
      </w:r>
      <w:r w:rsidR="009968BF" w:rsidRPr="00E00848">
        <w:rPr>
          <w:rFonts w:ascii="仿宋_GB2312" w:eastAsia="仿宋_GB2312" w:cs="宋体" w:hint="eastAsia"/>
          <w:kern w:val="0"/>
          <w:sz w:val="32"/>
          <w:szCs w:val="32"/>
        </w:rPr>
        <w:t>急性肾损伤</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7.</w:t>
      </w:r>
      <w:r w:rsidR="009968BF" w:rsidRPr="00E00848">
        <w:rPr>
          <w:rFonts w:ascii="仿宋_GB2312" w:eastAsia="仿宋_GB2312" w:cs="宋体" w:hint="eastAsia"/>
          <w:kern w:val="0"/>
          <w:sz w:val="32"/>
          <w:szCs w:val="32"/>
        </w:rPr>
        <w:t>永久起搏器植入</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lastRenderedPageBreak/>
        <w:t>8.</w:t>
      </w:r>
      <w:r w:rsidR="009968BF" w:rsidRPr="00E00848">
        <w:rPr>
          <w:rFonts w:ascii="仿宋_GB2312" w:eastAsia="仿宋_GB2312" w:cs="宋体" w:hint="eastAsia"/>
          <w:kern w:val="0"/>
          <w:sz w:val="32"/>
          <w:szCs w:val="32"/>
        </w:rPr>
        <w:t>血管并发症</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9.</w:t>
      </w:r>
      <w:r w:rsidR="009968BF" w:rsidRPr="00E00848">
        <w:rPr>
          <w:rFonts w:ascii="仿宋_GB2312" w:eastAsia="仿宋_GB2312" w:cs="宋体" w:hint="eastAsia"/>
          <w:kern w:val="0"/>
          <w:sz w:val="32"/>
          <w:szCs w:val="32"/>
        </w:rPr>
        <w:t>传导阻滞和心律失常</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10.</w:t>
      </w:r>
      <w:r w:rsidR="009968BF" w:rsidRPr="00E00848">
        <w:rPr>
          <w:rFonts w:ascii="仿宋_GB2312" w:eastAsia="仿宋_GB2312" w:cs="宋体" w:hint="eastAsia"/>
          <w:kern w:val="0"/>
          <w:sz w:val="32"/>
          <w:szCs w:val="32"/>
        </w:rPr>
        <w:t>其它</w:t>
      </w:r>
      <w:r w:rsidR="009968BF" w:rsidRPr="00E00848">
        <w:rPr>
          <w:rFonts w:ascii="仿宋_GB2312" w:eastAsia="仿宋_GB2312" w:cs="FreeSerif" w:hint="eastAsia"/>
          <w:kern w:val="0"/>
          <w:sz w:val="32"/>
          <w:szCs w:val="32"/>
        </w:rPr>
        <w:t>TAVI</w:t>
      </w:r>
      <w:r w:rsidR="009968BF" w:rsidRPr="00E00848">
        <w:rPr>
          <w:rFonts w:ascii="仿宋_GB2312" w:eastAsia="仿宋_GB2312" w:cs="宋体" w:hint="eastAsia"/>
          <w:kern w:val="0"/>
          <w:sz w:val="32"/>
          <w:szCs w:val="32"/>
        </w:rPr>
        <w:t>相关并发症</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包括转变为外科手术、意外的</w:t>
      </w:r>
      <w:proofErr w:type="gramStart"/>
      <w:r w:rsidRPr="00E00848">
        <w:rPr>
          <w:rFonts w:ascii="仿宋_GB2312" w:eastAsia="仿宋_GB2312" w:cs="宋体" w:hint="eastAsia"/>
          <w:kern w:val="0"/>
          <w:sz w:val="32"/>
          <w:szCs w:val="32"/>
        </w:rPr>
        <w:t>心肺机械性辅助</w:t>
      </w:r>
      <w:proofErr w:type="gramEnd"/>
      <w:r w:rsidRPr="00E00848">
        <w:rPr>
          <w:rFonts w:ascii="仿宋_GB2312" w:eastAsia="仿宋_GB2312" w:cs="宋体" w:hint="eastAsia"/>
          <w:kern w:val="0"/>
          <w:sz w:val="32"/>
          <w:szCs w:val="32"/>
        </w:rPr>
        <w:t>、冠脉闭塞、室间隔穿孔、二尖瓣损坏或失功、心包填塞、心内膜炎、瓣膜血栓、瓣膜异位（移位、栓塞、错误释放）等。</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11.</w:t>
      </w:r>
      <w:r w:rsidR="009968BF" w:rsidRPr="00E00848">
        <w:rPr>
          <w:rFonts w:ascii="仿宋_GB2312" w:eastAsia="仿宋_GB2312" w:cs="宋体" w:hint="eastAsia"/>
          <w:kern w:val="0"/>
          <w:sz w:val="32"/>
          <w:szCs w:val="32"/>
        </w:rPr>
        <w:t>瓣膜功能</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包括瓣膜狭窄、瓣膜返流、瓣膜功能（如开口面积、压力梯度）、瓣周漏等。</w:t>
      </w:r>
    </w:p>
    <w:p w:rsidR="009968BF" w:rsidRPr="00E00848" w:rsidRDefault="00E00848" w:rsidP="00E00848">
      <w:pPr>
        <w:pStyle w:val="a5"/>
        <w:autoSpaceDE w:val="0"/>
        <w:autoSpaceDN w:val="0"/>
        <w:ind w:left="640" w:firstLineChars="0" w:firstLine="0"/>
        <w:jc w:val="both"/>
        <w:rPr>
          <w:rFonts w:ascii="仿宋_GB2312" w:eastAsia="仿宋_GB2312" w:cs="Times New Roman" w:hint="eastAsia"/>
          <w:kern w:val="0"/>
          <w:sz w:val="32"/>
          <w:szCs w:val="32"/>
        </w:rPr>
      </w:pPr>
      <w:r>
        <w:rPr>
          <w:rFonts w:ascii="仿宋_GB2312" w:eastAsia="仿宋_GB2312" w:cs="宋体" w:hint="eastAsia"/>
          <w:kern w:val="0"/>
          <w:sz w:val="32"/>
          <w:szCs w:val="32"/>
        </w:rPr>
        <w:t>12.</w:t>
      </w:r>
      <w:r w:rsidR="009968BF" w:rsidRPr="00E00848">
        <w:rPr>
          <w:rFonts w:ascii="仿宋_GB2312" w:eastAsia="仿宋_GB2312" w:cs="宋体" w:hint="eastAsia"/>
          <w:kern w:val="0"/>
          <w:sz w:val="32"/>
          <w:szCs w:val="32"/>
        </w:rPr>
        <w:t>患者术后生活质量</w:t>
      </w:r>
    </w:p>
    <w:p w:rsidR="009968BF" w:rsidRPr="00E00848" w:rsidRDefault="009968BF" w:rsidP="00E00848">
      <w:pPr>
        <w:autoSpaceDE w:val="0"/>
        <w:autoSpaceDN w:val="0"/>
        <w:ind w:firstLineChars="200" w:firstLine="640"/>
        <w:jc w:val="both"/>
        <w:rPr>
          <w:rFonts w:ascii="黑体" w:eastAsia="黑体" w:hAnsi="黑体" w:cs="宋体" w:hint="eastAsia"/>
          <w:kern w:val="0"/>
          <w:sz w:val="32"/>
          <w:szCs w:val="32"/>
        </w:rPr>
      </w:pPr>
      <w:r w:rsidRPr="00E00848">
        <w:rPr>
          <w:rFonts w:ascii="黑体" w:eastAsia="黑体" w:hAnsi="黑体" w:cs="宋体" w:hint="eastAsia"/>
          <w:kern w:val="0"/>
          <w:sz w:val="32"/>
          <w:szCs w:val="32"/>
        </w:rPr>
        <w:t>三、临床随访时间</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临床试验方案中应定义临床随访时间，一般建议术后即刻、出院前、术后</w:t>
      </w:r>
      <w:r w:rsidRPr="00E00848">
        <w:rPr>
          <w:rFonts w:ascii="仿宋_GB2312" w:eastAsia="仿宋_GB2312" w:cs="FreeSerif" w:hint="eastAsia"/>
          <w:kern w:val="0"/>
          <w:sz w:val="32"/>
          <w:szCs w:val="32"/>
        </w:rPr>
        <w:t>30</w:t>
      </w:r>
      <w:r w:rsidRPr="00E00848">
        <w:rPr>
          <w:rFonts w:ascii="仿宋_GB2312" w:eastAsia="仿宋_GB2312" w:cs="宋体" w:hint="eastAsia"/>
          <w:kern w:val="0"/>
          <w:sz w:val="32"/>
          <w:szCs w:val="32"/>
        </w:rPr>
        <w:t>天、术后</w:t>
      </w:r>
      <w:r w:rsidRPr="00E00848">
        <w:rPr>
          <w:rFonts w:ascii="仿宋_GB2312" w:eastAsia="仿宋_GB2312" w:cs="FreeSerif" w:hint="eastAsia"/>
          <w:kern w:val="0"/>
          <w:sz w:val="32"/>
          <w:szCs w:val="32"/>
        </w:rPr>
        <w:t>6</w:t>
      </w:r>
      <w:r w:rsidRPr="00E00848">
        <w:rPr>
          <w:rFonts w:ascii="仿宋_GB2312" w:eastAsia="仿宋_GB2312" w:cs="宋体" w:hint="eastAsia"/>
          <w:kern w:val="0"/>
          <w:sz w:val="32"/>
          <w:szCs w:val="32"/>
        </w:rPr>
        <w:t>个月和</w:t>
      </w:r>
      <w:r w:rsidRPr="00E00848">
        <w:rPr>
          <w:rFonts w:ascii="仿宋_GB2312" w:eastAsia="仿宋_GB2312" w:cs="FreeSerif" w:hint="eastAsia"/>
          <w:kern w:val="0"/>
          <w:sz w:val="32"/>
          <w:szCs w:val="32"/>
        </w:rPr>
        <w:t>12</w:t>
      </w:r>
      <w:r w:rsidRPr="00E00848">
        <w:rPr>
          <w:rFonts w:ascii="仿宋_GB2312" w:eastAsia="仿宋_GB2312" w:cs="宋体" w:hint="eastAsia"/>
          <w:kern w:val="0"/>
          <w:sz w:val="32"/>
          <w:szCs w:val="32"/>
        </w:rPr>
        <w:t>个月。为了评价长期安全性和有效性，建议长期随访。建议随访时间至少持续五年。</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根据临床试验设计不同，为了收集额外的临床数据而增加临床随访时间点也是合适的，如评估瓣膜结构性或非结构性功能障碍。</w:t>
      </w:r>
    </w:p>
    <w:p w:rsidR="009968BF" w:rsidRPr="00E00848" w:rsidRDefault="009968BF" w:rsidP="00E00848">
      <w:pPr>
        <w:autoSpaceDE w:val="0"/>
        <w:autoSpaceDN w:val="0"/>
        <w:ind w:firstLineChars="200" w:firstLine="640"/>
        <w:jc w:val="both"/>
        <w:rPr>
          <w:rFonts w:ascii="黑体" w:eastAsia="黑体" w:hAnsi="黑体" w:cs="宋体" w:hint="eastAsia"/>
          <w:kern w:val="0"/>
          <w:sz w:val="32"/>
          <w:szCs w:val="32"/>
        </w:rPr>
      </w:pPr>
      <w:r w:rsidRPr="00E00848">
        <w:rPr>
          <w:rFonts w:ascii="黑体" w:eastAsia="黑体" w:hAnsi="黑体" w:cs="宋体" w:hint="eastAsia"/>
          <w:kern w:val="0"/>
          <w:sz w:val="32"/>
          <w:szCs w:val="32"/>
        </w:rPr>
        <w:t>四、境外已上市产品临床资料要求</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境外已上市产品如已经在境外完成设计良好的、前瞻性的临床试验，且符合我国对于该类产品的临床试验要求，除应按相关规定提供产品境外的临床资料外，</w:t>
      </w:r>
      <w:r w:rsidR="002A4338" w:rsidRPr="00E00848">
        <w:rPr>
          <w:rFonts w:ascii="仿宋_GB2312" w:eastAsia="仿宋_GB2312" w:cs="宋体" w:hint="eastAsia"/>
          <w:kern w:val="0"/>
          <w:sz w:val="32"/>
          <w:szCs w:val="32"/>
        </w:rPr>
        <w:t>还</w:t>
      </w:r>
      <w:r w:rsidRPr="00E00848">
        <w:rPr>
          <w:rFonts w:ascii="仿宋_GB2312" w:eastAsia="仿宋_GB2312" w:cs="宋体" w:hint="eastAsia"/>
          <w:kern w:val="0"/>
          <w:sz w:val="32"/>
          <w:szCs w:val="32"/>
        </w:rPr>
        <w:t>应提供产品在</w:t>
      </w:r>
      <w:r w:rsidRPr="00E00848">
        <w:rPr>
          <w:rFonts w:ascii="仿宋_GB2312" w:eastAsia="仿宋_GB2312" w:cs="宋体" w:hint="eastAsia"/>
          <w:kern w:val="0"/>
          <w:sz w:val="32"/>
          <w:szCs w:val="32"/>
        </w:rPr>
        <w:lastRenderedPageBreak/>
        <w:t>中国境内开展的前瞻性临床试验资料；对于不适合常规外科手术</w:t>
      </w:r>
      <w:r w:rsidR="002A4338" w:rsidRPr="00E00848">
        <w:rPr>
          <w:rFonts w:ascii="仿宋_GB2312" w:eastAsia="仿宋_GB2312" w:cs="宋体" w:hint="eastAsia"/>
          <w:kern w:val="0"/>
          <w:sz w:val="32"/>
          <w:szCs w:val="32"/>
        </w:rPr>
        <w:t>、</w:t>
      </w:r>
      <w:r w:rsidRPr="00E00848">
        <w:rPr>
          <w:rFonts w:ascii="仿宋_GB2312" w:eastAsia="仿宋_GB2312" w:cs="宋体" w:hint="eastAsia"/>
          <w:kern w:val="0"/>
          <w:sz w:val="32"/>
          <w:szCs w:val="32"/>
        </w:rPr>
        <w:t>有症状的重度主动脉瓣狭窄患者以及手术高风险但可进行常规外科手术</w:t>
      </w:r>
      <w:r w:rsidR="002A4338" w:rsidRPr="00E00848">
        <w:rPr>
          <w:rFonts w:ascii="仿宋_GB2312" w:eastAsia="仿宋_GB2312" w:cs="宋体" w:hint="eastAsia"/>
          <w:kern w:val="0"/>
          <w:sz w:val="32"/>
          <w:szCs w:val="32"/>
        </w:rPr>
        <w:t>、</w:t>
      </w:r>
      <w:r w:rsidRPr="00E00848">
        <w:rPr>
          <w:rFonts w:ascii="仿宋_GB2312" w:eastAsia="仿宋_GB2312" w:cs="宋体" w:hint="eastAsia"/>
          <w:kern w:val="0"/>
          <w:sz w:val="32"/>
          <w:szCs w:val="32"/>
        </w:rPr>
        <w:t>有症状的重度主动脉瓣狭窄患者人群，</w:t>
      </w:r>
      <w:r w:rsidR="00F22928" w:rsidRPr="00E00848">
        <w:rPr>
          <w:rFonts w:ascii="仿宋_GB2312" w:eastAsia="仿宋_GB2312" w:cs="宋体" w:hint="eastAsia"/>
          <w:kern w:val="0"/>
          <w:sz w:val="32"/>
          <w:szCs w:val="32"/>
        </w:rPr>
        <w:t>现阶段</w:t>
      </w:r>
      <w:r w:rsidRPr="00E00848">
        <w:rPr>
          <w:rFonts w:ascii="仿宋_GB2312" w:eastAsia="仿宋_GB2312" w:cs="宋体" w:hint="eastAsia"/>
          <w:kern w:val="0"/>
          <w:sz w:val="32"/>
          <w:szCs w:val="32"/>
        </w:rPr>
        <w:t>可评价的临床样本量各不应少于</w:t>
      </w:r>
      <w:r w:rsidRPr="00E00848">
        <w:rPr>
          <w:rFonts w:ascii="仿宋_GB2312" w:eastAsia="仿宋_GB2312" w:cs="FreeSerif" w:hint="eastAsia"/>
          <w:kern w:val="0"/>
          <w:sz w:val="32"/>
          <w:szCs w:val="32"/>
        </w:rPr>
        <w:t>50</w:t>
      </w:r>
      <w:r w:rsidRPr="00E00848">
        <w:rPr>
          <w:rFonts w:ascii="仿宋_GB2312" w:eastAsia="仿宋_GB2312" w:cs="宋体" w:hint="eastAsia"/>
          <w:kern w:val="0"/>
          <w:sz w:val="32"/>
          <w:szCs w:val="32"/>
        </w:rPr>
        <w:t>例。</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境外已上市产品在境外的临床试验资料如未符合我国临床试验要求，应参照境内产品的临床试验要求开展研究。</w:t>
      </w:r>
    </w:p>
    <w:p w:rsidR="009968BF" w:rsidRPr="00E00848" w:rsidRDefault="009968BF" w:rsidP="00E00848">
      <w:pPr>
        <w:autoSpaceDE w:val="0"/>
        <w:autoSpaceDN w:val="0"/>
        <w:ind w:firstLineChars="200" w:firstLine="640"/>
        <w:jc w:val="both"/>
        <w:rPr>
          <w:rFonts w:ascii="仿宋_GB2312" w:eastAsia="仿宋_GB2312" w:cs="Times New Roman" w:hint="eastAsia"/>
          <w:kern w:val="0"/>
          <w:sz w:val="32"/>
          <w:szCs w:val="32"/>
        </w:rPr>
      </w:pPr>
      <w:r w:rsidRPr="00E00848">
        <w:rPr>
          <w:rFonts w:ascii="仿宋_GB2312" w:eastAsia="仿宋_GB2312" w:cs="宋体" w:hint="eastAsia"/>
          <w:kern w:val="0"/>
          <w:sz w:val="32"/>
          <w:szCs w:val="32"/>
        </w:rPr>
        <w:t>已在中国境内进行的临床手术病例的回顾性临床数据可作为参考资料提供。</w:t>
      </w:r>
    </w:p>
    <w:p w:rsidR="009968BF" w:rsidRPr="00E00848" w:rsidRDefault="009968BF" w:rsidP="00E00848">
      <w:pPr>
        <w:autoSpaceDE w:val="0"/>
        <w:autoSpaceDN w:val="0"/>
        <w:ind w:firstLineChars="200" w:firstLine="640"/>
        <w:jc w:val="both"/>
        <w:rPr>
          <w:rFonts w:ascii="黑体" w:eastAsia="黑体" w:hAnsi="黑体" w:cs="宋体" w:hint="eastAsia"/>
          <w:kern w:val="0"/>
          <w:sz w:val="32"/>
          <w:szCs w:val="32"/>
        </w:rPr>
      </w:pPr>
      <w:r w:rsidRPr="00E00848">
        <w:rPr>
          <w:rFonts w:ascii="黑体" w:eastAsia="黑体" w:hAnsi="黑体" w:cs="宋体" w:hint="eastAsia"/>
          <w:kern w:val="0"/>
          <w:sz w:val="32"/>
          <w:szCs w:val="32"/>
        </w:rPr>
        <w:t>五、其它</w:t>
      </w:r>
    </w:p>
    <w:p w:rsidR="00127926" w:rsidRPr="00E00848" w:rsidRDefault="009968BF" w:rsidP="00E00848">
      <w:pPr>
        <w:autoSpaceDE w:val="0"/>
        <w:autoSpaceDN w:val="0"/>
        <w:ind w:firstLineChars="200" w:firstLine="640"/>
        <w:jc w:val="both"/>
        <w:rPr>
          <w:rFonts w:ascii="仿宋_GB2312" w:eastAsia="仿宋_GB2312" w:cs="宋体" w:hint="eastAsia"/>
          <w:kern w:val="0"/>
          <w:sz w:val="32"/>
          <w:szCs w:val="32"/>
        </w:rPr>
      </w:pPr>
      <w:r w:rsidRPr="00E00848">
        <w:rPr>
          <w:rFonts w:ascii="仿宋_GB2312" w:eastAsia="仿宋_GB2312" w:cs="宋体" w:hint="eastAsia"/>
          <w:kern w:val="0"/>
          <w:sz w:val="32"/>
          <w:szCs w:val="32"/>
        </w:rPr>
        <w:t>本指导原则中涉及的临床研究终点，其定义建议采用</w:t>
      </w:r>
      <w:r w:rsidRPr="00E00848">
        <w:rPr>
          <w:rFonts w:ascii="仿宋_GB2312" w:eastAsia="仿宋_GB2312" w:cs="FreeSerif" w:hint="eastAsia"/>
          <w:kern w:val="0"/>
          <w:sz w:val="32"/>
          <w:szCs w:val="32"/>
        </w:rPr>
        <w:t>VARC</w:t>
      </w:r>
      <w:r w:rsidR="00BB3E1A" w:rsidRPr="00E00848">
        <w:rPr>
          <w:rFonts w:ascii="仿宋_GB2312" w:eastAsia="仿宋_GB2312" w:cs="FreeSerif" w:hint="eastAsia"/>
          <w:kern w:val="0"/>
          <w:sz w:val="32"/>
          <w:szCs w:val="32"/>
        </w:rPr>
        <w:t>（</w:t>
      </w:r>
      <w:r w:rsidR="00127926" w:rsidRPr="00E00848">
        <w:rPr>
          <w:rFonts w:ascii="仿宋_GB2312" w:eastAsia="仿宋_GB2312" w:cs="宋体" w:hint="eastAsia"/>
          <w:kern w:val="0"/>
          <w:sz w:val="32"/>
          <w:szCs w:val="32"/>
        </w:rPr>
        <w:t>Valve Academic Research Consortium）</w:t>
      </w:r>
      <w:r w:rsidRPr="00E00848">
        <w:rPr>
          <w:rFonts w:ascii="仿宋_GB2312" w:eastAsia="仿宋_GB2312" w:cs="宋体" w:hint="eastAsia"/>
          <w:kern w:val="0"/>
          <w:sz w:val="32"/>
          <w:szCs w:val="32"/>
        </w:rPr>
        <w:t>定义。</w:t>
      </w:r>
    </w:p>
    <w:p w:rsidR="009968BF" w:rsidRPr="00E00848" w:rsidRDefault="009968BF" w:rsidP="00E00848">
      <w:pPr>
        <w:autoSpaceDE w:val="0"/>
        <w:autoSpaceDN w:val="0"/>
        <w:ind w:firstLineChars="200" w:firstLine="640"/>
        <w:jc w:val="both"/>
        <w:rPr>
          <w:rFonts w:ascii="黑体" w:eastAsia="黑体" w:hAnsi="黑体" w:cs="Times New Roman" w:hint="eastAsia"/>
          <w:kern w:val="0"/>
          <w:sz w:val="32"/>
          <w:szCs w:val="32"/>
        </w:rPr>
      </w:pPr>
      <w:r w:rsidRPr="00E00848">
        <w:rPr>
          <w:rFonts w:ascii="黑体" w:eastAsia="黑体" w:hAnsi="黑体" w:cs="宋体" w:hint="eastAsia"/>
          <w:kern w:val="0"/>
          <w:sz w:val="32"/>
          <w:szCs w:val="32"/>
        </w:rPr>
        <w:t>六、参考文献</w:t>
      </w:r>
    </w:p>
    <w:p w:rsidR="009968BF" w:rsidRPr="00E00848" w:rsidRDefault="00AD14A7" w:rsidP="00E00848">
      <w:pPr>
        <w:pStyle w:val="1"/>
        <w:shd w:val="clear" w:color="auto" w:fill="FFFFFF"/>
        <w:spacing w:before="90" w:beforeAutospacing="0" w:after="90" w:afterAutospacing="0" w:line="270" w:lineRule="atLeast"/>
        <w:jc w:val="both"/>
        <w:rPr>
          <w:rFonts w:ascii="Times New Roman" w:hAnsi="Times New Roman" w:cs="Times New Roman"/>
          <w:kern w:val="0"/>
          <w:sz w:val="28"/>
          <w:szCs w:val="28"/>
        </w:rPr>
      </w:pPr>
      <w:hyperlink r:id="rId7" w:history="1">
        <w:r w:rsidR="009968BF" w:rsidRPr="00E00848">
          <w:rPr>
            <w:rFonts w:ascii="Times New Roman" w:hAnsi="Times New Roman" w:cs="Times New Roman"/>
            <w:b w:val="0"/>
            <w:bCs w:val="0"/>
            <w:kern w:val="0"/>
            <w:sz w:val="28"/>
            <w:szCs w:val="28"/>
          </w:rPr>
          <w:t>Leon MB</w:t>
        </w:r>
      </w:hyperlink>
      <w:r w:rsidR="009968BF" w:rsidRPr="00E00848">
        <w:rPr>
          <w:rFonts w:ascii="Times New Roman" w:hAnsi="Times New Roman" w:cs="Times New Roman"/>
          <w:b w:val="0"/>
          <w:bCs w:val="0"/>
          <w:kern w:val="0"/>
          <w:sz w:val="28"/>
          <w:szCs w:val="28"/>
        </w:rPr>
        <w:t xml:space="preserve">, </w:t>
      </w:r>
      <w:hyperlink r:id="rId8" w:history="1">
        <w:r w:rsidR="009968BF" w:rsidRPr="00E00848">
          <w:rPr>
            <w:rFonts w:ascii="Times New Roman" w:hAnsi="Times New Roman" w:cs="Times New Roman"/>
            <w:b w:val="0"/>
            <w:bCs w:val="0"/>
            <w:kern w:val="0"/>
            <w:sz w:val="28"/>
            <w:szCs w:val="28"/>
          </w:rPr>
          <w:t>Piazza N</w:t>
        </w:r>
      </w:hyperlink>
      <w:r w:rsidR="009968BF" w:rsidRPr="00E00848">
        <w:rPr>
          <w:rFonts w:ascii="Times New Roman" w:hAnsi="Times New Roman" w:cs="Times New Roman"/>
          <w:b w:val="0"/>
          <w:bCs w:val="0"/>
          <w:kern w:val="0"/>
          <w:sz w:val="28"/>
          <w:szCs w:val="28"/>
        </w:rPr>
        <w:t xml:space="preserve"> et al., Standardized endpoint definitions for </w:t>
      </w:r>
      <w:proofErr w:type="spellStart"/>
      <w:r w:rsidR="009968BF" w:rsidRPr="00E00848">
        <w:rPr>
          <w:rFonts w:ascii="Times New Roman" w:hAnsi="Times New Roman" w:cs="Times New Roman"/>
          <w:b w:val="0"/>
          <w:bCs w:val="0"/>
          <w:kern w:val="0"/>
          <w:sz w:val="28"/>
          <w:szCs w:val="28"/>
        </w:rPr>
        <w:t>Transcatheter</w:t>
      </w:r>
      <w:proofErr w:type="spellEnd"/>
      <w:r w:rsidR="009968BF" w:rsidRPr="00E00848">
        <w:rPr>
          <w:rFonts w:ascii="Times New Roman" w:hAnsi="Times New Roman" w:cs="Times New Roman"/>
          <w:b w:val="0"/>
          <w:bCs w:val="0"/>
          <w:kern w:val="0"/>
          <w:sz w:val="28"/>
          <w:szCs w:val="28"/>
        </w:rPr>
        <w:t xml:space="preserve"> Aortic Valve Implantation clinical trials: a consensus report from the Valve Academic Research Consortium. </w:t>
      </w:r>
      <w:hyperlink r:id="rId9" w:tooltip="Journal of the American College of Cardiology." w:history="1">
        <w:r w:rsidR="009968BF" w:rsidRPr="00E00848">
          <w:rPr>
            <w:rFonts w:ascii="Times New Roman" w:hAnsi="Times New Roman" w:cs="Times New Roman"/>
            <w:b w:val="0"/>
            <w:bCs w:val="0"/>
            <w:kern w:val="0"/>
            <w:sz w:val="28"/>
            <w:szCs w:val="28"/>
          </w:rPr>
          <w:t>J Am Coll Cardiol.</w:t>
        </w:r>
      </w:hyperlink>
      <w:r w:rsidR="009968BF" w:rsidRPr="00E00848">
        <w:rPr>
          <w:rFonts w:ascii="Times New Roman" w:hAnsi="Times New Roman" w:cs="Times New Roman"/>
          <w:b w:val="0"/>
          <w:bCs w:val="0"/>
          <w:kern w:val="0"/>
          <w:sz w:val="28"/>
          <w:szCs w:val="28"/>
        </w:rPr>
        <w:t xml:space="preserve"> 2011 Jan 18; 57(3):253-69.</w:t>
      </w:r>
    </w:p>
    <w:sectPr w:rsidR="009968BF" w:rsidRPr="00E00848" w:rsidSect="003035D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E85" w:rsidRDefault="00485E85" w:rsidP="00FE7F7A">
      <w:pPr>
        <w:rPr>
          <w:rFonts w:cs="Times New Roman"/>
        </w:rPr>
      </w:pPr>
      <w:r>
        <w:rPr>
          <w:rFonts w:cs="Times New Roman"/>
        </w:rPr>
        <w:separator/>
      </w:r>
    </w:p>
  </w:endnote>
  <w:endnote w:type="continuationSeparator" w:id="0">
    <w:p w:rsidR="00485E85" w:rsidRDefault="00485E85" w:rsidP="00FE7F7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_GBK">
    <w:panose1 w:val="03000509000000000000"/>
    <w:charset w:val="86"/>
    <w:family w:val="script"/>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FreeSerif">
    <w:altName w:val="MS Mincho"/>
    <w:panose1 w:val="00000000000000000000"/>
    <w:charset w:val="80"/>
    <w:family w:val="auto"/>
    <w:notTrueType/>
    <w:pitch w:val="default"/>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6605"/>
      <w:docPartObj>
        <w:docPartGallery w:val="Page Numbers (Bottom of Page)"/>
        <w:docPartUnique/>
      </w:docPartObj>
    </w:sdtPr>
    <w:sdtEndPr>
      <w:rPr>
        <w:rFonts w:ascii="Times New Roman" w:hAnsi="Times New Roman" w:cs="Times New Roman"/>
        <w:sz w:val="24"/>
        <w:szCs w:val="24"/>
      </w:rPr>
    </w:sdtEndPr>
    <w:sdtContent>
      <w:p w:rsidR="00E00848" w:rsidRDefault="00E00848">
        <w:pPr>
          <w:pStyle w:val="a4"/>
          <w:jc w:val="center"/>
        </w:pPr>
        <w:r w:rsidRPr="00E00848">
          <w:rPr>
            <w:rFonts w:ascii="Times New Roman" w:hAnsi="Times New Roman" w:cs="Times New Roman"/>
            <w:sz w:val="24"/>
            <w:szCs w:val="24"/>
          </w:rPr>
          <w:fldChar w:fldCharType="begin"/>
        </w:r>
        <w:r w:rsidRPr="00E00848">
          <w:rPr>
            <w:rFonts w:ascii="Times New Roman" w:hAnsi="Times New Roman" w:cs="Times New Roman"/>
            <w:sz w:val="24"/>
            <w:szCs w:val="24"/>
          </w:rPr>
          <w:instrText xml:space="preserve"> PAGE   \* MERGEFORMAT </w:instrText>
        </w:r>
        <w:r w:rsidRPr="00E00848">
          <w:rPr>
            <w:rFonts w:ascii="Times New Roman" w:hAnsi="Times New Roman" w:cs="Times New Roman"/>
            <w:sz w:val="24"/>
            <w:szCs w:val="24"/>
          </w:rPr>
          <w:fldChar w:fldCharType="separate"/>
        </w:r>
        <w:r w:rsidRPr="00E00848">
          <w:rPr>
            <w:rFonts w:ascii="Times New Roman" w:hAnsi="Times New Roman" w:cs="Times New Roman"/>
            <w:noProof/>
            <w:sz w:val="24"/>
            <w:szCs w:val="24"/>
            <w:lang w:val="zh-CN"/>
          </w:rPr>
          <w:t>7</w:t>
        </w:r>
        <w:r w:rsidRPr="00E00848">
          <w:rPr>
            <w:rFonts w:ascii="Times New Roman" w:hAnsi="Times New Roman" w:cs="Times New Roman"/>
            <w:sz w:val="24"/>
            <w:szCs w:val="24"/>
          </w:rPr>
          <w:fldChar w:fldCharType="end"/>
        </w:r>
      </w:p>
    </w:sdtContent>
  </w:sdt>
  <w:p w:rsidR="009968BF" w:rsidRDefault="009968BF">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E85" w:rsidRDefault="00485E85" w:rsidP="00FE7F7A">
      <w:pPr>
        <w:rPr>
          <w:rFonts w:cs="Times New Roman"/>
        </w:rPr>
      </w:pPr>
      <w:r>
        <w:rPr>
          <w:rFonts w:cs="Times New Roman"/>
        </w:rPr>
        <w:separator/>
      </w:r>
    </w:p>
  </w:footnote>
  <w:footnote w:type="continuationSeparator" w:id="0">
    <w:p w:rsidR="00485E85" w:rsidRDefault="00485E85" w:rsidP="00FE7F7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651A"/>
    <w:multiLevelType w:val="hybridMultilevel"/>
    <w:tmpl w:val="E2B4CA8E"/>
    <w:lvl w:ilvl="0" w:tplc="EF567FF8">
      <w:start w:val="1"/>
      <w:numFmt w:val="decimal"/>
      <w:lvlText w:val="%1."/>
      <w:lvlJc w:val="left"/>
      <w:pPr>
        <w:ind w:left="920" w:hanging="36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
    <w:nsid w:val="0C193ACA"/>
    <w:multiLevelType w:val="hybridMultilevel"/>
    <w:tmpl w:val="8DC2B4D8"/>
    <w:lvl w:ilvl="0" w:tplc="CB2A81E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F6B2BED"/>
    <w:multiLevelType w:val="hybridMultilevel"/>
    <w:tmpl w:val="54E658EE"/>
    <w:lvl w:ilvl="0" w:tplc="AE0EFF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077212E"/>
    <w:multiLevelType w:val="hybridMultilevel"/>
    <w:tmpl w:val="3E0CAE90"/>
    <w:lvl w:ilvl="0" w:tplc="049C4A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1334B71"/>
    <w:multiLevelType w:val="hybridMultilevel"/>
    <w:tmpl w:val="F1283AF6"/>
    <w:lvl w:ilvl="0" w:tplc="D6E6EC12">
      <w:start w:val="1"/>
      <w:numFmt w:val="upperLetter"/>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nsid w:val="35D86EB2"/>
    <w:multiLevelType w:val="hybridMultilevel"/>
    <w:tmpl w:val="A27E2754"/>
    <w:lvl w:ilvl="0" w:tplc="B43607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2BE3D65"/>
    <w:multiLevelType w:val="hybridMultilevel"/>
    <w:tmpl w:val="28F820A4"/>
    <w:lvl w:ilvl="0" w:tplc="3DC04F3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488E31BF"/>
    <w:multiLevelType w:val="hybridMultilevel"/>
    <w:tmpl w:val="5B006A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4F8325DA"/>
    <w:multiLevelType w:val="hybridMultilevel"/>
    <w:tmpl w:val="FAA430D6"/>
    <w:lvl w:ilvl="0" w:tplc="3F68C8F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68AD7A57"/>
    <w:multiLevelType w:val="hybridMultilevel"/>
    <w:tmpl w:val="A710840E"/>
    <w:lvl w:ilvl="0" w:tplc="9F1A40CE">
      <w:start w:val="1"/>
      <w:numFmt w:val="decimalEnclosedCircle"/>
      <w:lvlText w:val="%1"/>
      <w:lvlJc w:val="left"/>
      <w:pPr>
        <w:ind w:left="720" w:hanging="720"/>
      </w:pPr>
      <w:rPr>
        <w:rFonts w:ascii="宋体" w:eastAsia="宋体" w:hAnsi="Calibr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6BC95D0F"/>
    <w:multiLevelType w:val="hybridMultilevel"/>
    <w:tmpl w:val="E820D7D0"/>
    <w:lvl w:ilvl="0" w:tplc="77DA696C">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num w:numId="1">
    <w:abstractNumId w:val="0"/>
  </w:num>
  <w:num w:numId="2">
    <w:abstractNumId w:val="10"/>
  </w:num>
  <w:num w:numId="3">
    <w:abstractNumId w:val="1"/>
  </w:num>
  <w:num w:numId="4">
    <w:abstractNumId w:val="4"/>
  </w:num>
  <w:num w:numId="5">
    <w:abstractNumId w:val="9"/>
  </w:num>
  <w:num w:numId="6">
    <w:abstractNumId w:val="5"/>
  </w:num>
  <w:num w:numId="7">
    <w:abstractNumId w:val="8"/>
  </w:num>
  <w:num w:numId="8">
    <w:abstractNumId w:val="3"/>
  </w:num>
  <w:num w:numId="9">
    <w:abstractNumId w:val="2"/>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3EA2"/>
    <w:rsid w:val="0000040B"/>
    <w:rsid w:val="000036D1"/>
    <w:rsid w:val="00006E82"/>
    <w:rsid w:val="00006FC1"/>
    <w:rsid w:val="00010E2B"/>
    <w:rsid w:val="00010F1E"/>
    <w:rsid w:val="000148EB"/>
    <w:rsid w:val="00014C67"/>
    <w:rsid w:val="00015BCE"/>
    <w:rsid w:val="00015E95"/>
    <w:rsid w:val="00016A23"/>
    <w:rsid w:val="00020195"/>
    <w:rsid w:val="00023FBC"/>
    <w:rsid w:val="000245EE"/>
    <w:rsid w:val="000257EE"/>
    <w:rsid w:val="00025BD4"/>
    <w:rsid w:val="00027D59"/>
    <w:rsid w:val="000332BB"/>
    <w:rsid w:val="00033D7C"/>
    <w:rsid w:val="000366B6"/>
    <w:rsid w:val="00036FA8"/>
    <w:rsid w:val="00043EA2"/>
    <w:rsid w:val="00044172"/>
    <w:rsid w:val="0004563E"/>
    <w:rsid w:val="0004627E"/>
    <w:rsid w:val="000514B9"/>
    <w:rsid w:val="00052E91"/>
    <w:rsid w:val="00054088"/>
    <w:rsid w:val="000601A1"/>
    <w:rsid w:val="00061F01"/>
    <w:rsid w:val="00062696"/>
    <w:rsid w:val="00063CA6"/>
    <w:rsid w:val="00064381"/>
    <w:rsid w:val="00064902"/>
    <w:rsid w:val="00064922"/>
    <w:rsid w:val="00066536"/>
    <w:rsid w:val="00067FE9"/>
    <w:rsid w:val="000706DA"/>
    <w:rsid w:val="00071506"/>
    <w:rsid w:val="00072592"/>
    <w:rsid w:val="000728A2"/>
    <w:rsid w:val="000733DA"/>
    <w:rsid w:val="00075A10"/>
    <w:rsid w:val="00075AB1"/>
    <w:rsid w:val="00076675"/>
    <w:rsid w:val="000766DA"/>
    <w:rsid w:val="00077052"/>
    <w:rsid w:val="000776CD"/>
    <w:rsid w:val="0007798D"/>
    <w:rsid w:val="00080494"/>
    <w:rsid w:val="00081716"/>
    <w:rsid w:val="00081D0A"/>
    <w:rsid w:val="0008455F"/>
    <w:rsid w:val="00084A38"/>
    <w:rsid w:val="00086268"/>
    <w:rsid w:val="00090FAC"/>
    <w:rsid w:val="000933B3"/>
    <w:rsid w:val="00095D99"/>
    <w:rsid w:val="00096D66"/>
    <w:rsid w:val="000973EE"/>
    <w:rsid w:val="000974A4"/>
    <w:rsid w:val="000A067B"/>
    <w:rsid w:val="000A2F2D"/>
    <w:rsid w:val="000A6360"/>
    <w:rsid w:val="000A669D"/>
    <w:rsid w:val="000A672C"/>
    <w:rsid w:val="000A67D2"/>
    <w:rsid w:val="000A7DFB"/>
    <w:rsid w:val="000B0796"/>
    <w:rsid w:val="000B2F9C"/>
    <w:rsid w:val="000B3109"/>
    <w:rsid w:val="000B3BDC"/>
    <w:rsid w:val="000B4856"/>
    <w:rsid w:val="000B50F3"/>
    <w:rsid w:val="000B56D8"/>
    <w:rsid w:val="000B64DC"/>
    <w:rsid w:val="000B6739"/>
    <w:rsid w:val="000C1E26"/>
    <w:rsid w:val="000C434D"/>
    <w:rsid w:val="000C67FB"/>
    <w:rsid w:val="000C69D9"/>
    <w:rsid w:val="000C6C13"/>
    <w:rsid w:val="000C727E"/>
    <w:rsid w:val="000C77E7"/>
    <w:rsid w:val="000D174D"/>
    <w:rsid w:val="000D267D"/>
    <w:rsid w:val="000D3003"/>
    <w:rsid w:val="000D4BC5"/>
    <w:rsid w:val="000D4D17"/>
    <w:rsid w:val="000D71DD"/>
    <w:rsid w:val="000E00CE"/>
    <w:rsid w:val="000E07C5"/>
    <w:rsid w:val="000E0D6B"/>
    <w:rsid w:val="000E15EA"/>
    <w:rsid w:val="000E3519"/>
    <w:rsid w:val="000E3783"/>
    <w:rsid w:val="000E477A"/>
    <w:rsid w:val="000E545B"/>
    <w:rsid w:val="000E7CD8"/>
    <w:rsid w:val="000F6013"/>
    <w:rsid w:val="00101E03"/>
    <w:rsid w:val="00103A4F"/>
    <w:rsid w:val="00107617"/>
    <w:rsid w:val="00107AF8"/>
    <w:rsid w:val="001100E9"/>
    <w:rsid w:val="001105C4"/>
    <w:rsid w:val="00113DED"/>
    <w:rsid w:val="00116241"/>
    <w:rsid w:val="001163A8"/>
    <w:rsid w:val="00116D7B"/>
    <w:rsid w:val="0012183F"/>
    <w:rsid w:val="00122036"/>
    <w:rsid w:val="00122111"/>
    <w:rsid w:val="001224F9"/>
    <w:rsid w:val="00122B2C"/>
    <w:rsid w:val="00127926"/>
    <w:rsid w:val="00130064"/>
    <w:rsid w:val="001304F8"/>
    <w:rsid w:val="00130522"/>
    <w:rsid w:val="001305B4"/>
    <w:rsid w:val="00133079"/>
    <w:rsid w:val="00133312"/>
    <w:rsid w:val="00134366"/>
    <w:rsid w:val="00134502"/>
    <w:rsid w:val="00135AC2"/>
    <w:rsid w:val="0013746F"/>
    <w:rsid w:val="00137D4E"/>
    <w:rsid w:val="00140EC3"/>
    <w:rsid w:val="00141C62"/>
    <w:rsid w:val="0014724D"/>
    <w:rsid w:val="00147B05"/>
    <w:rsid w:val="00147C7C"/>
    <w:rsid w:val="0015059F"/>
    <w:rsid w:val="0015220D"/>
    <w:rsid w:val="001529E2"/>
    <w:rsid w:val="0015312A"/>
    <w:rsid w:val="00155F21"/>
    <w:rsid w:val="0015600D"/>
    <w:rsid w:val="00160D86"/>
    <w:rsid w:val="001612D3"/>
    <w:rsid w:val="0016152D"/>
    <w:rsid w:val="001619B2"/>
    <w:rsid w:val="001620B7"/>
    <w:rsid w:val="00162DE1"/>
    <w:rsid w:val="00163043"/>
    <w:rsid w:val="00164D35"/>
    <w:rsid w:val="00165323"/>
    <w:rsid w:val="00165479"/>
    <w:rsid w:val="001676B6"/>
    <w:rsid w:val="001732E5"/>
    <w:rsid w:val="001734D6"/>
    <w:rsid w:val="001745EB"/>
    <w:rsid w:val="00174909"/>
    <w:rsid w:val="00176896"/>
    <w:rsid w:val="00182BA2"/>
    <w:rsid w:val="001833B8"/>
    <w:rsid w:val="00183927"/>
    <w:rsid w:val="00183983"/>
    <w:rsid w:val="00192551"/>
    <w:rsid w:val="00193282"/>
    <w:rsid w:val="001947DE"/>
    <w:rsid w:val="00194B46"/>
    <w:rsid w:val="00195A8B"/>
    <w:rsid w:val="00195E75"/>
    <w:rsid w:val="00197220"/>
    <w:rsid w:val="001A0632"/>
    <w:rsid w:val="001A09C8"/>
    <w:rsid w:val="001A0F9F"/>
    <w:rsid w:val="001A1B03"/>
    <w:rsid w:val="001A3D78"/>
    <w:rsid w:val="001B0AE4"/>
    <w:rsid w:val="001B10DD"/>
    <w:rsid w:val="001B120F"/>
    <w:rsid w:val="001B1586"/>
    <w:rsid w:val="001B7707"/>
    <w:rsid w:val="001B7C08"/>
    <w:rsid w:val="001C271B"/>
    <w:rsid w:val="001C48B0"/>
    <w:rsid w:val="001C716E"/>
    <w:rsid w:val="001C7957"/>
    <w:rsid w:val="001D2A70"/>
    <w:rsid w:val="001D2ECF"/>
    <w:rsid w:val="001D301A"/>
    <w:rsid w:val="001D3CEA"/>
    <w:rsid w:val="001D6790"/>
    <w:rsid w:val="001E111E"/>
    <w:rsid w:val="001E1C4F"/>
    <w:rsid w:val="001E4DFC"/>
    <w:rsid w:val="001E6E71"/>
    <w:rsid w:val="001E7EC2"/>
    <w:rsid w:val="001F0F4C"/>
    <w:rsid w:val="001F1B7D"/>
    <w:rsid w:val="001F310B"/>
    <w:rsid w:val="001F4530"/>
    <w:rsid w:val="001F49B6"/>
    <w:rsid w:val="001F66C5"/>
    <w:rsid w:val="001F71B0"/>
    <w:rsid w:val="001F73DD"/>
    <w:rsid w:val="001F7C26"/>
    <w:rsid w:val="002040B0"/>
    <w:rsid w:val="002107FB"/>
    <w:rsid w:val="00210847"/>
    <w:rsid w:val="002119ED"/>
    <w:rsid w:val="00213933"/>
    <w:rsid w:val="002156C0"/>
    <w:rsid w:val="002171E3"/>
    <w:rsid w:val="00221516"/>
    <w:rsid w:val="00222E81"/>
    <w:rsid w:val="002242E2"/>
    <w:rsid w:val="00224BAA"/>
    <w:rsid w:val="00224CC8"/>
    <w:rsid w:val="0022548A"/>
    <w:rsid w:val="002309CA"/>
    <w:rsid w:val="002318F0"/>
    <w:rsid w:val="00232A34"/>
    <w:rsid w:val="00234185"/>
    <w:rsid w:val="0023453E"/>
    <w:rsid w:val="00240287"/>
    <w:rsid w:val="0024186A"/>
    <w:rsid w:val="00242638"/>
    <w:rsid w:val="00244370"/>
    <w:rsid w:val="0024493C"/>
    <w:rsid w:val="00245122"/>
    <w:rsid w:val="00250E78"/>
    <w:rsid w:val="00251907"/>
    <w:rsid w:val="0025374D"/>
    <w:rsid w:val="002539C6"/>
    <w:rsid w:val="002554DC"/>
    <w:rsid w:val="00255706"/>
    <w:rsid w:val="00255CAF"/>
    <w:rsid w:val="00257712"/>
    <w:rsid w:val="00260457"/>
    <w:rsid w:val="002616FB"/>
    <w:rsid w:val="00263880"/>
    <w:rsid w:val="002647B3"/>
    <w:rsid w:val="0026606A"/>
    <w:rsid w:val="00266B4B"/>
    <w:rsid w:val="00267699"/>
    <w:rsid w:val="00270653"/>
    <w:rsid w:val="002707C6"/>
    <w:rsid w:val="00271019"/>
    <w:rsid w:val="00273220"/>
    <w:rsid w:val="002766BB"/>
    <w:rsid w:val="00277D3E"/>
    <w:rsid w:val="00277F9E"/>
    <w:rsid w:val="002812B3"/>
    <w:rsid w:val="00286978"/>
    <w:rsid w:val="002869F6"/>
    <w:rsid w:val="00292127"/>
    <w:rsid w:val="0029216B"/>
    <w:rsid w:val="00292ACF"/>
    <w:rsid w:val="002932B8"/>
    <w:rsid w:val="00293B6C"/>
    <w:rsid w:val="00295397"/>
    <w:rsid w:val="002964D6"/>
    <w:rsid w:val="0029711C"/>
    <w:rsid w:val="002A0285"/>
    <w:rsid w:val="002A1AC8"/>
    <w:rsid w:val="002A4338"/>
    <w:rsid w:val="002B105A"/>
    <w:rsid w:val="002B138E"/>
    <w:rsid w:val="002B2BBC"/>
    <w:rsid w:val="002B4A54"/>
    <w:rsid w:val="002B5AA8"/>
    <w:rsid w:val="002B6AB5"/>
    <w:rsid w:val="002B7901"/>
    <w:rsid w:val="002C3C49"/>
    <w:rsid w:val="002C6DE7"/>
    <w:rsid w:val="002C7596"/>
    <w:rsid w:val="002D2D96"/>
    <w:rsid w:val="002D2DCA"/>
    <w:rsid w:val="002D32CD"/>
    <w:rsid w:val="002D435C"/>
    <w:rsid w:val="002D4A27"/>
    <w:rsid w:val="002E0605"/>
    <w:rsid w:val="002E0A56"/>
    <w:rsid w:val="002E1754"/>
    <w:rsid w:val="002E5D35"/>
    <w:rsid w:val="002F013C"/>
    <w:rsid w:val="002F0352"/>
    <w:rsid w:val="002F2031"/>
    <w:rsid w:val="002F25E4"/>
    <w:rsid w:val="002F425F"/>
    <w:rsid w:val="002F458F"/>
    <w:rsid w:val="002F5A3E"/>
    <w:rsid w:val="002F6451"/>
    <w:rsid w:val="003027A6"/>
    <w:rsid w:val="00303124"/>
    <w:rsid w:val="003035D1"/>
    <w:rsid w:val="00303E8F"/>
    <w:rsid w:val="00312990"/>
    <w:rsid w:val="00314DC2"/>
    <w:rsid w:val="0031532B"/>
    <w:rsid w:val="00322329"/>
    <w:rsid w:val="00324733"/>
    <w:rsid w:val="003252B6"/>
    <w:rsid w:val="0032644E"/>
    <w:rsid w:val="0032751B"/>
    <w:rsid w:val="00332BEB"/>
    <w:rsid w:val="00333B78"/>
    <w:rsid w:val="003342AA"/>
    <w:rsid w:val="0033560C"/>
    <w:rsid w:val="003359C0"/>
    <w:rsid w:val="003363B9"/>
    <w:rsid w:val="00336DA5"/>
    <w:rsid w:val="003370A1"/>
    <w:rsid w:val="00337851"/>
    <w:rsid w:val="00345265"/>
    <w:rsid w:val="0034635E"/>
    <w:rsid w:val="00347593"/>
    <w:rsid w:val="00350C57"/>
    <w:rsid w:val="00352342"/>
    <w:rsid w:val="003530C1"/>
    <w:rsid w:val="00354200"/>
    <w:rsid w:val="00354285"/>
    <w:rsid w:val="003542FA"/>
    <w:rsid w:val="00355656"/>
    <w:rsid w:val="0035765E"/>
    <w:rsid w:val="00360C9B"/>
    <w:rsid w:val="00360ECB"/>
    <w:rsid w:val="00362238"/>
    <w:rsid w:val="003704D5"/>
    <w:rsid w:val="00380539"/>
    <w:rsid w:val="00380879"/>
    <w:rsid w:val="003809A4"/>
    <w:rsid w:val="003819FE"/>
    <w:rsid w:val="00381ED8"/>
    <w:rsid w:val="0038229B"/>
    <w:rsid w:val="003848BC"/>
    <w:rsid w:val="00385245"/>
    <w:rsid w:val="003855CB"/>
    <w:rsid w:val="00385B77"/>
    <w:rsid w:val="00387C81"/>
    <w:rsid w:val="00390A5F"/>
    <w:rsid w:val="00390EA0"/>
    <w:rsid w:val="00393013"/>
    <w:rsid w:val="003938A9"/>
    <w:rsid w:val="00393B0C"/>
    <w:rsid w:val="00394DED"/>
    <w:rsid w:val="0039552A"/>
    <w:rsid w:val="00396656"/>
    <w:rsid w:val="0039778E"/>
    <w:rsid w:val="00397834"/>
    <w:rsid w:val="003A0CAA"/>
    <w:rsid w:val="003A1E70"/>
    <w:rsid w:val="003A3ED7"/>
    <w:rsid w:val="003A54FB"/>
    <w:rsid w:val="003A6BE5"/>
    <w:rsid w:val="003A7577"/>
    <w:rsid w:val="003A76E9"/>
    <w:rsid w:val="003A7B7A"/>
    <w:rsid w:val="003A7F43"/>
    <w:rsid w:val="003B4E6A"/>
    <w:rsid w:val="003B564D"/>
    <w:rsid w:val="003B7E67"/>
    <w:rsid w:val="003C071D"/>
    <w:rsid w:val="003C0CED"/>
    <w:rsid w:val="003C0E78"/>
    <w:rsid w:val="003C370F"/>
    <w:rsid w:val="003C57CB"/>
    <w:rsid w:val="003C5D86"/>
    <w:rsid w:val="003C67F8"/>
    <w:rsid w:val="003C691E"/>
    <w:rsid w:val="003D2669"/>
    <w:rsid w:val="003D3B03"/>
    <w:rsid w:val="003D4001"/>
    <w:rsid w:val="003D5242"/>
    <w:rsid w:val="003D6B21"/>
    <w:rsid w:val="003D6DDA"/>
    <w:rsid w:val="003D79A9"/>
    <w:rsid w:val="003E304C"/>
    <w:rsid w:val="003E44DA"/>
    <w:rsid w:val="003E72A9"/>
    <w:rsid w:val="003F04DC"/>
    <w:rsid w:val="003F5ADF"/>
    <w:rsid w:val="003F5AF4"/>
    <w:rsid w:val="003F5BAC"/>
    <w:rsid w:val="003F7493"/>
    <w:rsid w:val="003F7A6E"/>
    <w:rsid w:val="003F7ACC"/>
    <w:rsid w:val="00400955"/>
    <w:rsid w:val="00402346"/>
    <w:rsid w:val="00410316"/>
    <w:rsid w:val="00413D23"/>
    <w:rsid w:val="004146CB"/>
    <w:rsid w:val="004165FB"/>
    <w:rsid w:val="00416BFA"/>
    <w:rsid w:val="00420E2E"/>
    <w:rsid w:val="004247EA"/>
    <w:rsid w:val="00430BAF"/>
    <w:rsid w:val="00430D96"/>
    <w:rsid w:val="00432DB7"/>
    <w:rsid w:val="0043430E"/>
    <w:rsid w:val="00434E2D"/>
    <w:rsid w:val="00435E1E"/>
    <w:rsid w:val="00440528"/>
    <w:rsid w:val="00440641"/>
    <w:rsid w:val="004449F2"/>
    <w:rsid w:val="00445650"/>
    <w:rsid w:val="0044568D"/>
    <w:rsid w:val="004465EA"/>
    <w:rsid w:val="00450A5E"/>
    <w:rsid w:val="0045306C"/>
    <w:rsid w:val="0045397B"/>
    <w:rsid w:val="00455E15"/>
    <w:rsid w:val="004571F2"/>
    <w:rsid w:val="004578BB"/>
    <w:rsid w:val="00457D13"/>
    <w:rsid w:val="0046178D"/>
    <w:rsid w:val="00461C6C"/>
    <w:rsid w:val="00462D92"/>
    <w:rsid w:val="004655A2"/>
    <w:rsid w:val="004662B7"/>
    <w:rsid w:val="0046681A"/>
    <w:rsid w:val="00466B59"/>
    <w:rsid w:val="00466DC2"/>
    <w:rsid w:val="004702B9"/>
    <w:rsid w:val="004707FD"/>
    <w:rsid w:val="004711F2"/>
    <w:rsid w:val="00471D1E"/>
    <w:rsid w:val="00472229"/>
    <w:rsid w:val="00473EB6"/>
    <w:rsid w:val="0047447B"/>
    <w:rsid w:val="004751D3"/>
    <w:rsid w:val="00476A83"/>
    <w:rsid w:val="004771CE"/>
    <w:rsid w:val="0048011D"/>
    <w:rsid w:val="0048052C"/>
    <w:rsid w:val="00482DE4"/>
    <w:rsid w:val="0048532D"/>
    <w:rsid w:val="00485E85"/>
    <w:rsid w:val="0048630E"/>
    <w:rsid w:val="004905A0"/>
    <w:rsid w:val="00491EC8"/>
    <w:rsid w:val="00494BE7"/>
    <w:rsid w:val="0049643E"/>
    <w:rsid w:val="00496DE4"/>
    <w:rsid w:val="00497EEE"/>
    <w:rsid w:val="004A05D6"/>
    <w:rsid w:val="004A14FD"/>
    <w:rsid w:val="004A1FDB"/>
    <w:rsid w:val="004A2304"/>
    <w:rsid w:val="004A2E9E"/>
    <w:rsid w:val="004A5890"/>
    <w:rsid w:val="004A6F89"/>
    <w:rsid w:val="004A70EC"/>
    <w:rsid w:val="004B06E6"/>
    <w:rsid w:val="004B55A5"/>
    <w:rsid w:val="004B5F74"/>
    <w:rsid w:val="004C2465"/>
    <w:rsid w:val="004C32D3"/>
    <w:rsid w:val="004C4868"/>
    <w:rsid w:val="004D0565"/>
    <w:rsid w:val="004D0EA7"/>
    <w:rsid w:val="004D1E08"/>
    <w:rsid w:val="004D2360"/>
    <w:rsid w:val="004D5917"/>
    <w:rsid w:val="004D5B9A"/>
    <w:rsid w:val="004D5E4F"/>
    <w:rsid w:val="004D60BD"/>
    <w:rsid w:val="004D658C"/>
    <w:rsid w:val="004E0809"/>
    <w:rsid w:val="004E4B1A"/>
    <w:rsid w:val="004E50D5"/>
    <w:rsid w:val="004E5BE6"/>
    <w:rsid w:val="004F053E"/>
    <w:rsid w:val="004F0DFB"/>
    <w:rsid w:val="004F232D"/>
    <w:rsid w:val="004F3255"/>
    <w:rsid w:val="004F6976"/>
    <w:rsid w:val="004F7E7B"/>
    <w:rsid w:val="0050208B"/>
    <w:rsid w:val="00502E7B"/>
    <w:rsid w:val="00503EF9"/>
    <w:rsid w:val="00505EF5"/>
    <w:rsid w:val="00510B52"/>
    <w:rsid w:val="00511DA6"/>
    <w:rsid w:val="0051444A"/>
    <w:rsid w:val="00515E65"/>
    <w:rsid w:val="005160EE"/>
    <w:rsid w:val="005160FD"/>
    <w:rsid w:val="00516AE9"/>
    <w:rsid w:val="00517842"/>
    <w:rsid w:val="00520A72"/>
    <w:rsid w:val="00520ABD"/>
    <w:rsid w:val="00520C2B"/>
    <w:rsid w:val="005223E5"/>
    <w:rsid w:val="005228E2"/>
    <w:rsid w:val="00523002"/>
    <w:rsid w:val="005232B9"/>
    <w:rsid w:val="0052372C"/>
    <w:rsid w:val="005239D8"/>
    <w:rsid w:val="00523E29"/>
    <w:rsid w:val="0052528A"/>
    <w:rsid w:val="005254E0"/>
    <w:rsid w:val="005258D1"/>
    <w:rsid w:val="00525FEF"/>
    <w:rsid w:val="005305DE"/>
    <w:rsid w:val="005309C3"/>
    <w:rsid w:val="00531E43"/>
    <w:rsid w:val="00532A2D"/>
    <w:rsid w:val="00534A90"/>
    <w:rsid w:val="00541C8F"/>
    <w:rsid w:val="00541D1C"/>
    <w:rsid w:val="00544484"/>
    <w:rsid w:val="00547661"/>
    <w:rsid w:val="00547DA5"/>
    <w:rsid w:val="005509EA"/>
    <w:rsid w:val="00550B13"/>
    <w:rsid w:val="005519AB"/>
    <w:rsid w:val="0055237A"/>
    <w:rsid w:val="005533CD"/>
    <w:rsid w:val="005560F1"/>
    <w:rsid w:val="00556780"/>
    <w:rsid w:val="00557311"/>
    <w:rsid w:val="005573B4"/>
    <w:rsid w:val="00557E52"/>
    <w:rsid w:val="005616FB"/>
    <w:rsid w:val="00563162"/>
    <w:rsid w:val="00564860"/>
    <w:rsid w:val="00565E21"/>
    <w:rsid w:val="005705EC"/>
    <w:rsid w:val="005738B3"/>
    <w:rsid w:val="00575278"/>
    <w:rsid w:val="00575981"/>
    <w:rsid w:val="00576432"/>
    <w:rsid w:val="00580FD8"/>
    <w:rsid w:val="00581DBB"/>
    <w:rsid w:val="00582453"/>
    <w:rsid w:val="00584DEE"/>
    <w:rsid w:val="0058565F"/>
    <w:rsid w:val="005871F9"/>
    <w:rsid w:val="00590331"/>
    <w:rsid w:val="00591432"/>
    <w:rsid w:val="00592CB1"/>
    <w:rsid w:val="00595A23"/>
    <w:rsid w:val="00595E2F"/>
    <w:rsid w:val="005A0DC2"/>
    <w:rsid w:val="005A0EEC"/>
    <w:rsid w:val="005A13A2"/>
    <w:rsid w:val="005A1D3F"/>
    <w:rsid w:val="005A27C1"/>
    <w:rsid w:val="005A71BC"/>
    <w:rsid w:val="005A731F"/>
    <w:rsid w:val="005A7F07"/>
    <w:rsid w:val="005B0F37"/>
    <w:rsid w:val="005B3BE1"/>
    <w:rsid w:val="005B544E"/>
    <w:rsid w:val="005C0443"/>
    <w:rsid w:val="005C3385"/>
    <w:rsid w:val="005C601C"/>
    <w:rsid w:val="005C6173"/>
    <w:rsid w:val="005D0831"/>
    <w:rsid w:val="005D3AB1"/>
    <w:rsid w:val="005D66FD"/>
    <w:rsid w:val="005E04F3"/>
    <w:rsid w:val="005E0ADE"/>
    <w:rsid w:val="005E0B2C"/>
    <w:rsid w:val="005E1570"/>
    <w:rsid w:val="005E47ED"/>
    <w:rsid w:val="005E5F89"/>
    <w:rsid w:val="005E688C"/>
    <w:rsid w:val="005E6C5B"/>
    <w:rsid w:val="005E7619"/>
    <w:rsid w:val="005E7641"/>
    <w:rsid w:val="005E7AEE"/>
    <w:rsid w:val="005E7E7D"/>
    <w:rsid w:val="005F0015"/>
    <w:rsid w:val="005F0C2B"/>
    <w:rsid w:val="005F1705"/>
    <w:rsid w:val="005F1F80"/>
    <w:rsid w:val="005F32A6"/>
    <w:rsid w:val="005F4206"/>
    <w:rsid w:val="005F43D1"/>
    <w:rsid w:val="005F449C"/>
    <w:rsid w:val="005F6791"/>
    <w:rsid w:val="00601AAF"/>
    <w:rsid w:val="00601F0F"/>
    <w:rsid w:val="0060217C"/>
    <w:rsid w:val="006033F4"/>
    <w:rsid w:val="00604094"/>
    <w:rsid w:val="006044D1"/>
    <w:rsid w:val="00605A52"/>
    <w:rsid w:val="00605C43"/>
    <w:rsid w:val="00605C9A"/>
    <w:rsid w:val="006060C6"/>
    <w:rsid w:val="00607227"/>
    <w:rsid w:val="006077F7"/>
    <w:rsid w:val="00611229"/>
    <w:rsid w:val="006149A1"/>
    <w:rsid w:val="00614E60"/>
    <w:rsid w:val="00621CB5"/>
    <w:rsid w:val="00622030"/>
    <w:rsid w:val="0062245B"/>
    <w:rsid w:val="00622F0B"/>
    <w:rsid w:val="006239BD"/>
    <w:rsid w:val="00630641"/>
    <w:rsid w:val="006334EA"/>
    <w:rsid w:val="00636FF8"/>
    <w:rsid w:val="00637A27"/>
    <w:rsid w:val="00643288"/>
    <w:rsid w:val="00643853"/>
    <w:rsid w:val="0064480F"/>
    <w:rsid w:val="0064533F"/>
    <w:rsid w:val="00645BA6"/>
    <w:rsid w:val="006471A3"/>
    <w:rsid w:val="006472AD"/>
    <w:rsid w:val="006503F6"/>
    <w:rsid w:val="00650A87"/>
    <w:rsid w:val="00651057"/>
    <w:rsid w:val="006532AB"/>
    <w:rsid w:val="0065410E"/>
    <w:rsid w:val="006562DF"/>
    <w:rsid w:val="00656671"/>
    <w:rsid w:val="00657683"/>
    <w:rsid w:val="00657CE8"/>
    <w:rsid w:val="00657D46"/>
    <w:rsid w:val="00664C04"/>
    <w:rsid w:val="0066620C"/>
    <w:rsid w:val="006662A8"/>
    <w:rsid w:val="00666C29"/>
    <w:rsid w:val="00667A41"/>
    <w:rsid w:val="0067040E"/>
    <w:rsid w:val="00671649"/>
    <w:rsid w:val="00672704"/>
    <w:rsid w:val="006729BC"/>
    <w:rsid w:val="00673F1E"/>
    <w:rsid w:val="006742DD"/>
    <w:rsid w:val="00674804"/>
    <w:rsid w:val="00674FA1"/>
    <w:rsid w:val="00676165"/>
    <w:rsid w:val="00676DE2"/>
    <w:rsid w:val="00677090"/>
    <w:rsid w:val="00682D6F"/>
    <w:rsid w:val="00686483"/>
    <w:rsid w:val="00686566"/>
    <w:rsid w:val="006914FD"/>
    <w:rsid w:val="00692D1E"/>
    <w:rsid w:val="00693099"/>
    <w:rsid w:val="00697D2C"/>
    <w:rsid w:val="00697D7D"/>
    <w:rsid w:val="006A110B"/>
    <w:rsid w:val="006A2E62"/>
    <w:rsid w:val="006A433F"/>
    <w:rsid w:val="006A53AF"/>
    <w:rsid w:val="006A53EF"/>
    <w:rsid w:val="006A55F5"/>
    <w:rsid w:val="006B0317"/>
    <w:rsid w:val="006B128A"/>
    <w:rsid w:val="006B189D"/>
    <w:rsid w:val="006B1942"/>
    <w:rsid w:val="006B1F8F"/>
    <w:rsid w:val="006B254D"/>
    <w:rsid w:val="006B3725"/>
    <w:rsid w:val="006B3E5F"/>
    <w:rsid w:val="006B6CA7"/>
    <w:rsid w:val="006C05BA"/>
    <w:rsid w:val="006C1BD6"/>
    <w:rsid w:val="006C1D03"/>
    <w:rsid w:val="006C4981"/>
    <w:rsid w:val="006C5073"/>
    <w:rsid w:val="006C5D13"/>
    <w:rsid w:val="006C649E"/>
    <w:rsid w:val="006D0313"/>
    <w:rsid w:val="006D103B"/>
    <w:rsid w:val="006D17D3"/>
    <w:rsid w:val="006D28C2"/>
    <w:rsid w:val="006D3EC6"/>
    <w:rsid w:val="006D71F7"/>
    <w:rsid w:val="006E1A5A"/>
    <w:rsid w:val="006E27C4"/>
    <w:rsid w:val="006E2B9E"/>
    <w:rsid w:val="006E2D77"/>
    <w:rsid w:val="006E453A"/>
    <w:rsid w:val="006E65FD"/>
    <w:rsid w:val="006E662F"/>
    <w:rsid w:val="006E6B8E"/>
    <w:rsid w:val="006F1231"/>
    <w:rsid w:val="006F1D09"/>
    <w:rsid w:val="006F391C"/>
    <w:rsid w:val="006F48F8"/>
    <w:rsid w:val="006F5211"/>
    <w:rsid w:val="006F5E4E"/>
    <w:rsid w:val="006F60FA"/>
    <w:rsid w:val="006F7398"/>
    <w:rsid w:val="00701C50"/>
    <w:rsid w:val="00701C75"/>
    <w:rsid w:val="007024B8"/>
    <w:rsid w:val="00703FDE"/>
    <w:rsid w:val="00704034"/>
    <w:rsid w:val="00704756"/>
    <w:rsid w:val="00705267"/>
    <w:rsid w:val="007062F7"/>
    <w:rsid w:val="00706554"/>
    <w:rsid w:val="00714C76"/>
    <w:rsid w:val="007202AB"/>
    <w:rsid w:val="00720497"/>
    <w:rsid w:val="00720617"/>
    <w:rsid w:val="00721A0B"/>
    <w:rsid w:val="007238A9"/>
    <w:rsid w:val="00723DDB"/>
    <w:rsid w:val="007242D6"/>
    <w:rsid w:val="0072522F"/>
    <w:rsid w:val="007272E4"/>
    <w:rsid w:val="00727C9B"/>
    <w:rsid w:val="0073015B"/>
    <w:rsid w:val="007307B9"/>
    <w:rsid w:val="00732DC4"/>
    <w:rsid w:val="00733D68"/>
    <w:rsid w:val="007359B0"/>
    <w:rsid w:val="00736853"/>
    <w:rsid w:val="007400A2"/>
    <w:rsid w:val="00744CA5"/>
    <w:rsid w:val="007472EB"/>
    <w:rsid w:val="00747B6E"/>
    <w:rsid w:val="00747F8D"/>
    <w:rsid w:val="00750648"/>
    <w:rsid w:val="007514D8"/>
    <w:rsid w:val="00751854"/>
    <w:rsid w:val="007519B9"/>
    <w:rsid w:val="0075257C"/>
    <w:rsid w:val="00753930"/>
    <w:rsid w:val="00754850"/>
    <w:rsid w:val="00754C1A"/>
    <w:rsid w:val="00755102"/>
    <w:rsid w:val="0075577A"/>
    <w:rsid w:val="0075580E"/>
    <w:rsid w:val="00757D21"/>
    <w:rsid w:val="00760BCE"/>
    <w:rsid w:val="00762778"/>
    <w:rsid w:val="00763ADB"/>
    <w:rsid w:val="00763BD0"/>
    <w:rsid w:val="00763EF5"/>
    <w:rsid w:val="00764857"/>
    <w:rsid w:val="00764875"/>
    <w:rsid w:val="0076547B"/>
    <w:rsid w:val="007700C3"/>
    <w:rsid w:val="0077258B"/>
    <w:rsid w:val="00772D68"/>
    <w:rsid w:val="00774C1D"/>
    <w:rsid w:val="00783817"/>
    <w:rsid w:val="0078404A"/>
    <w:rsid w:val="00790E4A"/>
    <w:rsid w:val="00792BE2"/>
    <w:rsid w:val="0079314F"/>
    <w:rsid w:val="0079317B"/>
    <w:rsid w:val="0079368D"/>
    <w:rsid w:val="0079449B"/>
    <w:rsid w:val="00794CDB"/>
    <w:rsid w:val="00794D5E"/>
    <w:rsid w:val="00795A07"/>
    <w:rsid w:val="007960D8"/>
    <w:rsid w:val="007961C3"/>
    <w:rsid w:val="0079706B"/>
    <w:rsid w:val="0079758E"/>
    <w:rsid w:val="007A229E"/>
    <w:rsid w:val="007A2B04"/>
    <w:rsid w:val="007A654B"/>
    <w:rsid w:val="007B1330"/>
    <w:rsid w:val="007B13DF"/>
    <w:rsid w:val="007B4742"/>
    <w:rsid w:val="007B5196"/>
    <w:rsid w:val="007B77A2"/>
    <w:rsid w:val="007C026A"/>
    <w:rsid w:val="007C1A37"/>
    <w:rsid w:val="007C35E0"/>
    <w:rsid w:val="007C46D9"/>
    <w:rsid w:val="007C57C5"/>
    <w:rsid w:val="007C69A8"/>
    <w:rsid w:val="007C6EB1"/>
    <w:rsid w:val="007C7993"/>
    <w:rsid w:val="007D24D5"/>
    <w:rsid w:val="007D4F5A"/>
    <w:rsid w:val="007D6636"/>
    <w:rsid w:val="007E45E1"/>
    <w:rsid w:val="007E488A"/>
    <w:rsid w:val="007E756D"/>
    <w:rsid w:val="007F0148"/>
    <w:rsid w:val="007F1BBF"/>
    <w:rsid w:val="007F2AC6"/>
    <w:rsid w:val="007F34B9"/>
    <w:rsid w:val="007F51C9"/>
    <w:rsid w:val="00807040"/>
    <w:rsid w:val="008079C7"/>
    <w:rsid w:val="008103C0"/>
    <w:rsid w:val="00813467"/>
    <w:rsid w:val="00813B5F"/>
    <w:rsid w:val="00813B7E"/>
    <w:rsid w:val="00813BB1"/>
    <w:rsid w:val="008164C7"/>
    <w:rsid w:val="00816B5B"/>
    <w:rsid w:val="00825290"/>
    <w:rsid w:val="00825993"/>
    <w:rsid w:val="008260E6"/>
    <w:rsid w:val="00826503"/>
    <w:rsid w:val="00831C5B"/>
    <w:rsid w:val="00831CCA"/>
    <w:rsid w:val="008334B3"/>
    <w:rsid w:val="00833D96"/>
    <w:rsid w:val="00834448"/>
    <w:rsid w:val="00834B6D"/>
    <w:rsid w:val="0083706C"/>
    <w:rsid w:val="00837CBD"/>
    <w:rsid w:val="00841484"/>
    <w:rsid w:val="0084176C"/>
    <w:rsid w:val="00843147"/>
    <w:rsid w:val="00846CFB"/>
    <w:rsid w:val="00847B55"/>
    <w:rsid w:val="00854805"/>
    <w:rsid w:val="00855558"/>
    <w:rsid w:val="0085619C"/>
    <w:rsid w:val="00861C79"/>
    <w:rsid w:val="00861CC5"/>
    <w:rsid w:val="00863383"/>
    <w:rsid w:val="00866AAB"/>
    <w:rsid w:val="00867833"/>
    <w:rsid w:val="00873284"/>
    <w:rsid w:val="00876247"/>
    <w:rsid w:val="008803C2"/>
    <w:rsid w:val="00880EBC"/>
    <w:rsid w:val="0088312D"/>
    <w:rsid w:val="00884EE0"/>
    <w:rsid w:val="008866F7"/>
    <w:rsid w:val="00886E2E"/>
    <w:rsid w:val="00887981"/>
    <w:rsid w:val="00892A0B"/>
    <w:rsid w:val="008950CD"/>
    <w:rsid w:val="008952BA"/>
    <w:rsid w:val="008959B5"/>
    <w:rsid w:val="008975C5"/>
    <w:rsid w:val="00897820"/>
    <w:rsid w:val="008A12B5"/>
    <w:rsid w:val="008A19DA"/>
    <w:rsid w:val="008A1F0D"/>
    <w:rsid w:val="008A5004"/>
    <w:rsid w:val="008C0370"/>
    <w:rsid w:val="008C07D2"/>
    <w:rsid w:val="008C0852"/>
    <w:rsid w:val="008C0D39"/>
    <w:rsid w:val="008C2661"/>
    <w:rsid w:val="008C67F2"/>
    <w:rsid w:val="008D051A"/>
    <w:rsid w:val="008D10EB"/>
    <w:rsid w:val="008D1BE5"/>
    <w:rsid w:val="008D2396"/>
    <w:rsid w:val="008D4223"/>
    <w:rsid w:val="008D48E4"/>
    <w:rsid w:val="008D490A"/>
    <w:rsid w:val="008E0598"/>
    <w:rsid w:val="008E21BF"/>
    <w:rsid w:val="008E3728"/>
    <w:rsid w:val="008E6818"/>
    <w:rsid w:val="008F24BD"/>
    <w:rsid w:val="008F2538"/>
    <w:rsid w:val="008F2D42"/>
    <w:rsid w:val="008F6882"/>
    <w:rsid w:val="008F7BC9"/>
    <w:rsid w:val="009012F4"/>
    <w:rsid w:val="00902C5C"/>
    <w:rsid w:val="00904727"/>
    <w:rsid w:val="00904C99"/>
    <w:rsid w:val="00905452"/>
    <w:rsid w:val="00905F78"/>
    <w:rsid w:val="009108AF"/>
    <w:rsid w:val="00911F38"/>
    <w:rsid w:val="009122F6"/>
    <w:rsid w:val="009124C7"/>
    <w:rsid w:val="00912CDA"/>
    <w:rsid w:val="009132CF"/>
    <w:rsid w:val="00913E65"/>
    <w:rsid w:val="0091663A"/>
    <w:rsid w:val="009201DF"/>
    <w:rsid w:val="00920B71"/>
    <w:rsid w:val="0092113F"/>
    <w:rsid w:val="009240C7"/>
    <w:rsid w:val="009262D9"/>
    <w:rsid w:val="009263DC"/>
    <w:rsid w:val="009306DE"/>
    <w:rsid w:val="009309BB"/>
    <w:rsid w:val="00931406"/>
    <w:rsid w:val="00931B85"/>
    <w:rsid w:val="00932B2F"/>
    <w:rsid w:val="009336F4"/>
    <w:rsid w:val="009355A6"/>
    <w:rsid w:val="009377BC"/>
    <w:rsid w:val="00937B3D"/>
    <w:rsid w:val="0094136E"/>
    <w:rsid w:val="00942331"/>
    <w:rsid w:val="009423D6"/>
    <w:rsid w:val="00942471"/>
    <w:rsid w:val="00942C6B"/>
    <w:rsid w:val="00944023"/>
    <w:rsid w:val="009470EE"/>
    <w:rsid w:val="009526F9"/>
    <w:rsid w:val="00953593"/>
    <w:rsid w:val="00957DCF"/>
    <w:rsid w:val="009626B4"/>
    <w:rsid w:val="00963C2A"/>
    <w:rsid w:val="00964898"/>
    <w:rsid w:val="00964E3C"/>
    <w:rsid w:val="00965A1E"/>
    <w:rsid w:val="009707ED"/>
    <w:rsid w:val="009720DF"/>
    <w:rsid w:val="00972B9C"/>
    <w:rsid w:val="009736FD"/>
    <w:rsid w:val="00981BB7"/>
    <w:rsid w:val="00983879"/>
    <w:rsid w:val="0098496A"/>
    <w:rsid w:val="00985516"/>
    <w:rsid w:val="009901F8"/>
    <w:rsid w:val="009906AE"/>
    <w:rsid w:val="00992352"/>
    <w:rsid w:val="00994A2E"/>
    <w:rsid w:val="009968BF"/>
    <w:rsid w:val="009979CA"/>
    <w:rsid w:val="009A1377"/>
    <w:rsid w:val="009A1A94"/>
    <w:rsid w:val="009A2AB0"/>
    <w:rsid w:val="009A36D0"/>
    <w:rsid w:val="009B0843"/>
    <w:rsid w:val="009B51EE"/>
    <w:rsid w:val="009B6A5A"/>
    <w:rsid w:val="009C0684"/>
    <w:rsid w:val="009C0732"/>
    <w:rsid w:val="009C0A76"/>
    <w:rsid w:val="009C2D9D"/>
    <w:rsid w:val="009C6A59"/>
    <w:rsid w:val="009D0B0C"/>
    <w:rsid w:val="009D19EE"/>
    <w:rsid w:val="009D7788"/>
    <w:rsid w:val="009D7C15"/>
    <w:rsid w:val="009E0AAA"/>
    <w:rsid w:val="009E0FAB"/>
    <w:rsid w:val="009E1E18"/>
    <w:rsid w:val="009E223E"/>
    <w:rsid w:val="009E684B"/>
    <w:rsid w:val="009E7404"/>
    <w:rsid w:val="009F0E5A"/>
    <w:rsid w:val="009F3D29"/>
    <w:rsid w:val="009F5AFE"/>
    <w:rsid w:val="009F6351"/>
    <w:rsid w:val="00A00BBF"/>
    <w:rsid w:val="00A00FB4"/>
    <w:rsid w:val="00A015A2"/>
    <w:rsid w:val="00A02AA5"/>
    <w:rsid w:val="00A02D09"/>
    <w:rsid w:val="00A036C0"/>
    <w:rsid w:val="00A05E7A"/>
    <w:rsid w:val="00A06E70"/>
    <w:rsid w:val="00A06EB4"/>
    <w:rsid w:val="00A1330E"/>
    <w:rsid w:val="00A136DF"/>
    <w:rsid w:val="00A13817"/>
    <w:rsid w:val="00A15DCC"/>
    <w:rsid w:val="00A20621"/>
    <w:rsid w:val="00A21A5D"/>
    <w:rsid w:val="00A25DDA"/>
    <w:rsid w:val="00A266D4"/>
    <w:rsid w:val="00A27C94"/>
    <w:rsid w:val="00A31801"/>
    <w:rsid w:val="00A3243B"/>
    <w:rsid w:val="00A328D3"/>
    <w:rsid w:val="00A334CD"/>
    <w:rsid w:val="00A34CA7"/>
    <w:rsid w:val="00A355ED"/>
    <w:rsid w:val="00A36552"/>
    <w:rsid w:val="00A37A1D"/>
    <w:rsid w:val="00A415DB"/>
    <w:rsid w:val="00A425A5"/>
    <w:rsid w:val="00A42EB8"/>
    <w:rsid w:val="00A4602A"/>
    <w:rsid w:val="00A468F4"/>
    <w:rsid w:val="00A503FC"/>
    <w:rsid w:val="00A53796"/>
    <w:rsid w:val="00A53BC9"/>
    <w:rsid w:val="00A544DD"/>
    <w:rsid w:val="00A54E0A"/>
    <w:rsid w:val="00A566A0"/>
    <w:rsid w:val="00A62049"/>
    <w:rsid w:val="00A64DC0"/>
    <w:rsid w:val="00A6706A"/>
    <w:rsid w:val="00A702CF"/>
    <w:rsid w:val="00A7160A"/>
    <w:rsid w:val="00A746E1"/>
    <w:rsid w:val="00A755EB"/>
    <w:rsid w:val="00A760EA"/>
    <w:rsid w:val="00A76300"/>
    <w:rsid w:val="00A824E5"/>
    <w:rsid w:val="00A83BE5"/>
    <w:rsid w:val="00A83D0F"/>
    <w:rsid w:val="00A850D6"/>
    <w:rsid w:val="00A861E2"/>
    <w:rsid w:val="00A867F7"/>
    <w:rsid w:val="00A91470"/>
    <w:rsid w:val="00AA0C11"/>
    <w:rsid w:val="00AA2391"/>
    <w:rsid w:val="00AA310C"/>
    <w:rsid w:val="00AA416A"/>
    <w:rsid w:val="00AA648B"/>
    <w:rsid w:val="00AA7300"/>
    <w:rsid w:val="00AB0462"/>
    <w:rsid w:val="00AB212B"/>
    <w:rsid w:val="00AB21C6"/>
    <w:rsid w:val="00AB2815"/>
    <w:rsid w:val="00AB2BEA"/>
    <w:rsid w:val="00AB3481"/>
    <w:rsid w:val="00AB616E"/>
    <w:rsid w:val="00AC013C"/>
    <w:rsid w:val="00AC0830"/>
    <w:rsid w:val="00AC1346"/>
    <w:rsid w:val="00AC13C0"/>
    <w:rsid w:val="00AC1B66"/>
    <w:rsid w:val="00AC496E"/>
    <w:rsid w:val="00AC5CA7"/>
    <w:rsid w:val="00AC6971"/>
    <w:rsid w:val="00AC7A2C"/>
    <w:rsid w:val="00AD14A7"/>
    <w:rsid w:val="00AD58F8"/>
    <w:rsid w:val="00AD5DAA"/>
    <w:rsid w:val="00AD5E26"/>
    <w:rsid w:val="00AD5FD7"/>
    <w:rsid w:val="00AD60E2"/>
    <w:rsid w:val="00AD6556"/>
    <w:rsid w:val="00AE037A"/>
    <w:rsid w:val="00AE11BA"/>
    <w:rsid w:val="00AE11D6"/>
    <w:rsid w:val="00AE1278"/>
    <w:rsid w:val="00AE12CF"/>
    <w:rsid w:val="00AE4332"/>
    <w:rsid w:val="00AF0C15"/>
    <w:rsid w:val="00AF1412"/>
    <w:rsid w:val="00AF1B68"/>
    <w:rsid w:val="00AF303E"/>
    <w:rsid w:val="00AF5159"/>
    <w:rsid w:val="00AF70CC"/>
    <w:rsid w:val="00AF71B7"/>
    <w:rsid w:val="00AF7423"/>
    <w:rsid w:val="00AF7537"/>
    <w:rsid w:val="00AF7997"/>
    <w:rsid w:val="00B0035E"/>
    <w:rsid w:val="00B00B2F"/>
    <w:rsid w:val="00B0443B"/>
    <w:rsid w:val="00B0690A"/>
    <w:rsid w:val="00B07089"/>
    <w:rsid w:val="00B139F7"/>
    <w:rsid w:val="00B13CEA"/>
    <w:rsid w:val="00B13E10"/>
    <w:rsid w:val="00B158C6"/>
    <w:rsid w:val="00B16758"/>
    <w:rsid w:val="00B21057"/>
    <w:rsid w:val="00B227D7"/>
    <w:rsid w:val="00B22AF4"/>
    <w:rsid w:val="00B22D2F"/>
    <w:rsid w:val="00B23468"/>
    <w:rsid w:val="00B23B3B"/>
    <w:rsid w:val="00B301A0"/>
    <w:rsid w:val="00B312E9"/>
    <w:rsid w:val="00B32772"/>
    <w:rsid w:val="00B36E94"/>
    <w:rsid w:val="00B37F1B"/>
    <w:rsid w:val="00B42B3A"/>
    <w:rsid w:val="00B43AAB"/>
    <w:rsid w:val="00B45373"/>
    <w:rsid w:val="00B46239"/>
    <w:rsid w:val="00B467A4"/>
    <w:rsid w:val="00B50E62"/>
    <w:rsid w:val="00B516F8"/>
    <w:rsid w:val="00B51F75"/>
    <w:rsid w:val="00B52347"/>
    <w:rsid w:val="00B52B57"/>
    <w:rsid w:val="00B52F5E"/>
    <w:rsid w:val="00B53660"/>
    <w:rsid w:val="00B54A99"/>
    <w:rsid w:val="00B54AB6"/>
    <w:rsid w:val="00B54B62"/>
    <w:rsid w:val="00B569F5"/>
    <w:rsid w:val="00B616DB"/>
    <w:rsid w:val="00B638DF"/>
    <w:rsid w:val="00B6656E"/>
    <w:rsid w:val="00B66D29"/>
    <w:rsid w:val="00B70ADB"/>
    <w:rsid w:val="00B7256D"/>
    <w:rsid w:val="00B7389A"/>
    <w:rsid w:val="00B754D6"/>
    <w:rsid w:val="00B75997"/>
    <w:rsid w:val="00B7712A"/>
    <w:rsid w:val="00B80BD8"/>
    <w:rsid w:val="00B8105E"/>
    <w:rsid w:val="00B81F2F"/>
    <w:rsid w:val="00B82835"/>
    <w:rsid w:val="00B8709A"/>
    <w:rsid w:val="00B911FE"/>
    <w:rsid w:val="00B943EB"/>
    <w:rsid w:val="00B94BD8"/>
    <w:rsid w:val="00B97CDE"/>
    <w:rsid w:val="00BA0A5B"/>
    <w:rsid w:val="00BA0CF0"/>
    <w:rsid w:val="00BA1246"/>
    <w:rsid w:val="00BA1BF3"/>
    <w:rsid w:val="00BA279A"/>
    <w:rsid w:val="00BA2B62"/>
    <w:rsid w:val="00BA594D"/>
    <w:rsid w:val="00BA7478"/>
    <w:rsid w:val="00BA762C"/>
    <w:rsid w:val="00BB1C8C"/>
    <w:rsid w:val="00BB2236"/>
    <w:rsid w:val="00BB291A"/>
    <w:rsid w:val="00BB2930"/>
    <w:rsid w:val="00BB378E"/>
    <w:rsid w:val="00BB3E1A"/>
    <w:rsid w:val="00BB4C7C"/>
    <w:rsid w:val="00BC1927"/>
    <w:rsid w:val="00BC24CA"/>
    <w:rsid w:val="00BC2793"/>
    <w:rsid w:val="00BC2824"/>
    <w:rsid w:val="00BC65E0"/>
    <w:rsid w:val="00BC75E6"/>
    <w:rsid w:val="00BC79EB"/>
    <w:rsid w:val="00BD0425"/>
    <w:rsid w:val="00BD20B9"/>
    <w:rsid w:val="00BD33E1"/>
    <w:rsid w:val="00BD656D"/>
    <w:rsid w:val="00BD661C"/>
    <w:rsid w:val="00BD6757"/>
    <w:rsid w:val="00BD7E63"/>
    <w:rsid w:val="00BE2164"/>
    <w:rsid w:val="00BE427D"/>
    <w:rsid w:val="00BE52AE"/>
    <w:rsid w:val="00BF03DC"/>
    <w:rsid w:val="00BF365B"/>
    <w:rsid w:val="00BF3F9E"/>
    <w:rsid w:val="00BF4C71"/>
    <w:rsid w:val="00BF54E7"/>
    <w:rsid w:val="00BF55F1"/>
    <w:rsid w:val="00BF5C1C"/>
    <w:rsid w:val="00BF6725"/>
    <w:rsid w:val="00BF6E37"/>
    <w:rsid w:val="00BF73BD"/>
    <w:rsid w:val="00BF7646"/>
    <w:rsid w:val="00C03507"/>
    <w:rsid w:val="00C049DF"/>
    <w:rsid w:val="00C07F60"/>
    <w:rsid w:val="00C10DE4"/>
    <w:rsid w:val="00C14280"/>
    <w:rsid w:val="00C20462"/>
    <w:rsid w:val="00C2773F"/>
    <w:rsid w:val="00C3356E"/>
    <w:rsid w:val="00C3571C"/>
    <w:rsid w:val="00C36713"/>
    <w:rsid w:val="00C3713C"/>
    <w:rsid w:val="00C40074"/>
    <w:rsid w:val="00C41FEA"/>
    <w:rsid w:val="00C43879"/>
    <w:rsid w:val="00C461E7"/>
    <w:rsid w:val="00C471E3"/>
    <w:rsid w:val="00C47B21"/>
    <w:rsid w:val="00C53066"/>
    <w:rsid w:val="00C53B0B"/>
    <w:rsid w:val="00C561DA"/>
    <w:rsid w:val="00C60C88"/>
    <w:rsid w:val="00C61D2F"/>
    <w:rsid w:val="00C61D9A"/>
    <w:rsid w:val="00C620F4"/>
    <w:rsid w:val="00C6305C"/>
    <w:rsid w:val="00C64925"/>
    <w:rsid w:val="00C66519"/>
    <w:rsid w:val="00C701A3"/>
    <w:rsid w:val="00C732B4"/>
    <w:rsid w:val="00C747C5"/>
    <w:rsid w:val="00C7785E"/>
    <w:rsid w:val="00C802A1"/>
    <w:rsid w:val="00C80B38"/>
    <w:rsid w:val="00C810CE"/>
    <w:rsid w:val="00C812CD"/>
    <w:rsid w:val="00C83585"/>
    <w:rsid w:val="00C857C6"/>
    <w:rsid w:val="00C860DC"/>
    <w:rsid w:val="00C8643E"/>
    <w:rsid w:val="00C8689D"/>
    <w:rsid w:val="00C87907"/>
    <w:rsid w:val="00C9145E"/>
    <w:rsid w:val="00C917AD"/>
    <w:rsid w:val="00C92266"/>
    <w:rsid w:val="00C95A72"/>
    <w:rsid w:val="00C96348"/>
    <w:rsid w:val="00C96BAA"/>
    <w:rsid w:val="00C9707F"/>
    <w:rsid w:val="00CA18CA"/>
    <w:rsid w:val="00CA2D33"/>
    <w:rsid w:val="00CA3948"/>
    <w:rsid w:val="00CA573E"/>
    <w:rsid w:val="00CA6755"/>
    <w:rsid w:val="00CA74DB"/>
    <w:rsid w:val="00CB22E3"/>
    <w:rsid w:val="00CB35CA"/>
    <w:rsid w:val="00CB43AB"/>
    <w:rsid w:val="00CB6799"/>
    <w:rsid w:val="00CC3F61"/>
    <w:rsid w:val="00CC5C49"/>
    <w:rsid w:val="00CC713A"/>
    <w:rsid w:val="00CD09E8"/>
    <w:rsid w:val="00CD0E98"/>
    <w:rsid w:val="00CD354D"/>
    <w:rsid w:val="00CD4432"/>
    <w:rsid w:val="00CD488D"/>
    <w:rsid w:val="00CD7305"/>
    <w:rsid w:val="00CD757A"/>
    <w:rsid w:val="00CD7D38"/>
    <w:rsid w:val="00CD7EC7"/>
    <w:rsid w:val="00CE05FA"/>
    <w:rsid w:val="00CE1A47"/>
    <w:rsid w:val="00CE214A"/>
    <w:rsid w:val="00CE3954"/>
    <w:rsid w:val="00CE3B57"/>
    <w:rsid w:val="00CE3D89"/>
    <w:rsid w:val="00CE48EB"/>
    <w:rsid w:val="00CE660D"/>
    <w:rsid w:val="00CE6E53"/>
    <w:rsid w:val="00CE7149"/>
    <w:rsid w:val="00CF081D"/>
    <w:rsid w:val="00CF13D9"/>
    <w:rsid w:val="00CF1891"/>
    <w:rsid w:val="00CF2CB1"/>
    <w:rsid w:val="00CF325C"/>
    <w:rsid w:val="00CF3642"/>
    <w:rsid w:val="00CF3842"/>
    <w:rsid w:val="00CF48E7"/>
    <w:rsid w:val="00CF6ACB"/>
    <w:rsid w:val="00CF731F"/>
    <w:rsid w:val="00D01003"/>
    <w:rsid w:val="00D045BC"/>
    <w:rsid w:val="00D04B86"/>
    <w:rsid w:val="00D064DB"/>
    <w:rsid w:val="00D0715E"/>
    <w:rsid w:val="00D072DC"/>
    <w:rsid w:val="00D07F8A"/>
    <w:rsid w:val="00D10215"/>
    <w:rsid w:val="00D125FF"/>
    <w:rsid w:val="00D13AFC"/>
    <w:rsid w:val="00D142A8"/>
    <w:rsid w:val="00D14E02"/>
    <w:rsid w:val="00D173EF"/>
    <w:rsid w:val="00D20244"/>
    <w:rsid w:val="00D20284"/>
    <w:rsid w:val="00D20C51"/>
    <w:rsid w:val="00D211C2"/>
    <w:rsid w:val="00D225C5"/>
    <w:rsid w:val="00D23A42"/>
    <w:rsid w:val="00D2444F"/>
    <w:rsid w:val="00D24D68"/>
    <w:rsid w:val="00D2632A"/>
    <w:rsid w:val="00D26AB2"/>
    <w:rsid w:val="00D3128D"/>
    <w:rsid w:val="00D33263"/>
    <w:rsid w:val="00D35717"/>
    <w:rsid w:val="00D366BB"/>
    <w:rsid w:val="00D37C4C"/>
    <w:rsid w:val="00D37E73"/>
    <w:rsid w:val="00D40C49"/>
    <w:rsid w:val="00D4224A"/>
    <w:rsid w:val="00D42752"/>
    <w:rsid w:val="00D43DD6"/>
    <w:rsid w:val="00D463EF"/>
    <w:rsid w:val="00D47189"/>
    <w:rsid w:val="00D51683"/>
    <w:rsid w:val="00D51F14"/>
    <w:rsid w:val="00D52287"/>
    <w:rsid w:val="00D52B0A"/>
    <w:rsid w:val="00D53CA2"/>
    <w:rsid w:val="00D5565A"/>
    <w:rsid w:val="00D55A90"/>
    <w:rsid w:val="00D5621F"/>
    <w:rsid w:val="00D56B39"/>
    <w:rsid w:val="00D606D1"/>
    <w:rsid w:val="00D6082E"/>
    <w:rsid w:val="00D619F6"/>
    <w:rsid w:val="00D6439E"/>
    <w:rsid w:val="00D64E4C"/>
    <w:rsid w:val="00D6564C"/>
    <w:rsid w:val="00D66C9A"/>
    <w:rsid w:val="00D67C0C"/>
    <w:rsid w:val="00D7003C"/>
    <w:rsid w:val="00D762C1"/>
    <w:rsid w:val="00D77CDD"/>
    <w:rsid w:val="00D8218A"/>
    <w:rsid w:val="00D8498C"/>
    <w:rsid w:val="00D84EC6"/>
    <w:rsid w:val="00D8572B"/>
    <w:rsid w:val="00D9080B"/>
    <w:rsid w:val="00D90A2E"/>
    <w:rsid w:val="00D90FF8"/>
    <w:rsid w:val="00D91BBE"/>
    <w:rsid w:val="00D91DB3"/>
    <w:rsid w:val="00D9320E"/>
    <w:rsid w:val="00D933A0"/>
    <w:rsid w:val="00D93454"/>
    <w:rsid w:val="00D9497D"/>
    <w:rsid w:val="00D9581C"/>
    <w:rsid w:val="00D9684C"/>
    <w:rsid w:val="00D96AE2"/>
    <w:rsid w:val="00D97629"/>
    <w:rsid w:val="00DA1FDA"/>
    <w:rsid w:val="00DA33AE"/>
    <w:rsid w:val="00DA3DCB"/>
    <w:rsid w:val="00DA624C"/>
    <w:rsid w:val="00DA6367"/>
    <w:rsid w:val="00DB04B3"/>
    <w:rsid w:val="00DB147D"/>
    <w:rsid w:val="00DB270D"/>
    <w:rsid w:val="00DB3A0B"/>
    <w:rsid w:val="00DB45B7"/>
    <w:rsid w:val="00DB785B"/>
    <w:rsid w:val="00DC0FF7"/>
    <w:rsid w:val="00DC1900"/>
    <w:rsid w:val="00DC223B"/>
    <w:rsid w:val="00DC34BB"/>
    <w:rsid w:val="00DC3D95"/>
    <w:rsid w:val="00DC4857"/>
    <w:rsid w:val="00DC68B4"/>
    <w:rsid w:val="00DD0F56"/>
    <w:rsid w:val="00DD1B38"/>
    <w:rsid w:val="00DD740B"/>
    <w:rsid w:val="00DE0081"/>
    <w:rsid w:val="00DE0713"/>
    <w:rsid w:val="00DE1191"/>
    <w:rsid w:val="00DE146F"/>
    <w:rsid w:val="00DE194B"/>
    <w:rsid w:val="00DE207E"/>
    <w:rsid w:val="00DE41E9"/>
    <w:rsid w:val="00DE5DCF"/>
    <w:rsid w:val="00DE63A5"/>
    <w:rsid w:val="00DF10FA"/>
    <w:rsid w:val="00DF6815"/>
    <w:rsid w:val="00E00848"/>
    <w:rsid w:val="00E05959"/>
    <w:rsid w:val="00E07814"/>
    <w:rsid w:val="00E10E75"/>
    <w:rsid w:val="00E1252F"/>
    <w:rsid w:val="00E126CF"/>
    <w:rsid w:val="00E14127"/>
    <w:rsid w:val="00E17B62"/>
    <w:rsid w:val="00E204C1"/>
    <w:rsid w:val="00E2061E"/>
    <w:rsid w:val="00E22EC4"/>
    <w:rsid w:val="00E278C3"/>
    <w:rsid w:val="00E30523"/>
    <w:rsid w:val="00E3210A"/>
    <w:rsid w:val="00E327A1"/>
    <w:rsid w:val="00E33A9B"/>
    <w:rsid w:val="00E37507"/>
    <w:rsid w:val="00E37D92"/>
    <w:rsid w:val="00E41051"/>
    <w:rsid w:val="00E417F7"/>
    <w:rsid w:val="00E42DF1"/>
    <w:rsid w:val="00E43DEB"/>
    <w:rsid w:val="00E45A14"/>
    <w:rsid w:val="00E47B29"/>
    <w:rsid w:val="00E50BC9"/>
    <w:rsid w:val="00E51B23"/>
    <w:rsid w:val="00E56591"/>
    <w:rsid w:val="00E62695"/>
    <w:rsid w:val="00E65D96"/>
    <w:rsid w:val="00E67D89"/>
    <w:rsid w:val="00E67FEC"/>
    <w:rsid w:val="00E711AF"/>
    <w:rsid w:val="00E71EF7"/>
    <w:rsid w:val="00E732D3"/>
    <w:rsid w:val="00E73949"/>
    <w:rsid w:val="00E73B14"/>
    <w:rsid w:val="00E73E18"/>
    <w:rsid w:val="00E741D9"/>
    <w:rsid w:val="00E764FC"/>
    <w:rsid w:val="00E76707"/>
    <w:rsid w:val="00E76FAF"/>
    <w:rsid w:val="00E80ECD"/>
    <w:rsid w:val="00E80FA8"/>
    <w:rsid w:val="00E81B00"/>
    <w:rsid w:val="00E81B0F"/>
    <w:rsid w:val="00E81FCB"/>
    <w:rsid w:val="00E82218"/>
    <w:rsid w:val="00E82A11"/>
    <w:rsid w:val="00E845C0"/>
    <w:rsid w:val="00E85B3A"/>
    <w:rsid w:val="00E86B45"/>
    <w:rsid w:val="00E86CDA"/>
    <w:rsid w:val="00E871C6"/>
    <w:rsid w:val="00E958A0"/>
    <w:rsid w:val="00E96DFA"/>
    <w:rsid w:val="00E972B3"/>
    <w:rsid w:val="00EA11A3"/>
    <w:rsid w:val="00EA3FD6"/>
    <w:rsid w:val="00EA50E6"/>
    <w:rsid w:val="00EA5960"/>
    <w:rsid w:val="00EA5C50"/>
    <w:rsid w:val="00EB0F0D"/>
    <w:rsid w:val="00EB30E0"/>
    <w:rsid w:val="00EB3449"/>
    <w:rsid w:val="00EB41D3"/>
    <w:rsid w:val="00EB7090"/>
    <w:rsid w:val="00EB77A8"/>
    <w:rsid w:val="00EC0F81"/>
    <w:rsid w:val="00EC120F"/>
    <w:rsid w:val="00EC223D"/>
    <w:rsid w:val="00EC27DC"/>
    <w:rsid w:val="00EC304B"/>
    <w:rsid w:val="00EC3555"/>
    <w:rsid w:val="00EC38BF"/>
    <w:rsid w:val="00EC3B91"/>
    <w:rsid w:val="00EC3F18"/>
    <w:rsid w:val="00EC545D"/>
    <w:rsid w:val="00EC63DE"/>
    <w:rsid w:val="00ED02C4"/>
    <w:rsid w:val="00ED16E9"/>
    <w:rsid w:val="00ED1C64"/>
    <w:rsid w:val="00ED232A"/>
    <w:rsid w:val="00ED4152"/>
    <w:rsid w:val="00ED48B0"/>
    <w:rsid w:val="00ED5A56"/>
    <w:rsid w:val="00ED689D"/>
    <w:rsid w:val="00EE0FF2"/>
    <w:rsid w:val="00EE2012"/>
    <w:rsid w:val="00EE6A63"/>
    <w:rsid w:val="00EE7679"/>
    <w:rsid w:val="00EF07E3"/>
    <w:rsid w:val="00EF17E7"/>
    <w:rsid w:val="00EF2001"/>
    <w:rsid w:val="00EF5C98"/>
    <w:rsid w:val="00EF6249"/>
    <w:rsid w:val="00EF7059"/>
    <w:rsid w:val="00F0003E"/>
    <w:rsid w:val="00F00777"/>
    <w:rsid w:val="00F00FBB"/>
    <w:rsid w:val="00F01BCC"/>
    <w:rsid w:val="00F03C75"/>
    <w:rsid w:val="00F03FAB"/>
    <w:rsid w:val="00F044CD"/>
    <w:rsid w:val="00F05C07"/>
    <w:rsid w:val="00F12107"/>
    <w:rsid w:val="00F12AF3"/>
    <w:rsid w:val="00F15E62"/>
    <w:rsid w:val="00F161AD"/>
    <w:rsid w:val="00F16A97"/>
    <w:rsid w:val="00F1731C"/>
    <w:rsid w:val="00F20247"/>
    <w:rsid w:val="00F21FFA"/>
    <w:rsid w:val="00F22928"/>
    <w:rsid w:val="00F23167"/>
    <w:rsid w:val="00F234B1"/>
    <w:rsid w:val="00F2366A"/>
    <w:rsid w:val="00F2429B"/>
    <w:rsid w:val="00F253AC"/>
    <w:rsid w:val="00F2652E"/>
    <w:rsid w:val="00F272C5"/>
    <w:rsid w:val="00F31AEA"/>
    <w:rsid w:val="00F330C5"/>
    <w:rsid w:val="00F33A9E"/>
    <w:rsid w:val="00F34017"/>
    <w:rsid w:val="00F36E49"/>
    <w:rsid w:val="00F42148"/>
    <w:rsid w:val="00F423B9"/>
    <w:rsid w:val="00F42461"/>
    <w:rsid w:val="00F427F6"/>
    <w:rsid w:val="00F433ED"/>
    <w:rsid w:val="00F43A88"/>
    <w:rsid w:val="00F441C1"/>
    <w:rsid w:val="00F4604B"/>
    <w:rsid w:val="00F477B0"/>
    <w:rsid w:val="00F51FFC"/>
    <w:rsid w:val="00F5400A"/>
    <w:rsid w:val="00F55332"/>
    <w:rsid w:val="00F55F94"/>
    <w:rsid w:val="00F562F0"/>
    <w:rsid w:val="00F56E6E"/>
    <w:rsid w:val="00F573DD"/>
    <w:rsid w:val="00F61383"/>
    <w:rsid w:val="00F65234"/>
    <w:rsid w:val="00F65241"/>
    <w:rsid w:val="00F67CB5"/>
    <w:rsid w:val="00F72A7A"/>
    <w:rsid w:val="00F73B77"/>
    <w:rsid w:val="00F759A9"/>
    <w:rsid w:val="00F77E47"/>
    <w:rsid w:val="00F80230"/>
    <w:rsid w:val="00F8106B"/>
    <w:rsid w:val="00F81F24"/>
    <w:rsid w:val="00F82459"/>
    <w:rsid w:val="00F84E0F"/>
    <w:rsid w:val="00F85527"/>
    <w:rsid w:val="00F86599"/>
    <w:rsid w:val="00F87C44"/>
    <w:rsid w:val="00F909C4"/>
    <w:rsid w:val="00F9284D"/>
    <w:rsid w:val="00F93B59"/>
    <w:rsid w:val="00F97841"/>
    <w:rsid w:val="00FA0F7E"/>
    <w:rsid w:val="00FA17E1"/>
    <w:rsid w:val="00FA2ADA"/>
    <w:rsid w:val="00FA314A"/>
    <w:rsid w:val="00FA47C8"/>
    <w:rsid w:val="00FA68B4"/>
    <w:rsid w:val="00FA6C6A"/>
    <w:rsid w:val="00FA7F65"/>
    <w:rsid w:val="00FB475C"/>
    <w:rsid w:val="00FB4AB6"/>
    <w:rsid w:val="00FB4FE8"/>
    <w:rsid w:val="00FB60C8"/>
    <w:rsid w:val="00FB6B01"/>
    <w:rsid w:val="00FC0F11"/>
    <w:rsid w:val="00FC2099"/>
    <w:rsid w:val="00FC4AB4"/>
    <w:rsid w:val="00FC7C92"/>
    <w:rsid w:val="00FD1249"/>
    <w:rsid w:val="00FD1992"/>
    <w:rsid w:val="00FD4054"/>
    <w:rsid w:val="00FD6475"/>
    <w:rsid w:val="00FD793E"/>
    <w:rsid w:val="00FE29BC"/>
    <w:rsid w:val="00FE3120"/>
    <w:rsid w:val="00FE7F7A"/>
    <w:rsid w:val="00FF66EB"/>
    <w:rsid w:val="00FF755C"/>
    <w:rsid w:val="00FF76F4"/>
    <w:rsid w:val="00FF7C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5D1"/>
    <w:pPr>
      <w:widowControl w:val="0"/>
    </w:pPr>
    <w:rPr>
      <w:rFonts w:cs="Calibri"/>
      <w:szCs w:val="21"/>
    </w:rPr>
  </w:style>
  <w:style w:type="paragraph" w:styleId="1">
    <w:name w:val="heading 1"/>
    <w:basedOn w:val="a"/>
    <w:link w:val="1Char"/>
    <w:uiPriority w:val="99"/>
    <w:qFormat/>
    <w:rsid w:val="007400A2"/>
    <w:pPr>
      <w:widowControl/>
      <w:spacing w:before="100" w:beforeAutospacing="1" w:after="100" w:afterAutospacing="1"/>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7400A2"/>
    <w:rPr>
      <w:rFonts w:ascii="宋体" w:eastAsia="宋体" w:hAnsi="宋体" w:cs="宋体"/>
      <w:b/>
      <w:bCs/>
      <w:kern w:val="36"/>
      <w:sz w:val="48"/>
      <w:szCs w:val="48"/>
    </w:rPr>
  </w:style>
  <w:style w:type="paragraph" w:styleId="a3">
    <w:name w:val="header"/>
    <w:basedOn w:val="a"/>
    <w:link w:val="Char"/>
    <w:uiPriority w:val="99"/>
    <w:semiHidden/>
    <w:rsid w:val="00FE7F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FE7F7A"/>
    <w:rPr>
      <w:sz w:val="18"/>
      <w:szCs w:val="18"/>
    </w:rPr>
  </w:style>
  <w:style w:type="paragraph" w:styleId="a4">
    <w:name w:val="footer"/>
    <w:basedOn w:val="a"/>
    <w:link w:val="Char0"/>
    <w:uiPriority w:val="99"/>
    <w:rsid w:val="00FE7F7A"/>
    <w:pPr>
      <w:tabs>
        <w:tab w:val="center" w:pos="4153"/>
        <w:tab w:val="right" w:pos="8306"/>
      </w:tabs>
      <w:snapToGrid w:val="0"/>
    </w:pPr>
    <w:rPr>
      <w:sz w:val="18"/>
      <w:szCs w:val="18"/>
    </w:rPr>
  </w:style>
  <w:style w:type="character" w:customStyle="1" w:styleId="Char0">
    <w:name w:val="页脚 Char"/>
    <w:basedOn w:val="a0"/>
    <w:link w:val="a4"/>
    <w:uiPriority w:val="99"/>
    <w:locked/>
    <w:rsid w:val="00FE7F7A"/>
    <w:rPr>
      <w:sz w:val="18"/>
      <w:szCs w:val="18"/>
    </w:rPr>
  </w:style>
  <w:style w:type="paragraph" w:styleId="a5">
    <w:name w:val="List Paragraph"/>
    <w:basedOn w:val="a"/>
    <w:uiPriority w:val="99"/>
    <w:qFormat/>
    <w:rsid w:val="00FE7F7A"/>
    <w:pPr>
      <w:ind w:firstLineChars="200" w:firstLine="420"/>
    </w:pPr>
  </w:style>
  <w:style w:type="paragraph" w:styleId="a6">
    <w:name w:val="Balloon Text"/>
    <w:basedOn w:val="a"/>
    <w:link w:val="Char1"/>
    <w:uiPriority w:val="99"/>
    <w:semiHidden/>
    <w:rsid w:val="00E56591"/>
    <w:rPr>
      <w:sz w:val="18"/>
      <w:szCs w:val="18"/>
    </w:rPr>
  </w:style>
  <w:style w:type="character" w:customStyle="1" w:styleId="Char1">
    <w:name w:val="批注框文本 Char"/>
    <w:basedOn w:val="a0"/>
    <w:link w:val="a6"/>
    <w:uiPriority w:val="99"/>
    <w:semiHidden/>
    <w:locked/>
    <w:rsid w:val="00E56591"/>
    <w:rPr>
      <w:sz w:val="18"/>
      <w:szCs w:val="18"/>
    </w:rPr>
  </w:style>
  <w:style w:type="character" w:styleId="a7">
    <w:name w:val="Hyperlink"/>
    <w:basedOn w:val="a0"/>
    <w:uiPriority w:val="99"/>
    <w:semiHidden/>
    <w:rsid w:val="009E223E"/>
    <w:rPr>
      <w:color w:val="0000FF"/>
      <w:u w:val="single"/>
    </w:rPr>
  </w:style>
  <w:style w:type="character" w:customStyle="1" w:styleId="apple-converted-space">
    <w:name w:val="apple-converted-space"/>
    <w:basedOn w:val="a0"/>
    <w:uiPriority w:val="99"/>
    <w:rsid w:val="009E223E"/>
  </w:style>
  <w:style w:type="character" w:customStyle="1" w:styleId="highlight">
    <w:name w:val="highlight"/>
    <w:basedOn w:val="a0"/>
    <w:uiPriority w:val="99"/>
    <w:rsid w:val="007400A2"/>
  </w:style>
</w:styles>
</file>

<file path=word/webSettings.xml><?xml version="1.0" encoding="utf-8"?>
<w:webSettings xmlns:r="http://schemas.openxmlformats.org/officeDocument/2006/relationships" xmlns:w="http://schemas.openxmlformats.org/wordprocessingml/2006/main">
  <w:divs>
    <w:div w:id="327296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Piazza%20N%5BAuthor%5D&amp;cauthor=true&amp;cauthor_uid=21216553" TargetMode="External"/><Relationship Id="rId3" Type="http://schemas.openxmlformats.org/officeDocument/2006/relationships/settings" Target="settings.xml"/><Relationship Id="rId7" Type="http://schemas.openxmlformats.org/officeDocument/2006/relationships/hyperlink" Target="http://www.ncbi.nlm.nih.gov/pubmed?term=Leon%20MB%5BAuthor%5D&amp;cauthor=true&amp;cauthor_uid=212165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cbi.nlm.nih.gov/pubmed/21216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536</Words>
  <Characters>3056</Characters>
  <Application>Microsoft Office Word</Application>
  <DocSecurity>0</DocSecurity>
  <Lines>25</Lines>
  <Paragraphs>7</Paragraphs>
  <ScaleCrop>false</ScaleCrop>
  <Company>FOUNDERTECH</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qhtf</cp:lastModifiedBy>
  <cp:revision>5</cp:revision>
  <cp:lastPrinted>2014-09-02T01:49:00Z</cp:lastPrinted>
  <dcterms:created xsi:type="dcterms:W3CDTF">2014-09-02T01:58:00Z</dcterms:created>
  <dcterms:modified xsi:type="dcterms:W3CDTF">2014-09-29T02:04:00Z</dcterms:modified>
</cp:coreProperties>
</file>