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E64" w:rsidRDefault="003F1E64" w:rsidP="003F1E64">
      <w:pPr>
        <w:autoSpaceDE w:val="0"/>
        <w:autoSpaceDN w:val="0"/>
        <w:adjustRightInd w:val="0"/>
        <w:spacing w:line="240" w:lineRule="atLeast"/>
        <w:ind w:left="309"/>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附件一</w:t>
      </w:r>
      <w:r w:rsidRPr="000948E1">
        <w:rPr>
          <w:rFonts w:ascii="仿宋" w:eastAsia="仿宋" w:hAnsi="仿宋" w:cs="宋体" w:hint="eastAsia"/>
          <w:color w:val="000000"/>
          <w:kern w:val="0"/>
          <w:sz w:val="32"/>
          <w:szCs w:val="32"/>
        </w:rPr>
        <w:t>：</w:t>
      </w:r>
    </w:p>
    <w:p w:rsidR="003F1E64" w:rsidRPr="000948E1" w:rsidRDefault="003F1E64" w:rsidP="003F1E64">
      <w:pPr>
        <w:autoSpaceDE w:val="0"/>
        <w:autoSpaceDN w:val="0"/>
        <w:adjustRightInd w:val="0"/>
        <w:spacing w:line="240" w:lineRule="atLeast"/>
        <w:ind w:left="309"/>
        <w:jc w:val="left"/>
        <w:rPr>
          <w:rFonts w:ascii="仿宋" w:eastAsia="仿宋" w:hAnsi="仿宋" w:cs="宋体" w:hint="eastAsia"/>
          <w:color w:val="000000"/>
          <w:kern w:val="0"/>
          <w:sz w:val="32"/>
          <w:szCs w:val="32"/>
        </w:rPr>
      </w:pPr>
    </w:p>
    <w:p w:rsidR="003F1E64" w:rsidRDefault="003F1E64" w:rsidP="003F1E64">
      <w:pPr>
        <w:autoSpaceDE w:val="0"/>
        <w:autoSpaceDN w:val="0"/>
        <w:adjustRightInd w:val="0"/>
        <w:spacing w:line="240" w:lineRule="atLeast"/>
        <w:ind w:left="309"/>
        <w:jc w:val="center"/>
        <w:rPr>
          <w:rFonts w:ascii="宋体" w:cs="宋体"/>
          <w:b/>
          <w:color w:val="000000"/>
          <w:kern w:val="0"/>
          <w:sz w:val="44"/>
          <w:szCs w:val="44"/>
        </w:rPr>
      </w:pPr>
      <w:r>
        <w:rPr>
          <w:rFonts w:ascii="宋体" w:cs="宋体" w:hint="eastAsia"/>
          <w:b/>
          <w:color w:val="000000"/>
          <w:kern w:val="0"/>
          <w:sz w:val="44"/>
          <w:szCs w:val="44"/>
        </w:rPr>
        <w:t>透明质酸钠类面部注射填充材料非临床注册申报资料基本要求</w:t>
      </w:r>
    </w:p>
    <w:p w:rsidR="003F1E64" w:rsidRPr="00E60BA8" w:rsidRDefault="003F1E64" w:rsidP="003F1E64">
      <w:pPr>
        <w:autoSpaceDE w:val="0"/>
        <w:autoSpaceDN w:val="0"/>
        <w:adjustRightInd w:val="0"/>
        <w:spacing w:line="240" w:lineRule="atLeast"/>
        <w:ind w:firstLineChars="200" w:firstLine="640"/>
        <w:jc w:val="center"/>
        <w:rPr>
          <w:rFonts w:ascii="宋体" w:hAnsi="宋体" w:cs="宋体" w:hint="eastAsia"/>
          <w:color w:val="000000"/>
          <w:kern w:val="0"/>
          <w:sz w:val="32"/>
          <w:szCs w:val="32"/>
        </w:rPr>
      </w:pPr>
      <w:r>
        <w:rPr>
          <w:rFonts w:ascii="宋体" w:hAnsi="宋体" w:cs="宋体" w:hint="eastAsia"/>
          <w:color w:val="000000"/>
          <w:kern w:val="0"/>
          <w:sz w:val="32"/>
          <w:szCs w:val="32"/>
        </w:rPr>
        <w:t>（征求意见稿）</w:t>
      </w:r>
    </w:p>
    <w:p w:rsidR="003F1E64" w:rsidRDefault="003F1E64" w:rsidP="003F1E64">
      <w:pPr>
        <w:autoSpaceDE w:val="0"/>
        <w:autoSpaceDN w:val="0"/>
        <w:adjustRightInd w:val="0"/>
        <w:spacing w:line="240" w:lineRule="atLeast"/>
        <w:ind w:firstLineChars="200" w:firstLine="643"/>
        <w:jc w:val="left"/>
        <w:rPr>
          <w:rFonts w:ascii="仿宋" w:eastAsia="仿宋" w:hAnsi="仿宋" w:cs="宋体" w:hint="eastAsia"/>
          <w:b/>
          <w:color w:val="000000"/>
          <w:kern w:val="0"/>
          <w:sz w:val="32"/>
          <w:szCs w:val="32"/>
        </w:rPr>
      </w:pPr>
      <w:r>
        <w:rPr>
          <w:rFonts w:ascii="仿宋" w:eastAsia="仿宋" w:hAnsi="仿宋" w:cs="宋体" w:hint="eastAsia"/>
          <w:b/>
          <w:color w:val="000000"/>
          <w:kern w:val="0"/>
          <w:sz w:val="32"/>
          <w:szCs w:val="32"/>
        </w:rPr>
        <w:t>一、产品名称</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产品（通用）名称暂定为：注射用</w:t>
      </w:r>
      <w:r>
        <w:rPr>
          <w:rFonts w:ascii="仿宋" w:eastAsia="仿宋" w:hAnsi="仿宋" w:cs="宋体" w:hint="eastAsia"/>
          <w:color w:val="000000"/>
          <w:kern w:val="0"/>
          <w:sz w:val="32"/>
          <w:szCs w:val="32"/>
          <w:u w:val="single"/>
        </w:rPr>
        <w:t xml:space="preserve"> A </w:t>
      </w:r>
      <w:r>
        <w:rPr>
          <w:rFonts w:ascii="仿宋" w:eastAsia="仿宋" w:hAnsi="仿宋" w:cs="宋体" w:hint="eastAsia"/>
          <w:color w:val="000000"/>
          <w:kern w:val="0"/>
          <w:sz w:val="32"/>
          <w:szCs w:val="32"/>
        </w:rPr>
        <w:t xml:space="preserve"> </w:t>
      </w:r>
      <w:r>
        <w:rPr>
          <w:rFonts w:ascii="仿宋" w:eastAsia="仿宋" w:hAnsi="仿宋" w:cs="宋体" w:hint="eastAsia"/>
          <w:color w:val="000000"/>
          <w:kern w:val="0"/>
          <w:sz w:val="32"/>
          <w:szCs w:val="32"/>
          <w:u w:val="single"/>
        </w:rPr>
        <w:t xml:space="preserve"> B </w:t>
      </w:r>
      <w:r>
        <w:rPr>
          <w:rFonts w:ascii="仿宋" w:eastAsia="仿宋" w:hAnsi="仿宋" w:cs="宋体" w:hint="eastAsia"/>
          <w:color w:val="000000"/>
          <w:kern w:val="0"/>
          <w:sz w:val="32"/>
          <w:szCs w:val="32"/>
        </w:rPr>
        <w:t xml:space="preserve"> </w:t>
      </w:r>
      <w:r>
        <w:rPr>
          <w:rFonts w:ascii="仿宋" w:eastAsia="仿宋" w:hAnsi="仿宋" w:cs="宋体" w:hint="eastAsia"/>
          <w:color w:val="000000"/>
          <w:kern w:val="0"/>
          <w:sz w:val="32"/>
          <w:szCs w:val="32"/>
          <w:u w:val="single"/>
        </w:rPr>
        <w:t xml:space="preserve"> C </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其中：A：化学改性类型（如：交联）；若未进行化学改性可不显示；</w:t>
      </w:r>
    </w:p>
    <w:p w:rsidR="003F1E64" w:rsidRDefault="003F1E64" w:rsidP="003F1E64">
      <w:pPr>
        <w:autoSpaceDE w:val="0"/>
        <w:autoSpaceDN w:val="0"/>
        <w:adjustRightInd w:val="0"/>
        <w:spacing w:line="240" w:lineRule="atLeast"/>
        <w:ind w:firstLineChars="500" w:firstLine="160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B：主要化学成分（如透明质酸钠）；</w:t>
      </w:r>
    </w:p>
    <w:p w:rsidR="003F1E64" w:rsidRDefault="003F1E64" w:rsidP="003F1E64">
      <w:pPr>
        <w:autoSpaceDE w:val="0"/>
        <w:autoSpaceDN w:val="0"/>
        <w:adjustRightInd w:val="0"/>
        <w:spacing w:line="240" w:lineRule="atLeast"/>
        <w:ind w:firstLineChars="500" w:firstLine="160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C：状态（凝胶/溶液）。</w:t>
      </w:r>
    </w:p>
    <w:p w:rsidR="003F1E64" w:rsidRDefault="003F1E64" w:rsidP="003F1E64">
      <w:pPr>
        <w:autoSpaceDE w:val="0"/>
        <w:autoSpaceDN w:val="0"/>
        <w:adjustRightInd w:val="0"/>
        <w:spacing w:line="240" w:lineRule="atLeast"/>
        <w:ind w:firstLineChars="100" w:firstLine="320"/>
        <w:jc w:val="left"/>
        <w:rPr>
          <w:rFonts w:ascii="仿宋" w:eastAsia="仿宋" w:hAnsi="仿宋" w:cs="楷体_GB2312" w:hint="eastAsia"/>
          <w:color w:val="000000"/>
          <w:kern w:val="0"/>
          <w:sz w:val="32"/>
          <w:szCs w:val="32"/>
        </w:rPr>
      </w:pPr>
      <w:r>
        <w:rPr>
          <w:rFonts w:ascii="仿宋" w:eastAsia="仿宋" w:hAnsi="仿宋" w:cs="宋体" w:hint="eastAsia"/>
          <w:color w:val="000000"/>
          <w:kern w:val="0"/>
          <w:sz w:val="32"/>
          <w:szCs w:val="32"/>
        </w:rPr>
        <w:t xml:space="preserve">  </w:t>
      </w:r>
      <w:r>
        <w:rPr>
          <w:rFonts w:ascii="仿宋" w:eastAsia="仿宋" w:hAnsi="仿宋" w:cs="楷体_GB2312" w:hint="eastAsia"/>
          <w:color w:val="000000"/>
          <w:kern w:val="0"/>
          <w:sz w:val="32"/>
          <w:szCs w:val="32"/>
        </w:rPr>
        <w:t>示例：注射用交联透明质酸钠凝胶</w:t>
      </w:r>
    </w:p>
    <w:p w:rsidR="003F1E64" w:rsidRDefault="003F1E64" w:rsidP="003F1E64">
      <w:pPr>
        <w:autoSpaceDE w:val="0"/>
        <w:autoSpaceDN w:val="0"/>
        <w:adjustRightInd w:val="0"/>
        <w:spacing w:line="240" w:lineRule="atLeast"/>
        <w:ind w:firstLineChars="200" w:firstLine="643"/>
        <w:jc w:val="left"/>
        <w:rPr>
          <w:rFonts w:ascii="仿宋" w:eastAsia="仿宋" w:hAnsi="仿宋" w:cs="宋体" w:hint="eastAsia"/>
          <w:b/>
          <w:color w:val="000000"/>
          <w:kern w:val="0"/>
          <w:sz w:val="32"/>
          <w:szCs w:val="32"/>
        </w:rPr>
      </w:pPr>
      <w:r>
        <w:rPr>
          <w:rFonts w:ascii="仿宋" w:eastAsia="仿宋" w:hAnsi="仿宋" w:cs="宋体" w:hint="eastAsia"/>
          <w:b/>
          <w:color w:val="000000"/>
          <w:kern w:val="0"/>
          <w:sz w:val="32"/>
          <w:szCs w:val="32"/>
        </w:rPr>
        <w:t>二、注册单元划分</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（一）</w:t>
      </w:r>
      <w:r w:rsidRPr="00457B96">
        <w:rPr>
          <w:rFonts w:ascii="仿宋" w:eastAsia="仿宋" w:hAnsi="仿宋" w:cs="楷体_GB2312" w:hint="eastAsia"/>
          <w:color w:val="000000"/>
          <w:kern w:val="0"/>
          <w:sz w:val="32"/>
          <w:szCs w:val="32"/>
        </w:rPr>
        <w:t>下列几种情况</w:t>
      </w:r>
      <w:r>
        <w:rPr>
          <w:rFonts w:ascii="仿宋" w:eastAsia="仿宋" w:hAnsi="仿宋" w:cs="楷体_GB2312" w:hint="eastAsia"/>
          <w:color w:val="000000"/>
          <w:kern w:val="0"/>
          <w:sz w:val="32"/>
          <w:szCs w:val="32"/>
        </w:rPr>
        <w:t>建议</w:t>
      </w:r>
      <w:r w:rsidRPr="00457B96">
        <w:rPr>
          <w:rFonts w:ascii="仿宋" w:eastAsia="仿宋" w:hAnsi="仿宋" w:cs="楷体_GB2312" w:hint="eastAsia"/>
          <w:color w:val="000000"/>
          <w:kern w:val="0"/>
          <w:sz w:val="32"/>
          <w:szCs w:val="32"/>
        </w:rPr>
        <w:t>划分为不同注册单元：</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1. 不同的材料化学成分、配比(浓度)；</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2. 不同的交联方式、交联程度；</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3. 不同的凝胶颗粒尺寸分布；</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4. 不同的设计分子量；</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5. 其它需要划分为不同注册单元的情况。</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（二）下列几种情况可划分为同一注册单元：</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1. 装量不同；</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2. 包装不同：如不同种注射器；</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lastRenderedPageBreak/>
        <w:t>3. 相同设计的产品，不同的具体适用部位/适应证；</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4. 不同的注射针。</w:t>
      </w:r>
    </w:p>
    <w:p w:rsidR="003F1E64" w:rsidRDefault="003F1E64" w:rsidP="003F1E64">
      <w:pPr>
        <w:autoSpaceDE w:val="0"/>
        <w:autoSpaceDN w:val="0"/>
        <w:adjustRightInd w:val="0"/>
        <w:spacing w:line="240" w:lineRule="atLeast"/>
        <w:ind w:firstLineChars="200" w:firstLine="643"/>
        <w:jc w:val="left"/>
        <w:rPr>
          <w:rFonts w:ascii="仿宋" w:eastAsia="仿宋" w:hAnsi="仿宋" w:cs="宋体" w:hint="eastAsia"/>
          <w:b/>
          <w:color w:val="000000"/>
          <w:kern w:val="0"/>
          <w:sz w:val="32"/>
          <w:szCs w:val="32"/>
        </w:rPr>
      </w:pPr>
      <w:r>
        <w:rPr>
          <w:rFonts w:ascii="仿宋" w:eastAsia="仿宋" w:hAnsi="仿宋" w:cs="宋体" w:hint="eastAsia"/>
          <w:b/>
          <w:color w:val="000000"/>
          <w:kern w:val="0"/>
          <w:sz w:val="32"/>
          <w:szCs w:val="32"/>
        </w:rPr>
        <w:t>三、结构及组成</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该产品由</w:t>
      </w:r>
      <w:r>
        <w:rPr>
          <w:rFonts w:ascii="仿宋" w:eastAsia="仿宋" w:hAnsi="仿宋" w:cs="宋体" w:hint="eastAsia"/>
          <w:color w:val="000000"/>
          <w:kern w:val="0"/>
          <w:sz w:val="32"/>
          <w:szCs w:val="32"/>
          <w:u w:val="single"/>
        </w:rPr>
        <w:t>预灌封玻璃注射器、注射针和封装在注射器中的凝胶颗粒悬液</w:t>
      </w:r>
      <w:r>
        <w:rPr>
          <w:rFonts w:ascii="仿宋" w:eastAsia="仿宋" w:hAnsi="仿宋" w:cs="宋体" w:hint="eastAsia"/>
          <w:color w:val="000000"/>
          <w:kern w:val="0"/>
          <w:sz w:val="32"/>
          <w:szCs w:val="32"/>
        </w:rPr>
        <w:t>组成。</w:t>
      </w:r>
      <w:r>
        <w:rPr>
          <w:rFonts w:ascii="仿宋" w:eastAsia="仿宋" w:hAnsi="仿宋" w:cs="宋体" w:hint="eastAsia"/>
          <w:color w:val="000000"/>
          <w:kern w:val="0"/>
          <w:sz w:val="32"/>
          <w:szCs w:val="32"/>
          <w:u w:val="single"/>
        </w:rPr>
        <w:t>凝胶颗粒悬液</w:t>
      </w:r>
      <w:r>
        <w:rPr>
          <w:rFonts w:ascii="仿宋" w:eastAsia="仿宋" w:hAnsi="仿宋" w:cs="宋体" w:hint="eastAsia"/>
          <w:color w:val="000000"/>
          <w:kern w:val="0"/>
          <w:sz w:val="32"/>
          <w:szCs w:val="32"/>
        </w:rPr>
        <w:t>由</w:t>
      </w:r>
      <w:r>
        <w:rPr>
          <w:rFonts w:ascii="仿宋" w:eastAsia="仿宋" w:hAnsi="仿宋" w:cs="宋体" w:hint="eastAsia"/>
          <w:color w:val="000000"/>
          <w:kern w:val="0"/>
          <w:sz w:val="32"/>
          <w:szCs w:val="32"/>
          <w:u w:val="single"/>
        </w:rPr>
        <w:t>经交联的透明质酸钠（交联剂为***）、未经交联的透明质酸钠、氯化钠、磷酸盐缓冲体系以及注射用水</w:t>
      </w:r>
      <w:r>
        <w:rPr>
          <w:rFonts w:ascii="仿宋" w:eastAsia="仿宋" w:hAnsi="仿宋" w:cs="宋体" w:hint="eastAsia"/>
          <w:color w:val="000000"/>
          <w:kern w:val="0"/>
          <w:sz w:val="32"/>
          <w:szCs w:val="32"/>
        </w:rPr>
        <w:t>组成，其中</w:t>
      </w:r>
      <w:r>
        <w:rPr>
          <w:rFonts w:ascii="仿宋" w:eastAsia="仿宋" w:hAnsi="仿宋" w:cs="宋体" w:hint="eastAsia"/>
          <w:color w:val="000000"/>
          <w:kern w:val="0"/>
          <w:sz w:val="32"/>
          <w:szCs w:val="32"/>
          <w:u w:val="single"/>
        </w:rPr>
        <w:t>透明质酸钠</w:t>
      </w:r>
      <w:r>
        <w:rPr>
          <w:rFonts w:ascii="仿宋" w:eastAsia="仿宋" w:hAnsi="仿宋" w:cs="宋体" w:hint="eastAsia"/>
          <w:color w:val="000000"/>
          <w:kern w:val="0"/>
          <w:sz w:val="32"/>
          <w:szCs w:val="32"/>
        </w:rPr>
        <w:t>由</w:t>
      </w:r>
      <w:r>
        <w:rPr>
          <w:rFonts w:ascii="仿宋" w:eastAsia="仿宋" w:hAnsi="仿宋" w:cs="宋体" w:hint="eastAsia"/>
          <w:color w:val="000000"/>
          <w:kern w:val="0"/>
          <w:sz w:val="32"/>
          <w:szCs w:val="32"/>
          <w:u w:val="single"/>
        </w:rPr>
        <w:t>微生物发酵法</w:t>
      </w:r>
      <w:r>
        <w:rPr>
          <w:rFonts w:ascii="仿宋" w:eastAsia="仿宋" w:hAnsi="仿宋" w:cs="宋体" w:hint="eastAsia"/>
          <w:color w:val="000000"/>
          <w:kern w:val="0"/>
          <w:sz w:val="32"/>
          <w:szCs w:val="32"/>
        </w:rPr>
        <w:t>制备，标示浓度为</w:t>
      </w:r>
      <w:r>
        <w:rPr>
          <w:rFonts w:ascii="仿宋" w:eastAsia="仿宋" w:hAnsi="仿宋" w:cs="宋体" w:hint="eastAsia"/>
          <w:color w:val="000000"/>
          <w:kern w:val="0"/>
          <w:sz w:val="32"/>
          <w:szCs w:val="32"/>
          <w:u w:val="single"/>
        </w:rPr>
        <w:t>20</w:t>
      </w:r>
      <w:r>
        <w:rPr>
          <w:rFonts w:ascii="仿宋" w:eastAsia="仿宋" w:hAnsi="仿宋" w:cs="宋体" w:hint="eastAsia"/>
          <w:color w:val="000000"/>
          <w:kern w:val="0"/>
          <w:sz w:val="32"/>
          <w:szCs w:val="32"/>
        </w:rPr>
        <w:t>mg/mL（包括经交联的透明质酸钠18mg/mL和未经交联的透明质酸钠2mg/mL）。注射针的材质为</w:t>
      </w:r>
      <w:r>
        <w:rPr>
          <w:rFonts w:ascii="仿宋" w:eastAsia="仿宋" w:hAnsi="仿宋" w:cs="宋体" w:hint="eastAsia"/>
          <w:color w:val="000000"/>
          <w:kern w:val="0"/>
          <w:sz w:val="32"/>
          <w:szCs w:val="32"/>
          <w:u w:val="single"/>
        </w:rPr>
        <w:t>***</w:t>
      </w:r>
      <w:r>
        <w:rPr>
          <w:rFonts w:ascii="仿宋" w:eastAsia="仿宋" w:hAnsi="仿宋" w:cs="宋体" w:hint="eastAsia"/>
          <w:color w:val="000000"/>
          <w:kern w:val="0"/>
          <w:sz w:val="32"/>
          <w:szCs w:val="32"/>
        </w:rPr>
        <w:t>牌号不锈钢、规格为</w:t>
      </w:r>
      <w:r>
        <w:rPr>
          <w:rFonts w:ascii="仿宋" w:eastAsia="仿宋" w:hAnsi="仿宋" w:cs="宋体" w:hint="eastAsia"/>
          <w:color w:val="000000"/>
          <w:kern w:val="0"/>
          <w:sz w:val="32"/>
          <w:szCs w:val="32"/>
          <w:u w:val="single"/>
        </w:rPr>
        <w:t>***</w:t>
      </w:r>
      <w:r>
        <w:rPr>
          <w:rFonts w:ascii="仿宋" w:eastAsia="仿宋" w:hAnsi="仿宋" w:cs="宋体" w:hint="eastAsia"/>
          <w:color w:val="000000"/>
          <w:kern w:val="0"/>
          <w:sz w:val="32"/>
          <w:szCs w:val="32"/>
        </w:rPr>
        <w:t>、形状为</w:t>
      </w:r>
      <w:r>
        <w:rPr>
          <w:rFonts w:ascii="仿宋" w:eastAsia="仿宋" w:hAnsi="仿宋" w:cs="宋体" w:hint="eastAsia"/>
          <w:color w:val="000000"/>
          <w:kern w:val="0"/>
          <w:sz w:val="32"/>
          <w:szCs w:val="32"/>
          <w:u w:val="single"/>
        </w:rPr>
        <w:t>直形锐针</w:t>
      </w:r>
      <w:r>
        <w:rPr>
          <w:rFonts w:ascii="仿宋" w:eastAsia="仿宋" w:hAnsi="仿宋" w:cs="宋体" w:hint="eastAsia"/>
          <w:color w:val="000000"/>
          <w:kern w:val="0"/>
          <w:sz w:val="32"/>
          <w:szCs w:val="32"/>
        </w:rPr>
        <w:t>。封装了凝胶颗粒悬液的注射器已经</w:t>
      </w:r>
      <w:r>
        <w:rPr>
          <w:rFonts w:ascii="仿宋" w:eastAsia="仿宋" w:hAnsi="仿宋" w:cs="宋体" w:hint="eastAsia"/>
          <w:color w:val="000000"/>
          <w:kern w:val="0"/>
          <w:sz w:val="32"/>
          <w:szCs w:val="32"/>
          <w:u w:val="single"/>
        </w:rPr>
        <w:t>高温蒸汽</w:t>
      </w:r>
      <w:r>
        <w:rPr>
          <w:rFonts w:ascii="仿宋" w:eastAsia="仿宋" w:hAnsi="仿宋" w:cs="宋体" w:hint="eastAsia"/>
          <w:color w:val="000000"/>
          <w:kern w:val="0"/>
          <w:sz w:val="32"/>
          <w:szCs w:val="32"/>
        </w:rPr>
        <w:t>灭菌，注射针已经</w:t>
      </w:r>
      <w:r>
        <w:rPr>
          <w:rFonts w:ascii="仿宋" w:eastAsia="仿宋" w:hAnsi="仿宋" w:cs="宋体" w:hint="eastAsia"/>
          <w:color w:val="000000"/>
          <w:kern w:val="0"/>
          <w:sz w:val="32"/>
          <w:szCs w:val="32"/>
          <w:u w:val="single"/>
        </w:rPr>
        <w:t>伽玛射线辐照</w:t>
      </w:r>
      <w:r>
        <w:rPr>
          <w:rFonts w:ascii="仿宋" w:eastAsia="仿宋" w:hAnsi="仿宋" w:cs="宋体" w:hint="eastAsia"/>
          <w:color w:val="000000"/>
          <w:kern w:val="0"/>
          <w:sz w:val="32"/>
          <w:szCs w:val="32"/>
        </w:rPr>
        <w:t>灭菌。该产品一次性使用。（带下划线文字为举例，需根据申报的产品进行调整）</w:t>
      </w:r>
    </w:p>
    <w:p w:rsidR="003F1E64" w:rsidRDefault="003F1E64" w:rsidP="003F1E64">
      <w:pPr>
        <w:autoSpaceDE w:val="0"/>
        <w:autoSpaceDN w:val="0"/>
        <w:adjustRightInd w:val="0"/>
        <w:spacing w:line="240" w:lineRule="atLeast"/>
        <w:ind w:firstLineChars="200" w:firstLine="643"/>
        <w:jc w:val="left"/>
        <w:rPr>
          <w:rFonts w:ascii="仿宋" w:eastAsia="仿宋" w:hAnsi="仿宋" w:cs="宋体" w:hint="eastAsia"/>
          <w:b/>
          <w:color w:val="000000"/>
          <w:kern w:val="0"/>
          <w:sz w:val="32"/>
          <w:szCs w:val="32"/>
        </w:rPr>
      </w:pPr>
      <w:r>
        <w:rPr>
          <w:rFonts w:ascii="仿宋" w:eastAsia="仿宋" w:hAnsi="仿宋" w:cs="宋体" w:hint="eastAsia"/>
          <w:b/>
          <w:color w:val="000000"/>
          <w:kern w:val="0"/>
          <w:sz w:val="32"/>
          <w:szCs w:val="32"/>
        </w:rPr>
        <w:t>四、适用范围</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宋体" w:hint="eastAsia"/>
          <w:color w:val="000000"/>
          <w:kern w:val="0"/>
          <w:sz w:val="32"/>
          <w:szCs w:val="32"/>
        </w:rPr>
        <w:t>该产品用于面部</w:t>
      </w:r>
      <w:r>
        <w:rPr>
          <w:rFonts w:ascii="仿宋" w:eastAsia="仿宋" w:hAnsi="仿宋" w:cs="宋体" w:hint="eastAsia"/>
          <w:color w:val="000000"/>
          <w:kern w:val="0"/>
          <w:sz w:val="32"/>
          <w:szCs w:val="32"/>
          <w:u w:val="single"/>
        </w:rPr>
        <w:t>真皮组织中层至深层</w:t>
      </w:r>
      <w:r>
        <w:rPr>
          <w:rFonts w:ascii="仿宋" w:eastAsia="仿宋" w:hAnsi="仿宋" w:cs="宋体" w:hint="eastAsia"/>
          <w:color w:val="000000"/>
          <w:kern w:val="0"/>
          <w:sz w:val="32"/>
          <w:szCs w:val="32"/>
        </w:rPr>
        <w:t>注射以</w:t>
      </w:r>
      <w:r>
        <w:rPr>
          <w:rFonts w:ascii="仿宋" w:eastAsia="仿宋" w:hAnsi="仿宋" w:cs="宋体" w:hint="eastAsia"/>
          <w:color w:val="000000"/>
          <w:kern w:val="0"/>
          <w:sz w:val="32"/>
          <w:szCs w:val="32"/>
          <w:u w:val="single"/>
        </w:rPr>
        <w:t>纠正中重度鼻唇部皱纹。</w:t>
      </w:r>
      <w:r>
        <w:rPr>
          <w:rFonts w:ascii="仿宋" w:eastAsia="仿宋" w:hAnsi="仿宋" w:cs="宋体" w:hint="eastAsia"/>
          <w:color w:val="000000"/>
          <w:kern w:val="0"/>
          <w:sz w:val="32"/>
          <w:szCs w:val="32"/>
        </w:rPr>
        <w:t>（带下划线文字为举例，需根据申报的产品进行调整）</w:t>
      </w:r>
    </w:p>
    <w:p w:rsidR="003F1E64" w:rsidRDefault="003F1E64" w:rsidP="003F1E64">
      <w:pPr>
        <w:autoSpaceDE w:val="0"/>
        <w:autoSpaceDN w:val="0"/>
        <w:adjustRightInd w:val="0"/>
        <w:spacing w:line="240" w:lineRule="atLeast"/>
        <w:ind w:firstLineChars="200" w:firstLine="640"/>
        <w:jc w:val="left"/>
        <w:rPr>
          <w:rFonts w:ascii="仿宋" w:eastAsia="仿宋" w:hAnsi="仿宋" w:cs="楷体_GB2312" w:hint="eastAsia"/>
          <w:color w:val="000000"/>
          <w:kern w:val="0"/>
          <w:sz w:val="32"/>
          <w:szCs w:val="32"/>
        </w:rPr>
      </w:pPr>
      <w:r>
        <w:rPr>
          <w:rFonts w:ascii="仿宋" w:eastAsia="仿宋" w:hAnsi="仿宋" w:cs="楷体_GB2312" w:hint="eastAsia"/>
          <w:color w:val="000000"/>
          <w:kern w:val="0"/>
          <w:sz w:val="32"/>
          <w:szCs w:val="32"/>
        </w:rPr>
        <w:t>需根据临床资料对适应证进行申请（如：若临床试验入选标准仅为纠正鼻唇沟，则需按照纠正鼻唇沟申请而不是鼻唇部皱纹）。填充的解剖部位需与申请的适应证相对应。</w:t>
      </w:r>
    </w:p>
    <w:p w:rsidR="003F1E64" w:rsidRDefault="003F1E64" w:rsidP="003F1E64">
      <w:pPr>
        <w:autoSpaceDE w:val="0"/>
        <w:autoSpaceDN w:val="0"/>
        <w:adjustRightInd w:val="0"/>
        <w:spacing w:line="240" w:lineRule="atLeast"/>
        <w:ind w:left="309"/>
        <w:jc w:val="left"/>
        <w:rPr>
          <w:rFonts w:ascii="仿宋" w:eastAsia="仿宋" w:hAnsi="仿宋" w:cs="宋体" w:hint="eastAsia"/>
          <w:b/>
          <w:color w:val="000000"/>
          <w:kern w:val="0"/>
          <w:sz w:val="32"/>
          <w:szCs w:val="32"/>
        </w:rPr>
      </w:pPr>
      <w:r>
        <w:rPr>
          <w:rFonts w:ascii="仿宋" w:eastAsia="仿宋" w:hAnsi="仿宋" w:cs="宋体" w:hint="eastAsia"/>
          <w:b/>
          <w:color w:val="000000"/>
          <w:kern w:val="0"/>
          <w:sz w:val="32"/>
          <w:szCs w:val="32"/>
        </w:rPr>
        <w:t xml:space="preserve">  五、资料要求</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lastRenderedPageBreak/>
        <w:t>注册申报资料按照总局2014年第43号公告《医疗器械注册申报资料要求及说明》进行提供，尤其注意以下几方面内容：</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（一）综述资料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1. 详述产品作用原理，预期与人体接触部位（解剖部位）、接触方式、作用时间。</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2. 详述产品所用原材料（包括交联剂等任何生产过程中加入的成分，及预装器材等）的公认的材料化学名称、化学结构式/分子式、材料理化特性信息、材料商品名（若有）、材料代号（若有）、质量标准及相关的安全性研究资料等，明确其是否医用材料，若是，则需提供相应的证明性文件或支持性资料，若否，则需说明采用非医用材料的理由；若原材料外购，需明确原材料供应商并附其资质证明文件、供销协议、采购标准及验证报告；若半成品、预装器材外购，需明确半成品、预装器材供应商并附其资质证明文件、供销协议、采购标准及验证报告。提供注射用水的质量标准和验证报告，需符合现行的中国药典。</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3. 详述产品性能、结构（相应图示）与组成；明确预期与人体接触的产品组成部分和材料；明确产品型号规格间的异同点（同一型号的产品需具有材料、性质、结构上的同一性）。</w:t>
      </w:r>
      <w:r>
        <w:rPr>
          <w:rFonts w:ascii="仿宋" w:eastAsia="仿宋" w:hAnsi="仿宋" w:hint="eastAsia"/>
          <w:color w:val="000000"/>
          <w:kern w:val="0"/>
          <w:sz w:val="32"/>
          <w:szCs w:val="32"/>
        </w:rPr>
        <w:t>明确列出终产品中所有成分以及交联剂的化学名称（聚合物和交联剂需列出化学结构式）及其含量</w:t>
      </w:r>
      <w:r>
        <w:rPr>
          <w:rFonts w:ascii="仿宋" w:eastAsia="仿宋" w:hAnsi="仿宋" w:hint="eastAsia"/>
          <w:color w:val="000000"/>
          <w:kern w:val="0"/>
          <w:sz w:val="32"/>
          <w:szCs w:val="32"/>
        </w:rPr>
        <w:lastRenderedPageBreak/>
        <w:t>（注意颗粒和溶液需分别列出）。明确注射器、注射针和内包装的规格、数量、组成材料（牌号）。明确内包装材料和产品各部分所采用的灭菌方式。分别明确各级包装的交付状态（无菌/非无菌）。明确产品的具体有效期限。提供产品结构（包括注射器等推注工具）图示。</w:t>
      </w:r>
      <w:r>
        <w:rPr>
          <w:rFonts w:ascii="仿宋" w:eastAsia="仿宋" w:hAnsi="仿宋" w:hint="eastAsia"/>
          <w:color w:val="000000"/>
          <w:sz w:val="32"/>
          <w:szCs w:val="32"/>
        </w:rPr>
        <w:t>明确针头的规格，并给出针头局部细节图示。</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4. 提供产品的国内外动态分析情况（包括国内外同类产品的上市情况及与申报产品作用原理、结构组成、制造材料、性能指标、适用范围、主要生产工艺、临床应用的安全性和有效性等情况的对比）。</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（二）研究资料</w:t>
      </w:r>
    </w:p>
    <w:p w:rsidR="003F1E64" w:rsidRDefault="003F1E64" w:rsidP="003F1E64">
      <w:pPr>
        <w:spacing w:line="560" w:lineRule="exact"/>
        <w:ind w:firstLineChars="200" w:firstLine="640"/>
        <w:rPr>
          <w:rFonts w:ascii="仿宋" w:eastAsia="仿宋" w:hAnsi="仿宋" w:hint="eastAsia"/>
          <w:color w:val="000000"/>
          <w:sz w:val="32"/>
          <w:szCs w:val="32"/>
        </w:rPr>
      </w:pPr>
      <w:r>
        <w:rPr>
          <w:rFonts w:ascii="仿宋" w:eastAsia="仿宋" w:hAnsi="仿宋" w:hint="eastAsia"/>
          <w:color w:val="000000"/>
          <w:sz w:val="32"/>
          <w:szCs w:val="32"/>
        </w:rPr>
        <w:t>1. 产品性能研究</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（1）详述产品技术要求中</w:t>
      </w:r>
      <w:r>
        <w:rPr>
          <w:rFonts w:ascii="仿宋" w:eastAsia="仿宋" w:hAnsi="仿宋" w:hint="eastAsia"/>
          <w:color w:val="000000"/>
          <w:sz w:val="32"/>
          <w:szCs w:val="32"/>
        </w:rPr>
        <w:t>性能指标及检验方法的确定依据，提供采用的原因及理论基础</w:t>
      </w:r>
      <w:r>
        <w:rPr>
          <w:rFonts w:ascii="仿宋" w:eastAsia="仿宋" w:hAnsi="仿宋" w:cs="宋体" w:hint="eastAsia"/>
          <w:color w:val="000000"/>
          <w:sz w:val="32"/>
          <w:szCs w:val="32"/>
        </w:rPr>
        <w:t>，</w:t>
      </w:r>
      <w:r>
        <w:rPr>
          <w:rFonts w:ascii="仿宋" w:eastAsia="仿宋" w:hAnsi="仿宋" w:hint="eastAsia"/>
          <w:color w:val="000000"/>
          <w:sz w:val="32"/>
          <w:szCs w:val="32"/>
        </w:rPr>
        <w:t>提供涉及到</w:t>
      </w:r>
      <w:r>
        <w:rPr>
          <w:rFonts w:ascii="仿宋" w:eastAsia="仿宋" w:hAnsi="仿宋" w:cs="宋体" w:hint="eastAsia"/>
          <w:color w:val="000000"/>
          <w:kern w:val="0"/>
          <w:sz w:val="32"/>
          <w:szCs w:val="32"/>
        </w:rPr>
        <w:t>的研究性资料、文献资料和/或标准文本。</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（2）提供降解周期和降解产物及体内代谢情况的相关研究资料。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（3）提供透明质酸钠（对于交联透明质酸钠提供交联前的）分子量和分子量分布的研究资料。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（4）提供该产品粘弹性能（包括粘性模量和弹性模量）的研究资料，以及产品粘弹性能与推注力关系的研究资料。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lastRenderedPageBreak/>
        <w:t>（5）对于进行化学交联的透明质酸钠，至少提供：</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①交联原理、交联程度的研究资料和质控资料（包括交联程度的均一性）；</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②残留交联剂的人体代谢途径，证明交联剂残留量可接受的支持性资料；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③对于交联剂去除工艺的描述及其质控资料；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④终产品中凝胶粒径分布的研究资料和质控资料；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⑤凝胶达到膨胀平衡状态的显微镜照片；</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⑥交联前透明质酸钠中间品的质控资料；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⑦凝胶与添加用于润滑的非交联透明质酸钠溶液比例的研究资料。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（6）对于添加不可降解成分或微粒的产品，至少提供：</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①微粒尺寸分布及均匀性的研究资料和质控资料；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②在体内稳定存在（包括尺寸、物理性能和化学性能的稳定）的支持性资料。</w:t>
      </w:r>
    </w:p>
    <w:p w:rsidR="003F1E64" w:rsidRDefault="003F1E64" w:rsidP="003F1E64">
      <w:pPr>
        <w:autoSpaceDE w:val="0"/>
        <w:autoSpaceDN w:val="0"/>
        <w:adjustRightInd w:val="0"/>
        <w:spacing w:line="240" w:lineRule="atLeast"/>
        <w:ind w:firstLineChars="200" w:firstLine="640"/>
        <w:jc w:val="left"/>
        <w:rPr>
          <w:rFonts w:ascii="仿宋" w:eastAsia="仿宋" w:hAnsi="仿宋" w:hint="eastAsia"/>
          <w:color w:val="000000"/>
          <w:sz w:val="32"/>
          <w:szCs w:val="32"/>
        </w:rPr>
      </w:pPr>
      <w:r>
        <w:rPr>
          <w:rFonts w:ascii="仿宋" w:eastAsia="仿宋" w:hAnsi="仿宋" w:hint="eastAsia"/>
          <w:color w:val="000000"/>
          <w:sz w:val="32"/>
          <w:szCs w:val="32"/>
        </w:rPr>
        <w:t>③提供产品注射植入人体后分散或位移的研究资料，以及</w:t>
      </w:r>
      <w:r>
        <w:rPr>
          <w:rFonts w:ascii="仿宋" w:eastAsia="仿宋" w:hAnsi="仿宋" w:cs="宋体" w:hint="eastAsia"/>
          <w:color w:val="000000"/>
          <w:sz w:val="32"/>
          <w:szCs w:val="32"/>
        </w:rPr>
        <w:t>需要取出时难以</w:t>
      </w:r>
      <w:r>
        <w:rPr>
          <w:rFonts w:ascii="仿宋" w:eastAsia="仿宋" w:hAnsi="仿宋" w:hint="eastAsia"/>
          <w:color w:val="000000"/>
          <w:sz w:val="32"/>
          <w:szCs w:val="32"/>
        </w:rPr>
        <w:t>取出的风险分析、风险控制资料及相关支持性资料。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（7）提供产品使用剂量/频率的研究资料（从安全性和有效性两方面考虑），包括单次单处最大用量、单次个体最大用量和两次注射的最短间隔时间的确定依据及相关</w:t>
      </w:r>
      <w:r>
        <w:rPr>
          <w:rFonts w:ascii="仿宋" w:eastAsia="仿宋" w:hAnsi="仿宋" w:cs="宋体" w:hint="eastAsia"/>
          <w:color w:val="000000"/>
          <w:kern w:val="0"/>
          <w:sz w:val="32"/>
          <w:szCs w:val="32"/>
        </w:rPr>
        <w:lastRenderedPageBreak/>
        <w:t>的研究资料。</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hint="eastAsia"/>
          <w:color w:val="000000"/>
          <w:sz w:val="32"/>
          <w:szCs w:val="32"/>
        </w:rPr>
        <w:t xml:space="preserve">2. </w:t>
      </w:r>
      <w:r>
        <w:rPr>
          <w:rFonts w:ascii="仿宋" w:eastAsia="仿宋" w:hAnsi="仿宋" w:cs="仿宋_GB2312" w:hint="eastAsia"/>
          <w:bCs/>
          <w:color w:val="000000"/>
          <w:sz w:val="32"/>
          <w:szCs w:val="32"/>
        </w:rPr>
        <w:t>生物相容性评价研究</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需对成品中与患者和使用者直接或间接接触的材料的生物相容性进行评价。</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生物相容性评价研究资料需包括：</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（1）生物相容性评价的依据和方法。</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（2）产品所用材料的描述及与人体接触的性质。</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（3）实施或豁免生物学试验的理由和论证。</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（4）对于现有数据或试验结果的评价。</w:t>
      </w:r>
    </w:p>
    <w:p w:rsidR="003F1E64" w:rsidRDefault="003F1E64" w:rsidP="003F1E64">
      <w:pPr>
        <w:autoSpaceDE w:val="0"/>
        <w:autoSpaceDN w:val="0"/>
        <w:adjustRightInd w:val="0"/>
        <w:spacing w:line="240" w:lineRule="atLeast"/>
        <w:ind w:firstLineChars="200" w:firstLine="640"/>
        <w:jc w:val="left"/>
        <w:rPr>
          <w:rFonts w:ascii="仿宋" w:eastAsia="仿宋" w:hAnsi="仿宋" w:hint="eastAsia"/>
          <w:color w:val="000000"/>
          <w:sz w:val="32"/>
          <w:szCs w:val="32"/>
        </w:rPr>
      </w:pPr>
      <w:r>
        <w:rPr>
          <w:rFonts w:ascii="仿宋" w:eastAsia="仿宋" w:hAnsi="仿宋" w:cs="宋体" w:hint="eastAsia"/>
          <w:color w:val="000000"/>
          <w:kern w:val="0"/>
          <w:sz w:val="32"/>
          <w:szCs w:val="32"/>
        </w:rPr>
        <w:t>目前根据GB/T 16886.1-2011，填充在注射器中的凝胶（溶液）需考虑的生物相容性评价项目包括：细胞毒性、皮内刺激、致敏、遗传毒性、皮下植入、急性全身毒性试验、亚慢性毒性、热原（</w:t>
      </w:r>
      <w:r>
        <w:rPr>
          <w:rFonts w:ascii="仿宋" w:eastAsia="仿宋" w:hAnsi="仿宋" w:hint="eastAsia"/>
          <w:color w:val="000000"/>
          <w:sz w:val="32"/>
          <w:szCs w:val="32"/>
        </w:rPr>
        <w:t>提供对产品中预期植入人体的材料含材料性热原的风险分析、控制资料及相关支持性资料。若无充分证据证明无材料性热原，则需进行热原试验</w:t>
      </w:r>
      <w:r>
        <w:rPr>
          <w:rFonts w:ascii="仿宋" w:eastAsia="仿宋" w:hAnsi="仿宋" w:cs="宋体" w:hint="eastAsia"/>
          <w:color w:val="000000"/>
          <w:sz w:val="32"/>
          <w:szCs w:val="32"/>
        </w:rPr>
        <w:t>）</w:t>
      </w:r>
      <w:r>
        <w:rPr>
          <w:rFonts w:ascii="仿宋" w:eastAsia="仿宋" w:hAnsi="仿宋" w:hint="eastAsia"/>
          <w:color w:val="000000"/>
          <w:sz w:val="32"/>
          <w:szCs w:val="32"/>
        </w:rPr>
        <w:t>。注射针需考虑</w:t>
      </w:r>
      <w:r>
        <w:rPr>
          <w:rFonts w:ascii="仿宋" w:eastAsia="仿宋" w:hAnsi="仿宋" w:cs="宋体" w:hint="eastAsia"/>
          <w:color w:val="000000"/>
          <w:kern w:val="0"/>
          <w:sz w:val="32"/>
          <w:szCs w:val="32"/>
        </w:rPr>
        <w:t>的生物相容性评价项目包括：细胞毒性、皮内刺激、致敏。</w:t>
      </w:r>
      <w:r>
        <w:rPr>
          <w:rFonts w:ascii="仿宋" w:eastAsia="仿宋" w:hAnsi="仿宋" w:cs="宋体" w:hint="eastAsia"/>
          <w:color w:val="000000"/>
          <w:sz w:val="32"/>
          <w:szCs w:val="32"/>
        </w:rPr>
        <w:t>如果</w:t>
      </w:r>
      <w:r>
        <w:rPr>
          <w:rFonts w:ascii="仿宋" w:eastAsia="仿宋" w:hAnsi="仿宋" w:cs="宋体" w:hint="eastAsia"/>
          <w:color w:val="000000"/>
          <w:kern w:val="0"/>
          <w:sz w:val="32"/>
          <w:szCs w:val="32"/>
        </w:rPr>
        <w:t>GB/T 16886.1进行了更新，需按照有效的标准版本重新考虑生物学评价项目。</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若可能，各项生物相容性试验需采用样品原液进行。若采用原液进行试验不可操作，则进行适当稀释/浸提，并提供不使用原液的理由以及稀释/浸提比例的依据。</w:t>
      </w:r>
    </w:p>
    <w:p w:rsidR="003F1E64" w:rsidRDefault="003F1E64" w:rsidP="003F1E64">
      <w:pPr>
        <w:autoSpaceDE w:val="0"/>
        <w:autoSpaceDN w:val="0"/>
        <w:adjustRightInd w:val="0"/>
        <w:spacing w:line="240" w:lineRule="atLeast"/>
        <w:ind w:firstLineChars="200" w:firstLine="640"/>
        <w:jc w:val="left"/>
        <w:rPr>
          <w:rFonts w:ascii="仿宋" w:eastAsia="仿宋" w:hAnsi="仿宋" w:hint="eastAsia"/>
          <w:color w:val="000000"/>
          <w:sz w:val="32"/>
          <w:szCs w:val="32"/>
        </w:rPr>
      </w:pPr>
      <w:r>
        <w:rPr>
          <w:rFonts w:ascii="仿宋" w:eastAsia="仿宋" w:hAnsi="仿宋" w:hint="eastAsia"/>
          <w:color w:val="000000"/>
          <w:sz w:val="32"/>
          <w:szCs w:val="32"/>
        </w:rPr>
        <w:t>若申报产品中含有全新植入人体的材料成分，需提供该材料适合用于人体使用的相关支持性资料，包括对长期</w:t>
      </w:r>
      <w:r>
        <w:rPr>
          <w:rFonts w:ascii="仿宋" w:eastAsia="仿宋" w:hAnsi="仿宋" w:hint="eastAsia"/>
          <w:color w:val="000000"/>
          <w:sz w:val="32"/>
          <w:szCs w:val="32"/>
        </w:rPr>
        <w:lastRenderedPageBreak/>
        <w:t>的生物相容性进行评价，如长期植入后反应、慢性毒性、致癌性等。</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hint="eastAsia"/>
          <w:color w:val="000000"/>
          <w:sz w:val="32"/>
          <w:szCs w:val="32"/>
        </w:rPr>
        <w:t xml:space="preserve">3. </w:t>
      </w:r>
      <w:r>
        <w:rPr>
          <w:rFonts w:ascii="仿宋" w:eastAsia="仿宋" w:hAnsi="仿宋" w:cs="仿宋_GB2312" w:hint="eastAsia"/>
          <w:bCs/>
          <w:color w:val="000000"/>
          <w:sz w:val="32"/>
          <w:szCs w:val="32"/>
        </w:rPr>
        <w:t>生物安全性研究</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明确透明质酸钠制备工艺（动物组织提取法/微生物发酵法）。对于微生物发酵法制备的透明质酸钠，请提供所用菌株的类型、来源及其它相关信息（包括发酵过程是否使用了动物源材料）及其安全性资料；提供涉及病毒和／或传染性病源体的风险分析及控制措施的描述和验证性资料，以及涉及产品免疫原性（免疫反应）的风险分析及控制工艺的描述和验证性资料。对于动物组织提取的透明质酸钠，按照《动物源性医疗器械产品注册申报资料指导原则》提交相关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仿宋_GB2312" w:hint="eastAsia"/>
          <w:bCs/>
          <w:color w:val="000000"/>
          <w:sz w:val="32"/>
          <w:szCs w:val="32"/>
        </w:rPr>
        <w:t>对于含有其它同种异体材料、动物源性材料或生物活性物质的产品，生物安全性研究资料还包括以下内容：说明组织、细胞和材料的获取、加工、保存、测试和处理过程；阐述来源（包括捐献者筛选细节），并描述生产过程中对病毒、其他病原体及免疫源性物质去除或灭活方法的验证试验；工艺验证的简要总结。</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hint="eastAsia"/>
          <w:color w:val="000000"/>
          <w:sz w:val="32"/>
          <w:szCs w:val="32"/>
        </w:rPr>
        <w:t xml:space="preserve">4. </w:t>
      </w:r>
      <w:r>
        <w:rPr>
          <w:rFonts w:ascii="仿宋" w:eastAsia="仿宋" w:hAnsi="仿宋" w:cs="仿宋_GB2312" w:hint="eastAsia"/>
          <w:bCs/>
          <w:color w:val="000000"/>
          <w:sz w:val="32"/>
          <w:szCs w:val="32"/>
        </w:rPr>
        <w:t>灭菌/消毒工艺研究</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宋体" w:hint="eastAsia"/>
          <w:color w:val="000000"/>
          <w:kern w:val="0"/>
          <w:sz w:val="32"/>
          <w:szCs w:val="32"/>
        </w:rPr>
        <w:t>产品需经最终灭菌，</w:t>
      </w:r>
      <w:r>
        <w:rPr>
          <w:rFonts w:ascii="仿宋" w:eastAsia="仿宋" w:hAnsi="仿宋" w:cs="仿宋_GB2312" w:hint="eastAsia"/>
          <w:bCs/>
          <w:color w:val="000000"/>
          <w:sz w:val="32"/>
          <w:szCs w:val="32"/>
        </w:rPr>
        <w:t>明确灭菌工艺（方法和参数）和无菌保证水平（SAL），</w:t>
      </w:r>
      <w:r>
        <w:rPr>
          <w:rFonts w:ascii="仿宋" w:eastAsia="仿宋" w:hAnsi="仿宋" w:cs="宋体" w:hint="eastAsia"/>
          <w:color w:val="000000"/>
          <w:kern w:val="0"/>
          <w:sz w:val="32"/>
          <w:szCs w:val="32"/>
        </w:rPr>
        <w:t>SAL需达到10</w:t>
      </w:r>
      <w:r>
        <w:rPr>
          <w:rFonts w:ascii="仿宋" w:eastAsia="仿宋" w:hAnsi="仿宋" w:cs="宋体" w:hint="eastAsia"/>
          <w:color w:val="000000"/>
          <w:kern w:val="0"/>
          <w:sz w:val="32"/>
          <w:szCs w:val="32"/>
          <w:vertAlign w:val="superscript"/>
        </w:rPr>
        <w:t>-6</w:t>
      </w:r>
      <w:r>
        <w:rPr>
          <w:rFonts w:ascii="仿宋" w:eastAsia="仿宋" w:hAnsi="仿宋" w:cs="宋体" w:hint="eastAsia"/>
          <w:color w:val="000000"/>
          <w:kern w:val="0"/>
          <w:sz w:val="32"/>
          <w:szCs w:val="32"/>
        </w:rPr>
        <w:t>，提供</w:t>
      </w:r>
      <w:r>
        <w:rPr>
          <w:rFonts w:ascii="仿宋" w:eastAsia="仿宋" w:hAnsi="仿宋" w:cs="仿宋_GB2312" w:hint="eastAsia"/>
          <w:bCs/>
          <w:color w:val="000000"/>
          <w:sz w:val="32"/>
          <w:szCs w:val="32"/>
        </w:rPr>
        <w:t>灭菌确认报告</w:t>
      </w:r>
      <w:r>
        <w:rPr>
          <w:rFonts w:ascii="仿宋" w:eastAsia="仿宋" w:hAnsi="仿宋" w:cs="宋体" w:hint="eastAsia"/>
          <w:color w:val="000000"/>
          <w:kern w:val="0"/>
          <w:sz w:val="32"/>
          <w:szCs w:val="32"/>
        </w:rPr>
        <w:t>。</w:t>
      </w:r>
      <w:r>
        <w:rPr>
          <w:rFonts w:ascii="仿宋" w:eastAsia="仿宋" w:hAnsi="仿宋" w:cs="仿宋_GB2312" w:hint="eastAsia"/>
          <w:bCs/>
          <w:color w:val="000000"/>
          <w:sz w:val="32"/>
          <w:szCs w:val="32"/>
        </w:rPr>
        <w:t>如灭菌使用的方法容易出现残留,需明确残留物信息及采取的</w:t>
      </w:r>
      <w:r>
        <w:rPr>
          <w:rFonts w:ascii="仿宋" w:eastAsia="仿宋" w:hAnsi="仿宋" w:cs="仿宋_GB2312" w:hint="eastAsia"/>
          <w:bCs/>
          <w:color w:val="000000"/>
          <w:sz w:val="32"/>
          <w:szCs w:val="32"/>
        </w:rPr>
        <w:lastRenderedPageBreak/>
        <w:t>处理方法，并提供研究资料。</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hint="eastAsia"/>
          <w:color w:val="000000"/>
          <w:sz w:val="32"/>
          <w:szCs w:val="32"/>
        </w:rPr>
        <w:t xml:space="preserve">5. </w:t>
      </w:r>
      <w:r>
        <w:rPr>
          <w:rFonts w:ascii="仿宋" w:eastAsia="仿宋" w:hAnsi="仿宋" w:cs="仿宋_GB2312" w:hint="eastAsia"/>
          <w:bCs/>
          <w:color w:val="000000"/>
          <w:sz w:val="32"/>
          <w:szCs w:val="32"/>
        </w:rPr>
        <w:t>产品有效期和包装研究</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提供产品有效期的验证报告（包括产品物理、化学稳定性和包装密封稳定性的验证资料）。不同包装或容器的产品需分别提供验证资料。对于进行化学交联的透明质酸钠，产品有效期验证资料中还需包括交联程度、推挤力的稳定性数据。</w:t>
      </w:r>
    </w:p>
    <w:p w:rsidR="003F1E64" w:rsidRDefault="003F1E64" w:rsidP="003F1E64">
      <w:pPr>
        <w:spacing w:line="560" w:lineRule="exact"/>
        <w:ind w:firstLineChars="200" w:firstLine="640"/>
        <w:rPr>
          <w:rFonts w:ascii="仿宋" w:eastAsia="仿宋" w:hAnsi="仿宋" w:hint="eastAsia"/>
          <w:color w:val="000000"/>
          <w:sz w:val="32"/>
          <w:szCs w:val="32"/>
        </w:rPr>
      </w:pPr>
      <w:r>
        <w:rPr>
          <w:rFonts w:ascii="仿宋" w:eastAsia="仿宋" w:hAnsi="仿宋" w:hint="eastAsia"/>
          <w:color w:val="000000"/>
          <w:sz w:val="32"/>
          <w:szCs w:val="32"/>
        </w:rPr>
        <w:t>6. 临床前动物试验</w:t>
      </w:r>
    </w:p>
    <w:p w:rsidR="003F1E64" w:rsidRDefault="003F1E64" w:rsidP="003F1E64">
      <w:pPr>
        <w:spacing w:line="560" w:lineRule="exact"/>
        <w:ind w:firstLineChars="200" w:firstLine="640"/>
        <w:rPr>
          <w:rFonts w:ascii="仿宋" w:eastAsia="仿宋" w:hAnsi="仿宋" w:cs="仿宋_GB2312" w:hint="eastAsia"/>
          <w:bCs/>
          <w:color w:val="000000"/>
          <w:sz w:val="32"/>
          <w:szCs w:val="32"/>
        </w:rPr>
      </w:pPr>
      <w:r>
        <w:rPr>
          <w:rFonts w:ascii="仿宋" w:eastAsia="仿宋" w:hAnsi="仿宋" w:cs="仿宋_GB2312" w:hint="eastAsia"/>
          <w:bCs/>
          <w:color w:val="000000"/>
          <w:sz w:val="32"/>
          <w:szCs w:val="32"/>
        </w:rPr>
        <w:t>如适用，需包括动物试验研究的目的、结果及记录。</w:t>
      </w:r>
    </w:p>
    <w:p w:rsidR="003F1E64" w:rsidRDefault="003F1E64" w:rsidP="003F1E64">
      <w:pPr>
        <w:ind w:rightChars="1" w:right="2" w:firstLineChars="200" w:firstLine="640"/>
        <w:rPr>
          <w:rFonts w:ascii="仿宋" w:eastAsia="仿宋" w:hAnsi="仿宋" w:hint="eastAsia"/>
          <w:color w:val="000000"/>
          <w:sz w:val="32"/>
          <w:szCs w:val="32"/>
        </w:rPr>
      </w:pPr>
      <w:r>
        <w:rPr>
          <w:rFonts w:ascii="仿宋" w:eastAsia="仿宋" w:hAnsi="仿宋" w:cs="宋体" w:hint="eastAsia"/>
          <w:color w:val="000000"/>
          <w:kern w:val="0"/>
          <w:sz w:val="32"/>
          <w:szCs w:val="32"/>
        </w:rPr>
        <w:t xml:space="preserve">7. </w:t>
      </w:r>
      <w:r>
        <w:rPr>
          <w:rFonts w:ascii="仿宋" w:eastAsia="仿宋" w:hAnsi="仿宋" w:hint="eastAsia"/>
          <w:color w:val="000000"/>
          <w:sz w:val="32"/>
          <w:szCs w:val="32"/>
        </w:rPr>
        <w:t>其它资料</w:t>
      </w:r>
    </w:p>
    <w:p w:rsidR="003F1E64" w:rsidRDefault="003F1E64" w:rsidP="003F1E64">
      <w:pPr>
        <w:ind w:rightChars="1" w:right="2" w:firstLineChars="200" w:firstLine="640"/>
        <w:rPr>
          <w:rFonts w:ascii="仿宋" w:eastAsia="仿宋" w:hAnsi="仿宋" w:hint="eastAsia"/>
          <w:color w:val="000000"/>
          <w:sz w:val="32"/>
          <w:szCs w:val="32"/>
        </w:rPr>
      </w:pPr>
      <w:r>
        <w:rPr>
          <w:rFonts w:ascii="仿宋" w:eastAsia="仿宋" w:hAnsi="仿宋" w:hint="eastAsia"/>
          <w:color w:val="000000"/>
          <w:sz w:val="32"/>
          <w:szCs w:val="32"/>
        </w:rPr>
        <w:t>对于添加药品成分的产品，首先需判断产品是以药品作用为主还是以医疗器械作用为主。</w:t>
      </w:r>
      <w:r>
        <w:rPr>
          <w:rFonts w:ascii="仿宋" w:eastAsia="仿宋" w:hAnsi="仿宋" w:cs="宋体" w:hint="eastAsia"/>
          <w:color w:val="000000"/>
          <w:sz w:val="32"/>
          <w:szCs w:val="32"/>
        </w:rPr>
        <w:t>若</w:t>
      </w:r>
      <w:r>
        <w:rPr>
          <w:rFonts w:ascii="仿宋" w:eastAsia="仿宋" w:hAnsi="仿宋" w:hint="eastAsia"/>
          <w:color w:val="000000"/>
          <w:sz w:val="32"/>
          <w:szCs w:val="32"/>
        </w:rPr>
        <w:t>产品</w:t>
      </w:r>
      <w:r>
        <w:rPr>
          <w:rFonts w:ascii="仿宋" w:eastAsia="仿宋" w:hAnsi="仿宋" w:cs="宋体" w:hint="eastAsia"/>
          <w:color w:val="000000"/>
          <w:sz w:val="32"/>
          <w:szCs w:val="32"/>
        </w:rPr>
        <w:t>以药品作用为主</w:t>
      </w:r>
      <w:r>
        <w:rPr>
          <w:rFonts w:ascii="仿宋" w:eastAsia="仿宋" w:hAnsi="仿宋" w:hint="eastAsia"/>
          <w:color w:val="000000"/>
          <w:sz w:val="32"/>
          <w:szCs w:val="32"/>
        </w:rPr>
        <w:t>，</w:t>
      </w:r>
      <w:r>
        <w:rPr>
          <w:rFonts w:ascii="仿宋" w:eastAsia="仿宋" w:hAnsi="仿宋" w:cs="宋体" w:hint="eastAsia"/>
          <w:color w:val="000000"/>
          <w:sz w:val="32"/>
          <w:szCs w:val="32"/>
        </w:rPr>
        <w:t>则</w:t>
      </w:r>
      <w:r>
        <w:rPr>
          <w:rFonts w:ascii="仿宋" w:eastAsia="仿宋" w:hAnsi="仿宋" w:hint="eastAsia"/>
          <w:color w:val="000000"/>
          <w:sz w:val="32"/>
          <w:szCs w:val="32"/>
        </w:rPr>
        <w:t>需申报药品注册</w:t>
      </w:r>
      <w:r>
        <w:rPr>
          <w:rFonts w:ascii="仿宋" w:eastAsia="仿宋" w:hAnsi="仿宋" w:cs="宋体" w:hint="eastAsia"/>
          <w:color w:val="000000"/>
          <w:sz w:val="32"/>
          <w:szCs w:val="32"/>
        </w:rPr>
        <w:t>，不在本文讨论的范围之内。若产品</w:t>
      </w:r>
      <w:r>
        <w:rPr>
          <w:rFonts w:ascii="仿宋" w:eastAsia="仿宋" w:hAnsi="仿宋" w:hint="eastAsia"/>
          <w:color w:val="000000"/>
          <w:sz w:val="32"/>
          <w:szCs w:val="32"/>
        </w:rPr>
        <w:t>以医疗器械作用为主，</w:t>
      </w:r>
      <w:r>
        <w:rPr>
          <w:rFonts w:ascii="仿宋" w:eastAsia="仿宋" w:hAnsi="仿宋" w:cs="宋体" w:hint="eastAsia"/>
          <w:color w:val="000000"/>
          <w:sz w:val="32"/>
          <w:szCs w:val="32"/>
        </w:rPr>
        <w:t>则需按照药械组合产品的相关法规文件以及</w:t>
      </w:r>
      <w:r>
        <w:rPr>
          <w:rFonts w:ascii="仿宋" w:eastAsia="仿宋" w:hAnsi="仿宋" w:hint="eastAsia"/>
          <w:color w:val="000000"/>
          <w:sz w:val="32"/>
          <w:szCs w:val="32"/>
        </w:rPr>
        <w:t>《含药医疗器械产品注册申报资料指导原则》提供相应资料。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注：文中的“研究资料”是指设计依据（包括公认的理论支持及由其得出的推论）及实验资料（研究成果的实验验证是否达到预期）。注意需考虑实验样本的代表性和实验方法的可靠性。也可采用提供引用文献的方式提供实验资料，但需对文献数据的可信度及引用文献的适用性进行评价。</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lastRenderedPageBreak/>
        <w:t>“质控资料”包括能够保证生产出的产品可以达到设计要求的控制标准和/或规范操作，以及验证报告（为了验证各批次间产品质量的稳定性，需提供至少连续三批的验证结果）。</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“支持性资料”是指可以支持某一理论或宣称的研究资料或证明性文件。</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（三）生产制造信息</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1. 详述产品生产加工过程，包括各种加工工艺、各种加工助剂的使用情况，对残留单体或小分子残留物的控制情况及相应的验证资料等。</w:t>
      </w:r>
    </w:p>
    <w:p w:rsidR="003F1E64" w:rsidRDefault="003F1E64" w:rsidP="003F1E64">
      <w:pPr>
        <w:autoSpaceDE w:val="0"/>
        <w:autoSpaceDN w:val="0"/>
        <w:adjustRightInd w:val="0"/>
        <w:spacing w:line="240" w:lineRule="atLeast"/>
        <w:ind w:firstLineChars="200" w:firstLine="640"/>
        <w:jc w:val="left"/>
        <w:rPr>
          <w:rFonts w:ascii="仿宋" w:eastAsia="仿宋" w:hAnsi="仿宋" w:hint="eastAsia"/>
          <w:color w:val="000000"/>
          <w:spacing w:val="-1"/>
          <w:sz w:val="32"/>
          <w:szCs w:val="32"/>
        </w:rPr>
      </w:pPr>
      <w:r>
        <w:rPr>
          <w:rFonts w:ascii="仿宋" w:eastAsia="仿宋" w:hAnsi="仿宋" w:cs="宋体" w:hint="eastAsia"/>
          <w:color w:val="000000"/>
          <w:kern w:val="0"/>
          <w:sz w:val="32"/>
          <w:szCs w:val="32"/>
        </w:rPr>
        <w:t>2. 有多个研制、生产场地的，需概述每个研制、生产场地的实际情况</w:t>
      </w:r>
      <w:r>
        <w:rPr>
          <w:rFonts w:ascii="仿宋" w:eastAsia="仿宋" w:hAnsi="仿宋" w:hint="eastAsia"/>
          <w:color w:val="000000"/>
          <w:spacing w:val="-1"/>
          <w:sz w:val="32"/>
          <w:szCs w:val="32"/>
        </w:rPr>
        <w:t xml:space="preserve">。 </w:t>
      </w:r>
    </w:p>
    <w:p w:rsidR="003F1E64" w:rsidRDefault="003F1E64" w:rsidP="003F1E64">
      <w:pPr>
        <w:autoSpaceDE w:val="0"/>
        <w:autoSpaceDN w:val="0"/>
        <w:adjustRightInd w:val="0"/>
        <w:spacing w:line="240" w:lineRule="atLeast"/>
        <w:ind w:firstLineChars="225" w:firstLine="72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（四）产品技术要求</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1. 性能指标需根据产品特性及透明质酸钠通用要求制定，包括但不限于：</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1）理化性能：外观、装量、鉴别（化学法）、红外光谱、透明质酸钠含量、pH值、渗透压、动力粘度（需有上下限）、特性粘数（分子量）（需有上下限）、紫外吸收、重金属含量、乙醇残留量、生产过程中引入的有害化学助剂残留量。</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（2）免疫原性相关控制：蛋白质含量（发酵法0.1%，组织法0.15%）。</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lastRenderedPageBreak/>
        <w:t>（3）交联相关性能：对于经交联的透明质酸钠，需对交联的相关性能进行要求，如交联程度（上下限）、交联剂残留量、粒径分布。交联程度可用其它性能指标（如溶胀度）来表征，但需在技术资料中提供该性能指标与交联程度关系的支持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（4）使用性能：推挤力（上下限）。</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（5）降解性能：降解速率的控制指标（如不同降解时间的产品性能损失）（可用体外法，但需在研究资料中提供体内——体外相关性研究资料）。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（6）无菌、细菌内毒素、溶血性链球菌溶血素（适用于生物发酵法制备的透明质酸钠）。</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（7）对于添加不可降解成分的产品，需对微粒的性能进行要求（如粒径分布、亲水性材料微粒的吸水性等）。</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（8）添加的其它材料成分的需制定相关要求。所添加的润滑剂如为游离透明质酸钠，需在标示范围内。如在生产过程中加入添加剂、润滑剂等助剂，需提供其限量要求及检测方法。</w:t>
      </w:r>
    </w:p>
    <w:p w:rsidR="003F1E64" w:rsidRDefault="003F1E64" w:rsidP="003F1E64">
      <w:pPr>
        <w:autoSpaceDE w:val="0"/>
        <w:autoSpaceDN w:val="0"/>
        <w:adjustRightInd w:val="0"/>
        <w:spacing w:line="240" w:lineRule="atLeast"/>
        <w:ind w:firstLineChars="196" w:firstLine="627"/>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（9）注射针的物理、化学性能（参见GB15811）。</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2. 若注射器作为内包装材料，且为已在境内上市的药品包装材料，可提交药品包装材料注册证书和采购协议，否则需在产品技术要求中制订相关性能指标和检验方法(鉴于注射器的生物性能已通过对内容物的评价而间接评价</w:t>
      </w:r>
      <w:r>
        <w:rPr>
          <w:rFonts w:ascii="仿宋" w:eastAsia="仿宋" w:hAnsi="仿宋" w:cs="宋体" w:hint="eastAsia"/>
          <w:color w:val="000000"/>
          <w:kern w:val="0"/>
          <w:sz w:val="32"/>
          <w:szCs w:val="32"/>
        </w:rPr>
        <w:lastRenderedPageBreak/>
        <w:t>过，所以一般对注射器需主要考虑物理性能和化学性能,可参照GB15810制定）。</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hint="eastAsia"/>
          <w:color w:val="000000"/>
          <w:sz w:val="32"/>
          <w:szCs w:val="32"/>
        </w:rPr>
        <w:t>3. 对于药械组合产品，除符合医疗器械的有关规定外，还需在产品技术要求中制订药物定性、定量的技术指标及检</w:t>
      </w:r>
      <w:r>
        <w:rPr>
          <w:rFonts w:ascii="仿宋" w:eastAsia="仿宋" w:hAnsi="仿宋" w:cs="宋体" w:hint="eastAsia"/>
          <w:color w:val="000000"/>
          <w:sz w:val="32"/>
          <w:szCs w:val="32"/>
        </w:rPr>
        <w:t>验</w:t>
      </w:r>
      <w:r>
        <w:rPr>
          <w:rFonts w:ascii="仿宋" w:eastAsia="仿宋" w:hAnsi="仿宋" w:hint="eastAsia"/>
          <w:color w:val="000000"/>
          <w:sz w:val="32"/>
          <w:szCs w:val="32"/>
        </w:rPr>
        <w:t>方法，并在</w:t>
      </w:r>
      <w:r>
        <w:rPr>
          <w:rFonts w:ascii="仿宋" w:eastAsia="仿宋" w:hAnsi="仿宋" w:cs="宋体" w:hint="eastAsia"/>
          <w:color w:val="000000"/>
          <w:sz w:val="32"/>
          <w:szCs w:val="32"/>
        </w:rPr>
        <w:t>研究资料</w:t>
      </w:r>
      <w:r>
        <w:rPr>
          <w:rFonts w:ascii="仿宋" w:eastAsia="仿宋" w:hAnsi="仿宋" w:hint="eastAsia"/>
          <w:color w:val="000000"/>
          <w:sz w:val="32"/>
          <w:szCs w:val="32"/>
        </w:rPr>
        <w:t>中明确上述技术指标及检</w:t>
      </w:r>
      <w:r>
        <w:rPr>
          <w:rFonts w:ascii="仿宋" w:eastAsia="仿宋" w:hAnsi="仿宋" w:cs="宋体" w:hint="eastAsia"/>
          <w:color w:val="000000"/>
          <w:sz w:val="32"/>
          <w:szCs w:val="32"/>
        </w:rPr>
        <w:t>验</w:t>
      </w:r>
      <w:r>
        <w:rPr>
          <w:rFonts w:ascii="仿宋" w:eastAsia="仿宋" w:hAnsi="仿宋" w:hint="eastAsia"/>
          <w:color w:val="000000"/>
          <w:sz w:val="32"/>
          <w:szCs w:val="32"/>
        </w:rPr>
        <w:t>方法的确定依据。</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4. 若有不适用的项目需在研究资料中详细说明理由。对于无法在终产品中测定的项目需提供充分理由并在研究资料中提供中间品相关性能的质控资料。</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注1：以上技术性能指标主要参考YY0308-2004《医用透明质酸钠凝胶》（该标准适用于眼科手术填充剂、关节腔内注射的润滑剂和外科手术的阻隔剂）</w:t>
      </w:r>
      <w:r>
        <w:rPr>
          <w:rFonts w:ascii="仿宋" w:eastAsia="仿宋" w:hAnsi="仿宋" w:hint="eastAsia"/>
          <w:color w:val="000000"/>
          <w:sz w:val="32"/>
          <w:szCs w:val="32"/>
        </w:rPr>
        <w:t>和YY/T0962-2014</w:t>
      </w:r>
      <w:r>
        <w:rPr>
          <w:rFonts w:ascii="仿宋" w:eastAsia="仿宋" w:hAnsi="仿宋" w:cs="宋体" w:hint="eastAsia"/>
          <w:color w:val="000000"/>
          <w:kern w:val="0"/>
          <w:sz w:val="32"/>
          <w:szCs w:val="32"/>
        </w:rPr>
        <w:t>《外科整形用交联透明质酸钠凝胶》制订。若有新的适用的行业标准或国家标准发布实施，需满足行业标准和国家标准的要求。</w:t>
      </w:r>
    </w:p>
    <w:p w:rsidR="003F1E64" w:rsidRDefault="003F1E64" w:rsidP="003F1E64">
      <w:pPr>
        <w:autoSpaceDE w:val="0"/>
        <w:autoSpaceDN w:val="0"/>
        <w:adjustRightInd w:val="0"/>
        <w:spacing w:line="240" w:lineRule="atLeast"/>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 xml:space="preserve">注2：YY0308-2004适用于未经交联的透明质酸钠，因此对于交联的透明质酸钠，可能无法对终产品进行某些性能（如动力粘度、特性粘数）的测定。 </w:t>
      </w:r>
    </w:p>
    <w:p w:rsidR="003F1E64" w:rsidRDefault="003F1E64" w:rsidP="003F1E64">
      <w:pPr>
        <w:autoSpaceDE w:val="0"/>
        <w:autoSpaceDN w:val="0"/>
        <w:adjustRightInd w:val="0"/>
        <w:spacing w:line="240" w:lineRule="atLeast"/>
        <w:ind w:firstLineChars="225" w:firstLine="72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（五）产品说明书：</w:t>
      </w:r>
    </w:p>
    <w:p w:rsidR="003F1E64" w:rsidRDefault="003F1E64" w:rsidP="003F1E64">
      <w:pPr>
        <w:autoSpaceDE w:val="0"/>
        <w:autoSpaceDN w:val="0"/>
        <w:adjustRightInd w:val="0"/>
        <w:spacing w:line="240" w:lineRule="atLeast"/>
        <w:ind w:firstLineChars="225" w:firstLine="72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产品说明书需按照总局令第6号《医疗器械说明书和标签管理规定》的要求制订，此外需注意：</w:t>
      </w:r>
    </w:p>
    <w:p w:rsidR="003F1E64" w:rsidRDefault="003F1E64" w:rsidP="003F1E64">
      <w:pPr>
        <w:ind w:firstLineChars="225" w:firstLine="72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1. 需注明“该产品仅限于在国家正式批准的医疗机构</w:t>
      </w:r>
      <w:r>
        <w:rPr>
          <w:rFonts w:ascii="仿宋" w:eastAsia="仿宋" w:hAnsi="仿宋" w:cs="宋体" w:hint="eastAsia"/>
          <w:color w:val="000000"/>
          <w:kern w:val="0"/>
          <w:sz w:val="32"/>
          <w:szCs w:val="32"/>
        </w:rPr>
        <w:lastRenderedPageBreak/>
        <w:t>中由具有相</w:t>
      </w:r>
      <w:smartTag w:uri="urn:schemas-microsoft-com:office:smarttags" w:element="PersonName">
        <w:smartTagPr>
          <w:attr w:name="ProductID" w:val="关专业"/>
        </w:smartTagPr>
        <w:r>
          <w:rPr>
            <w:rFonts w:ascii="仿宋" w:eastAsia="仿宋" w:hAnsi="仿宋" w:cs="宋体" w:hint="eastAsia"/>
            <w:color w:val="000000"/>
            <w:kern w:val="0"/>
            <w:sz w:val="32"/>
            <w:szCs w:val="32"/>
          </w:rPr>
          <w:t>关专业</w:t>
        </w:r>
      </w:smartTag>
      <w:r>
        <w:rPr>
          <w:rFonts w:ascii="仿宋" w:eastAsia="仿宋" w:hAnsi="仿宋" w:cs="宋体" w:hint="eastAsia"/>
          <w:color w:val="000000"/>
          <w:kern w:val="0"/>
          <w:sz w:val="32"/>
          <w:szCs w:val="32"/>
        </w:rPr>
        <w:t>医师资格的人员，经生产厂家或其委托/指定机构的专业培训并获得培训合格证书后，严格按照产品使用说明书的要求进行使用”。</w:t>
      </w:r>
    </w:p>
    <w:p w:rsidR="003F1E64" w:rsidRDefault="003F1E64" w:rsidP="003F1E64">
      <w:pPr>
        <w:autoSpaceDE w:val="0"/>
        <w:autoSpaceDN w:val="0"/>
        <w:adjustRightInd w:val="0"/>
        <w:spacing w:line="240" w:lineRule="atLeast"/>
        <w:ind w:firstLineChars="200" w:firstLine="640"/>
        <w:jc w:val="left"/>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2. 适用范围需与临床验证过的范围一致。</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3. 产品建议使用剂量/频率需与技术支持性资料和临床资料一致。如果缺乏产品多次注射的支持性资料，则在说明书中明确“本产品进行多次注射的安全性未经验证”。</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4. 对于含有颗粒的产品，需在产品说明书中说明该产品颗粒大小（需与技术支持性资料一致）。对于最终可吸收产品，需说明多数患者维持有效的时间（需与临床试验中主要有效性指标一致）。对于含不可降解成分的产品，提示潜在的远期风险。</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5. 需提供临床所有可能产生的并发症及副作用信息，例如但不限于：硬结、瘙痒、疼痛、红肿、瘀青、淤血、瘀斑、感染、局部炎症反应、形成瘢痕、皮肤侵蚀、坏死、皮肤色素沉着、植入物移位或膨出、结节、肉芽肿、形成针眼、不对称、未达到预期纠正效果、过敏等，包括因注射不当而可能发生的面部神经损伤、晕厥、失盲等严重并发症，甚至死亡。对于临床试验中涉及的禁忌症或注意事项需在说明书中给予提示。</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6. 建议增加警示性文字“本产品不得用于乳房部位注射”。</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lastRenderedPageBreak/>
        <w:t>7. 产品有效期、保存运输条件需与技术支持性资料一致。特别对于</w:t>
      </w:r>
      <w:r>
        <w:rPr>
          <w:rFonts w:ascii="仿宋" w:eastAsia="仿宋" w:hAnsi="仿宋" w:hint="eastAsia"/>
          <w:color w:val="000000"/>
          <w:sz w:val="32"/>
          <w:szCs w:val="32"/>
        </w:rPr>
        <w:t>药械组合产品</w:t>
      </w:r>
      <w:r>
        <w:rPr>
          <w:rFonts w:ascii="仿宋" w:eastAsia="仿宋" w:hAnsi="仿宋" w:cs="宋体" w:hint="eastAsia"/>
          <w:color w:val="000000"/>
          <w:sz w:val="32"/>
          <w:szCs w:val="32"/>
        </w:rPr>
        <w:t>，需考虑所含药品成分对</w:t>
      </w:r>
      <w:r>
        <w:rPr>
          <w:rFonts w:ascii="仿宋" w:eastAsia="仿宋" w:hAnsi="仿宋" w:hint="eastAsia"/>
          <w:color w:val="000000"/>
          <w:sz w:val="32"/>
          <w:szCs w:val="32"/>
        </w:rPr>
        <w:t>保存运输条件</w:t>
      </w:r>
      <w:r>
        <w:rPr>
          <w:rFonts w:ascii="仿宋" w:eastAsia="仿宋" w:hAnsi="仿宋" w:cs="宋体" w:hint="eastAsia"/>
          <w:color w:val="000000"/>
          <w:sz w:val="32"/>
          <w:szCs w:val="32"/>
        </w:rPr>
        <w:t>的</w:t>
      </w:r>
      <w:r>
        <w:rPr>
          <w:rFonts w:ascii="仿宋" w:eastAsia="仿宋" w:hAnsi="仿宋" w:hint="eastAsia"/>
          <w:color w:val="000000"/>
          <w:sz w:val="32"/>
          <w:szCs w:val="32"/>
        </w:rPr>
        <w:t>特殊要求。</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8. 说明书中不应含有宣传性文字或未提供充分资料支持的内容。</w:t>
      </w:r>
    </w:p>
    <w:p w:rsidR="003F1E64" w:rsidRDefault="003F1E64" w:rsidP="003F1E64">
      <w:pPr>
        <w:ind w:firstLineChars="200" w:firstLine="640"/>
        <w:rPr>
          <w:rFonts w:ascii="仿宋" w:eastAsia="仿宋" w:hAnsi="仿宋" w:cs="宋体" w:hint="eastAsia"/>
          <w:color w:val="000000"/>
          <w:kern w:val="0"/>
          <w:sz w:val="32"/>
          <w:szCs w:val="32"/>
        </w:rPr>
      </w:pPr>
      <w:r>
        <w:rPr>
          <w:rFonts w:ascii="仿宋" w:eastAsia="仿宋" w:hAnsi="仿宋" w:cs="宋体" w:hint="eastAsia"/>
          <w:color w:val="000000"/>
          <w:kern w:val="0"/>
          <w:sz w:val="32"/>
          <w:szCs w:val="32"/>
        </w:rPr>
        <w:t>9. 对于动物组织提取的产品需在说明书中明确取材动物类型和取材部位。</w:t>
      </w:r>
    </w:p>
    <w:p w:rsidR="003F1E64" w:rsidRDefault="003F1E64" w:rsidP="003F1E64">
      <w:pPr>
        <w:ind w:firstLineChars="200" w:firstLine="640"/>
        <w:rPr>
          <w:rFonts w:ascii="仿宋" w:eastAsia="仿宋" w:hAnsi="仿宋" w:cs="宋体" w:hint="eastAsia"/>
          <w:color w:val="000000"/>
          <w:kern w:val="0"/>
          <w:sz w:val="32"/>
          <w:szCs w:val="32"/>
        </w:rPr>
      </w:pPr>
    </w:p>
    <w:p w:rsidR="00F40AF7" w:rsidRPr="003F1E64" w:rsidRDefault="003F1E64" w:rsidP="003F1E64">
      <w:r>
        <w:rPr>
          <w:rFonts w:ascii="仿宋" w:eastAsia="仿宋" w:hAnsi="仿宋" w:cs="宋体"/>
          <w:color w:val="000000"/>
          <w:kern w:val="0"/>
          <w:sz w:val="32"/>
          <w:szCs w:val="32"/>
        </w:rPr>
        <w:br w:type="page"/>
      </w:r>
      <w:bookmarkStart w:id="0" w:name="_GoBack"/>
      <w:bookmarkEnd w:id="0"/>
    </w:p>
    <w:sectPr w:rsidR="00F40AF7" w:rsidRPr="003F1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B00" w:rsidRDefault="00802B00" w:rsidP="001C7387">
      <w:r>
        <w:separator/>
      </w:r>
    </w:p>
  </w:endnote>
  <w:endnote w:type="continuationSeparator" w:id="0">
    <w:p w:rsidR="00802B00" w:rsidRDefault="00802B00" w:rsidP="001C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B00" w:rsidRDefault="00802B00" w:rsidP="001C7387">
      <w:r>
        <w:separator/>
      </w:r>
    </w:p>
  </w:footnote>
  <w:footnote w:type="continuationSeparator" w:id="0">
    <w:p w:rsidR="00802B00" w:rsidRDefault="00802B00" w:rsidP="001C7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96"/>
    <w:rsid w:val="00147C96"/>
    <w:rsid w:val="001C7387"/>
    <w:rsid w:val="003F1E64"/>
    <w:rsid w:val="004B2E56"/>
    <w:rsid w:val="00802B00"/>
    <w:rsid w:val="00A452FB"/>
    <w:rsid w:val="00B45B76"/>
    <w:rsid w:val="00BE47A9"/>
    <w:rsid w:val="00E8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EFB20CA9-310F-4782-A4D1-543F4EB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3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73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C7387"/>
    <w:rPr>
      <w:sz w:val="18"/>
      <w:szCs w:val="18"/>
    </w:rPr>
  </w:style>
  <w:style w:type="paragraph" w:styleId="a4">
    <w:name w:val="footer"/>
    <w:basedOn w:val="a"/>
    <w:link w:val="Char0"/>
    <w:uiPriority w:val="99"/>
    <w:unhideWhenUsed/>
    <w:rsid w:val="001C73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C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dc:creator>
  <cp:keywords/>
  <dc:description/>
  <cp:lastModifiedBy>Guang</cp:lastModifiedBy>
  <cp:revision>4</cp:revision>
  <dcterms:created xsi:type="dcterms:W3CDTF">2015-01-28T02:45:00Z</dcterms:created>
  <dcterms:modified xsi:type="dcterms:W3CDTF">2015-01-29T03:30:00Z</dcterms:modified>
</cp:coreProperties>
</file>