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E56" w:rsidRDefault="004B2E56" w:rsidP="004B2E56">
      <w:pPr>
        <w:autoSpaceDE w:val="0"/>
        <w:autoSpaceDN w:val="0"/>
        <w:adjustRightInd w:val="0"/>
        <w:spacing w:line="240" w:lineRule="atLeast"/>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附件一</w:t>
      </w:r>
      <w:r w:rsidRPr="00576DD8">
        <w:rPr>
          <w:rFonts w:ascii="仿宋" w:eastAsia="仿宋" w:hAnsi="仿宋" w:cs="宋体" w:hint="eastAsia"/>
          <w:color w:val="000000" w:themeColor="text1"/>
          <w:kern w:val="0"/>
          <w:sz w:val="32"/>
          <w:szCs w:val="32"/>
        </w:rPr>
        <w:t>：</w:t>
      </w:r>
    </w:p>
    <w:p w:rsidR="004B2E56" w:rsidRDefault="004B2E56" w:rsidP="004B2E56">
      <w:pPr>
        <w:autoSpaceDE w:val="0"/>
        <w:autoSpaceDN w:val="0"/>
        <w:adjustRightInd w:val="0"/>
        <w:spacing w:line="240" w:lineRule="atLeast"/>
        <w:jc w:val="left"/>
        <w:rPr>
          <w:rFonts w:ascii="宋体" w:cs="宋体"/>
          <w:b/>
          <w:color w:val="000000"/>
          <w:kern w:val="0"/>
          <w:sz w:val="44"/>
          <w:szCs w:val="44"/>
        </w:rPr>
      </w:pPr>
    </w:p>
    <w:p w:rsidR="004B2E56" w:rsidRDefault="004B2E56" w:rsidP="004B2E56">
      <w:pPr>
        <w:autoSpaceDE w:val="0"/>
        <w:autoSpaceDN w:val="0"/>
        <w:adjustRightInd w:val="0"/>
        <w:spacing w:line="240" w:lineRule="atLeast"/>
        <w:ind w:left="309"/>
        <w:jc w:val="center"/>
        <w:rPr>
          <w:rFonts w:asciiTheme="majorEastAsia" w:eastAsiaTheme="majorEastAsia" w:hAnsiTheme="majorEastAsia"/>
          <w:b/>
          <w:color w:val="000000"/>
          <w:sz w:val="44"/>
          <w:szCs w:val="44"/>
        </w:rPr>
      </w:pPr>
      <w:r w:rsidRPr="00576DD8">
        <w:rPr>
          <w:rFonts w:asciiTheme="majorEastAsia" w:eastAsiaTheme="majorEastAsia" w:hAnsiTheme="majorEastAsia" w:hint="eastAsia"/>
          <w:b/>
          <w:color w:val="000000"/>
          <w:sz w:val="44"/>
          <w:szCs w:val="44"/>
        </w:rPr>
        <w:t>透明质酸钠类面部注射填充材料</w:t>
      </w:r>
    </w:p>
    <w:p w:rsidR="004B2E56" w:rsidRPr="00576DD8" w:rsidRDefault="004B2E56" w:rsidP="004B2E56">
      <w:pPr>
        <w:autoSpaceDE w:val="0"/>
        <w:autoSpaceDN w:val="0"/>
        <w:adjustRightInd w:val="0"/>
        <w:spacing w:line="240" w:lineRule="atLeast"/>
        <w:ind w:left="309"/>
        <w:jc w:val="center"/>
        <w:rPr>
          <w:rFonts w:asciiTheme="majorEastAsia" w:eastAsiaTheme="majorEastAsia" w:hAnsiTheme="majorEastAsia" w:cs="宋体"/>
          <w:b/>
          <w:color w:val="000000"/>
          <w:kern w:val="0"/>
          <w:sz w:val="44"/>
          <w:szCs w:val="44"/>
        </w:rPr>
      </w:pPr>
      <w:r w:rsidRPr="00576DD8">
        <w:rPr>
          <w:rFonts w:asciiTheme="majorEastAsia" w:eastAsiaTheme="majorEastAsia" w:hAnsiTheme="majorEastAsia" w:hint="eastAsia"/>
          <w:b/>
          <w:color w:val="000000"/>
          <w:sz w:val="44"/>
          <w:szCs w:val="44"/>
        </w:rPr>
        <w:t>临床试验基本要求</w:t>
      </w:r>
    </w:p>
    <w:p w:rsidR="004B2E56" w:rsidRPr="00F00ECC" w:rsidRDefault="004B2E56" w:rsidP="004B2E56">
      <w:pPr>
        <w:autoSpaceDE w:val="0"/>
        <w:autoSpaceDN w:val="0"/>
        <w:adjustRightInd w:val="0"/>
        <w:spacing w:line="240" w:lineRule="atLeast"/>
        <w:ind w:firstLineChars="200" w:firstLine="640"/>
        <w:jc w:val="center"/>
        <w:rPr>
          <w:rFonts w:ascii="宋体" w:hAnsi="宋体" w:cs="宋体"/>
          <w:color w:val="000000"/>
          <w:kern w:val="0"/>
          <w:sz w:val="32"/>
          <w:szCs w:val="32"/>
        </w:rPr>
      </w:pPr>
      <w:r>
        <w:rPr>
          <w:rFonts w:ascii="宋体" w:hAnsi="宋体" w:cs="宋体" w:hint="eastAsia"/>
          <w:color w:val="000000"/>
          <w:kern w:val="0"/>
          <w:sz w:val="32"/>
          <w:szCs w:val="32"/>
        </w:rPr>
        <w:t>（征求意见稿）</w:t>
      </w:r>
    </w:p>
    <w:p w:rsidR="004B2E56" w:rsidRPr="009C525A" w:rsidRDefault="004B2E56" w:rsidP="004B2E56">
      <w:pPr>
        <w:autoSpaceDE w:val="0"/>
        <w:autoSpaceDN w:val="0"/>
        <w:adjustRightInd w:val="0"/>
        <w:spacing w:line="240" w:lineRule="atLeast"/>
        <w:ind w:firstLineChars="200" w:firstLine="643"/>
        <w:jc w:val="left"/>
        <w:rPr>
          <w:rFonts w:ascii="仿宋" w:eastAsia="仿宋" w:hAnsi="仿宋" w:cs="宋体"/>
          <w:b/>
          <w:color w:val="000000" w:themeColor="text1"/>
          <w:kern w:val="0"/>
          <w:sz w:val="32"/>
          <w:szCs w:val="32"/>
        </w:rPr>
      </w:pPr>
      <w:r w:rsidRPr="009C525A">
        <w:rPr>
          <w:rFonts w:ascii="仿宋" w:eastAsia="仿宋" w:hAnsi="仿宋" w:cs="宋体" w:hint="eastAsia"/>
          <w:b/>
          <w:color w:val="000000" w:themeColor="text1"/>
          <w:kern w:val="0"/>
          <w:sz w:val="32"/>
          <w:szCs w:val="32"/>
        </w:rPr>
        <w:t>一、范围</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本基本要求适用于以透明质酸钠为主要原材料（通常需要进行化学交联）制成的，最终可被人体完全吸收的，并且以</w:t>
      </w:r>
      <w:r w:rsidRPr="00576DD8">
        <w:rPr>
          <w:rFonts w:ascii="仿宋" w:eastAsia="仿宋" w:hAnsi="仿宋" w:cs="楷体_GB2312" w:hint="eastAsia"/>
          <w:color w:val="000000" w:themeColor="text1"/>
          <w:kern w:val="0"/>
          <w:sz w:val="32"/>
          <w:szCs w:val="32"/>
        </w:rPr>
        <w:t>纠正鼻唇部皱纹和/或额部皱纹为产品适用范围的</w:t>
      </w:r>
      <w:r w:rsidRPr="00576DD8">
        <w:rPr>
          <w:rFonts w:ascii="仿宋" w:eastAsia="仿宋" w:hAnsi="仿宋" w:cs="宋体" w:hint="eastAsia"/>
          <w:color w:val="000000" w:themeColor="text1"/>
          <w:kern w:val="0"/>
          <w:sz w:val="32"/>
          <w:szCs w:val="32"/>
        </w:rPr>
        <w:t>面部注射填充材料。</w:t>
      </w:r>
    </w:p>
    <w:p w:rsidR="004B2E56" w:rsidRPr="009C525A" w:rsidRDefault="004B2E56" w:rsidP="004B2E56">
      <w:pPr>
        <w:autoSpaceDE w:val="0"/>
        <w:autoSpaceDN w:val="0"/>
        <w:adjustRightInd w:val="0"/>
        <w:spacing w:line="240" w:lineRule="atLeast"/>
        <w:ind w:firstLineChars="200" w:firstLine="643"/>
        <w:jc w:val="left"/>
        <w:rPr>
          <w:rFonts w:ascii="仿宋" w:eastAsia="仿宋" w:hAnsi="仿宋" w:cs="宋体"/>
          <w:b/>
          <w:color w:val="000000" w:themeColor="text1"/>
          <w:kern w:val="0"/>
          <w:sz w:val="32"/>
          <w:szCs w:val="32"/>
        </w:rPr>
      </w:pPr>
      <w:r w:rsidRPr="009C525A">
        <w:rPr>
          <w:rFonts w:ascii="仿宋" w:eastAsia="仿宋" w:hAnsi="仿宋" w:cs="宋体" w:hint="eastAsia"/>
          <w:b/>
          <w:color w:val="000000" w:themeColor="text1"/>
          <w:kern w:val="0"/>
          <w:sz w:val="32"/>
          <w:szCs w:val="32"/>
        </w:rPr>
        <w:t>二、临床试验</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（一）</w:t>
      </w:r>
      <w:r w:rsidRPr="00576DD8">
        <w:rPr>
          <w:rFonts w:ascii="仿宋" w:eastAsia="仿宋" w:hAnsi="仿宋" w:cs="宋体" w:hint="eastAsia"/>
          <w:color w:val="000000" w:themeColor="text1"/>
          <w:kern w:val="0"/>
          <w:sz w:val="32"/>
          <w:szCs w:val="32"/>
        </w:rPr>
        <w:t>概述</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结合法规的具体要求，需要进行完整的上市前临床试验时，适用于本部分。若按照相关法规不需在境内进行临床试验，则申报人在申报注册时所提交的相关临床数据原则上不应低于本部分的要求，并且考虑到人种差异对产品安全有效性的影响，需对亚裔人群单独提供临床数据。</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具有特殊设计（如添加不可降解成分等）或其他适用范围的产品须结合申报产品自身特点另行制定其上市前临床试验方案。</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本部分内容仅提到了临床试验中需要注意的几个方面，而非提供一个</w:t>
      </w:r>
      <w:r>
        <w:rPr>
          <w:rFonts w:ascii="仿宋" w:eastAsia="仿宋" w:hAnsi="仿宋" w:cs="宋体" w:hint="eastAsia"/>
          <w:color w:val="000000" w:themeColor="text1"/>
          <w:kern w:val="0"/>
          <w:sz w:val="32"/>
          <w:szCs w:val="32"/>
        </w:rPr>
        <w:t>完整</w:t>
      </w:r>
      <w:r w:rsidRPr="00576DD8">
        <w:rPr>
          <w:rFonts w:ascii="仿宋" w:eastAsia="仿宋" w:hAnsi="仿宋" w:cs="宋体" w:hint="eastAsia"/>
          <w:color w:val="000000" w:themeColor="text1"/>
          <w:kern w:val="0"/>
          <w:sz w:val="32"/>
          <w:szCs w:val="32"/>
        </w:rPr>
        <w:t>临床试验方案或报告的模板。在境</w:t>
      </w:r>
      <w:r w:rsidRPr="00576DD8">
        <w:rPr>
          <w:rFonts w:ascii="仿宋" w:eastAsia="仿宋" w:hAnsi="仿宋" w:cs="宋体" w:hint="eastAsia"/>
          <w:color w:val="000000" w:themeColor="text1"/>
          <w:kern w:val="0"/>
          <w:sz w:val="32"/>
          <w:szCs w:val="32"/>
        </w:rPr>
        <w:lastRenderedPageBreak/>
        <w:t>内进行的临床试验需按照医疗器械临床试验质量管理规范的要求,在取得资质的临床试验机构内开展，在申报注册时按照相关法规提交</w:t>
      </w:r>
      <w:r w:rsidRPr="00576DD8">
        <w:rPr>
          <w:rFonts w:ascii="仿宋" w:eastAsia="仿宋" w:hAnsi="仿宋" w:cs="宋体"/>
          <w:color w:val="000000" w:themeColor="text1"/>
          <w:kern w:val="0"/>
          <w:sz w:val="32"/>
          <w:szCs w:val="32"/>
        </w:rPr>
        <w:t>临床试验方案、临床试验报告</w:t>
      </w:r>
      <w:r w:rsidRPr="00576DD8">
        <w:rPr>
          <w:rFonts w:ascii="仿宋" w:eastAsia="仿宋" w:hAnsi="仿宋" w:cs="宋体" w:hint="eastAsia"/>
          <w:color w:val="000000" w:themeColor="text1"/>
          <w:kern w:val="0"/>
          <w:sz w:val="32"/>
          <w:szCs w:val="32"/>
        </w:rPr>
        <w:t>等资料。</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（二）</w:t>
      </w:r>
      <w:r w:rsidRPr="00576DD8">
        <w:rPr>
          <w:rFonts w:ascii="仿宋" w:eastAsia="仿宋" w:hAnsi="仿宋" w:cs="宋体" w:hint="eastAsia"/>
          <w:color w:val="000000" w:themeColor="text1"/>
          <w:kern w:val="0"/>
          <w:sz w:val="32"/>
          <w:szCs w:val="32"/>
        </w:rPr>
        <w:t>临床试验总体设计</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以申请首次注册上市为目的的临床试验需是前瞻性、多中心（至少两中心）、平行对照临床试验。需采用已上市同类产品作为对照器械，优先选择与试验器械成分、性能相似的对照器械。根据设计预期的临床意义及试验器械的性能选择合适的试验类型（优效/等效/非劣效）。</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需考虑采用适当的对照方式以保证试验组和对照组基线的一致性，如受试者随机分组对照或自身同期对照（左右对称部位）等。采用自身同期对照比随机分组对照在保证基线一致性上具有优势，但难以确认系统性不良反应与试验品或对照品的相关性，并且还需考虑左右局部反应的互相影响。</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需尽可能地采用盲法以避免主观影响因素，如对受试者设盲及对第三方评价者设盲。如果可行，还可对注射操作者设盲。</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（三）</w:t>
      </w:r>
      <w:r w:rsidRPr="00576DD8">
        <w:rPr>
          <w:rFonts w:ascii="仿宋" w:eastAsia="仿宋" w:hAnsi="仿宋" w:cs="宋体" w:hint="eastAsia"/>
          <w:color w:val="000000" w:themeColor="text1"/>
          <w:kern w:val="0"/>
          <w:sz w:val="32"/>
          <w:szCs w:val="32"/>
        </w:rPr>
        <w:t>目标适用范围</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本部分仅对于目标适用范围为纠正鼻唇部皱纹和/或额部皱纹</w:t>
      </w:r>
      <w:r>
        <w:rPr>
          <w:rFonts w:ascii="仿宋" w:eastAsia="仿宋" w:hAnsi="仿宋" w:cs="宋体" w:hint="eastAsia"/>
          <w:color w:val="000000" w:themeColor="text1"/>
          <w:kern w:val="0"/>
          <w:sz w:val="32"/>
          <w:szCs w:val="32"/>
        </w:rPr>
        <w:t>（或比上述适用范围更窄的目标适用范围）</w:t>
      </w:r>
      <w:r w:rsidRPr="00576DD8">
        <w:rPr>
          <w:rFonts w:ascii="仿宋" w:eastAsia="仿宋" w:hAnsi="仿宋" w:cs="宋体" w:hint="eastAsia"/>
          <w:color w:val="000000" w:themeColor="text1"/>
          <w:kern w:val="0"/>
          <w:sz w:val="32"/>
          <w:szCs w:val="32"/>
        </w:rPr>
        <w:t>的产品进行讨论。这两种适用范围需分别进行临床数据的收集和</w:t>
      </w:r>
      <w:r w:rsidRPr="00576DD8">
        <w:rPr>
          <w:rFonts w:ascii="仿宋" w:eastAsia="仿宋" w:hAnsi="仿宋" w:cs="宋体" w:hint="eastAsia"/>
          <w:color w:val="000000" w:themeColor="text1"/>
          <w:kern w:val="0"/>
          <w:sz w:val="32"/>
          <w:szCs w:val="32"/>
        </w:rPr>
        <w:lastRenderedPageBreak/>
        <w:t>统计。在适用范围中需明确具体的注射层次（如：真皮组织浅层、真皮组织中层至深层、真皮组织深层至皮下浅层等）。</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（四）</w:t>
      </w:r>
      <w:r w:rsidRPr="00576DD8">
        <w:rPr>
          <w:rFonts w:ascii="仿宋" w:eastAsia="仿宋" w:hAnsi="仿宋" w:cs="宋体" w:hint="eastAsia"/>
          <w:color w:val="000000" w:themeColor="text1"/>
          <w:kern w:val="0"/>
          <w:sz w:val="32"/>
          <w:szCs w:val="32"/>
        </w:rPr>
        <w:t>临床评价标准</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 xml:space="preserve">1. </w:t>
      </w:r>
      <w:r w:rsidRPr="00576DD8">
        <w:rPr>
          <w:rFonts w:ascii="仿宋" w:eastAsia="仿宋" w:hAnsi="仿宋" w:cs="宋体" w:hint="eastAsia"/>
          <w:color w:val="000000" w:themeColor="text1"/>
          <w:kern w:val="0"/>
          <w:sz w:val="32"/>
          <w:szCs w:val="32"/>
        </w:rPr>
        <w:t>主要有效性评价指标</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建议将所宣称的效果持续时间点上的对皱纹纠正的有效率设为主要有效性评价指标。上述“有效率”一般定义为由独立于注射操作者的专业人员评价的，皱纹严重程度的5分制分级（如WSRS）较术前至少减轻一个等级的受试者例数百分比。对于同一受试者的双侧数据，需明确取舍规则（一般取效果较差一侧的数据）。</w:t>
      </w:r>
    </w:p>
    <w:p w:rsidR="004B2E56" w:rsidRPr="00576DD8" w:rsidRDefault="004B2E56" w:rsidP="004B2E56">
      <w:pPr>
        <w:autoSpaceDE w:val="0"/>
        <w:autoSpaceDN w:val="0"/>
        <w:adjustRightInd w:val="0"/>
        <w:spacing w:line="240" w:lineRule="atLeast"/>
        <w:jc w:val="center"/>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评价皱纹严重程度参考表（示例）</w:t>
      </w:r>
    </w:p>
    <w:tbl>
      <w:tblPr>
        <w:tblW w:w="0" w:type="auto"/>
        <w:jc w:val="center"/>
        <w:tblBorders>
          <w:top w:val="single" w:sz="4" w:space="0" w:color="auto"/>
          <w:bottom w:val="single" w:sz="4" w:space="0" w:color="auto"/>
        </w:tblBorders>
        <w:tblLayout w:type="fixed"/>
        <w:tblLook w:val="01E0" w:firstRow="1" w:lastRow="1" w:firstColumn="1" w:lastColumn="1" w:noHBand="0" w:noVBand="0"/>
      </w:tblPr>
      <w:tblGrid>
        <w:gridCol w:w="1008"/>
        <w:gridCol w:w="1260"/>
        <w:gridCol w:w="6254"/>
      </w:tblGrid>
      <w:tr w:rsidR="004B2E56" w:rsidRPr="00576DD8" w:rsidTr="009D3BDA">
        <w:trPr>
          <w:trHeight w:val="614"/>
          <w:jc w:val="center"/>
        </w:trPr>
        <w:tc>
          <w:tcPr>
            <w:tcW w:w="1008" w:type="dxa"/>
            <w:tcBorders>
              <w:top w:val="single" w:sz="4" w:space="0" w:color="auto"/>
              <w:bottom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分级</w:t>
            </w:r>
          </w:p>
        </w:tc>
        <w:tc>
          <w:tcPr>
            <w:tcW w:w="1260" w:type="dxa"/>
            <w:tcBorders>
              <w:top w:val="single" w:sz="4" w:space="0" w:color="auto"/>
              <w:bottom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评价</w:t>
            </w:r>
          </w:p>
        </w:tc>
        <w:tc>
          <w:tcPr>
            <w:tcW w:w="6254" w:type="dxa"/>
            <w:tcBorders>
              <w:top w:val="single" w:sz="4" w:space="0" w:color="auto"/>
              <w:bottom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特征描述</w:t>
            </w:r>
          </w:p>
        </w:tc>
      </w:tr>
      <w:tr w:rsidR="004B2E56" w:rsidRPr="00576DD8" w:rsidTr="009D3BDA">
        <w:trPr>
          <w:trHeight w:val="770"/>
          <w:jc w:val="center"/>
        </w:trPr>
        <w:tc>
          <w:tcPr>
            <w:tcW w:w="1008" w:type="dxa"/>
            <w:tcBorders>
              <w:top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1</w:t>
            </w:r>
          </w:p>
        </w:tc>
        <w:tc>
          <w:tcPr>
            <w:tcW w:w="1260" w:type="dxa"/>
            <w:tcBorders>
              <w:top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无</w:t>
            </w:r>
          </w:p>
        </w:tc>
        <w:tc>
          <w:tcPr>
            <w:tcW w:w="6254" w:type="dxa"/>
            <w:tcBorders>
              <w:top w:val="single" w:sz="4" w:space="0" w:color="auto"/>
            </w:tcBorders>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没有可见的折纹；只见连续的皮肤纹线。</w:t>
            </w:r>
          </w:p>
        </w:tc>
      </w:tr>
      <w:tr w:rsidR="004B2E56" w:rsidRPr="00576DD8" w:rsidTr="009D3BDA">
        <w:trPr>
          <w:trHeight w:val="770"/>
          <w:jc w:val="center"/>
        </w:trPr>
        <w:tc>
          <w:tcPr>
            <w:tcW w:w="100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2</w:t>
            </w:r>
          </w:p>
        </w:tc>
        <w:tc>
          <w:tcPr>
            <w:tcW w:w="1260"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轻度</w:t>
            </w:r>
          </w:p>
        </w:tc>
        <w:tc>
          <w:tcPr>
            <w:tcW w:w="6254"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皱褶浅，但可见，呈轻微的凹痕；面部折纹细小。</w:t>
            </w:r>
          </w:p>
        </w:tc>
      </w:tr>
      <w:tr w:rsidR="004B2E56" w:rsidRPr="00576DD8" w:rsidTr="009D3BDA">
        <w:trPr>
          <w:trHeight w:val="770"/>
          <w:jc w:val="center"/>
        </w:trPr>
        <w:tc>
          <w:tcPr>
            <w:tcW w:w="100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3</w:t>
            </w:r>
          </w:p>
        </w:tc>
        <w:tc>
          <w:tcPr>
            <w:tcW w:w="1260"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中度</w:t>
            </w:r>
          </w:p>
        </w:tc>
        <w:tc>
          <w:tcPr>
            <w:tcW w:w="6254"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比较深的皱褶；面部折纹清晰；在一般情况下折纹可见。但当伸展时折纹消失。</w:t>
            </w:r>
          </w:p>
        </w:tc>
      </w:tr>
      <w:tr w:rsidR="004B2E56" w:rsidRPr="00576DD8" w:rsidTr="009D3BDA">
        <w:trPr>
          <w:trHeight w:val="770"/>
          <w:jc w:val="center"/>
        </w:trPr>
        <w:tc>
          <w:tcPr>
            <w:tcW w:w="100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4</w:t>
            </w:r>
          </w:p>
        </w:tc>
        <w:tc>
          <w:tcPr>
            <w:tcW w:w="1260"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重度</w:t>
            </w:r>
          </w:p>
        </w:tc>
        <w:tc>
          <w:tcPr>
            <w:tcW w:w="6254"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非常长而深的皱褶；面部折纹显著；伸展时有小于</w:t>
            </w:r>
            <w:smartTag w:uri="urn:schemas-microsoft-com:office:smarttags" w:element="chmetcnv">
              <w:smartTagPr>
                <w:attr w:name="UnitName" w:val="mm"/>
                <w:attr w:name="SourceValue" w:val="2"/>
                <w:attr w:name="HasSpace" w:val="False"/>
                <w:attr w:name="Negative" w:val="False"/>
                <w:attr w:name="NumberType" w:val="1"/>
                <w:attr w:name="TCSC" w:val="0"/>
              </w:smartTagPr>
              <w:r w:rsidRPr="00576DD8">
                <w:rPr>
                  <w:rFonts w:ascii="仿宋" w:eastAsia="仿宋" w:hAnsi="仿宋" w:cs="宋体" w:hint="eastAsia"/>
                  <w:color w:val="000000" w:themeColor="text1"/>
                  <w:kern w:val="0"/>
                  <w:szCs w:val="21"/>
                </w:rPr>
                <w:t>2mm</w:t>
              </w:r>
            </w:smartTag>
            <w:r w:rsidRPr="00576DD8">
              <w:rPr>
                <w:rFonts w:ascii="仿宋" w:eastAsia="仿宋" w:hAnsi="仿宋" w:cs="宋体" w:hint="eastAsia"/>
                <w:color w:val="000000" w:themeColor="text1"/>
                <w:kern w:val="0"/>
                <w:szCs w:val="21"/>
              </w:rPr>
              <w:t>的可见折纹。</w:t>
            </w:r>
          </w:p>
        </w:tc>
      </w:tr>
      <w:tr w:rsidR="004B2E56" w:rsidRPr="00576DD8" w:rsidTr="009D3BDA">
        <w:trPr>
          <w:trHeight w:val="770"/>
          <w:jc w:val="center"/>
        </w:trPr>
        <w:tc>
          <w:tcPr>
            <w:tcW w:w="100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5</w:t>
            </w:r>
          </w:p>
        </w:tc>
        <w:tc>
          <w:tcPr>
            <w:tcW w:w="1260"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极度</w:t>
            </w:r>
          </w:p>
        </w:tc>
        <w:tc>
          <w:tcPr>
            <w:tcW w:w="6254"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极其深而长的皱褶，严重损害面容；伸展时有2</w:t>
            </w:r>
            <w:smartTag w:uri="urn:schemas-microsoft-com:office:smarttags" w:element="chmetcnv">
              <w:smartTagPr>
                <w:attr w:name="UnitName" w:val="mm"/>
                <w:attr w:name="SourceValue" w:val="4"/>
                <w:attr w:name="HasSpace" w:val="False"/>
                <w:attr w:name="Negative" w:val="True"/>
                <w:attr w:name="NumberType" w:val="1"/>
                <w:attr w:name="TCSC" w:val="0"/>
              </w:smartTagPr>
              <w:r w:rsidRPr="00576DD8">
                <w:rPr>
                  <w:rFonts w:ascii="仿宋" w:eastAsia="仿宋" w:hAnsi="仿宋" w:cs="宋体" w:hint="eastAsia"/>
                  <w:color w:val="000000" w:themeColor="text1"/>
                  <w:kern w:val="0"/>
                  <w:szCs w:val="21"/>
                </w:rPr>
                <w:t>-4mm</w:t>
              </w:r>
            </w:smartTag>
            <w:r w:rsidRPr="00576DD8">
              <w:rPr>
                <w:rFonts w:ascii="仿宋" w:eastAsia="仿宋" w:hAnsi="仿宋" w:cs="宋体" w:hint="eastAsia"/>
                <w:color w:val="000000" w:themeColor="text1"/>
                <w:kern w:val="0"/>
                <w:szCs w:val="21"/>
              </w:rPr>
              <w:t>的清晰可见的V形折纹。</w:t>
            </w:r>
          </w:p>
        </w:tc>
      </w:tr>
    </w:tbl>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 xml:space="preserve">2. </w:t>
      </w:r>
      <w:r w:rsidRPr="00576DD8">
        <w:rPr>
          <w:rFonts w:ascii="仿宋" w:eastAsia="仿宋" w:hAnsi="仿宋" w:cs="宋体" w:hint="eastAsia"/>
          <w:color w:val="000000" w:themeColor="text1"/>
          <w:kern w:val="0"/>
          <w:sz w:val="32"/>
          <w:szCs w:val="32"/>
        </w:rPr>
        <w:t>次要有效性评价指标</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次要有效性评价指标建议包括除主要有效性评价观察时间点外其它时间点的皱纹严重程度的评价、研究者对全</w:t>
      </w:r>
      <w:r w:rsidRPr="00576DD8">
        <w:rPr>
          <w:rFonts w:ascii="仿宋" w:eastAsia="仿宋" w:hAnsi="仿宋" w:cs="宋体" w:hint="eastAsia"/>
          <w:color w:val="000000" w:themeColor="text1"/>
          <w:kern w:val="0"/>
          <w:sz w:val="32"/>
          <w:szCs w:val="32"/>
        </w:rPr>
        <w:lastRenderedPageBreak/>
        <w:t>局美容效果的评价、受试者对全局美容效果的评价等。</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全局美容效果的评价可按照下表进行分级：</w:t>
      </w:r>
    </w:p>
    <w:p w:rsidR="004B2E56" w:rsidRPr="00576DD8" w:rsidRDefault="004B2E56" w:rsidP="004B2E56">
      <w:pPr>
        <w:autoSpaceDE w:val="0"/>
        <w:autoSpaceDN w:val="0"/>
        <w:adjustRightInd w:val="0"/>
        <w:spacing w:line="240" w:lineRule="atLeast"/>
        <w:jc w:val="center"/>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全局美容效果分级参考表</w:t>
      </w:r>
    </w:p>
    <w:tbl>
      <w:tblPr>
        <w:tblW w:w="8520" w:type="dxa"/>
        <w:tblBorders>
          <w:top w:val="single" w:sz="4" w:space="0" w:color="auto"/>
          <w:bottom w:val="single" w:sz="4" w:space="0" w:color="auto"/>
        </w:tblBorders>
        <w:tblLayout w:type="fixed"/>
        <w:tblLook w:val="01E0" w:firstRow="1" w:lastRow="1" w:firstColumn="1" w:lastColumn="1" w:noHBand="0" w:noVBand="0"/>
      </w:tblPr>
      <w:tblGrid>
        <w:gridCol w:w="1188"/>
        <w:gridCol w:w="7332"/>
      </w:tblGrid>
      <w:tr w:rsidR="004B2E56" w:rsidRPr="00576DD8" w:rsidTr="009D3BDA">
        <w:trPr>
          <w:trHeight w:val="614"/>
        </w:trPr>
        <w:tc>
          <w:tcPr>
            <w:tcW w:w="1188" w:type="dxa"/>
            <w:tcBorders>
              <w:top w:val="single" w:sz="4" w:space="0" w:color="auto"/>
              <w:bottom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分级</w:t>
            </w:r>
          </w:p>
        </w:tc>
        <w:tc>
          <w:tcPr>
            <w:tcW w:w="7332" w:type="dxa"/>
            <w:tcBorders>
              <w:top w:val="single" w:sz="4" w:space="0" w:color="auto"/>
              <w:bottom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全局美容效果</w:t>
            </w:r>
          </w:p>
        </w:tc>
      </w:tr>
      <w:tr w:rsidR="004B2E56" w:rsidRPr="00576DD8" w:rsidTr="009D3BDA">
        <w:trPr>
          <w:trHeight w:val="770"/>
        </w:trPr>
        <w:tc>
          <w:tcPr>
            <w:tcW w:w="1188" w:type="dxa"/>
            <w:tcBorders>
              <w:top w:val="single" w:sz="4" w:space="0" w:color="auto"/>
            </w:tcBorders>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1</w:t>
            </w:r>
          </w:p>
        </w:tc>
        <w:tc>
          <w:tcPr>
            <w:tcW w:w="7332" w:type="dxa"/>
            <w:tcBorders>
              <w:top w:val="single" w:sz="4" w:space="0" w:color="auto"/>
            </w:tcBorders>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改善非常明显</w:t>
            </w:r>
          </w:p>
        </w:tc>
      </w:tr>
      <w:tr w:rsidR="004B2E56" w:rsidRPr="00576DD8" w:rsidTr="009D3BDA">
        <w:trPr>
          <w:trHeight w:val="770"/>
        </w:trPr>
        <w:tc>
          <w:tcPr>
            <w:tcW w:w="118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2</w:t>
            </w:r>
          </w:p>
        </w:tc>
        <w:tc>
          <w:tcPr>
            <w:tcW w:w="7332"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改善明显</w:t>
            </w:r>
          </w:p>
        </w:tc>
      </w:tr>
      <w:tr w:rsidR="004B2E56" w:rsidRPr="00576DD8" w:rsidTr="009D3BDA">
        <w:trPr>
          <w:trHeight w:val="770"/>
        </w:trPr>
        <w:tc>
          <w:tcPr>
            <w:tcW w:w="118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3</w:t>
            </w:r>
          </w:p>
        </w:tc>
        <w:tc>
          <w:tcPr>
            <w:tcW w:w="7332"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有一定程度改善</w:t>
            </w:r>
          </w:p>
        </w:tc>
      </w:tr>
      <w:tr w:rsidR="004B2E56" w:rsidRPr="00576DD8" w:rsidTr="009D3BDA">
        <w:trPr>
          <w:trHeight w:val="770"/>
        </w:trPr>
        <w:tc>
          <w:tcPr>
            <w:tcW w:w="118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4</w:t>
            </w:r>
          </w:p>
        </w:tc>
        <w:tc>
          <w:tcPr>
            <w:tcW w:w="7332"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没有变化</w:t>
            </w:r>
          </w:p>
        </w:tc>
      </w:tr>
      <w:tr w:rsidR="004B2E56" w:rsidRPr="00576DD8" w:rsidTr="009D3BDA">
        <w:trPr>
          <w:trHeight w:val="770"/>
        </w:trPr>
        <w:tc>
          <w:tcPr>
            <w:tcW w:w="1188" w:type="dxa"/>
            <w:vAlign w:val="center"/>
          </w:tcPr>
          <w:p w:rsidR="004B2E56" w:rsidRPr="00576DD8" w:rsidRDefault="004B2E56" w:rsidP="009D3BDA">
            <w:pPr>
              <w:autoSpaceDE w:val="0"/>
              <w:autoSpaceDN w:val="0"/>
              <w:adjustRightInd w:val="0"/>
              <w:spacing w:line="240" w:lineRule="atLeast"/>
              <w:jc w:val="center"/>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5</w:t>
            </w:r>
          </w:p>
        </w:tc>
        <w:tc>
          <w:tcPr>
            <w:tcW w:w="7332" w:type="dxa"/>
            <w:vAlign w:val="center"/>
          </w:tcPr>
          <w:p w:rsidR="004B2E56" w:rsidRPr="00576DD8" w:rsidRDefault="004B2E56" w:rsidP="009D3BDA">
            <w:pPr>
              <w:autoSpaceDE w:val="0"/>
              <w:autoSpaceDN w:val="0"/>
              <w:adjustRightInd w:val="0"/>
              <w:spacing w:line="240" w:lineRule="atLeast"/>
              <w:rPr>
                <w:rFonts w:ascii="仿宋" w:eastAsia="仿宋" w:hAnsi="仿宋" w:cs="宋体"/>
                <w:color w:val="000000" w:themeColor="text1"/>
                <w:kern w:val="0"/>
                <w:szCs w:val="21"/>
              </w:rPr>
            </w:pPr>
            <w:r w:rsidRPr="00576DD8">
              <w:rPr>
                <w:rFonts w:ascii="仿宋" w:eastAsia="仿宋" w:hAnsi="仿宋" w:cs="宋体" w:hint="eastAsia"/>
                <w:color w:val="000000" w:themeColor="text1"/>
                <w:kern w:val="0"/>
                <w:szCs w:val="21"/>
              </w:rPr>
              <w:t>比以前更糟</w:t>
            </w:r>
          </w:p>
        </w:tc>
      </w:tr>
    </w:tbl>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 xml:space="preserve">3. </w:t>
      </w:r>
      <w:r w:rsidRPr="00576DD8">
        <w:rPr>
          <w:rFonts w:ascii="仿宋" w:eastAsia="仿宋" w:hAnsi="仿宋" w:cs="宋体" w:hint="eastAsia"/>
          <w:color w:val="000000" w:themeColor="text1"/>
          <w:kern w:val="0"/>
          <w:sz w:val="32"/>
          <w:szCs w:val="32"/>
        </w:rPr>
        <w:t>安全性评价指标</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安全性评价指标建议包括并发症，副反应，基本</w:t>
      </w:r>
      <w:r>
        <w:rPr>
          <w:rFonts w:ascii="仿宋" w:eastAsia="仿宋" w:hAnsi="仿宋" w:cs="宋体" w:hint="eastAsia"/>
          <w:color w:val="000000" w:themeColor="text1"/>
          <w:kern w:val="0"/>
          <w:sz w:val="32"/>
          <w:szCs w:val="32"/>
        </w:rPr>
        <w:t>生命体征，实验室检查（如血、尿常规检查、肝功能检查、肾功能检查</w:t>
      </w:r>
      <w:r w:rsidRPr="00576DD8">
        <w:rPr>
          <w:rFonts w:ascii="仿宋" w:eastAsia="仿宋" w:hAnsi="仿宋" w:cs="宋体" w:hint="eastAsia"/>
          <w:color w:val="000000" w:themeColor="text1"/>
          <w:kern w:val="0"/>
          <w:sz w:val="32"/>
          <w:szCs w:val="32"/>
        </w:rPr>
        <w:t>）</w:t>
      </w:r>
      <w:r>
        <w:rPr>
          <w:rFonts w:ascii="仿宋" w:eastAsia="仿宋" w:hAnsi="仿宋" w:cs="宋体" w:hint="eastAsia"/>
          <w:color w:val="000000" w:themeColor="text1"/>
          <w:kern w:val="0"/>
          <w:sz w:val="32"/>
          <w:szCs w:val="32"/>
        </w:rPr>
        <w:t>等</w:t>
      </w:r>
      <w:r w:rsidRPr="00576DD8">
        <w:rPr>
          <w:rFonts w:ascii="仿宋" w:eastAsia="仿宋" w:hAnsi="仿宋" w:cs="宋体" w:hint="eastAsia"/>
          <w:color w:val="000000" w:themeColor="text1"/>
          <w:kern w:val="0"/>
          <w:sz w:val="32"/>
          <w:szCs w:val="32"/>
        </w:rPr>
        <w:t>。</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 xml:space="preserve">4. </w:t>
      </w:r>
      <w:r w:rsidRPr="00576DD8">
        <w:rPr>
          <w:rFonts w:ascii="仿宋" w:eastAsia="仿宋" w:hAnsi="仿宋" w:cs="宋体" w:hint="eastAsia"/>
          <w:color w:val="000000" w:themeColor="text1"/>
          <w:kern w:val="0"/>
          <w:sz w:val="32"/>
          <w:szCs w:val="32"/>
        </w:rPr>
        <w:t>其他功能性评价指标</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对于产品中添加药物成分或其它功能性成分的，需在临床试验中设置相应指标对其功能进行评价。</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（五）</w:t>
      </w:r>
      <w:r w:rsidRPr="00576DD8">
        <w:rPr>
          <w:rFonts w:ascii="仿宋" w:eastAsia="仿宋" w:hAnsi="仿宋" w:cs="宋体" w:hint="eastAsia"/>
          <w:color w:val="000000" w:themeColor="text1"/>
          <w:kern w:val="0"/>
          <w:sz w:val="32"/>
          <w:szCs w:val="32"/>
        </w:rPr>
        <w:t>临床试验持续时间</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临床试验的</w:t>
      </w:r>
      <w:r>
        <w:rPr>
          <w:rFonts w:ascii="仿宋" w:eastAsia="仿宋" w:hAnsi="仿宋" w:cs="宋体" w:hint="eastAsia"/>
          <w:color w:val="000000" w:themeColor="text1"/>
          <w:kern w:val="0"/>
          <w:sz w:val="32"/>
          <w:szCs w:val="32"/>
        </w:rPr>
        <w:t>注射后</w:t>
      </w:r>
      <w:r w:rsidRPr="00576DD8">
        <w:rPr>
          <w:rFonts w:ascii="仿宋" w:eastAsia="仿宋" w:hAnsi="仿宋" w:cs="宋体" w:hint="eastAsia"/>
          <w:color w:val="000000" w:themeColor="text1"/>
          <w:kern w:val="0"/>
          <w:sz w:val="32"/>
          <w:szCs w:val="32"/>
        </w:rPr>
        <w:t>观察时间需根据产品维持有效性的时间和观察产品安全性所需的时间确定。一般，未经交联的透明质酸钠产品观察期需不短于6个月。经交联的透明质酸钠凝胶产品观察期需不短于1年。如果申请者所宣称的效</w:t>
      </w:r>
      <w:r w:rsidRPr="00576DD8">
        <w:rPr>
          <w:rFonts w:ascii="仿宋" w:eastAsia="仿宋" w:hAnsi="仿宋" w:cs="宋体" w:hint="eastAsia"/>
          <w:color w:val="000000" w:themeColor="text1"/>
          <w:kern w:val="0"/>
          <w:sz w:val="32"/>
          <w:szCs w:val="32"/>
        </w:rPr>
        <w:lastRenderedPageBreak/>
        <w:t>果保持时间长于上述时间，则需观察到所宣称的效果保持时间。如果申请者所宣称的效果保持时间短于上述时间，则超过所宣称的效果保持时间后主要进行安全性评价。</w:t>
      </w:r>
    </w:p>
    <w:p w:rsidR="004B2E56" w:rsidRPr="00576DD8" w:rsidRDefault="004B2E56" w:rsidP="004B2E56">
      <w:pPr>
        <w:tabs>
          <w:tab w:val="left" w:pos="0"/>
        </w:tabs>
        <w:ind w:firstLineChars="180" w:firstLine="576"/>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（六）</w:t>
      </w:r>
      <w:r w:rsidRPr="00576DD8">
        <w:rPr>
          <w:rFonts w:ascii="仿宋" w:eastAsia="仿宋" w:hAnsi="仿宋" w:cs="宋体" w:hint="eastAsia"/>
          <w:color w:val="000000" w:themeColor="text1"/>
          <w:kern w:val="0"/>
          <w:sz w:val="32"/>
          <w:szCs w:val="32"/>
        </w:rPr>
        <w:t>试验样本量</w:t>
      </w:r>
    </w:p>
    <w:p w:rsidR="004B2E56" w:rsidRPr="00576DD8" w:rsidRDefault="004B2E56" w:rsidP="004B2E56">
      <w:pPr>
        <w:tabs>
          <w:tab w:val="left" w:pos="0"/>
        </w:tabs>
        <w:ind w:firstLineChars="180" w:firstLine="576"/>
        <w:rPr>
          <w:rFonts w:ascii="仿宋" w:eastAsia="仿宋" w:hAnsi="仿宋" w:cs="宋体"/>
          <w:color w:val="000000" w:themeColor="text1"/>
          <w:kern w:val="0"/>
          <w:sz w:val="32"/>
          <w:szCs w:val="32"/>
        </w:rPr>
      </w:pPr>
      <w:r w:rsidRPr="00576DD8">
        <w:rPr>
          <w:rFonts w:ascii="仿宋" w:eastAsia="仿宋" w:hAnsi="仿宋" w:hint="eastAsia"/>
          <w:color w:val="000000" w:themeColor="text1"/>
          <w:sz w:val="32"/>
          <w:szCs w:val="32"/>
        </w:rPr>
        <w:t>样本量的确定需按照试验目的、试验类型（优效、非劣效、等效）、主要有效性评价指标、对照组的情况确定并符合统计学要求。</w:t>
      </w:r>
      <w:r w:rsidRPr="00576DD8">
        <w:rPr>
          <w:rFonts w:ascii="仿宋" w:eastAsia="仿宋" w:hAnsi="仿宋" w:cs="宋体" w:hint="eastAsia"/>
          <w:color w:val="000000" w:themeColor="text1"/>
          <w:kern w:val="0"/>
          <w:sz w:val="32"/>
          <w:szCs w:val="32"/>
        </w:rPr>
        <w:t>此外，还需考虑受试者在临床试验过程中的脱落/失访，按照预估的脱落/失访率进一步扩大初始样本量。</w:t>
      </w:r>
    </w:p>
    <w:p w:rsidR="004B2E56" w:rsidRPr="00576DD8" w:rsidRDefault="004B2E56" w:rsidP="004B2E56">
      <w:pPr>
        <w:tabs>
          <w:tab w:val="left" w:pos="0"/>
        </w:tabs>
        <w:ind w:firstLineChars="180" w:firstLine="576"/>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临床方案中需明确样本量统计计算公式涉及参数的确定依据及具体计算过程。计算样本量时的参数选择建议：I类错误概率</w:t>
      </w:r>
      <w:r w:rsidRPr="00576DD8">
        <w:rPr>
          <w:rFonts w:ascii="仿宋" w:eastAsia="仿宋" w:hAnsi="仿宋" w:cs="宋体" w:hint="eastAsia"/>
          <w:color w:val="000000" w:themeColor="text1"/>
          <w:sz w:val="32"/>
          <w:szCs w:val="32"/>
        </w:rPr>
        <w:t>α值为双侧0.05（即单侧0.025）；II类错误概率β值为0.2（即把握度达到80%）；若采用有效率作为主要评价指标，当试验产品与对照产品的设计相似，预期具有相似的有效性时，</w:t>
      </w:r>
      <w:r w:rsidRPr="00576DD8">
        <w:rPr>
          <w:rFonts w:ascii="仿宋" w:eastAsia="仿宋" w:hAnsi="仿宋" w:hint="eastAsia"/>
          <w:color w:val="000000" w:themeColor="text1"/>
          <w:sz w:val="32"/>
          <w:szCs w:val="32"/>
        </w:rPr>
        <w:t>非劣效界</w:t>
      </w:r>
      <w:r w:rsidRPr="00576DD8">
        <w:rPr>
          <w:rFonts w:ascii="仿宋" w:eastAsia="仿宋" w:hAnsi="仿宋" w:cs="宋体" w:hint="eastAsia"/>
          <w:color w:val="000000" w:themeColor="text1"/>
          <w:sz w:val="32"/>
          <w:szCs w:val="32"/>
        </w:rPr>
        <w:t>值建议为-10%。</w:t>
      </w:r>
    </w:p>
    <w:p w:rsidR="004B2E56" w:rsidRPr="00576DD8" w:rsidRDefault="004B2E56" w:rsidP="004B2E56">
      <w:pPr>
        <w:tabs>
          <w:tab w:val="left" w:pos="0"/>
        </w:tabs>
        <w:ind w:firstLineChars="180" w:firstLine="576"/>
        <w:rPr>
          <w:rFonts w:ascii="仿宋" w:eastAsia="仿宋" w:hAnsi="仿宋" w:cs="楷体_GB2312"/>
          <w:color w:val="000000" w:themeColor="text1"/>
          <w:kern w:val="0"/>
          <w:sz w:val="32"/>
          <w:szCs w:val="32"/>
        </w:rPr>
      </w:pPr>
      <w:r w:rsidRPr="00576DD8">
        <w:rPr>
          <w:rFonts w:ascii="仿宋" w:eastAsia="仿宋" w:hAnsi="仿宋" w:hint="eastAsia"/>
          <w:color w:val="000000" w:themeColor="text1"/>
          <w:sz w:val="32"/>
          <w:szCs w:val="32"/>
        </w:rPr>
        <w:t>需要注意的是，对于</w:t>
      </w:r>
      <w:r w:rsidRPr="00576DD8">
        <w:rPr>
          <w:rFonts w:ascii="仿宋" w:eastAsia="仿宋" w:hAnsi="仿宋" w:cs="楷体_GB2312" w:hint="eastAsia"/>
          <w:color w:val="000000" w:themeColor="text1"/>
          <w:kern w:val="0"/>
          <w:sz w:val="32"/>
          <w:szCs w:val="32"/>
        </w:rPr>
        <w:t>纠正鼻唇部皱纹的适用范围和纠正额部皱纹的适用范围需分别进行样本量的计算。另外，</w:t>
      </w:r>
      <w:r w:rsidRPr="00576DD8">
        <w:rPr>
          <w:rFonts w:ascii="仿宋" w:eastAsia="仿宋" w:hAnsi="仿宋" w:cs="宋体" w:hint="eastAsia"/>
          <w:color w:val="000000" w:themeColor="text1"/>
          <w:kern w:val="0"/>
          <w:sz w:val="32"/>
          <w:szCs w:val="32"/>
        </w:rPr>
        <w:t>对于产品中添加药物成分或其它功能性成分的，需以相应的功能性指标计算样本量，并与以</w:t>
      </w:r>
      <w:r w:rsidRPr="00576DD8">
        <w:rPr>
          <w:rFonts w:ascii="仿宋" w:eastAsia="仿宋" w:hAnsi="仿宋" w:hint="eastAsia"/>
          <w:color w:val="000000" w:themeColor="text1"/>
          <w:sz w:val="32"/>
          <w:szCs w:val="32"/>
        </w:rPr>
        <w:t>主要有效性评价指标计算的样本量进行比较，取两者之中较大的样本量以保证主要有效性评价指标和功能性指标均具有统计学意义</w:t>
      </w:r>
      <w:r w:rsidRPr="00576DD8">
        <w:rPr>
          <w:rFonts w:ascii="仿宋" w:eastAsia="仿宋" w:hAnsi="仿宋" w:cs="宋体" w:hint="eastAsia"/>
          <w:color w:val="000000" w:themeColor="text1"/>
          <w:kern w:val="0"/>
          <w:sz w:val="32"/>
          <w:szCs w:val="32"/>
        </w:rPr>
        <w:t>。</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olor w:val="000000" w:themeColor="text1"/>
          <w:sz w:val="32"/>
          <w:szCs w:val="32"/>
        </w:rPr>
      </w:pPr>
      <w:r>
        <w:rPr>
          <w:rFonts w:ascii="仿宋" w:eastAsia="仿宋" w:hAnsi="仿宋" w:cs="宋体" w:hint="eastAsia"/>
          <w:color w:val="000000" w:themeColor="text1"/>
          <w:kern w:val="0"/>
          <w:sz w:val="32"/>
          <w:szCs w:val="32"/>
        </w:rPr>
        <w:t>（七）</w:t>
      </w:r>
      <w:r w:rsidRPr="00576DD8">
        <w:rPr>
          <w:rFonts w:ascii="仿宋" w:eastAsia="仿宋" w:hAnsi="仿宋" w:hint="eastAsia"/>
          <w:color w:val="000000" w:themeColor="text1"/>
          <w:sz w:val="32"/>
          <w:szCs w:val="32"/>
        </w:rPr>
        <w:t>入选/排除标准</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临床试验方案中需有明确的入选/排除标准。入选标准</w:t>
      </w:r>
      <w:r w:rsidRPr="00576DD8">
        <w:rPr>
          <w:rFonts w:ascii="仿宋" w:eastAsia="仿宋" w:hAnsi="仿宋" w:hint="eastAsia"/>
          <w:color w:val="000000" w:themeColor="text1"/>
          <w:sz w:val="32"/>
          <w:szCs w:val="32"/>
        </w:rPr>
        <w:lastRenderedPageBreak/>
        <w:t>需针对目标适用范围制订。试验组和对照组的入选/排除标准需统一。</w:t>
      </w:r>
    </w:p>
    <w:p w:rsidR="004B2E56" w:rsidRPr="00576DD8" w:rsidRDefault="004B2E56" w:rsidP="004B2E56">
      <w:pPr>
        <w:spacing w:beforeLines="50" w:before="156" w:afterLines="50" w:after="156" w:line="360" w:lineRule="auto"/>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（八）</w:t>
      </w:r>
      <w:r w:rsidRPr="00576DD8">
        <w:rPr>
          <w:rFonts w:ascii="仿宋" w:eastAsia="仿宋" w:hAnsi="仿宋" w:hint="eastAsia"/>
          <w:color w:val="000000" w:themeColor="text1"/>
          <w:sz w:val="32"/>
          <w:szCs w:val="32"/>
        </w:rPr>
        <w:t>数据的分析和评价</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olor w:val="000000" w:themeColor="text1"/>
          <w:sz w:val="32"/>
          <w:szCs w:val="32"/>
        </w:rPr>
      </w:pPr>
      <w:r>
        <w:rPr>
          <w:rFonts w:ascii="仿宋" w:eastAsia="仿宋" w:hAnsi="仿宋" w:hint="eastAsia"/>
          <w:color w:val="000000" w:themeColor="text1"/>
          <w:sz w:val="32"/>
          <w:szCs w:val="32"/>
        </w:rPr>
        <w:t xml:space="preserve">1. </w:t>
      </w:r>
      <w:r w:rsidRPr="00576DD8">
        <w:rPr>
          <w:rFonts w:ascii="仿宋" w:eastAsia="仿宋" w:hAnsi="仿宋" w:hint="eastAsia"/>
          <w:color w:val="000000" w:themeColor="text1"/>
          <w:sz w:val="32"/>
          <w:szCs w:val="32"/>
        </w:rPr>
        <w:t>基本信息的描述</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需在临床试验报告中明确各研究组入选的受试者数和各分析数据集的例数，明确所有受试者是否全部完成随访，完成随访的受试者是否均纳入统计。对于因违背研究方案而被剔除的以及没能完成研究中途脱落/失访的受试者需明确剔除或脱落/失访的具体原因。</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需在临床试验报告中提供注射用量、产品型号规格、针头规格等信息。若存在补充注射的情况，需在报告中体现相关受试者比例及两次注射时间间隔等相关信息。</w:t>
      </w:r>
    </w:p>
    <w:p w:rsidR="004B2E56" w:rsidRPr="00576DD8" w:rsidRDefault="004B2E56" w:rsidP="004B2E56">
      <w:pPr>
        <w:spacing w:beforeLines="50" w:before="156" w:afterLines="50" w:after="156" w:line="360" w:lineRule="auto"/>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 xml:space="preserve">2. </w:t>
      </w:r>
      <w:r w:rsidRPr="00576DD8">
        <w:rPr>
          <w:rFonts w:ascii="仿宋" w:eastAsia="仿宋" w:hAnsi="仿宋" w:hint="eastAsia"/>
          <w:color w:val="000000" w:themeColor="text1"/>
          <w:sz w:val="32"/>
          <w:szCs w:val="32"/>
        </w:rPr>
        <w:t>分析数据集</w:t>
      </w:r>
    </w:p>
    <w:p w:rsidR="004B2E56" w:rsidRPr="00576DD8" w:rsidRDefault="004B2E56" w:rsidP="004B2E56">
      <w:pPr>
        <w:spacing w:beforeLines="50" w:before="156" w:afterLines="50" w:after="156" w:line="360" w:lineRule="auto"/>
        <w:ind w:firstLineChars="200" w:firstLine="640"/>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全分析集（FAS）：需包括所有入组实施了注射并至少进行过一次有效性评价的受试者，无论其是否违背方案（入选/排除标准）。FAS集对于缺失的数据</w:t>
      </w:r>
      <w:r w:rsidRPr="00576DD8">
        <w:rPr>
          <w:rFonts w:ascii="仿宋" w:eastAsia="仿宋" w:hAnsi="仿宋" w:cs="宋体" w:hint="eastAsia"/>
          <w:color w:val="000000" w:themeColor="text1"/>
          <w:sz w:val="32"/>
          <w:szCs w:val="32"/>
        </w:rPr>
        <w:t>建议采用最保守的填补方法。若采用其他填补方法（如末次观测值结转法，LOCF），则需进行敏感性分析。</w:t>
      </w:r>
    </w:p>
    <w:p w:rsidR="004B2E56" w:rsidRPr="00576DD8" w:rsidRDefault="004B2E56" w:rsidP="004B2E56">
      <w:pPr>
        <w:spacing w:beforeLines="50" w:before="156" w:afterLines="50" w:after="156" w:line="360" w:lineRule="auto"/>
        <w:ind w:firstLineChars="200" w:firstLine="640"/>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符合方案集（PP）：需包括所有入组实施了注射、完成主要指标</w:t>
      </w:r>
      <w:r w:rsidRPr="00576DD8">
        <w:rPr>
          <w:rFonts w:ascii="仿宋" w:eastAsia="仿宋" w:hAnsi="仿宋" w:cs="宋体" w:hint="eastAsia"/>
          <w:color w:val="000000" w:themeColor="text1"/>
          <w:sz w:val="32"/>
          <w:szCs w:val="32"/>
        </w:rPr>
        <w:t>的</w:t>
      </w:r>
      <w:r w:rsidRPr="00576DD8">
        <w:rPr>
          <w:rFonts w:ascii="仿宋" w:eastAsia="仿宋" w:hAnsi="仿宋" w:hint="eastAsia"/>
          <w:color w:val="000000" w:themeColor="text1"/>
          <w:sz w:val="32"/>
          <w:szCs w:val="32"/>
        </w:rPr>
        <w:t>随访并无严重违背方案（入选/排除标准）的受试者。</w:t>
      </w:r>
    </w:p>
    <w:p w:rsidR="004B2E56" w:rsidRPr="00576DD8" w:rsidRDefault="004B2E56" w:rsidP="004B2E56">
      <w:pPr>
        <w:spacing w:beforeLines="50" w:before="156" w:afterLines="50" w:after="156" w:line="360" w:lineRule="auto"/>
        <w:ind w:firstLineChars="200" w:firstLine="640"/>
        <w:rPr>
          <w:rFonts w:ascii="仿宋" w:eastAsia="仿宋" w:hAnsi="仿宋" w:cs="宋体"/>
          <w:color w:val="000000" w:themeColor="text1"/>
          <w:sz w:val="32"/>
          <w:szCs w:val="32"/>
        </w:rPr>
      </w:pPr>
      <w:r w:rsidRPr="00576DD8">
        <w:rPr>
          <w:rFonts w:ascii="仿宋" w:eastAsia="仿宋" w:hAnsi="仿宋" w:hint="eastAsia"/>
          <w:color w:val="000000" w:themeColor="text1"/>
          <w:sz w:val="32"/>
          <w:szCs w:val="32"/>
        </w:rPr>
        <w:t>安全集（SS）：需包括所有入组并至少进行过一次安全性</w:t>
      </w:r>
      <w:r w:rsidRPr="00576DD8">
        <w:rPr>
          <w:rFonts w:ascii="仿宋" w:eastAsia="仿宋" w:hAnsi="仿宋" w:hint="eastAsia"/>
          <w:color w:val="000000" w:themeColor="text1"/>
          <w:sz w:val="32"/>
          <w:szCs w:val="32"/>
        </w:rPr>
        <w:lastRenderedPageBreak/>
        <w:t>评价的受试者。</w:t>
      </w:r>
    </w:p>
    <w:p w:rsidR="004B2E56" w:rsidRPr="00576DD8" w:rsidRDefault="004B2E56" w:rsidP="004B2E56">
      <w:pPr>
        <w:spacing w:beforeLines="50" w:before="156" w:afterLines="50" w:after="156" w:line="360" w:lineRule="auto"/>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 xml:space="preserve">3. </w:t>
      </w:r>
      <w:r w:rsidRPr="00576DD8">
        <w:rPr>
          <w:rFonts w:ascii="仿宋" w:eastAsia="仿宋" w:hAnsi="仿宋" w:hint="eastAsia"/>
          <w:color w:val="000000" w:themeColor="text1"/>
          <w:sz w:val="32"/>
          <w:szCs w:val="32"/>
        </w:rPr>
        <w:t>数据处理方法</w:t>
      </w:r>
    </w:p>
    <w:p w:rsidR="004B2E56" w:rsidRPr="00576DD8" w:rsidRDefault="004B2E56" w:rsidP="004B2E56">
      <w:pPr>
        <w:spacing w:beforeLines="50" w:before="156" w:afterLines="50" w:after="156" w:line="360" w:lineRule="auto"/>
        <w:ind w:firstLineChars="200" w:firstLine="640"/>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需采用经典的、公认的统计方法、计算公式、统计软件（如：SAS、SPSS、SYSTAT）对试验数据进行统计。</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olor w:val="000000" w:themeColor="text1"/>
          <w:sz w:val="32"/>
          <w:szCs w:val="32"/>
        </w:rPr>
      </w:pPr>
      <w:r>
        <w:rPr>
          <w:rFonts w:ascii="仿宋" w:eastAsia="仿宋" w:hAnsi="仿宋" w:hint="eastAsia"/>
          <w:color w:val="000000" w:themeColor="text1"/>
          <w:sz w:val="32"/>
          <w:szCs w:val="32"/>
        </w:rPr>
        <w:t xml:space="preserve">4. </w:t>
      </w:r>
      <w:r w:rsidRPr="00576DD8">
        <w:rPr>
          <w:rFonts w:ascii="仿宋" w:eastAsia="仿宋" w:hAnsi="仿宋" w:hint="eastAsia"/>
          <w:color w:val="000000" w:themeColor="text1"/>
          <w:sz w:val="32"/>
          <w:szCs w:val="32"/>
        </w:rPr>
        <w:t>基线的均衡性分析</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需进行试验组与对照组基线的均衡性分析。如果基线变量存在组间差异，需分析基线的不均衡可能对结果造成的影响；分析时还需考虑中心效应，以及可能存在的中心和治疗组别间的交互效应对结果造成的影响。基线组间均衡性分析一般在FAS集的基础上进行。基线数据需至少包括受试者年龄、性别、身高、体重、BMI、</w:t>
      </w:r>
      <w:r w:rsidRPr="00576DD8">
        <w:rPr>
          <w:rFonts w:ascii="仿宋" w:eastAsia="仿宋" w:hAnsi="仿宋" w:cs="宋体" w:hint="eastAsia"/>
          <w:color w:val="000000" w:themeColor="text1"/>
          <w:kern w:val="0"/>
          <w:sz w:val="32"/>
          <w:szCs w:val="32"/>
        </w:rPr>
        <w:t>皱纹严重程度分级</w:t>
      </w:r>
      <w:r w:rsidRPr="00576DD8">
        <w:rPr>
          <w:rFonts w:ascii="仿宋" w:eastAsia="仿宋" w:hAnsi="仿宋" w:cs="宋体" w:hint="eastAsia"/>
          <w:color w:val="000000" w:themeColor="text1"/>
          <w:sz w:val="32"/>
          <w:szCs w:val="32"/>
        </w:rPr>
        <w:t>值</w:t>
      </w:r>
      <w:r w:rsidRPr="00576DD8">
        <w:rPr>
          <w:rFonts w:ascii="仿宋" w:eastAsia="仿宋" w:hAnsi="仿宋" w:hint="eastAsia"/>
          <w:color w:val="000000" w:themeColor="text1"/>
          <w:sz w:val="32"/>
          <w:szCs w:val="32"/>
        </w:rPr>
        <w:t>等变量。</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olor w:val="000000" w:themeColor="text1"/>
          <w:sz w:val="32"/>
          <w:szCs w:val="32"/>
        </w:rPr>
      </w:pPr>
      <w:r>
        <w:rPr>
          <w:rFonts w:ascii="仿宋" w:eastAsia="仿宋" w:hAnsi="仿宋" w:hint="eastAsia"/>
          <w:color w:val="000000" w:themeColor="text1"/>
          <w:sz w:val="32"/>
          <w:szCs w:val="32"/>
        </w:rPr>
        <w:t xml:space="preserve">5. </w:t>
      </w:r>
      <w:r w:rsidRPr="00576DD8">
        <w:rPr>
          <w:rFonts w:ascii="仿宋" w:eastAsia="仿宋" w:hAnsi="仿宋" w:hint="eastAsia"/>
          <w:color w:val="000000" w:themeColor="text1"/>
          <w:sz w:val="32"/>
          <w:szCs w:val="32"/>
        </w:rPr>
        <w:t>有效性评价</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需按照临床方案中的统计处理方法对主要评价指标分别在FAS集和PP集检验预先设立的假设</w:t>
      </w:r>
      <w:r w:rsidRPr="00576DD8">
        <w:rPr>
          <w:rFonts w:ascii="仿宋" w:eastAsia="仿宋" w:hAnsi="仿宋" w:cs="宋体" w:hint="eastAsia"/>
          <w:color w:val="000000" w:themeColor="text1"/>
          <w:kern w:val="0"/>
          <w:sz w:val="32"/>
          <w:szCs w:val="32"/>
        </w:rPr>
        <w:t>（优效/等效/非劣效）</w:t>
      </w:r>
      <w:r w:rsidRPr="00576DD8">
        <w:rPr>
          <w:rFonts w:ascii="仿宋" w:eastAsia="仿宋" w:hAnsi="仿宋" w:hint="eastAsia"/>
          <w:color w:val="000000" w:themeColor="text1"/>
          <w:sz w:val="32"/>
          <w:szCs w:val="32"/>
        </w:rPr>
        <w:t>是否成立。建议采用试验组与对照组差值的双侧95%可信区间进行检验（例如：对于非劣效检验，应将上述可信区间的下限与非劣效界值进行比较，而不是仅对两组数据进行统计学差异性的检验）。</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cs="宋体" w:hint="eastAsia"/>
          <w:color w:val="000000" w:themeColor="text1"/>
          <w:kern w:val="0"/>
          <w:sz w:val="32"/>
          <w:szCs w:val="32"/>
        </w:rPr>
        <w:t>对于产品中添加药物成分或其它功能性成分的，还需对预先确定的功能性指标进行假设检验。</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lastRenderedPageBreak/>
        <w:t>对于次要评价指标也需进行相应的统计分析。另外，考虑到此类产品的可吸收性，建议依据各观察时间点</w:t>
      </w:r>
      <w:r w:rsidRPr="00576DD8">
        <w:rPr>
          <w:rFonts w:ascii="仿宋" w:eastAsia="仿宋" w:hAnsi="仿宋" w:cs="宋体" w:hint="eastAsia"/>
          <w:color w:val="000000" w:themeColor="text1"/>
          <w:sz w:val="32"/>
          <w:szCs w:val="32"/>
        </w:rPr>
        <w:t>上的</w:t>
      </w:r>
      <w:r w:rsidRPr="00576DD8">
        <w:rPr>
          <w:rFonts w:ascii="仿宋" w:eastAsia="仿宋" w:hAnsi="仿宋" w:hint="eastAsia"/>
          <w:color w:val="000000" w:themeColor="text1"/>
          <w:sz w:val="32"/>
          <w:szCs w:val="32"/>
        </w:rPr>
        <w:t>皱纹严重程度分级数值绘制曲线图</w:t>
      </w:r>
      <w:r w:rsidRPr="00576DD8">
        <w:rPr>
          <w:rFonts w:ascii="仿宋" w:eastAsia="仿宋" w:hAnsi="仿宋" w:cs="宋体" w:hint="eastAsia"/>
          <w:color w:val="000000" w:themeColor="text1"/>
          <w:sz w:val="32"/>
          <w:szCs w:val="32"/>
        </w:rPr>
        <w:t>以</w:t>
      </w:r>
      <w:r w:rsidRPr="00576DD8">
        <w:rPr>
          <w:rFonts w:ascii="仿宋" w:eastAsia="仿宋" w:hAnsi="仿宋" w:hint="eastAsia"/>
          <w:color w:val="000000" w:themeColor="text1"/>
          <w:sz w:val="32"/>
          <w:szCs w:val="32"/>
        </w:rPr>
        <w:t>评价产品临床效果随时间变化的规律性。</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如果同一适用范围中含有不同的具体注射部位（如额部皱纹中的眉间纹和抬头纹等），需进行亚组分析。</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Pr>
          <w:rFonts w:ascii="仿宋" w:eastAsia="仿宋" w:hAnsi="仿宋" w:hint="eastAsia"/>
          <w:color w:val="000000" w:themeColor="text1"/>
          <w:sz w:val="32"/>
          <w:szCs w:val="32"/>
        </w:rPr>
        <w:t xml:space="preserve">6. </w:t>
      </w:r>
      <w:r w:rsidRPr="00576DD8">
        <w:rPr>
          <w:rFonts w:ascii="仿宋" w:eastAsia="仿宋" w:hAnsi="仿宋" w:hint="eastAsia"/>
          <w:color w:val="000000" w:themeColor="text1"/>
          <w:sz w:val="32"/>
          <w:szCs w:val="32"/>
        </w:rPr>
        <w:t>安全性评价</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对于安全性指标的统计分析需基于SS集，一般采用描述性统计分析和两组之间的统计学差异性检验。需要对存在统计学显著性差异（P＜0.05</w:t>
      </w:r>
      <w:r w:rsidRPr="00576DD8">
        <w:rPr>
          <w:rFonts w:ascii="仿宋" w:eastAsia="仿宋" w:hAnsi="仿宋"/>
          <w:color w:val="000000" w:themeColor="text1"/>
          <w:sz w:val="32"/>
          <w:szCs w:val="32"/>
        </w:rPr>
        <w:t>）</w:t>
      </w:r>
      <w:r w:rsidRPr="00576DD8">
        <w:rPr>
          <w:rFonts w:ascii="仿宋" w:eastAsia="仿宋" w:hAnsi="仿宋" w:hint="eastAsia"/>
          <w:color w:val="000000" w:themeColor="text1"/>
          <w:sz w:val="32"/>
          <w:szCs w:val="32"/>
        </w:rPr>
        <w:t>的变量进行讨论，无论是使用器械前后的差异，还是实验组与对照组之间的差异，均需分析其临床意义以及与所使用器械的相关性。</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olor w:val="000000" w:themeColor="text1"/>
          <w:sz w:val="32"/>
          <w:szCs w:val="32"/>
        </w:rPr>
      </w:pPr>
      <w:r w:rsidRPr="00576DD8">
        <w:rPr>
          <w:rFonts w:ascii="仿宋" w:eastAsia="仿宋" w:hAnsi="仿宋" w:hint="eastAsia"/>
          <w:color w:val="000000" w:themeColor="text1"/>
          <w:sz w:val="32"/>
          <w:szCs w:val="32"/>
        </w:rPr>
        <w:t>需在临床试验报告中报告所有不良事件（无论是否为已知的副反应或并发症，无论是否认为与试验器械有关）发生的时间、发生的原因、详细内容和严重程度，并分析其与产品的关系。对于所采取的措施、持续时间和最终结果需予以明确。</w:t>
      </w:r>
    </w:p>
    <w:p w:rsidR="004B2E56" w:rsidRPr="009C525A" w:rsidRDefault="004B2E56" w:rsidP="004B2E56">
      <w:pPr>
        <w:autoSpaceDE w:val="0"/>
        <w:autoSpaceDN w:val="0"/>
        <w:adjustRightInd w:val="0"/>
        <w:spacing w:line="240" w:lineRule="atLeast"/>
        <w:ind w:firstLineChars="225" w:firstLine="723"/>
        <w:jc w:val="left"/>
        <w:rPr>
          <w:rFonts w:ascii="仿宋" w:eastAsia="仿宋" w:hAnsi="仿宋" w:cs="宋体"/>
          <w:b/>
          <w:color w:val="000000" w:themeColor="text1"/>
          <w:kern w:val="0"/>
          <w:sz w:val="32"/>
          <w:szCs w:val="32"/>
        </w:rPr>
      </w:pPr>
      <w:r w:rsidRPr="009C525A">
        <w:rPr>
          <w:rFonts w:ascii="仿宋" w:eastAsia="仿宋" w:hAnsi="仿宋" w:cs="宋体" w:hint="eastAsia"/>
          <w:b/>
          <w:color w:val="000000" w:themeColor="text1"/>
          <w:kern w:val="0"/>
          <w:sz w:val="32"/>
          <w:szCs w:val="32"/>
        </w:rPr>
        <w:t>三、</w:t>
      </w:r>
      <w:r w:rsidRPr="009C525A">
        <w:rPr>
          <w:rFonts w:ascii="仿宋" w:eastAsia="仿宋" w:hAnsi="仿宋" w:hint="eastAsia"/>
          <w:b/>
          <w:color w:val="000000" w:themeColor="text1"/>
          <w:sz w:val="32"/>
          <w:szCs w:val="32"/>
        </w:rPr>
        <w:t>辅助支持性临床资料</w:t>
      </w:r>
    </w:p>
    <w:p w:rsidR="004B2E56" w:rsidRPr="00576DD8" w:rsidRDefault="004B2E56" w:rsidP="004B2E56">
      <w:pPr>
        <w:autoSpaceDE w:val="0"/>
        <w:autoSpaceDN w:val="0"/>
        <w:adjustRightInd w:val="0"/>
        <w:spacing w:line="240" w:lineRule="atLeast"/>
        <w:ind w:firstLineChars="225" w:firstLine="72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如适用，建议</w:t>
      </w:r>
      <w:r w:rsidRPr="00576DD8">
        <w:rPr>
          <w:rFonts w:ascii="仿宋" w:eastAsia="仿宋" w:hAnsi="仿宋" w:hint="eastAsia"/>
          <w:color w:val="000000" w:themeColor="text1"/>
          <w:sz w:val="32"/>
          <w:szCs w:val="32"/>
        </w:rPr>
        <w:t>申请人在申请注册时</w:t>
      </w:r>
      <w:r w:rsidRPr="00576DD8">
        <w:rPr>
          <w:rFonts w:ascii="仿宋" w:eastAsia="仿宋" w:hAnsi="仿宋" w:cs="宋体" w:hint="eastAsia"/>
          <w:color w:val="000000" w:themeColor="text1"/>
          <w:kern w:val="0"/>
          <w:sz w:val="32"/>
          <w:szCs w:val="32"/>
        </w:rPr>
        <w:t>提交申报产品在其它国家上市后的临床研究资料、临床随访资料/文献以及到目前的销量、抱怨、投诉及不良事件的记录、原因分析、处理方式及处理结果等，</w:t>
      </w:r>
      <w:r w:rsidRPr="00576DD8">
        <w:rPr>
          <w:rFonts w:ascii="仿宋" w:eastAsia="仿宋" w:hAnsi="仿宋" w:hint="eastAsia"/>
          <w:color w:val="000000" w:themeColor="text1"/>
          <w:sz w:val="32"/>
          <w:szCs w:val="32"/>
        </w:rPr>
        <w:t>作为辅助支持性的临床资料。</w:t>
      </w:r>
    </w:p>
    <w:p w:rsidR="004B2E56" w:rsidRPr="009C525A" w:rsidRDefault="004B2E56" w:rsidP="004B2E56">
      <w:pPr>
        <w:autoSpaceDE w:val="0"/>
        <w:autoSpaceDN w:val="0"/>
        <w:adjustRightInd w:val="0"/>
        <w:spacing w:line="240" w:lineRule="atLeast"/>
        <w:ind w:firstLineChars="200" w:firstLine="643"/>
        <w:jc w:val="left"/>
        <w:rPr>
          <w:rFonts w:ascii="仿宋" w:eastAsia="仿宋" w:hAnsi="仿宋"/>
          <w:b/>
          <w:color w:val="000000" w:themeColor="text1"/>
          <w:kern w:val="0"/>
          <w:sz w:val="32"/>
          <w:szCs w:val="32"/>
        </w:rPr>
      </w:pPr>
      <w:r w:rsidRPr="009C525A">
        <w:rPr>
          <w:rFonts w:ascii="仿宋" w:eastAsia="仿宋" w:hAnsi="仿宋" w:cs="宋体" w:hint="eastAsia"/>
          <w:b/>
          <w:color w:val="000000" w:themeColor="text1"/>
          <w:kern w:val="0"/>
          <w:sz w:val="32"/>
          <w:szCs w:val="32"/>
        </w:rPr>
        <w:lastRenderedPageBreak/>
        <w:t>四、上市后的临床随访</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sidRPr="00576DD8">
        <w:rPr>
          <w:rFonts w:ascii="仿宋" w:eastAsia="仿宋" w:hAnsi="仿宋" w:cs="宋体" w:hint="eastAsia"/>
          <w:color w:val="000000" w:themeColor="text1"/>
          <w:kern w:val="0"/>
          <w:sz w:val="32"/>
          <w:szCs w:val="32"/>
        </w:rPr>
        <w:t>按照总局2014年第43号公告中对延续注册时产品分析报告的要求，注册人（或其委托的国内代理人）应在产品上市后定期对产品进行严格随访，</w:t>
      </w:r>
      <w:r w:rsidRPr="00576DD8">
        <w:rPr>
          <w:rFonts w:ascii="仿宋" w:eastAsia="仿宋" w:hAnsi="仿宋" w:cs="宋体"/>
          <w:color w:val="000000" w:themeColor="text1"/>
          <w:kern w:val="0"/>
          <w:sz w:val="32"/>
          <w:szCs w:val="32"/>
        </w:rPr>
        <w:t>保证上市后的每件产品具有可追溯性，积极进行不良事件收集工作</w:t>
      </w:r>
      <w:r w:rsidRPr="00576DD8">
        <w:rPr>
          <w:rFonts w:ascii="仿宋" w:eastAsia="仿宋" w:hAnsi="仿宋" w:cs="宋体" w:hint="eastAsia"/>
          <w:color w:val="000000" w:themeColor="text1"/>
          <w:kern w:val="0"/>
          <w:sz w:val="32"/>
          <w:szCs w:val="32"/>
        </w:rPr>
        <w:t>。在延续注册时以产品分析报告的形式</w:t>
      </w:r>
      <w:r w:rsidRPr="00576DD8">
        <w:rPr>
          <w:rFonts w:ascii="仿宋" w:eastAsia="仿宋" w:hAnsi="仿宋" w:cs="宋体"/>
          <w:color w:val="000000" w:themeColor="text1"/>
          <w:kern w:val="0"/>
          <w:sz w:val="32"/>
          <w:szCs w:val="32"/>
        </w:rPr>
        <w:t>提交使用该产品所有不良事件的评价</w:t>
      </w:r>
      <w:r w:rsidRPr="00576DD8">
        <w:rPr>
          <w:rFonts w:ascii="仿宋" w:eastAsia="仿宋" w:hAnsi="仿宋" w:cs="宋体" w:hint="eastAsia"/>
          <w:color w:val="000000" w:themeColor="text1"/>
          <w:kern w:val="0"/>
          <w:sz w:val="32"/>
          <w:szCs w:val="32"/>
        </w:rPr>
        <w:t>资料。</w:t>
      </w:r>
    </w:p>
    <w:p w:rsidR="004B2E56" w:rsidRPr="00576DD8" w:rsidRDefault="004B2E56" w:rsidP="004B2E56">
      <w:pPr>
        <w:ind w:firstLineChars="200" w:firstLine="640"/>
        <w:rPr>
          <w:rFonts w:ascii="仿宋" w:eastAsia="仿宋" w:hAnsi="仿宋" w:cs="楷体_GB2312"/>
          <w:color w:val="000000" w:themeColor="text1"/>
          <w:kern w:val="0"/>
          <w:sz w:val="32"/>
          <w:szCs w:val="32"/>
        </w:rPr>
      </w:pPr>
      <w:r w:rsidRPr="00576DD8">
        <w:rPr>
          <w:rFonts w:ascii="仿宋" w:eastAsia="仿宋" w:hAnsi="仿宋" w:cs="宋体" w:hint="eastAsia"/>
          <w:color w:val="000000" w:themeColor="text1"/>
          <w:kern w:val="0"/>
          <w:sz w:val="32"/>
          <w:szCs w:val="32"/>
        </w:rPr>
        <w:t>上述临床随访建议对上市后销售的所有产品进行，若脱落/失访则需记录脱落/失访原因。随访内容可主要包括局部和全身不良反应、</w:t>
      </w:r>
      <w:r>
        <w:rPr>
          <w:rFonts w:ascii="仿宋" w:eastAsia="仿宋" w:hAnsi="仿宋" w:cs="宋体" w:hint="eastAsia"/>
          <w:color w:val="000000" w:themeColor="text1"/>
          <w:kern w:val="0"/>
          <w:sz w:val="32"/>
          <w:szCs w:val="32"/>
        </w:rPr>
        <w:t>严重不良事件、</w:t>
      </w:r>
      <w:r w:rsidRPr="00576DD8">
        <w:rPr>
          <w:rFonts w:ascii="仿宋" w:eastAsia="仿宋" w:hAnsi="仿宋" w:cs="宋体" w:hint="eastAsia"/>
          <w:color w:val="000000" w:themeColor="text1"/>
          <w:kern w:val="0"/>
          <w:sz w:val="32"/>
          <w:szCs w:val="32"/>
        </w:rPr>
        <w:t>再次注射情况和患者满意度</w:t>
      </w:r>
      <w:r>
        <w:rPr>
          <w:rFonts w:ascii="仿宋" w:eastAsia="仿宋" w:hAnsi="仿宋" w:cs="宋体" w:hint="eastAsia"/>
          <w:color w:val="000000" w:themeColor="text1"/>
          <w:kern w:val="0"/>
          <w:sz w:val="32"/>
          <w:szCs w:val="32"/>
        </w:rPr>
        <w:t>等</w:t>
      </w:r>
      <w:r w:rsidRPr="00576DD8">
        <w:rPr>
          <w:rFonts w:ascii="仿宋" w:eastAsia="仿宋" w:hAnsi="仿宋" w:cs="宋体" w:hint="eastAsia"/>
          <w:color w:val="000000" w:themeColor="text1"/>
          <w:kern w:val="0"/>
          <w:sz w:val="32"/>
          <w:szCs w:val="32"/>
        </w:rPr>
        <w:t>。建议填写《面部注射材料临床使用安全监测随访记录单》（见附录），并将随访单中的信息录入电子数据库。</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楷体_GB2312"/>
          <w:color w:val="000000" w:themeColor="text1"/>
          <w:kern w:val="0"/>
          <w:sz w:val="32"/>
          <w:szCs w:val="32"/>
        </w:rPr>
      </w:pPr>
      <w:r w:rsidRPr="00576DD8">
        <w:rPr>
          <w:rFonts w:ascii="仿宋" w:eastAsia="仿宋" w:hAnsi="仿宋" w:cs="楷体_GB2312" w:hint="eastAsia"/>
          <w:color w:val="000000" w:themeColor="text1"/>
          <w:kern w:val="0"/>
          <w:sz w:val="32"/>
          <w:szCs w:val="32"/>
        </w:rPr>
        <w:t>临床随访</w:t>
      </w:r>
      <w:r w:rsidRPr="00576DD8">
        <w:rPr>
          <w:rFonts w:ascii="仿宋" w:eastAsia="仿宋" w:hAnsi="仿宋" w:cs="宋体" w:hint="eastAsia"/>
          <w:color w:val="000000" w:themeColor="text1"/>
          <w:kern w:val="0"/>
          <w:sz w:val="32"/>
          <w:szCs w:val="32"/>
        </w:rPr>
        <w:t>可以通过对接受注射者的电话随访来完成（需要时可建议患者到医院做进一步诊断），</w:t>
      </w:r>
      <w:r w:rsidRPr="00576DD8">
        <w:rPr>
          <w:rFonts w:ascii="仿宋" w:eastAsia="仿宋" w:hAnsi="仿宋" w:cs="楷体_GB2312" w:hint="eastAsia"/>
          <w:color w:val="000000" w:themeColor="text1"/>
          <w:kern w:val="0"/>
          <w:sz w:val="32"/>
          <w:szCs w:val="32"/>
        </w:rPr>
        <w:t>建议</w:t>
      </w:r>
      <w:r w:rsidRPr="00576DD8">
        <w:rPr>
          <w:rFonts w:ascii="仿宋" w:eastAsia="仿宋" w:hAnsi="仿宋" w:cs="宋体" w:hint="eastAsia"/>
          <w:color w:val="000000" w:themeColor="text1"/>
          <w:kern w:val="0"/>
          <w:sz w:val="32"/>
          <w:szCs w:val="32"/>
        </w:rPr>
        <w:t>观察包括但不限于以下情况：</w:t>
      </w:r>
    </w:p>
    <w:p w:rsidR="004B2E56" w:rsidRPr="00A93C78" w:rsidRDefault="004B2E56" w:rsidP="004B2E56">
      <w:pPr>
        <w:autoSpaceDE w:val="0"/>
        <w:autoSpaceDN w:val="0"/>
        <w:adjustRightInd w:val="0"/>
        <w:spacing w:line="240" w:lineRule="atLeast"/>
        <w:ind w:firstLine="640"/>
        <w:rPr>
          <w:rFonts w:ascii="仿宋" w:eastAsia="仿宋" w:hAnsi="仿宋"/>
          <w:color w:val="000000" w:themeColor="text1"/>
          <w:kern w:val="0"/>
          <w:sz w:val="32"/>
          <w:szCs w:val="32"/>
        </w:rPr>
      </w:pPr>
      <w:r>
        <w:rPr>
          <w:rFonts w:ascii="仿宋" w:eastAsia="仿宋" w:hAnsi="仿宋" w:cs="宋体" w:hint="eastAsia"/>
          <w:color w:val="000000" w:themeColor="text1"/>
          <w:kern w:val="0"/>
          <w:sz w:val="32"/>
          <w:szCs w:val="32"/>
        </w:rPr>
        <w:t>（一）</w:t>
      </w:r>
      <w:r w:rsidRPr="00A93C78">
        <w:rPr>
          <w:rFonts w:ascii="仿宋" w:eastAsia="仿宋" w:hAnsi="仿宋" w:cs="宋体" w:hint="eastAsia"/>
          <w:color w:val="000000" w:themeColor="text1"/>
          <w:kern w:val="0"/>
          <w:sz w:val="32"/>
          <w:szCs w:val="32"/>
        </w:rPr>
        <w:t>注</w:t>
      </w:r>
      <w:r w:rsidRPr="00A93C78">
        <w:rPr>
          <w:rFonts w:ascii="仿宋" w:eastAsia="仿宋" w:hAnsi="仿宋" w:hint="eastAsia"/>
          <w:color w:val="000000" w:themeColor="text1"/>
          <w:kern w:val="0"/>
          <w:sz w:val="32"/>
          <w:szCs w:val="32"/>
        </w:rPr>
        <w:t>射部位局部不良反应，包括</w:t>
      </w:r>
      <w:r>
        <w:rPr>
          <w:rFonts w:ascii="仿宋" w:eastAsia="仿宋" w:hAnsi="仿宋" w:hint="eastAsia"/>
          <w:color w:val="000000" w:themeColor="text1"/>
          <w:kern w:val="0"/>
          <w:sz w:val="32"/>
          <w:szCs w:val="32"/>
        </w:rPr>
        <w:t>：</w:t>
      </w:r>
      <w:r w:rsidRPr="00A93C78">
        <w:rPr>
          <w:rFonts w:ascii="仿宋" w:eastAsia="仿宋" w:hAnsi="仿宋" w:hint="eastAsia"/>
          <w:color w:val="000000" w:themeColor="text1"/>
          <w:kern w:val="0"/>
          <w:sz w:val="32"/>
          <w:szCs w:val="32"/>
        </w:rPr>
        <w:t>近期反应，如硬结、瘙痒、疼痛、红肿、瘀青、淤血、瘀斑、感染、局部炎症反应、</w:t>
      </w:r>
      <w:r>
        <w:rPr>
          <w:rFonts w:ascii="仿宋" w:eastAsia="仿宋" w:hAnsi="仿宋" w:cs="宋体" w:hint="eastAsia"/>
          <w:color w:val="000000"/>
          <w:kern w:val="0"/>
          <w:sz w:val="32"/>
          <w:szCs w:val="32"/>
        </w:rPr>
        <w:t>过敏、</w:t>
      </w:r>
      <w:r w:rsidRPr="00A93C78">
        <w:rPr>
          <w:rFonts w:ascii="仿宋" w:eastAsia="仿宋" w:hAnsi="仿宋" w:hint="eastAsia"/>
          <w:color w:val="000000" w:themeColor="text1"/>
          <w:kern w:val="0"/>
          <w:sz w:val="32"/>
          <w:szCs w:val="32"/>
        </w:rPr>
        <w:t>形成瘢痕、皮肤侵蚀、坏死、皮</w:t>
      </w:r>
      <w:r>
        <w:rPr>
          <w:rFonts w:ascii="仿宋" w:eastAsia="仿宋" w:hAnsi="仿宋" w:hint="eastAsia"/>
          <w:color w:val="000000" w:themeColor="text1"/>
          <w:kern w:val="0"/>
          <w:sz w:val="32"/>
          <w:szCs w:val="32"/>
        </w:rPr>
        <w:t>肤色素沉着、</w:t>
      </w:r>
      <w:r>
        <w:rPr>
          <w:rFonts w:ascii="仿宋" w:eastAsia="仿宋" w:hAnsi="仿宋" w:cs="宋体" w:hint="eastAsia"/>
          <w:color w:val="000000"/>
          <w:kern w:val="0"/>
          <w:sz w:val="32"/>
          <w:szCs w:val="32"/>
        </w:rPr>
        <w:t>形成针眼等</w:t>
      </w:r>
      <w:r>
        <w:rPr>
          <w:rFonts w:ascii="仿宋" w:eastAsia="仿宋" w:hAnsi="仿宋" w:hint="eastAsia"/>
          <w:color w:val="000000" w:themeColor="text1"/>
          <w:kern w:val="0"/>
          <w:sz w:val="32"/>
          <w:szCs w:val="32"/>
        </w:rPr>
        <w:t>；</w:t>
      </w:r>
      <w:r w:rsidRPr="00A93C78">
        <w:rPr>
          <w:rFonts w:ascii="仿宋" w:eastAsia="仿宋" w:hAnsi="仿宋" w:hint="eastAsia"/>
          <w:color w:val="000000" w:themeColor="text1"/>
          <w:kern w:val="0"/>
          <w:sz w:val="32"/>
          <w:szCs w:val="32"/>
        </w:rPr>
        <w:t>远期反应如</w:t>
      </w:r>
      <w:r w:rsidRPr="00A93C78">
        <w:rPr>
          <w:rFonts w:ascii="仿宋" w:eastAsia="仿宋" w:hAnsi="仿宋" w:cs="宋体" w:hint="eastAsia"/>
          <w:color w:val="000000" w:themeColor="text1"/>
          <w:kern w:val="0"/>
          <w:sz w:val="32"/>
          <w:szCs w:val="32"/>
        </w:rPr>
        <w:t>结节、肉芽肿、植入物移位或膨出等；</w:t>
      </w:r>
    </w:p>
    <w:p w:rsidR="004B2E56"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（二）系统性</w:t>
      </w:r>
      <w:r w:rsidRPr="00576DD8">
        <w:rPr>
          <w:rFonts w:ascii="仿宋" w:eastAsia="仿宋" w:hAnsi="仿宋" w:cs="宋体" w:hint="eastAsia"/>
          <w:color w:val="000000" w:themeColor="text1"/>
          <w:kern w:val="0"/>
          <w:sz w:val="32"/>
          <w:szCs w:val="32"/>
        </w:rPr>
        <w:t>不良反应，包括</w:t>
      </w:r>
      <w:r>
        <w:rPr>
          <w:rFonts w:ascii="仿宋" w:eastAsia="仿宋" w:hAnsi="仿宋" w:cs="宋体" w:hint="eastAsia"/>
          <w:color w:val="000000" w:themeColor="text1"/>
          <w:kern w:val="0"/>
          <w:sz w:val="32"/>
          <w:szCs w:val="32"/>
        </w:rPr>
        <w:t>：</w:t>
      </w:r>
      <w:r w:rsidRPr="00A93C78">
        <w:rPr>
          <w:rFonts w:ascii="仿宋" w:eastAsia="仿宋" w:hAnsi="仿宋" w:hint="eastAsia"/>
          <w:color w:val="000000" w:themeColor="text1"/>
          <w:kern w:val="0"/>
          <w:sz w:val="32"/>
          <w:szCs w:val="32"/>
        </w:rPr>
        <w:t>近期反应，如</w:t>
      </w:r>
      <w:r w:rsidRPr="00576DD8">
        <w:rPr>
          <w:rFonts w:ascii="仿宋" w:eastAsia="仿宋" w:hAnsi="仿宋" w:cs="宋体" w:hint="eastAsia"/>
          <w:color w:val="000000" w:themeColor="text1"/>
          <w:kern w:val="0"/>
          <w:sz w:val="32"/>
          <w:szCs w:val="32"/>
        </w:rPr>
        <w:t>系统毒性反应、系统免疫反应、血管迷走性神经性晕厥、全身性</w:t>
      </w:r>
      <w:r w:rsidRPr="00576DD8">
        <w:rPr>
          <w:rFonts w:ascii="仿宋" w:eastAsia="仿宋" w:hAnsi="仿宋" w:cs="宋体" w:hint="eastAsia"/>
          <w:color w:val="000000" w:themeColor="text1"/>
          <w:kern w:val="0"/>
          <w:sz w:val="32"/>
          <w:szCs w:val="32"/>
        </w:rPr>
        <w:lastRenderedPageBreak/>
        <w:t>感染等</w:t>
      </w:r>
      <w:r>
        <w:rPr>
          <w:rFonts w:ascii="仿宋" w:eastAsia="仿宋" w:hAnsi="仿宋" w:cs="宋体" w:hint="eastAsia"/>
          <w:color w:val="000000" w:themeColor="text1"/>
          <w:kern w:val="0"/>
          <w:sz w:val="32"/>
          <w:szCs w:val="32"/>
        </w:rPr>
        <w:t>；远期反应，如</w:t>
      </w:r>
      <w:r w:rsidRPr="00576DD8">
        <w:rPr>
          <w:rFonts w:ascii="仿宋" w:eastAsia="仿宋" w:hAnsi="仿宋" w:cs="宋体" w:hint="eastAsia"/>
          <w:color w:val="000000" w:themeColor="text1"/>
          <w:kern w:val="0"/>
          <w:sz w:val="32"/>
          <w:szCs w:val="32"/>
        </w:rPr>
        <w:t>免疫性疾病、肿瘤发生情况等；</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（三）严重不良事件，包括失明、死亡等；</w:t>
      </w:r>
    </w:p>
    <w:p w:rsidR="004B2E56" w:rsidRPr="00576DD8" w:rsidRDefault="004B2E56" w:rsidP="004B2E56">
      <w:pPr>
        <w:autoSpaceDE w:val="0"/>
        <w:autoSpaceDN w:val="0"/>
        <w:adjustRightInd w:val="0"/>
        <w:spacing w:line="240" w:lineRule="atLeast"/>
        <w:ind w:firstLineChars="200" w:firstLine="640"/>
        <w:jc w:val="left"/>
        <w:rPr>
          <w:rFonts w:ascii="仿宋" w:eastAsia="仿宋" w:hAnsi="仿宋" w:cs="宋体"/>
          <w:color w:val="000000" w:themeColor="text1"/>
          <w:kern w:val="0"/>
          <w:sz w:val="32"/>
          <w:szCs w:val="32"/>
        </w:rPr>
      </w:pPr>
      <w:r>
        <w:rPr>
          <w:rFonts w:ascii="仿宋" w:eastAsia="仿宋" w:hAnsi="仿宋" w:cs="宋体" w:hint="eastAsia"/>
          <w:color w:val="000000" w:themeColor="text1"/>
          <w:kern w:val="0"/>
          <w:sz w:val="32"/>
          <w:szCs w:val="32"/>
        </w:rPr>
        <w:t>（四）</w:t>
      </w:r>
      <w:r w:rsidRPr="00576DD8">
        <w:rPr>
          <w:rFonts w:ascii="仿宋" w:eastAsia="仿宋" w:hAnsi="仿宋" w:cs="宋体" w:hint="eastAsia"/>
          <w:color w:val="000000" w:themeColor="text1"/>
          <w:kern w:val="0"/>
          <w:sz w:val="32"/>
          <w:szCs w:val="32"/>
        </w:rPr>
        <w:t>再次注射情况，包括相邻两次注射的间隔时间和注射剂量，并根据不同的注射次数对不良反应进行统计分析，观察是否有多次注射引发自身免疫疾病的情况；对于再次注射或之前注射了其它产品的患者，需单独进行亚组分析。</w:t>
      </w:r>
    </w:p>
    <w:p w:rsidR="004B2E56" w:rsidRPr="00576DD8" w:rsidRDefault="004B2E56" w:rsidP="004B2E56">
      <w:pPr>
        <w:autoSpaceDE w:val="0"/>
        <w:autoSpaceDN w:val="0"/>
        <w:adjustRightInd w:val="0"/>
        <w:spacing w:line="240" w:lineRule="atLeast"/>
        <w:ind w:firstLineChars="200" w:firstLine="640"/>
        <w:jc w:val="left"/>
        <w:rPr>
          <w:rFonts w:ascii="仿宋_GB2312" w:eastAsia="仿宋_GB2312" w:cs="宋体"/>
          <w:color w:val="000000" w:themeColor="text1"/>
          <w:kern w:val="0"/>
          <w:sz w:val="32"/>
          <w:szCs w:val="32"/>
        </w:rPr>
      </w:pPr>
      <w:r>
        <w:rPr>
          <w:rFonts w:ascii="仿宋" w:eastAsia="仿宋" w:hAnsi="仿宋" w:cs="宋体" w:hint="eastAsia"/>
          <w:color w:val="000000" w:themeColor="text1"/>
          <w:kern w:val="0"/>
          <w:sz w:val="32"/>
          <w:szCs w:val="32"/>
        </w:rPr>
        <w:t>（五）</w:t>
      </w:r>
      <w:r w:rsidRPr="00576DD8">
        <w:rPr>
          <w:rFonts w:ascii="仿宋" w:eastAsia="仿宋" w:hAnsi="仿宋" w:cs="宋体" w:hint="eastAsia"/>
          <w:color w:val="000000" w:themeColor="text1"/>
          <w:kern w:val="0"/>
          <w:sz w:val="32"/>
          <w:szCs w:val="32"/>
        </w:rPr>
        <w:t>患者的满意度。</w:t>
      </w:r>
    </w:p>
    <w:p w:rsidR="004B2E56" w:rsidRPr="003C15DF" w:rsidRDefault="004B2E56" w:rsidP="004B2E56">
      <w:pPr>
        <w:autoSpaceDE w:val="0"/>
        <w:autoSpaceDN w:val="0"/>
        <w:adjustRightInd w:val="0"/>
        <w:spacing w:line="240" w:lineRule="atLeast"/>
        <w:jc w:val="left"/>
        <w:rPr>
          <w:rFonts w:ascii="仿宋_GB2312" w:eastAsia="仿宋_GB2312" w:cs="楷体_GB2312"/>
          <w:kern w:val="0"/>
          <w:sz w:val="32"/>
          <w:szCs w:val="32"/>
        </w:rPr>
      </w:pPr>
      <w:r w:rsidRPr="003C15DF">
        <w:rPr>
          <w:rFonts w:ascii="仿宋_GB2312" w:eastAsia="仿宋_GB2312" w:cs="楷体_GB2312"/>
          <w:kern w:val="0"/>
          <w:sz w:val="32"/>
          <w:szCs w:val="32"/>
        </w:rPr>
        <w:br w:type="page"/>
      </w:r>
      <w:r w:rsidRPr="003C15DF">
        <w:rPr>
          <w:rFonts w:ascii="仿宋_GB2312" w:eastAsia="仿宋_GB2312" w:cs="楷体_GB2312" w:hint="eastAsia"/>
          <w:kern w:val="0"/>
          <w:sz w:val="32"/>
          <w:szCs w:val="32"/>
        </w:rPr>
        <w:lastRenderedPageBreak/>
        <w:t>附录：</w:t>
      </w:r>
    </w:p>
    <w:p w:rsidR="004B2E56" w:rsidRPr="003C15DF" w:rsidRDefault="004B2E56" w:rsidP="004B2E56">
      <w:pPr>
        <w:autoSpaceDE w:val="0"/>
        <w:autoSpaceDN w:val="0"/>
        <w:adjustRightInd w:val="0"/>
        <w:spacing w:line="240" w:lineRule="atLeast"/>
        <w:ind w:firstLineChars="200" w:firstLine="720"/>
        <w:jc w:val="left"/>
        <w:rPr>
          <w:rFonts w:ascii="仿宋_GB2312" w:eastAsia="仿宋_GB2312" w:cs="宋体"/>
          <w:kern w:val="0"/>
          <w:sz w:val="32"/>
          <w:szCs w:val="32"/>
        </w:rPr>
      </w:pPr>
      <w:r w:rsidRPr="003C15DF">
        <w:rPr>
          <w:rFonts w:ascii="方正小标宋_GBK" w:eastAsia="方正小标宋_GBK" w:hint="eastAsia"/>
          <w:sz w:val="36"/>
          <w:szCs w:val="36"/>
        </w:rPr>
        <w:t>面部注射材料临床使用安全监测随访记录单</w:t>
      </w:r>
    </w:p>
    <w:p w:rsidR="004B2E56" w:rsidRPr="003C15DF" w:rsidRDefault="004B2E56" w:rsidP="004B2E56">
      <w:pPr>
        <w:rPr>
          <w:rFonts w:ascii="宋体" w:hAnsi="宋体"/>
          <w:szCs w:val="21"/>
        </w:rPr>
      </w:pPr>
      <w:r w:rsidRPr="003C15DF">
        <w:rPr>
          <w:rFonts w:ascii="宋体" w:hAnsi="宋体" w:hint="eastAsia"/>
          <w:szCs w:val="21"/>
        </w:rPr>
        <w:t>就医信息：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378"/>
        <w:gridCol w:w="1263"/>
        <w:gridCol w:w="876"/>
        <w:gridCol w:w="352"/>
        <w:gridCol w:w="1042"/>
        <w:gridCol w:w="1233"/>
        <w:gridCol w:w="1872"/>
      </w:tblGrid>
      <w:tr w:rsidR="004B2E56" w:rsidRPr="003C15DF" w:rsidTr="009D3BDA">
        <w:tc>
          <w:tcPr>
            <w:tcW w:w="1312" w:type="dxa"/>
            <w:vAlign w:val="center"/>
          </w:tcPr>
          <w:p w:rsidR="004B2E56" w:rsidRPr="003C15DF" w:rsidRDefault="004B2E56" w:rsidP="009D3BDA">
            <w:pPr>
              <w:rPr>
                <w:rFonts w:ascii="宋体" w:hAnsi="宋体"/>
                <w:szCs w:val="21"/>
              </w:rPr>
            </w:pPr>
            <w:r w:rsidRPr="003C15DF">
              <w:rPr>
                <w:rFonts w:ascii="宋体" w:hAnsi="宋体" w:hint="eastAsia"/>
                <w:szCs w:val="21"/>
              </w:rPr>
              <w:t>医院名称*</w:t>
            </w:r>
          </w:p>
        </w:tc>
        <w:tc>
          <w:tcPr>
            <w:tcW w:w="2948" w:type="dxa"/>
            <w:gridSpan w:val="4"/>
            <w:vAlign w:val="center"/>
          </w:tcPr>
          <w:p w:rsidR="004B2E56" w:rsidRPr="003C15DF" w:rsidRDefault="004B2E56" w:rsidP="009D3BDA">
            <w:pPr>
              <w:rPr>
                <w:rFonts w:ascii="宋体" w:hAnsi="宋体"/>
                <w:szCs w:val="21"/>
              </w:rPr>
            </w:pPr>
          </w:p>
        </w:tc>
        <w:tc>
          <w:tcPr>
            <w:tcW w:w="2328"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接受注射者的病案号*</w:t>
            </w:r>
          </w:p>
        </w:tc>
        <w:tc>
          <w:tcPr>
            <w:tcW w:w="1934" w:type="dxa"/>
            <w:vAlign w:val="center"/>
          </w:tcPr>
          <w:p w:rsidR="004B2E56" w:rsidRPr="003C15DF" w:rsidRDefault="004B2E56" w:rsidP="009D3BDA">
            <w:pPr>
              <w:rPr>
                <w:rFonts w:ascii="宋体" w:hAnsi="宋体"/>
                <w:szCs w:val="21"/>
              </w:rPr>
            </w:pPr>
          </w:p>
        </w:tc>
      </w:tr>
      <w:tr w:rsidR="004B2E56" w:rsidRPr="003C15DF" w:rsidTr="009D3BDA">
        <w:tc>
          <w:tcPr>
            <w:tcW w:w="1312" w:type="dxa"/>
            <w:vAlign w:val="center"/>
          </w:tcPr>
          <w:p w:rsidR="004B2E56" w:rsidRPr="003C15DF" w:rsidRDefault="004B2E56" w:rsidP="009D3BDA">
            <w:pPr>
              <w:rPr>
                <w:rFonts w:ascii="宋体" w:hAnsi="宋体"/>
                <w:szCs w:val="21"/>
              </w:rPr>
            </w:pPr>
            <w:r w:rsidRPr="003C15DF">
              <w:rPr>
                <w:rFonts w:ascii="宋体" w:hAnsi="宋体" w:hint="eastAsia"/>
                <w:szCs w:val="21"/>
              </w:rPr>
              <w:t>注射次数*</w:t>
            </w:r>
          </w:p>
        </w:tc>
        <w:tc>
          <w:tcPr>
            <w:tcW w:w="2948" w:type="dxa"/>
            <w:gridSpan w:val="4"/>
            <w:vAlign w:val="center"/>
          </w:tcPr>
          <w:p w:rsidR="004B2E56" w:rsidRPr="003C15DF" w:rsidRDefault="004B2E56" w:rsidP="009D3BDA">
            <w:pPr>
              <w:rPr>
                <w:rFonts w:ascii="宋体" w:hAnsi="宋体"/>
                <w:szCs w:val="21"/>
              </w:rPr>
            </w:pPr>
          </w:p>
        </w:tc>
        <w:tc>
          <w:tcPr>
            <w:tcW w:w="2328"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注射部位/层次*</w:t>
            </w:r>
          </w:p>
        </w:tc>
        <w:tc>
          <w:tcPr>
            <w:tcW w:w="1934" w:type="dxa"/>
            <w:vAlign w:val="center"/>
          </w:tcPr>
          <w:p w:rsidR="004B2E56" w:rsidRPr="003C15DF" w:rsidRDefault="004B2E56" w:rsidP="009D3BDA">
            <w:pPr>
              <w:rPr>
                <w:rFonts w:ascii="宋体" w:hAnsi="宋体"/>
                <w:szCs w:val="21"/>
              </w:rPr>
            </w:pPr>
          </w:p>
        </w:tc>
      </w:tr>
      <w:tr w:rsidR="004B2E56" w:rsidRPr="003C15DF" w:rsidTr="009D3BDA">
        <w:trPr>
          <w:trHeight w:val="311"/>
        </w:trPr>
        <w:tc>
          <w:tcPr>
            <w:tcW w:w="1704"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注射医生姓名*</w:t>
            </w:r>
          </w:p>
        </w:tc>
        <w:tc>
          <w:tcPr>
            <w:tcW w:w="1302" w:type="dxa"/>
            <w:vAlign w:val="center"/>
          </w:tcPr>
          <w:p w:rsidR="004B2E56" w:rsidRPr="003C15DF" w:rsidRDefault="004B2E56" w:rsidP="009D3BDA">
            <w:pPr>
              <w:rPr>
                <w:rFonts w:ascii="宋体" w:hAnsi="宋体"/>
                <w:szCs w:val="21"/>
              </w:rPr>
            </w:pPr>
          </w:p>
        </w:tc>
        <w:tc>
          <w:tcPr>
            <w:tcW w:w="1254"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注射日期*</w:t>
            </w:r>
          </w:p>
        </w:tc>
        <w:tc>
          <w:tcPr>
            <w:tcW w:w="1065" w:type="dxa"/>
            <w:vAlign w:val="center"/>
          </w:tcPr>
          <w:p w:rsidR="004B2E56" w:rsidRPr="003C15DF" w:rsidRDefault="004B2E56" w:rsidP="009D3BDA">
            <w:pPr>
              <w:rPr>
                <w:rFonts w:ascii="宋体" w:hAnsi="宋体"/>
                <w:szCs w:val="21"/>
              </w:rPr>
            </w:pPr>
          </w:p>
        </w:tc>
        <w:tc>
          <w:tcPr>
            <w:tcW w:w="1263" w:type="dxa"/>
            <w:vAlign w:val="center"/>
          </w:tcPr>
          <w:p w:rsidR="004B2E56" w:rsidRPr="003C15DF" w:rsidRDefault="004B2E56" w:rsidP="009D3BDA">
            <w:pPr>
              <w:rPr>
                <w:rFonts w:ascii="宋体" w:hAnsi="宋体"/>
                <w:szCs w:val="21"/>
              </w:rPr>
            </w:pPr>
            <w:r w:rsidRPr="003C15DF">
              <w:rPr>
                <w:rFonts w:ascii="宋体" w:hAnsi="宋体" w:hint="eastAsia"/>
                <w:szCs w:val="21"/>
              </w:rPr>
              <w:t>注射用量*</w:t>
            </w:r>
          </w:p>
        </w:tc>
        <w:tc>
          <w:tcPr>
            <w:tcW w:w="1934" w:type="dxa"/>
            <w:vAlign w:val="center"/>
          </w:tcPr>
          <w:p w:rsidR="004B2E56" w:rsidRPr="003C15DF" w:rsidRDefault="004B2E56" w:rsidP="009D3BDA">
            <w:pPr>
              <w:rPr>
                <w:rFonts w:ascii="宋体" w:hAnsi="宋体"/>
                <w:szCs w:val="21"/>
              </w:rPr>
            </w:pPr>
          </w:p>
        </w:tc>
      </w:tr>
      <w:tr w:rsidR="004B2E56" w:rsidRPr="003C15DF" w:rsidTr="009D3BDA">
        <w:tc>
          <w:tcPr>
            <w:tcW w:w="1704"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医疗器械名称*</w:t>
            </w:r>
          </w:p>
        </w:tc>
        <w:tc>
          <w:tcPr>
            <w:tcW w:w="1302" w:type="dxa"/>
            <w:vAlign w:val="center"/>
          </w:tcPr>
          <w:p w:rsidR="004B2E56" w:rsidRPr="003C15DF" w:rsidRDefault="004B2E56" w:rsidP="009D3BDA">
            <w:pPr>
              <w:rPr>
                <w:rFonts w:ascii="宋体" w:hAnsi="宋体"/>
                <w:szCs w:val="21"/>
              </w:rPr>
            </w:pPr>
          </w:p>
        </w:tc>
        <w:tc>
          <w:tcPr>
            <w:tcW w:w="1254"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商品名称</w:t>
            </w:r>
          </w:p>
        </w:tc>
        <w:tc>
          <w:tcPr>
            <w:tcW w:w="1065" w:type="dxa"/>
            <w:vAlign w:val="center"/>
          </w:tcPr>
          <w:p w:rsidR="004B2E56" w:rsidRPr="003C15DF" w:rsidRDefault="004B2E56" w:rsidP="009D3BDA">
            <w:pPr>
              <w:rPr>
                <w:rFonts w:ascii="宋体" w:hAnsi="宋体"/>
                <w:szCs w:val="21"/>
              </w:rPr>
            </w:pPr>
          </w:p>
        </w:tc>
        <w:tc>
          <w:tcPr>
            <w:tcW w:w="1263" w:type="dxa"/>
            <w:vAlign w:val="center"/>
          </w:tcPr>
          <w:p w:rsidR="004B2E56" w:rsidRPr="003C15DF" w:rsidRDefault="004B2E56" w:rsidP="009D3BDA">
            <w:pPr>
              <w:rPr>
                <w:rFonts w:ascii="宋体" w:hAnsi="宋体"/>
                <w:szCs w:val="21"/>
              </w:rPr>
            </w:pPr>
            <w:r w:rsidRPr="003C15DF">
              <w:rPr>
                <w:rFonts w:ascii="宋体" w:hAnsi="宋体" w:hint="eastAsia"/>
                <w:szCs w:val="21"/>
              </w:rPr>
              <w:t>产品序号*</w:t>
            </w:r>
          </w:p>
        </w:tc>
        <w:tc>
          <w:tcPr>
            <w:tcW w:w="1934" w:type="dxa"/>
            <w:vAlign w:val="center"/>
          </w:tcPr>
          <w:p w:rsidR="004B2E56" w:rsidRPr="003C15DF" w:rsidRDefault="004B2E56" w:rsidP="009D3BDA">
            <w:pPr>
              <w:rPr>
                <w:rFonts w:ascii="宋体" w:hAnsi="宋体"/>
                <w:szCs w:val="21"/>
              </w:rPr>
            </w:pPr>
          </w:p>
        </w:tc>
      </w:tr>
      <w:tr w:rsidR="004B2E56" w:rsidRPr="003C15DF" w:rsidTr="009D3BDA">
        <w:tc>
          <w:tcPr>
            <w:tcW w:w="3006" w:type="dxa"/>
            <w:gridSpan w:val="3"/>
            <w:vAlign w:val="center"/>
          </w:tcPr>
          <w:p w:rsidR="004B2E56" w:rsidRPr="003C15DF" w:rsidRDefault="004B2E56" w:rsidP="009D3BDA">
            <w:pPr>
              <w:rPr>
                <w:rFonts w:ascii="宋体" w:hAnsi="宋体"/>
                <w:szCs w:val="21"/>
              </w:rPr>
            </w:pPr>
            <w:r w:rsidRPr="003C15DF">
              <w:rPr>
                <w:rFonts w:ascii="宋体" w:hAnsi="宋体" w:hint="eastAsia"/>
                <w:szCs w:val="21"/>
              </w:rPr>
              <w:t>医疗器械生产企业名称*</w:t>
            </w:r>
          </w:p>
        </w:tc>
        <w:tc>
          <w:tcPr>
            <w:tcW w:w="5516" w:type="dxa"/>
            <w:gridSpan w:val="5"/>
            <w:vAlign w:val="center"/>
          </w:tcPr>
          <w:p w:rsidR="004B2E56" w:rsidRPr="003C15DF" w:rsidRDefault="004B2E56" w:rsidP="009D3BDA">
            <w:pPr>
              <w:rPr>
                <w:rFonts w:ascii="宋体" w:hAnsi="宋体"/>
                <w:szCs w:val="21"/>
              </w:rPr>
            </w:pPr>
          </w:p>
        </w:tc>
      </w:tr>
      <w:tr w:rsidR="004B2E56" w:rsidRPr="003C15DF" w:rsidTr="009D3BDA">
        <w:tc>
          <w:tcPr>
            <w:tcW w:w="1704"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产品注册证号*</w:t>
            </w:r>
          </w:p>
        </w:tc>
        <w:tc>
          <w:tcPr>
            <w:tcW w:w="2198" w:type="dxa"/>
            <w:gridSpan w:val="2"/>
            <w:vAlign w:val="center"/>
          </w:tcPr>
          <w:p w:rsidR="004B2E56" w:rsidRPr="003C15DF" w:rsidRDefault="004B2E56" w:rsidP="009D3BDA">
            <w:pPr>
              <w:rPr>
                <w:rFonts w:ascii="宋体" w:hAnsi="宋体"/>
                <w:szCs w:val="21"/>
              </w:rPr>
            </w:pPr>
          </w:p>
        </w:tc>
        <w:tc>
          <w:tcPr>
            <w:tcW w:w="1423" w:type="dxa"/>
            <w:gridSpan w:val="2"/>
            <w:vAlign w:val="center"/>
          </w:tcPr>
          <w:p w:rsidR="004B2E56" w:rsidRPr="003C15DF" w:rsidRDefault="004B2E56" w:rsidP="009D3BDA">
            <w:pPr>
              <w:rPr>
                <w:rFonts w:ascii="宋体" w:hAnsi="宋体"/>
                <w:szCs w:val="21"/>
              </w:rPr>
            </w:pPr>
            <w:r w:rsidRPr="003C15DF">
              <w:rPr>
                <w:rFonts w:ascii="宋体" w:hAnsi="宋体" w:hint="eastAsia"/>
                <w:szCs w:val="21"/>
              </w:rPr>
              <w:t>型号、规格*</w:t>
            </w:r>
          </w:p>
        </w:tc>
        <w:tc>
          <w:tcPr>
            <w:tcW w:w="3197" w:type="dxa"/>
            <w:gridSpan w:val="2"/>
            <w:vAlign w:val="center"/>
          </w:tcPr>
          <w:p w:rsidR="004B2E56" w:rsidRPr="003C15DF" w:rsidRDefault="004B2E56" w:rsidP="009D3BDA">
            <w:pPr>
              <w:rPr>
                <w:rFonts w:ascii="宋体" w:hAnsi="宋体"/>
                <w:szCs w:val="21"/>
              </w:rPr>
            </w:pPr>
          </w:p>
        </w:tc>
      </w:tr>
    </w:tbl>
    <w:p w:rsidR="004B2E56" w:rsidRPr="003C15DF" w:rsidRDefault="004B2E56" w:rsidP="004B2E56">
      <w:pPr>
        <w:rPr>
          <w:rFonts w:ascii="宋体" w:hAnsi="宋体"/>
          <w:szCs w:val="21"/>
        </w:rPr>
      </w:pPr>
    </w:p>
    <w:p w:rsidR="004B2E56" w:rsidRPr="003C15DF" w:rsidRDefault="004B2E56" w:rsidP="004B2E56">
      <w:pPr>
        <w:rPr>
          <w:rFonts w:ascii="宋体" w:hAnsi="宋体"/>
          <w:szCs w:val="21"/>
        </w:rPr>
      </w:pPr>
      <w:r w:rsidRPr="003C15DF">
        <w:rPr>
          <w:rFonts w:ascii="宋体" w:hAnsi="宋体" w:hint="eastAsia"/>
          <w:szCs w:val="21"/>
        </w:rPr>
        <w:t>曾接受面部注射的历史信息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9"/>
        <w:gridCol w:w="707"/>
        <w:gridCol w:w="1579"/>
        <w:gridCol w:w="799"/>
        <w:gridCol w:w="1051"/>
        <w:gridCol w:w="1131"/>
        <w:gridCol w:w="787"/>
        <w:gridCol w:w="743"/>
      </w:tblGrid>
      <w:tr w:rsidR="004B2E56" w:rsidRPr="003C15DF" w:rsidTr="009D3BDA">
        <w:tc>
          <w:tcPr>
            <w:tcW w:w="1548"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产品名称*</w:t>
            </w:r>
          </w:p>
        </w:tc>
        <w:tc>
          <w:tcPr>
            <w:tcW w:w="720"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商品名称</w:t>
            </w:r>
          </w:p>
        </w:tc>
        <w:tc>
          <w:tcPr>
            <w:tcW w:w="1632"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生产企业名称*</w:t>
            </w:r>
          </w:p>
        </w:tc>
        <w:tc>
          <w:tcPr>
            <w:tcW w:w="816"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型号*</w:t>
            </w:r>
          </w:p>
        </w:tc>
        <w:tc>
          <w:tcPr>
            <w:tcW w:w="1080"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注射医院</w:t>
            </w:r>
          </w:p>
        </w:tc>
        <w:tc>
          <w:tcPr>
            <w:tcW w:w="1164"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注射日期*</w:t>
            </w:r>
          </w:p>
        </w:tc>
        <w:tc>
          <w:tcPr>
            <w:tcW w:w="804"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注射部位*</w:t>
            </w:r>
          </w:p>
        </w:tc>
        <w:tc>
          <w:tcPr>
            <w:tcW w:w="758"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注射用量*</w:t>
            </w:r>
          </w:p>
        </w:tc>
      </w:tr>
      <w:tr w:rsidR="004B2E56" w:rsidRPr="003C15DF" w:rsidTr="009D3BDA">
        <w:trPr>
          <w:trHeight w:val="710"/>
        </w:trPr>
        <w:tc>
          <w:tcPr>
            <w:tcW w:w="1548" w:type="dxa"/>
            <w:vAlign w:val="center"/>
          </w:tcPr>
          <w:p w:rsidR="004B2E56" w:rsidRPr="003C15DF" w:rsidRDefault="004B2E56" w:rsidP="009D3BDA">
            <w:pPr>
              <w:jc w:val="center"/>
              <w:rPr>
                <w:rFonts w:ascii="宋体" w:hAnsi="宋体"/>
                <w:szCs w:val="21"/>
              </w:rPr>
            </w:pPr>
          </w:p>
        </w:tc>
        <w:tc>
          <w:tcPr>
            <w:tcW w:w="720" w:type="dxa"/>
            <w:vAlign w:val="center"/>
          </w:tcPr>
          <w:p w:rsidR="004B2E56" w:rsidRPr="003C15DF" w:rsidRDefault="004B2E56" w:rsidP="009D3BDA">
            <w:pPr>
              <w:jc w:val="center"/>
              <w:rPr>
                <w:rFonts w:ascii="宋体" w:hAnsi="宋体"/>
                <w:szCs w:val="21"/>
              </w:rPr>
            </w:pPr>
          </w:p>
        </w:tc>
        <w:tc>
          <w:tcPr>
            <w:tcW w:w="1632" w:type="dxa"/>
            <w:vAlign w:val="center"/>
          </w:tcPr>
          <w:p w:rsidR="004B2E56" w:rsidRPr="003C15DF" w:rsidRDefault="004B2E56" w:rsidP="009D3BDA">
            <w:pPr>
              <w:jc w:val="center"/>
              <w:rPr>
                <w:rFonts w:ascii="宋体" w:hAnsi="宋体"/>
                <w:szCs w:val="21"/>
              </w:rPr>
            </w:pPr>
          </w:p>
        </w:tc>
        <w:tc>
          <w:tcPr>
            <w:tcW w:w="816" w:type="dxa"/>
            <w:vAlign w:val="center"/>
          </w:tcPr>
          <w:p w:rsidR="004B2E56" w:rsidRPr="003C15DF" w:rsidRDefault="004B2E56" w:rsidP="009D3BDA">
            <w:pPr>
              <w:jc w:val="center"/>
              <w:rPr>
                <w:rFonts w:ascii="宋体" w:hAnsi="宋体"/>
                <w:szCs w:val="21"/>
              </w:rPr>
            </w:pPr>
          </w:p>
        </w:tc>
        <w:tc>
          <w:tcPr>
            <w:tcW w:w="1080" w:type="dxa"/>
            <w:vAlign w:val="center"/>
          </w:tcPr>
          <w:p w:rsidR="004B2E56" w:rsidRPr="003C15DF" w:rsidRDefault="004B2E56" w:rsidP="009D3BDA">
            <w:pPr>
              <w:jc w:val="center"/>
              <w:rPr>
                <w:rFonts w:ascii="宋体" w:hAnsi="宋体"/>
                <w:szCs w:val="21"/>
              </w:rPr>
            </w:pPr>
          </w:p>
        </w:tc>
        <w:tc>
          <w:tcPr>
            <w:tcW w:w="1164" w:type="dxa"/>
            <w:vAlign w:val="center"/>
          </w:tcPr>
          <w:p w:rsidR="004B2E56" w:rsidRPr="003C15DF" w:rsidRDefault="004B2E56" w:rsidP="009D3BDA">
            <w:pPr>
              <w:jc w:val="center"/>
              <w:rPr>
                <w:rFonts w:ascii="宋体" w:hAnsi="宋体"/>
                <w:szCs w:val="21"/>
              </w:rPr>
            </w:pPr>
          </w:p>
        </w:tc>
        <w:tc>
          <w:tcPr>
            <w:tcW w:w="804" w:type="dxa"/>
            <w:vAlign w:val="center"/>
          </w:tcPr>
          <w:p w:rsidR="004B2E56" w:rsidRPr="003C15DF" w:rsidRDefault="004B2E56" w:rsidP="009D3BDA">
            <w:pPr>
              <w:jc w:val="center"/>
              <w:rPr>
                <w:rFonts w:ascii="宋体" w:hAnsi="宋体"/>
                <w:szCs w:val="21"/>
              </w:rPr>
            </w:pPr>
          </w:p>
        </w:tc>
        <w:tc>
          <w:tcPr>
            <w:tcW w:w="758" w:type="dxa"/>
            <w:vAlign w:val="center"/>
          </w:tcPr>
          <w:p w:rsidR="004B2E56" w:rsidRPr="003C15DF" w:rsidRDefault="004B2E56" w:rsidP="009D3BDA">
            <w:pPr>
              <w:jc w:val="center"/>
              <w:rPr>
                <w:rFonts w:ascii="宋体" w:hAnsi="宋体"/>
                <w:szCs w:val="21"/>
              </w:rPr>
            </w:pPr>
          </w:p>
        </w:tc>
      </w:tr>
      <w:tr w:rsidR="004B2E56" w:rsidRPr="003C15DF" w:rsidTr="009D3BDA">
        <w:trPr>
          <w:trHeight w:val="614"/>
        </w:trPr>
        <w:tc>
          <w:tcPr>
            <w:tcW w:w="1548" w:type="dxa"/>
            <w:vAlign w:val="center"/>
          </w:tcPr>
          <w:p w:rsidR="004B2E56" w:rsidRPr="003C15DF" w:rsidRDefault="004B2E56" w:rsidP="009D3BDA">
            <w:pPr>
              <w:jc w:val="center"/>
              <w:rPr>
                <w:rFonts w:ascii="宋体" w:hAnsi="宋体"/>
                <w:szCs w:val="21"/>
              </w:rPr>
            </w:pPr>
          </w:p>
        </w:tc>
        <w:tc>
          <w:tcPr>
            <w:tcW w:w="720" w:type="dxa"/>
            <w:vAlign w:val="center"/>
          </w:tcPr>
          <w:p w:rsidR="004B2E56" w:rsidRPr="003C15DF" w:rsidRDefault="004B2E56" w:rsidP="009D3BDA">
            <w:pPr>
              <w:jc w:val="center"/>
              <w:rPr>
                <w:rFonts w:ascii="宋体" w:hAnsi="宋体"/>
                <w:szCs w:val="21"/>
              </w:rPr>
            </w:pPr>
          </w:p>
        </w:tc>
        <w:tc>
          <w:tcPr>
            <w:tcW w:w="1632" w:type="dxa"/>
            <w:vAlign w:val="center"/>
          </w:tcPr>
          <w:p w:rsidR="004B2E56" w:rsidRPr="003C15DF" w:rsidRDefault="004B2E56" w:rsidP="009D3BDA">
            <w:pPr>
              <w:jc w:val="center"/>
              <w:rPr>
                <w:rFonts w:ascii="宋体" w:hAnsi="宋体"/>
                <w:szCs w:val="21"/>
              </w:rPr>
            </w:pPr>
          </w:p>
        </w:tc>
        <w:tc>
          <w:tcPr>
            <w:tcW w:w="816" w:type="dxa"/>
            <w:vAlign w:val="center"/>
          </w:tcPr>
          <w:p w:rsidR="004B2E56" w:rsidRPr="003C15DF" w:rsidRDefault="004B2E56" w:rsidP="009D3BDA">
            <w:pPr>
              <w:jc w:val="center"/>
              <w:rPr>
                <w:rFonts w:ascii="宋体" w:hAnsi="宋体"/>
                <w:szCs w:val="21"/>
              </w:rPr>
            </w:pPr>
          </w:p>
        </w:tc>
        <w:tc>
          <w:tcPr>
            <w:tcW w:w="1080" w:type="dxa"/>
            <w:vAlign w:val="center"/>
          </w:tcPr>
          <w:p w:rsidR="004B2E56" w:rsidRPr="003C15DF" w:rsidRDefault="004B2E56" w:rsidP="009D3BDA">
            <w:pPr>
              <w:jc w:val="center"/>
              <w:rPr>
                <w:rFonts w:ascii="宋体" w:hAnsi="宋体"/>
                <w:szCs w:val="21"/>
              </w:rPr>
            </w:pPr>
          </w:p>
        </w:tc>
        <w:tc>
          <w:tcPr>
            <w:tcW w:w="1164" w:type="dxa"/>
            <w:vAlign w:val="center"/>
          </w:tcPr>
          <w:p w:rsidR="004B2E56" w:rsidRPr="003C15DF" w:rsidRDefault="004B2E56" w:rsidP="009D3BDA">
            <w:pPr>
              <w:jc w:val="center"/>
              <w:rPr>
                <w:rFonts w:ascii="宋体" w:hAnsi="宋体"/>
                <w:szCs w:val="21"/>
              </w:rPr>
            </w:pPr>
          </w:p>
        </w:tc>
        <w:tc>
          <w:tcPr>
            <w:tcW w:w="804" w:type="dxa"/>
            <w:vAlign w:val="center"/>
          </w:tcPr>
          <w:p w:rsidR="004B2E56" w:rsidRPr="003C15DF" w:rsidRDefault="004B2E56" w:rsidP="009D3BDA">
            <w:pPr>
              <w:jc w:val="center"/>
              <w:rPr>
                <w:rFonts w:ascii="宋体" w:hAnsi="宋体"/>
                <w:szCs w:val="21"/>
              </w:rPr>
            </w:pPr>
          </w:p>
        </w:tc>
        <w:tc>
          <w:tcPr>
            <w:tcW w:w="758" w:type="dxa"/>
            <w:vAlign w:val="center"/>
          </w:tcPr>
          <w:p w:rsidR="004B2E56" w:rsidRPr="003C15DF" w:rsidRDefault="004B2E56" w:rsidP="009D3BDA">
            <w:pPr>
              <w:jc w:val="center"/>
              <w:rPr>
                <w:rFonts w:ascii="宋体" w:hAnsi="宋体"/>
                <w:szCs w:val="21"/>
              </w:rPr>
            </w:pPr>
          </w:p>
        </w:tc>
      </w:tr>
      <w:tr w:rsidR="004B2E56" w:rsidRPr="003C15DF" w:rsidTr="009D3BDA">
        <w:trPr>
          <w:trHeight w:val="626"/>
        </w:trPr>
        <w:tc>
          <w:tcPr>
            <w:tcW w:w="1548" w:type="dxa"/>
            <w:vAlign w:val="center"/>
          </w:tcPr>
          <w:p w:rsidR="004B2E56" w:rsidRPr="003C15DF" w:rsidRDefault="004B2E56" w:rsidP="009D3BDA">
            <w:pPr>
              <w:jc w:val="center"/>
              <w:rPr>
                <w:rFonts w:ascii="宋体" w:hAnsi="宋体"/>
                <w:szCs w:val="21"/>
              </w:rPr>
            </w:pPr>
          </w:p>
        </w:tc>
        <w:tc>
          <w:tcPr>
            <w:tcW w:w="720" w:type="dxa"/>
            <w:vAlign w:val="center"/>
          </w:tcPr>
          <w:p w:rsidR="004B2E56" w:rsidRPr="003C15DF" w:rsidRDefault="004B2E56" w:rsidP="009D3BDA">
            <w:pPr>
              <w:jc w:val="center"/>
              <w:rPr>
                <w:rFonts w:ascii="宋体" w:hAnsi="宋体"/>
                <w:szCs w:val="21"/>
              </w:rPr>
            </w:pPr>
          </w:p>
        </w:tc>
        <w:tc>
          <w:tcPr>
            <w:tcW w:w="1632" w:type="dxa"/>
            <w:vAlign w:val="center"/>
          </w:tcPr>
          <w:p w:rsidR="004B2E56" w:rsidRPr="003C15DF" w:rsidRDefault="004B2E56" w:rsidP="009D3BDA">
            <w:pPr>
              <w:jc w:val="center"/>
              <w:rPr>
                <w:rFonts w:ascii="宋体" w:hAnsi="宋体"/>
                <w:szCs w:val="21"/>
              </w:rPr>
            </w:pPr>
          </w:p>
        </w:tc>
        <w:tc>
          <w:tcPr>
            <w:tcW w:w="816" w:type="dxa"/>
            <w:vAlign w:val="center"/>
          </w:tcPr>
          <w:p w:rsidR="004B2E56" w:rsidRPr="003C15DF" w:rsidRDefault="004B2E56" w:rsidP="009D3BDA">
            <w:pPr>
              <w:jc w:val="center"/>
              <w:rPr>
                <w:rFonts w:ascii="宋体" w:hAnsi="宋体"/>
                <w:szCs w:val="21"/>
              </w:rPr>
            </w:pPr>
          </w:p>
        </w:tc>
        <w:tc>
          <w:tcPr>
            <w:tcW w:w="1080" w:type="dxa"/>
            <w:vAlign w:val="center"/>
          </w:tcPr>
          <w:p w:rsidR="004B2E56" w:rsidRPr="003C15DF" w:rsidRDefault="004B2E56" w:rsidP="009D3BDA">
            <w:pPr>
              <w:jc w:val="center"/>
              <w:rPr>
                <w:rFonts w:ascii="宋体" w:hAnsi="宋体"/>
                <w:szCs w:val="21"/>
              </w:rPr>
            </w:pPr>
          </w:p>
        </w:tc>
        <w:tc>
          <w:tcPr>
            <w:tcW w:w="1164" w:type="dxa"/>
            <w:vAlign w:val="center"/>
          </w:tcPr>
          <w:p w:rsidR="004B2E56" w:rsidRPr="003C15DF" w:rsidRDefault="004B2E56" w:rsidP="009D3BDA">
            <w:pPr>
              <w:jc w:val="center"/>
              <w:rPr>
                <w:rFonts w:ascii="宋体" w:hAnsi="宋体"/>
                <w:szCs w:val="21"/>
              </w:rPr>
            </w:pPr>
          </w:p>
        </w:tc>
        <w:tc>
          <w:tcPr>
            <w:tcW w:w="804" w:type="dxa"/>
            <w:vAlign w:val="center"/>
          </w:tcPr>
          <w:p w:rsidR="004B2E56" w:rsidRPr="003C15DF" w:rsidRDefault="004B2E56" w:rsidP="009D3BDA">
            <w:pPr>
              <w:jc w:val="center"/>
              <w:rPr>
                <w:rFonts w:ascii="宋体" w:hAnsi="宋体"/>
                <w:szCs w:val="21"/>
              </w:rPr>
            </w:pPr>
          </w:p>
        </w:tc>
        <w:tc>
          <w:tcPr>
            <w:tcW w:w="758" w:type="dxa"/>
            <w:vAlign w:val="center"/>
          </w:tcPr>
          <w:p w:rsidR="004B2E56" w:rsidRPr="003C15DF" w:rsidRDefault="004B2E56" w:rsidP="009D3BDA">
            <w:pPr>
              <w:jc w:val="center"/>
              <w:rPr>
                <w:rFonts w:ascii="宋体" w:hAnsi="宋体"/>
                <w:szCs w:val="21"/>
              </w:rPr>
            </w:pPr>
          </w:p>
        </w:tc>
      </w:tr>
    </w:tbl>
    <w:p w:rsidR="004B2E56" w:rsidRPr="003C15DF" w:rsidRDefault="004B2E56" w:rsidP="004B2E56">
      <w:pPr>
        <w:rPr>
          <w:rFonts w:ascii="宋体" w:hAnsi="宋体"/>
          <w:szCs w:val="21"/>
        </w:rPr>
      </w:pPr>
    </w:p>
    <w:p w:rsidR="004B2E56" w:rsidRPr="003C15DF" w:rsidRDefault="004B2E56" w:rsidP="004B2E56">
      <w:pPr>
        <w:rPr>
          <w:rFonts w:ascii="宋体" w:hAnsi="宋体"/>
          <w:szCs w:val="21"/>
        </w:rPr>
      </w:pPr>
      <w:r w:rsidRPr="003C15DF">
        <w:rPr>
          <w:rFonts w:ascii="宋体" w:hAnsi="宋体" w:hint="eastAsia"/>
          <w:szCs w:val="21"/>
        </w:rPr>
        <w:t>随访信息：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202"/>
        <w:gridCol w:w="4032"/>
        <w:gridCol w:w="1008"/>
        <w:gridCol w:w="893"/>
      </w:tblGrid>
      <w:tr w:rsidR="004B2E56" w:rsidRPr="003C15DF" w:rsidTr="009D3BDA">
        <w:tc>
          <w:tcPr>
            <w:tcW w:w="1188" w:type="dxa"/>
            <w:vAlign w:val="center"/>
          </w:tcPr>
          <w:p w:rsidR="004B2E56" w:rsidRPr="003C15DF" w:rsidRDefault="004B2E56" w:rsidP="009D3BDA">
            <w:pPr>
              <w:rPr>
                <w:rFonts w:ascii="宋体" w:hAnsi="宋体"/>
                <w:szCs w:val="21"/>
              </w:rPr>
            </w:pPr>
            <w:r w:rsidRPr="003C15DF">
              <w:rPr>
                <w:rFonts w:ascii="宋体" w:hAnsi="宋体" w:hint="eastAsia"/>
                <w:szCs w:val="21"/>
              </w:rPr>
              <w:t>随访日期*</w:t>
            </w:r>
          </w:p>
        </w:tc>
        <w:tc>
          <w:tcPr>
            <w:tcW w:w="1230"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随访方法*</w:t>
            </w:r>
          </w:p>
        </w:tc>
        <w:tc>
          <w:tcPr>
            <w:tcW w:w="4164"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随访结果*</w:t>
            </w:r>
          </w:p>
        </w:tc>
        <w:tc>
          <w:tcPr>
            <w:tcW w:w="1029"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随访人*</w:t>
            </w:r>
          </w:p>
        </w:tc>
        <w:tc>
          <w:tcPr>
            <w:tcW w:w="910" w:type="dxa"/>
            <w:vAlign w:val="center"/>
          </w:tcPr>
          <w:p w:rsidR="004B2E56" w:rsidRPr="003C15DF" w:rsidRDefault="004B2E56" w:rsidP="009D3BDA">
            <w:pPr>
              <w:jc w:val="center"/>
              <w:rPr>
                <w:rFonts w:ascii="宋体" w:hAnsi="宋体"/>
                <w:szCs w:val="21"/>
              </w:rPr>
            </w:pPr>
            <w:r w:rsidRPr="003C15DF">
              <w:rPr>
                <w:rFonts w:ascii="宋体" w:hAnsi="宋体" w:hint="eastAsia"/>
                <w:szCs w:val="21"/>
              </w:rPr>
              <w:t>备注</w:t>
            </w:r>
          </w:p>
        </w:tc>
      </w:tr>
      <w:tr w:rsidR="004B2E56" w:rsidRPr="003C15DF" w:rsidTr="009D3BDA">
        <w:trPr>
          <w:trHeight w:val="552"/>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r w:rsidR="004B2E56" w:rsidRPr="003C15DF" w:rsidTr="009D3BDA">
        <w:trPr>
          <w:trHeight w:val="616"/>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r w:rsidR="004B2E56" w:rsidRPr="003C15DF" w:rsidTr="009D3BDA">
        <w:trPr>
          <w:trHeight w:val="610"/>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r w:rsidR="004B2E56" w:rsidRPr="003C15DF" w:rsidTr="009D3BDA">
        <w:trPr>
          <w:trHeight w:val="618"/>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r w:rsidR="004B2E56" w:rsidRPr="003C15DF" w:rsidTr="009D3BDA">
        <w:trPr>
          <w:trHeight w:val="612"/>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r w:rsidR="004B2E56" w:rsidRPr="003C15DF" w:rsidTr="009D3BDA">
        <w:trPr>
          <w:trHeight w:val="612"/>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r w:rsidR="004B2E56" w:rsidRPr="003C15DF" w:rsidTr="009D3BDA">
        <w:trPr>
          <w:trHeight w:val="612"/>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r w:rsidR="004B2E56" w:rsidRPr="003C15DF" w:rsidTr="009D3BDA">
        <w:trPr>
          <w:trHeight w:val="612"/>
        </w:trPr>
        <w:tc>
          <w:tcPr>
            <w:tcW w:w="1188" w:type="dxa"/>
            <w:vAlign w:val="center"/>
          </w:tcPr>
          <w:p w:rsidR="004B2E56" w:rsidRPr="003C15DF" w:rsidRDefault="004B2E56" w:rsidP="009D3BDA">
            <w:pPr>
              <w:rPr>
                <w:rFonts w:ascii="仿宋_GB2312" w:eastAsia="仿宋_GB2312"/>
              </w:rPr>
            </w:pPr>
          </w:p>
        </w:tc>
        <w:tc>
          <w:tcPr>
            <w:tcW w:w="1230" w:type="dxa"/>
            <w:vAlign w:val="center"/>
          </w:tcPr>
          <w:p w:rsidR="004B2E56" w:rsidRPr="003C15DF" w:rsidRDefault="004B2E56" w:rsidP="009D3BDA">
            <w:pPr>
              <w:rPr>
                <w:rFonts w:ascii="仿宋_GB2312" w:eastAsia="仿宋_GB2312"/>
              </w:rPr>
            </w:pPr>
          </w:p>
        </w:tc>
        <w:tc>
          <w:tcPr>
            <w:tcW w:w="4164" w:type="dxa"/>
            <w:vAlign w:val="center"/>
          </w:tcPr>
          <w:p w:rsidR="004B2E56" w:rsidRPr="003C15DF" w:rsidRDefault="004B2E56" w:rsidP="009D3BDA">
            <w:pPr>
              <w:rPr>
                <w:rFonts w:ascii="仿宋_GB2312" w:eastAsia="仿宋_GB2312"/>
              </w:rPr>
            </w:pPr>
          </w:p>
        </w:tc>
        <w:tc>
          <w:tcPr>
            <w:tcW w:w="1029" w:type="dxa"/>
            <w:vAlign w:val="center"/>
          </w:tcPr>
          <w:p w:rsidR="004B2E56" w:rsidRPr="003C15DF" w:rsidRDefault="004B2E56" w:rsidP="009D3BDA">
            <w:pPr>
              <w:rPr>
                <w:rFonts w:ascii="仿宋_GB2312" w:eastAsia="仿宋_GB2312"/>
              </w:rPr>
            </w:pPr>
          </w:p>
        </w:tc>
        <w:tc>
          <w:tcPr>
            <w:tcW w:w="910" w:type="dxa"/>
            <w:vAlign w:val="center"/>
          </w:tcPr>
          <w:p w:rsidR="004B2E56" w:rsidRPr="003C15DF" w:rsidRDefault="004B2E56" w:rsidP="009D3BDA">
            <w:pPr>
              <w:rPr>
                <w:rFonts w:ascii="仿宋_GB2312" w:eastAsia="仿宋_GB2312"/>
              </w:rPr>
            </w:pPr>
          </w:p>
        </w:tc>
      </w:tr>
    </w:tbl>
    <w:p w:rsidR="004B2E56" w:rsidRDefault="004B2E56" w:rsidP="004B2E56">
      <w:pPr>
        <w:ind w:firstLineChars="200" w:firstLine="360"/>
        <w:rPr>
          <w:rFonts w:ascii="宋体" w:hAnsi="宋体" w:cs="宋体"/>
          <w:sz w:val="18"/>
          <w:szCs w:val="18"/>
        </w:rPr>
      </w:pPr>
      <w:r w:rsidRPr="003C15DF">
        <w:rPr>
          <w:rFonts w:ascii="宋体" w:hAnsi="宋体" w:cs="宋体" w:hint="eastAsia"/>
          <w:sz w:val="18"/>
          <w:szCs w:val="18"/>
        </w:rPr>
        <w:t>注：该表格为参考格式，注册人可根据产品的实际情况修改表格的部分内容，但带有</w:t>
      </w:r>
      <w:r w:rsidRPr="003C15DF">
        <w:rPr>
          <w:rFonts w:ascii="仿宋_GB2312" w:eastAsia="仿宋_GB2312" w:hint="eastAsia"/>
          <w:sz w:val="18"/>
          <w:szCs w:val="18"/>
        </w:rPr>
        <w:t>*</w:t>
      </w:r>
      <w:r w:rsidRPr="003C15DF">
        <w:rPr>
          <w:rFonts w:ascii="宋体" w:hAnsi="宋体" w:cs="宋体" w:hint="eastAsia"/>
          <w:sz w:val="18"/>
          <w:szCs w:val="18"/>
        </w:rPr>
        <w:t>的填写项目为必填内容。该记录单应由组织随访的注册人</w:t>
      </w:r>
      <w:r w:rsidRPr="003C15DF">
        <w:rPr>
          <w:rFonts w:ascii="仿宋_GB2312" w:eastAsia="仿宋_GB2312" w:hint="eastAsia"/>
          <w:sz w:val="18"/>
          <w:szCs w:val="18"/>
        </w:rPr>
        <w:t>/</w:t>
      </w:r>
      <w:r w:rsidRPr="003C15DF">
        <w:rPr>
          <w:rFonts w:ascii="宋体" w:hAnsi="宋体" w:cs="宋体" w:hint="eastAsia"/>
          <w:sz w:val="18"/>
          <w:szCs w:val="18"/>
        </w:rPr>
        <w:t>代理人进行签章。该表格内容中的个人信息除用于存档和上报主管部门外不得用于其他用途。</w:t>
      </w:r>
    </w:p>
    <w:p w:rsidR="00F40AF7" w:rsidRPr="004B2E56" w:rsidRDefault="00B45B76" w:rsidP="004B2E56">
      <w:bookmarkStart w:id="0" w:name="_GoBack"/>
      <w:bookmarkEnd w:id="0"/>
    </w:p>
    <w:sectPr w:rsidR="00F40AF7" w:rsidRPr="004B2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B76" w:rsidRDefault="00B45B76" w:rsidP="001C7387">
      <w:r>
        <w:separator/>
      </w:r>
    </w:p>
  </w:endnote>
  <w:endnote w:type="continuationSeparator" w:id="0">
    <w:p w:rsidR="00B45B76" w:rsidRDefault="00B45B76" w:rsidP="001C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B76" w:rsidRDefault="00B45B76" w:rsidP="001C7387">
      <w:r>
        <w:separator/>
      </w:r>
    </w:p>
  </w:footnote>
  <w:footnote w:type="continuationSeparator" w:id="0">
    <w:p w:rsidR="00B45B76" w:rsidRDefault="00B45B76" w:rsidP="001C7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96"/>
    <w:rsid w:val="00147C96"/>
    <w:rsid w:val="001C7387"/>
    <w:rsid w:val="004B2E56"/>
    <w:rsid w:val="00A452FB"/>
    <w:rsid w:val="00B45B76"/>
    <w:rsid w:val="00BE47A9"/>
    <w:rsid w:val="00E8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FB20CA9-310F-4782-A4D1-543F4EBE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3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73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C7387"/>
    <w:rPr>
      <w:sz w:val="18"/>
      <w:szCs w:val="18"/>
    </w:rPr>
  </w:style>
  <w:style w:type="paragraph" w:styleId="a4">
    <w:name w:val="footer"/>
    <w:basedOn w:val="a"/>
    <w:link w:val="Char0"/>
    <w:uiPriority w:val="99"/>
    <w:unhideWhenUsed/>
    <w:rsid w:val="001C73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C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dc:creator>
  <cp:keywords/>
  <dc:description/>
  <cp:lastModifiedBy>Guang</cp:lastModifiedBy>
  <cp:revision>3</cp:revision>
  <dcterms:created xsi:type="dcterms:W3CDTF">2015-01-28T02:45:00Z</dcterms:created>
  <dcterms:modified xsi:type="dcterms:W3CDTF">2015-01-28T02:51:00Z</dcterms:modified>
</cp:coreProperties>
</file>