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39A" w:rsidRPr="00C9539B" w:rsidRDefault="006D539A" w:rsidP="006D539A">
      <w:pPr>
        <w:rPr>
          <w:rFonts w:ascii="黑体" w:eastAsia="黑体" w:hAnsi="黑体"/>
          <w:bCs/>
          <w:kern w:val="0"/>
          <w:sz w:val="32"/>
          <w:szCs w:val="32"/>
          <w:lang w:val="zh-CN"/>
        </w:rPr>
      </w:pPr>
      <w:bookmarkStart w:id="0" w:name="zhengwen"/>
      <w:r w:rsidRPr="00C9539B">
        <w:rPr>
          <w:rFonts w:ascii="黑体" w:eastAsia="黑体" w:hAnsi="黑体"/>
          <w:bCs/>
          <w:kern w:val="0"/>
          <w:sz w:val="32"/>
          <w:szCs w:val="32"/>
          <w:lang w:val="zh-CN"/>
        </w:rPr>
        <w:t>附件1</w:t>
      </w:r>
    </w:p>
    <w:p w:rsidR="006D539A" w:rsidRPr="00A10097" w:rsidRDefault="006D539A" w:rsidP="006D539A">
      <w:pPr>
        <w:autoSpaceDE w:val="0"/>
        <w:autoSpaceDN w:val="0"/>
        <w:adjustRightInd w:val="0"/>
        <w:rPr>
          <w:rFonts w:eastAsia="黑体"/>
          <w:bCs/>
          <w:kern w:val="0"/>
          <w:sz w:val="32"/>
          <w:szCs w:val="32"/>
          <w:lang w:val="zh-CN"/>
        </w:rPr>
      </w:pPr>
    </w:p>
    <w:p w:rsidR="006D539A" w:rsidRPr="00A10097" w:rsidRDefault="006D539A" w:rsidP="006D539A">
      <w:pPr>
        <w:spacing w:before="100" w:beforeAutospacing="1" w:after="100" w:afterAutospacing="1" w:line="640" w:lineRule="exact"/>
        <w:ind w:leftChars="-3" w:left="-6" w:rightChars="-70" w:right="-147" w:firstLineChars="1" w:firstLine="4"/>
        <w:jc w:val="center"/>
        <w:rPr>
          <w:rFonts w:eastAsia="方正小标宋简体"/>
          <w:color w:val="000000"/>
          <w:sz w:val="44"/>
          <w:szCs w:val="44"/>
        </w:rPr>
      </w:pPr>
      <w:r w:rsidRPr="00A10097">
        <w:rPr>
          <w:rFonts w:eastAsia="方正小标宋简体"/>
          <w:color w:val="000000"/>
          <w:sz w:val="44"/>
          <w:szCs w:val="44"/>
        </w:rPr>
        <w:t>人工颈椎间盘假体注册技术审查指导原则</w:t>
      </w:r>
    </w:p>
    <w:p w:rsidR="006D539A" w:rsidRPr="00A10097" w:rsidRDefault="006D539A" w:rsidP="006D539A">
      <w:pPr>
        <w:spacing w:line="260" w:lineRule="exact"/>
        <w:ind w:firstLineChars="200" w:firstLine="640"/>
        <w:rPr>
          <w:rFonts w:eastAsia="黑体"/>
          <w:bCs/>
          <w:sz w:val="32"/>
          <w:szCs w:val="32"/>
        </w:rPr>
      </w:pPr>
    </w:p>
    <w:p w:rsidR="006D539A" w:rsidRPr="00A10097" w:rsidRDefault="006D539A" w:rsidP="006D539A">
      <w:pPr>
        <w:spacing w:line="600" w:lineRule="exact"/>
        <w:ind w:firstLineChars="200" w:firstLine="640"/>
        <w:rPr>
          <w:rFonts w:eastAsia="仿宋_GB2312"/>
          <w:sz w:val="32"/>
          <w:szCs w:val="32"/>
        </w:rPr>
      </w:pPr>
      <w:r w:rsidRPr="00A10097">
        <w:rPr>
          <w:rFonts w:eastAsia="仿宋_GB2312"/>
          <w:sz w:val="32"/>
          <w:szCs w:val="32"/>
        </w:rPr>
        <w:t>本指导原则旨在为申请人进行人工颈椎间盘假体的注册申报提供技术指导，同时也为食品药品监督管理部门对注册申报资料的审评提供技术参考。</w:t>
      </w:r>
    </w:p>
    <w:p w:rsidR="006D539A" w:rsidRPr="00A10097" w:rsidRDefault="006D539A" w:rsidP="006D539A">
      <w:pPr>
        <w:spacing w:line="600" w:lineRule="exact"/>
        <w:ind w:firstLineChars="200" w:firstLine="640"/>
        <w:rPr>
          <w:rFonts w:eastAsia="仿宋_GB2312"/>
          <w:sz w:val="32"/>
          <w:szCs w:val="32"/>
        </w:rPr>
      </w:pPr>
      <w:r w:rsidRPr="00A10097">
        <w:rPr>
          <w:rFonts w:eastAsia="仿宋_GB2312"/>
          <w:sz w:val="32"/>
          <w:szCs w:val="32"/>
        </w:rPr>
        <w:t>本指导原则系对人工颈椎间盘假体注册申报资料的一般要求，申请人应依据具体产品的特性对注册申报资料的内容进行充实和细化，并依据具体产品的特性确定其中的具体内容是否适用，若不适用，需具体阐述其理由及相应的科学依据。</w:t>
      </w:r>
    </w:p>
    <w:p w:rsidR="006D539A" w:rsidRPr="00A10097" w:rsidRDefault="006D539A" w:rsidP="006D539A">
      <w:pPr>
        <w:spacing w:line="600" w:lineRule="exact"/>
        <w:ind w:firstLineChars="200" w:firstLine="640"/>
        <w:rPr>
          <w:rFonts w:eastAsia="仿宋_GB2312"/>
          <w:sz w:val="32"/>
          <w:szCs w:val="32"/>
        </w:rPr>
      </w:pPr>
      <w:r w:rsidRPr="00A10097">
        <w:rPr>
          <w:rFonts w:eastAsia="仿宋_GB2312"/>
          <w:sz w:val="32"/>
          <w:szCs w:val="32"/>
        </w:rPr>
        <w:t>本指导原则是对申请人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6D539A" w:rsidRPr="00A10097" w:rsidRDefault="006D539A" w:rsidP="006D539A">
      <w:pPr>
        <w:spacing w:line="600" w:lineRule="exact"/>
        <w:ind w:firstLineChars="200" w:firstLine="640"/>
        <w:rPr>
          <w:rFonts w:eastAsia="仿宋_GB2312"/>
          <w:sz w:val="32"/>
          <w:szCs w:val="32"/>
        </w:rPr>
      </w:pPr>
      <w:r w:rsidRPr="00A10097">
        <w:rPr>
          <w:rFonts w:eastAsia="仿宋_GB2312"/>
          <w:sz w:val="32"/>
          <w:szCs w:val="32"/>
        </w:rPr>
        <w:t>本指导原则是在现行法规和标准体系以及当前认知水平下制定的，随着法规和标准的不断完善，以及科学技术的不断发展，本指导原则相关内容也将进行适时的调整。</w:t>
      </w:r>
    </w:p>
    <w:p w:rsidR="006D539A" w:rsidRPr="00A10097" w:rsidRDefault="006D539A" w:rsidP="006D539A">
      <w:pPr>
        <w:spacing w:line="600" w:lineRule="exact"/>
        <w:ind w:firstLineChars="200" w:firstLine="640"/>
        <w:rPr>
          <w:rFonts w:eastAsia="黑体"/>
          <w:bCs/>
          <w:sz w:val="32"/>
          <w:szCs w:val="32"/>
        </w:rPr>
      </w:pPr>
      <w:r w:rsidRPr="00A10097">
        <w:rPr>
          <w:rFonts w:eastAsia="黑体"/>
          <w:bCs/>
          <w:sz w:val="32"/>
          <w:szCs w:val="32"/>
        </w:rPr>
        <w:t>一、适用范围</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本指导原则涉及的产品适用于人工颈椎间盘假体置换，包括</w:t>
      </w:r>
      <w:r w:rsidRPr="00A10097">
        <w:rPr>
          <w:rFonts w:eastAsia="仿宋_GB2312"/>
          <w:sz w:val="32"/>
          <w:szCs w:val="32"/>
        </w:rPr>
        <w:lastRenderedPageBreak/>
        <w:t>上终板、髓核假体、下终板，由金属及其合金、涂层材料、超高分子量聚乙烯或陶瓷等材料制成。本指导原则不适用于弹性人工髓核、个性化定制等的产品。</w:t>
      </w:r>
    </w:p>
    <w:p w:rsidR="006D539A" w:rsidRPr="00A10097" w:rsidRDefault="006D539A" w:rsidP="006D539A">
      <w:pPr>
        <w:spacing w:line="580" w:lineRule="exact"/>
        <w:ind w:firstLineChars="200" w:firstLine="640"/>
        <w:rPr>
          <w:rFonts w:eastAsia="黑体"/>
          <w:bCs/>
          <w:sz w:val="32"/>
          <w:szCs w:val="32"/>
        </w:rPr>
      </w:pPr>
      <w:r w:rsidRPr="00A10097">
        <w:rPr>
          <w:rFonts w:eastAsia="黑体"/>
          <w:bCs/>
          <w:sz w:val="32"/>
          <w:szCs w:val="32"/>
        </w:rPr>
        <w:t>二、注册单元划分原则</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人工颈椎间盘假体临床预期用途较为单一，各组件互相配套用于临床，且不同尺寸规格间配合关系较为确定，故单一组件不作为独立单元进行申报。作为单一整体组配或组合使用的组件可以按同一注册单元申报，如：作为同一系统组件配合使用的、材质已确定且唯一的上终板、髓核假体、下终板，虽组件间材质不同，可作为同一注册单元申报。不同结构设计型式的产品，如运动保留型式、运动限制型式、固定结构型式、其关节面材料组配不同，均作为不同的注册单元进行申报；材质不同的同类组件应划分为不同的注册单元。</w:t>
      </w:r>
    </w:p>
    <w:p w:rsidR="006D539A" w:rsidRPr="00A10097" w:rsidRDefault="006D539A" w:rsidP="006D539A">
      <w:pPr>
        <w:spacing w:line="580" w:lineRule="exact"/>
        <w:ind w:firstLineChars="200" w:firstLine="640"/>
        <w:rPr>
          <w:rFonts w:eastAsia="黑体"/>
          <w:bCs/>
          <w:sz w:val="32"/>
          <w:szCs w:val="32"/>
        </w:rPr>
      </w:pPr>
      <w:r w:rsidRPr="00A10097">
        <w:rPr>
          <w:rFonts w:eastAsia="黑体"/>
          <w:bCs/>
          <w:sz w:val="32"/>
          <w:szCs w:val="32"/>
        </w:rPr>
        <w:t>三、注册申报资料要求</w:t>
      </w:r>
    </w:p>
    <w:p w:rsidR="006D539A" w:rsidRPr="00A10097" w:rsidRDefault="006D539A" w:rsidP="006D539A">
      <w:pPr>
        <w:spacing w:line="580" w:lineRule="exact"/>
        <w:ind w:firstLineChars="200" w:firstLine="640"/>
        <w:rPr>
          <w:rFonts w:eastAsia="黑体"/>
          <w:bCs/>
          <w:sz w:val="32"/>
          <w:szCs w:val="32"/>
        </w:rPr>
      </w:pPr>
      <w:r w:rsidRPr="00A10097">
        <w:rPr>
          <w:rFonts w:eastAsia="楷体_GB2312"/>
          <w:bCs/>
          <w:sz w:val="32"/>
          <w:szCs w:val="32"/>
        </w:rPr>
        <w:t>（一）综述资料</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管理类别、分类编码及规范性命名</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根据《医疗器械分类规则》、《医疗器械通用名称命名规则》等相关文件，按照申报产品的设计特征和适用范围，确定其管理类别、分类编码及规范性命名，并论述其确定依据。</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2.</w:t>
      </w:r>
      <w:r w:rsidRPr="00A10097">
        <w:rPr>
          <w:rFonts w:eastAsia="仿宋_GB2312"/>
          <w:sz w:val="32"/>
          <w:szCs w:val="32"/>
        </w:rPr>
        <w:t>产品的基本信息</w:t>
      </w:r>
    </w:p>
    <w:p w:rsidR="006D539A" w:rsidRPr="00A10097" w:rsidRDefault="006D539A" w:rsidP="006D539A">
      <w:pPr>
        <w:ind w:firstLineChars="200" w:firstLine="640"/>
        <w:rPr>
          <w:rFonts w:eastAsia="楷体_GB2312"/>
          <w:bCs/>
          <w:sz w:val="32"/>
          <w:szCs w:val="32"/>
        </w:rPr>
      </w:pPr>
      <w:r w:rsidRPr="00A10097">
        <w:rPr>
          <w:rFonts w:eastAsia="仿宋"/>
          <w:bCs/>
          <w:sz w:val="32"/>
          <w:szCs w:val="32"/>
        </w:rPr>
        <w:t>主要包括：</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）产品组成、编号以及每个组件的名称、编号；提供产</w:t>
      </w:r>
      <w:r w:rsidRPr="00A10097">
        <w:rPr>
          <w:rFonts w:eastAsia="仿宋_GB2312"/>
          <w:sz w:val="32"/>
          <w:szCs w:val="32"/>
        </w:rPr>
        <w:lastRenderedPageBreak/>
        <w:t>品各型号规格的划分原则。</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）产品各组件及涂层的材料牌号及其符合的国家标准、国际标准、行业标准，材料牌号的描述应与符合的标准一致。进口产品材料牌号的描述及其符合的标准应与原产国上市证明文件</w:t>
      </w:r>
      <w:r w:rsidRPr="00A10097">
        <w:rPr>
          <w:rFonts w:eastAsia="仿宋_GB2312"/>
          <w:sz w:val="32"/>
          <w:szCs w:val="32"/>
        </w:rPr>
        <w:t>/</w:t>
      </w:r>
      <w:r w:rsidRPr="00A10097">
        <w:rPr>
          <w:rFonts w:eastAsia="仿宋_GB2312"/>
          <w:sz w:val="32"/>
          <w:szCs w:val="32"/>
        </w:rPr>
        <w:t>说明书一致，且不低于相关国家标准、行业标准的要求。</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产品的表面改性处理情况，例如表面涂层及其相关的制备工艺等；产品表面包括但不限于上下终板与椎体结合面以及产品内部的运动关节面，涂层包括但不限于生物活性涂层、耐磨改性涂层等，需要给出改性层或涂层的元素成分、组织结构、理化性能、力学性能、结合强度等信息及其相关的制备工艺。</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提供体现产品结构特征及技术特点的结构图，以及各组件的几何结构和每项设计特征的功能说明；产品典型结构示意图中明确重要尺寸的起止点以及可用尺寸范围的整体说明；明确产品的几何尺寸、公差及表面粗糙度，如产品高度、宽度、深度、终板接触面的弧度、倾角等外形尺寸，以及产品旋转中心高度、关节面直径等识别产品规格特征、结构和配伍的重要尺寸，结构图应以产品</w:t>
      </w:r>
      <w:r w:rsidRPr="00A10097">
        <w:rPr>
          <w:rFonts w:eastAsia="仿宋_GB2312"/>
          <w:sz w:val="32"/>
          <w:szCs w:val="32"/>
        </w:rPr>
        <w:t>CAD</w:t>
      </w:r>
      <w:r w:rsidRPr="00A10097">
        <w:rPr>
          <w:rFonts w:eastAsia="仿宋_GB2312"/>
          <w:sz w:val="32"/>
          <w:szCs w:val="32"/>
        </w:rPr>
        <w:t>设计工程图为蓝本，从整体外观、各维度剖面及侧面、局部细节明确产品的设计特征。</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）提供产品的适用范围、禁忌证，并提供相应的文献资料等科学依据以论证其范围的合理性。</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lastRenderedPageBreak/>
        <w:t>（二）研究资料</w:t>
      </w:r>
    </w:p>
    <w:p w:rsidR="006D539A" w:rsidRPr="00A10097" w:rsidRDefault="006D539A" w:rsidP="006D539A">
      <w:pPr>
        <w:ind w:firstLineChars="200" w:firstLine="640"/>
        <w:rPr>
          <w:rFonts w:eastAsia="仿宋"/>
          <w:bCs/>
          <w:sz w:val="32"/>
          <w:szCs w:val="32"/>
        </w:rPr>
      </w:pPr>
      <w:r w:rsidRPr="00A10097">
        <w:rPr>
          <w:rFonts w:eastAsia="仿宋"/>
          <w:bCs/>
          <w:sz w:val="32"/>
          <w:szCs w:val="32"/>
        </w:rPr>
        <w:t>1.</w:t>
      </w:r>
      <w:r w:rsidRPr="00A10097">
        <w:rPr>
          <w:rFonts w:eastAsia="仿宋"/>
          <w:bCs/>
          <w:sz w:val="32"/>
          <w:szCs w:val="32"/>
        </w:rPr>
        <w:t>产品性能研究</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对于拟上市产品，申请人应在预期用途、部件材料、产品结构、尺寸范围、静</w:t>
      </w:r>
      <w:r w:rsidRPr="00A10097">
        <w:rPr>
          <w:rFonts w:eastAsia="仿宋_GB2312"/>
          <w:sz w:val="32"/>
          <w:szCs w:val="32"/>
        </w:rPr>
        <w:t>/</w:t>
      </w:r>
      <w:r w:rsidRPr="00A10097">
        <w:rPr>
          <w:rFonts w:eastAsia="仿宋_GB2312"/>
          <w:sz w:val="32"/>
          <w:szCs w:val="32"/>
        </w:rPr>
        <w:t>动态力学性能和磨损试验等方面与已上市同类产品进行对比，以证明其具有相同的安全有效性。</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）人工颈椎间盘假体及其组件静态和动态力学性能试验资料</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为了证明产品可以长期安全有效地应用于预期患者，申请人应根据产品的情况选择相应的试验项目进行验证，在申报的产品中针对每种测试选择最差情况的产品实施相应力学性能试验，最差情况的选择应说明理由，必要时采用有限元分析方法并给出分析报告。</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颈椎间盘假体及其组件静态和动态力学测试项目包括但不限于：</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静态轴向压缩测试；</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静态剪切压缩测试；</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静态全器械推出；</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静态嵌件推出；</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静态沉陷测试；</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轴向压缩蠕变试验；</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碰撞试验；</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lastRenderedPageBreak/>
        <w:t>半脱位试验；</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终板弯曲试验；</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扭转试验；</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动态轴向压缩测试；</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动态剪切压缩测试；</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申请人应根据产品特点选择相关试验，如不适用应说明不适用的理由。</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）人工颈椎间盘假体磨损试验</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申请人应对产品关节面的匹配合理性予以论证，如摩擦面选择依据、关节面尺寸对磨损量的影响等，并选取预期配合使用关节面的最差情形提供磨损试验，提供其结果可接受的依据。</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磨损试验应依据</w:t>
      </w:r>
      <w:r w:rsidRPr="00A10097">
        <w:rPr>
          <w:rFonts w:eastAsia="仿宋_GB2312"/>
          <w:sz w:val="32"/>
          <w:szCs w:val="32"/>
        </w:rPr>
        <w:t>ISO 18192-1-2011</w:t>
      </w:r>
      <w:r w:rsidRPr="00A10097">
        <w:rPr>
          <w:rFonts w:eastAsia="仿宋_GB2312"/>
          <w:sz w:val="32"/>
          <w:szCs w:val="32"/>
        </w:rPr>
        <w:t>（注：本指导原则中标准适用最新版本，下同）或</w:t>
      </w:r>
      <w:r w:rsidRPr="00A10097">
        <w:rPr>
          <w:rFonts w:eastAsia="仿宋_GB2312"/>
          <w:sz w:val="32"/>
          <w:szCs w:val="32"/>
        </w:rPr>
        <w:t>ASTMF2423-2011</w:t>
      </w:r>
      <w:r w:rsidRPr="00A10097">
        <w:rPr>
          <w:rFonts w:eastAsia="仿宋_GB2312"/>
          <w:sz w:val="32"/>
          <w:szCs w:val="32"/>
        </w:rPr>
        <w:t>标准进行。</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申请人应依据</w:t>
      </w:r>
      <w:r w:rsidRPr="00A10097">
        <w:rPr>
          <w:rFonts w:eastAsia="仿宋_GB2312"/>
          <w:sz w:val="32"/>
          <w:szCs w:val="32"/>
        </w:rPr>
        <w:t>ISO 17853-2011</w:t>
      </w:r>
      <w:r w:rsidRPr="00A10097">
        <w:rPr>
          <w:rFonts w:eastAsia="仿宋_GB2312"/>
          <w:sz w:val="32"/>
          <w:szCs w:val="32"/>
        </w:rPr>
        <w:t>或</w:t>
      </w:r>
      <w:r w:rsidRPr="00A10097">
        <w:rPr>
          <w:rFonts w:eastAsia="仿宋_GB2312"/>
          <w:sz w:val="32"/>
          <w:szCs w:val="32"/>
        </w:rPr>
        <w:t>ASTM F1877-2016</w:t>
      </w:r>
      <w:r w:rsidRPr="00A10097">
        <w:rPr>
          <w:rFonts w:eastAsia="仿宋_GB2312"/>
          <w:sz w:val="32"/>
          <w:szCs w:val="32"/>
        </w:rPr>
        <w:t>或</w:t>
      </w:r>
      <w:r w:rsidRPr="00A10097">
        <w:rPr>
          <w:rFonts w:eastAsia="仿宋_GB2312"/>
          <w:sz w:val="32"/>
          <w:szCs w:val="32"/>
        </w:rPr>
        <w:t>ASTM F561-2013</w:t>
      </w:r>
      <w:r w:rsidRPr="00A10097">
        <w:rPr>
          <w:rFonts w:eastAsia="仿宋_GB2312"/>
          <w:sz w:val="32"/>
          <w:szCs w:val="32"/>
        </w:rPr>
        <w:t>标准对产品的磨损颗粒分析评估，如颗粒形状、粒径分布等；</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如磨损颗粒未经全面评价，还应进行如下实验：</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注射磨损试验所得不同粒径的磨损颗粒至家兔硬脊膜外腔试验，应评价磨损碎屑的局部反应和全身反应，如生物相容性、神经反应、组织反应和毒性。组织学观察应关注动物脊髓、硬脑膜和局部淋巴结，同时建议对其他的组织和器官进行评价，如心</w:t>
      </w:r>
      <w:r w:rsidRPr="00A10097">
        <w:rPr>
          <w:rFonts w:eastAsia="仿宋_GB2312"/>
          <w:sz w:val="32"/>
          <w:szCs w:val="32"/>
        </w:rPr>
        <w:lastRenderedPageBreak/>
        <w:t>脏、肺、肝、脾、肾和胰腺等器官的变化，观察时间点应包含植入后</w:t>
      </w:r>
      <w:r w:rsidRPr="00A10097">
        <w:rPr>
          <w:rFonts w:eastAsia="仿宋_GB2312"/>
          <w:sz w:val="32"/>
          <w:szCs w:val="32"/>
        </w:rPr>
        <w:t>3</w:t>
      </w:r>
      <w:r w:rsidRPr="00A10097">
        <w:rPr>
          <w:rFonts w:eastAsia="仿宋_GB2312"/>
          <w:sz w:val="32"/>
          <w:szCs w:val="32"/>
        </w:rPr>
        <w:t>个月和</w:t>
      </w:r>
      <w:r w:rsidRPr="00A10097">
        <w:rPr>
          <w:rFonts w:eastAsia="仿宋_GB2312"/>
          <w:sz w:val="32"/>
          <w:szCs w:val="32"/>
        </w:rPr>
        <w:t>6</w:t>
      </w:r>
      <w:r w:rsidRPr="00A10097">
        <w:rPr>
          <w:rFonts w:eastAsia="仿宋_GB2312"/>
          <w:sz w:val="32"/>
          <w:szCs w:val="32"/>
        </w:rPr>
        <w:t>个月，但根据材料或器械的不同，必要时可能需要更长的时间进行观察。</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）产品涂层力学测试研究资料</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磷酸钙涂层应符合</w:t>
      </w:r>
      <w:r w:rsidRPr="00A10097">
        <w:rPr>
          <w:rFonts w:eastAsia="仿宋_GB2312"/>
          <w:sz w:val="32"/>
          <w:szCs w:val="32"/>
        </w:rPr>
        <w:t>ASTM F1609-2014</w:t>
      </w:r>
      <w:r w:rsidRPr="00A10097">
        <w:rPr>
          <w:rFonts w:eastAsia="仿宋_GB2312"/>
          <w:sz w:val="32"/>
          <w:szCs w:val="32"/>
        </w:rPr>
        <w:t>标准的规定。</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羟基磷灰石涂层应符合</w:t>
      </w:r>
      <w:r w:rsidRPr="00A10097">
        <w:rPr>
          <w:rFonts w:eastAsia="仿宋_GB2312"/>
          <w:sz w:val="32"/>
          <w:szCs w:val="32"/>
        </w:rPr>
        <w:t>GB 23101.2-2008</w:t>
      </w:r>
      <w:r w:rsidRPr="00A10097">
        <w:rPr>
          <w:rFonts w:eastAsia="仿宋_GB2312"/>
          <w:sz w:val="32"/>
          <w:szCs w:val="32"/>
        </w:rPr>
        <w:t>的规定。</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对于热喷涂于上、下终板表面的涂层，应规定涂层厚度、孔隙率和平均孔隙率截距的要求，可参考</w:t>
      </w:r>
      <w:r w:rsidRPr="00A10097">
        <w:rPr>
          <w:rFonts w:eastAsia="仿宋_GB2312"/>
          <w:sz w:val="32"/>
          <w:szCs w:val="32"/>
        </w:rPr>
        <w:t>ASTM F1854-2015</w:t>
      </w:r>
      <w:r w:rsidRPr="00A10097">
        <w:rPr>
          <w:rFonts w:eastAsia="仿宋_GB2312"/>
          <w:sz w:val="32"/>
          <w:szCs w:val="32"/>
        </w:rPr>
        <w:t>标准进行，提供测试方法和评价标准，并按照</w:t>
      </w:r>
      <w:r w:rsidRPr="00A10097">
        <w:rPr>
          <w:rFonts w:eastAsia="仿宋_GB2312"/>
          <w:sz w:val="32"/>
          <w:szCs w:val="32"/>
        </w:rPr>
        <w:t>ASTM F1044-2011</w:t>
      </w:r>
      <w:r w:rsidRPr="00A10097">
        <w:rPr>
          <w:rFonts w:eastAsia="仿宋_GB2312"/>
          <w:sz w:val="32"/>
          <w:szCs w:val="32"/>
        </w:rPr>
        <w:t>、</w:t>
      </w:r>
      <w:r w:rsidRPr="00A10097">
        <w:rPr>
          <w:rFonts w:eastAsia="仿宋_GB2312"/>
          <w:sz w:val="32"/>
          <w:szCs w:val="32"/>
        </w:rPr>
        <w:t>F1147-2011</w:t>
      </w:r>
      <w:r w:rsidRPr="00A10097">
        <w:rPr>
          <w:rFonts w:eastAsia="仿宋_GB2312"/>
          <w:sz w:val="32"/>
          <w:szCs w:val="32"/>
        </w:rPr>
        <w:t>、</w:t>
      </w:r>
      <w:r w:rsidRPr="00A10097">
        <w:rPr>
          <w:rFonts w:eastAsia="仿宋_GB2312"/>
          <w:sz w:val="32"/>
          <w:szCs w:val="32"/>
        </w:rPr>
        <w:t>F1160-2014</w:t>
      </w:r>
      <w:r w:rsidRPr="00A10097">
        <w:rPr>
          <w:rFonts w:eastAsia="仿宋_GB2312"/>
          <w:sz w:val="32"/>
          <w:szCs w:val="32"/>
        </w:rPr>
        <w:t>分别进行剪切试验、拉伸试验、剪切和弯曲疲劳试验。一般情况下，剪切强度应不低于</w:t>
      </w:r>
      <w:r w:rsidRPr="00A10097">
        <w:rPr>
          <w:rFonts w:eastAsia="仿宋_GB2312"/>
          <w:sz w:val="32"/>
          <w:szCs w:val="32"/>
        </w:rPr>
        <w:t>20MPa</w:t>
      </w:r>
      <w:r w:rsidRPr="00A10097">
        <w:rPr>
          <w:rFonts w:eastAsia="仿宋_GB2312"/>
          <w:sz w:val="32"/>
          <w:szCs w:val="32"/>
        </w:rPr>
        <w:t>，拉伸强度应不低于</w:t>
      </w:r>
      <w:r w:rsidRPr="00A10097">
        <w:rPr>
          <w:rFonts w:eastAsia="仿宋_GB2312"/>
          <w:sz w:val="32"/>
          <w:szCs w:val="32"/>
        </w:rPr>
        <w:t>22MPa</w:t>
      </w:r>
      <w:r w:rsidRPr="00A10097">
        <w:rPr>
          <w:rFonts w:eastAsia="仿宋_GB2312"/>
          <w:sz w:val="32"/>
          <w:szCs w:val="32"/>
        </w:rPr>
        <w:t>，疲劳试验应经历</w:t>
      </w:r>
      <w:r w:rsidRPr="00A10097">
        <w:rPr>
          <w:rFonts w:eastAsia="仿宋_GB2312"/>
          <w:sz w:val="32"/>
          <w:szCs w:val="32"/>
        </w:rPr>
        <w:t>10</w:t>
      </w:r>
      <w:r w:rsidRPr="00A10097">
        <w:rPr>
          <w:rFonts w:eastAsia="仿宋_GB2312"/>
          <w:sz w:val="32"/>
          <w:szCs w:val="32"/>
          <w:vertAlign w:val="superscript"/>
        </w:rPr>
        <w:t>7</w:t>
      </w:r>
      <w:r w:rsidRPr="00A10097">
        <w:rPr>
          <w:rFonts w:eastAsia="仿宋_GB2312"/>
          <w:sz w:val="32"/>
          <w:szCs w:val="32"/>
        </w:rPr>
        <w:t>正应力循环或持续到样件失效。还应按照</w:t>
      </w:r>
      <w:r w:rsidRPr="00A10097">
        <w:rPr>
          <w:rFonts w:eastAsia="仿宋_GB2312"/>
          <w:sz w:val="32"/>
          <w:szCs w:val="32"/>
        </w:rPr>
        <w:t>ASTM F1978-2012</w:t>
      </w:r>
      <w:r w:rsidRPr="00A10097">
        <w:rPr>
          <w:rFonts w:eastAsia="仿宋_GB2312"/>
          <w:sz w:val="32"/>
          <w:szCs w:val="32"/>
        </w:rPr>
        <w:t>进行耐磨性能试验，涂层的磨损满足</w:t>
      </w:r>
      <w:r w:rsidRPr="00A10097">
        <w:rPr>
          <w:rFonts w:eastAsia="仿宋_GB2312"/>
          <w:sz w:val="32"/>
          <w:szCs w:val="32"/>
        </w:rPr>
        <w:t>100</w:t>
      </w:r>
      <w:r w:rsidRPr="00A10097">
        <w:rPr>
          <w:rFonts w:eastAsia="仿宋_GB2312"/>
          <w:sz w:val="32"/>
          <w:szCs w:val="32"/>
        </w:rPr>
        <w:t>个周期后，质量损耗总值小于</w:t>
      </w:r>
      <w:r w:rsidRPr="00A10097">
        <w:rPr>
          <w:rFonts w:eastAsia="仿宋_GB2312"/>
          <w:sz w:val="32"/>
          <w:szCs w:val="32"/>
        </w:rPr>
        <w:t>65mg</w:t>
      </w:r>
      <w:r w:rsidRPr="00A10097">
        <w:rPr>
          <w:rFonts w:eastAsia="仿宋_GB2312"/>
          <w:sz w:val="32"/>
          <w:szCs w:val="32"/>
        </w:rPr>
        <w:t>。如果涂层不是永久性的，应通过动物实验及适当的组织学分析，说明其在体内的降解产物，并详述其降解机制、化学反应的类型、涂层或降解产物是否会引起周围组织的损伤。</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）针对高交联超高分子量聚乙烯部件，应按</w:t>
      </w:r>
      <w:r w:rsidRPr="00A10097">
        <w:rPr>
          <w:rFonts w:eastAsia="仿宋_GB2312"/>
          <w:sz w:val="32"/>
          <w:szCs w:val="32"/>
        </w:rPr>
        <w:t>YY/T 0811-2010</w:t>
      </w:r>
      <w:r w:rsidRPr="00A10097">
        <w:rPr>
          <w:rFonts w:eastAsia="仿宋_GB2312"/>
          <w:sz w:val="32"/>
          <w:szCs w:val="32"/>
        </w:rPr>
        <w:t>要求列出材料各参数接受限及其确定的依据。</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）市场未出现的新设计型式的产品，应选择相应动物试验模型对临床使用中预期的解剖结构、生理学、生物力学和体内</w:t>
      </w:r>
      <w:r w:rsidRPr="00A10097">
        <w:rPr>
          <w:rFonts w:eastAsia="仿宋_GB2312"/>
          <w:sz w:val="32"/>
          <w:szCs w:val="32"/>
        </w:rPr>
        <w:lastRenderedPageBreak/>
        <w:t>载荷进行评估，建议针对产品选取山羊、绵羊、犬、灵长类动物中的一种进行颈椎间盘假体置换试验。</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6</w:t>
      </w:r>
      <w:r w:rsidRPr="00A10097">
        <w:rPr>
          <w:rFonts w:eastAsia="仿宋_GB2312"/>
          <w:sz w:val="32"/>
          <w:szCs w:val="32"/>
        </w:rPr>
        <w:t>）陶瓷关节面的性能要求：应提供不同材质部件间结合强度，关节面的表面粗糙度确定依据。</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7</w:t>
      </w:r>
      <w:r w:rsidRPr="00A10097">
        <w:rPr>
          <w:rFonts w:eastAsia="仿宋_GB2312"/>
          <w:sz w:val="32"/>
          <w:szCs w:val="32"/>
        </w:rPr>
        <w:t>）</w:t>
      </w:r>
      <w:r w:rsidRPr="00A10097">
        <w:rPr>
          <w:rFonts w:eastAsia="仿宋_GB2312"/>
          <w:sz w:val="32"/>
          <w:szCs w:val="32"/>
        </w:rPr>
        <w:t>MRI</w:t>
      </w:r>
      <w:r w:rsidRPr="00A10097">
        <w:rPr>
          <w:rFonts w:eastAsia="仿宋_GB2312"/>
          <w:sz w:val="32"/>
          <w:szCs w:val="32"/>
        </w:rPr>
        <w:t>兼容性测试</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申请人应对申报产品进行</w:t>
      </w:r>
      <w:r w:rsidRPr="00A10097">
        <w:rPr>
          <w:rFonts w:eastAsia="仿宋_GB2312"/>
          <w:sz w:val="32"/>
          <w:szCs w:val="32"/>
        </w:rPr>
        <w:t>MRI</w:t>
      </w:r>
      <w:r w:rsidRPr="00A10097">
        <w:rPr>
          <w:rFonts w:eastAsia="仿宋_GB2312"/>
          <w:sz w:val="32"/>
          <w:szCs w:val="32"/>
        </w:rPr>
        <w:t>兼容性的相关验证，需根据</w:t>
      </w:r>
      <w:r w:rsidRPr="00A10097">
        <w:rPr>
          <w:rFonts w:eastAsia="仿宋_GB2312"/>
          <w:sz w:val="32"/>
          <w:szCs w:val="32"/>
        </w:rPr>
        <w:t>ASTM F2052-2015</w:t>
      </w:r>
      <w:r w:rsidRPr="00A10097">
        <w:rPr>
          <w:rFonts w:eastAsia="仿宋_GB2312"/>
          <w:sz w:val="32"/>
          <w:szCs w:val="32"/>
        </w:rPr>
        <w:t>、</w:t>
      </w:r>
      <w:r w:rsidRPr="00A10097">
        <w:rPr>
          <w:rFonts w:eastAsia="仿宋_GB2312"/>
          <w:sz w:val="32"/>
          <w:szCs w:val="32"/>
        </w:rPr>
        <w:t>ASTM F2213-2011</w:t>
      </w:r>
      <w:r w:rsidRPr="00A10097">
        <w:rPr>
          <w:rFonts w:eastAsia="仿宋_GB2312"/>
          <w:sz w:val="32"/>
          <w:szCs w:val="32"/>
        </w:rPr>
        <w:t>、</w:t>
      </w:r>
      <w:r w:rsidRPr="00A10097">
        <w:rPr>
          <w:rFonts w:eastAsia="仿宋_GB2312"/>
          <w:sz w:val="32"/>
          <w:szCs w:val="32"/>
        </w:rPr>
        <w:t>ASTM F2182-2011a</w:t>
      </w:r>
      <w:r w:rsidRPr="00A10097">
        <w:rPr>
          <w:rFonts w:eastAsia="仿宋_GB2312"/>
          <w:sz w:val="32"/>
          <w:szCs w:val="32"/>
        </w:rPr>
        <w:t>、</w:t>
      </w:r>
      <w:r w:rsidRPr="00A10097">
        <w:rPr>
          <w:rFonts w:eastAsia="仿宋_GB2312"/>
          <w:sz w:val="32"/>
          <w:szCs w:val="32"/>
        </w:rPr>
        <w:t>ASTM F2119-2013</w:t>
      </w:r>
      <w:r w:rsidRPr="00A10097">
        <w:rPr>
          <w:rFonts w:eastAsia="仿宋_GB2312"/>
          <w:sz w:val="32"/>
          <w:szCs w:val="32"/>
        </w:rPr>
        <w:t>对产品在核磁环境下的磁致位移力、磁致扭矩、射频致热、伪影等项目进行评估。应根据研究报告，列出</w:t>
      </w:r>
      <w:r w:rsidRPr="00A10097">
        <w:rPr>
          <w:rFonts w:eastAsia="仿宋_GB2312"/>
          <w:sz w:val="32"/>
          <w:szCs w:val="32"/>
        </w:rPr>
        <w:t>MRI</w:t>
      </w:r>
      <w:r w:rsidRPr="00A10097">
        <w:rPr>
          <w:rFonts w:eastAsia="仿宋_GB2312"/>
          <w:sz w:val="32"/>
          <w:szCs w:val="32"/>
        </w:rPr>
        <w:t>试验设备、磁场强度、比吸收率（</w:t>
      </w:r>
      <w:r w:rsidRPr="00A10097">
        <w:rPr>
          <w:rFonts w:eastAsia="仿宋_GB2312"/>
          <w:sz w:val="32"/>
          <w:szCs w:val="32"/>
        </w:rPr>
        <w:t>SAR</w:t>
      </w:r>
      <w:r w:rsidRPr="00A10097">
        <w:rPr>
          <w:rFonts w:eastAsia="仿宋_GB2312"/>
          <w:sz w:val="32"/>
          <w:szCs w:val="32"/>
        </w:rPr>
        <w:t>）等试验参数及温升、位移力、扭矩及伪影评估结果，相关信息在说明书中予以明示。</w:t>
      </w:r>
    </w:p>
    <w:p w:rsidR="006D539A" w:rsidRPr="00A10097" w:rsidRDefault="006D539A" w:rsidP="006D539A">
      <w:pPr>
        <w:ind w:firstLineChars="200" w:firstLine="640"/>
        <w:rPr>
          <w:rFonts w:eastAsia="楷体_GB2312"/>
          <w:bCs/>
          <w:sz w:val="32"/>
          <w:szCs w:val="32"/>
        </w:rPr>
      </w:pPr>
      <w:r>
        <w:rPr>
          <w:rFonts w:eastAsia="仿宋" w:hint="eastAsia"/>
          <w:bCs/>
          <w:sz w:val="32"/>
          <w:szCs w:val="32"/>
        </w:rPr>
        <w:t>2.</w:t>
      </w:r>
      <w:r w:rsidRPr="00A10097">
        <w:rPr>
          <w:rFonts w:eastAsia="仿宋"/>
          <w:bCs/>
          <w:sz w:val="32"/>
          <w:szCs w:val="32"/>
        </w:rPr>
        <w:t>产品灭菌确认</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对于经辐照灭菌的产品，需明确辐照剂量及相关的验证报告，具体的剂量确定依据可参照</w:t>
      </w:r>
      <w:r w:rsidRPr="00A10097">
        <w:rPr>
          <w:rFonts w:eastAsia="仿宋_GB2312"/>
          <w:sz w:val="32"/>
          <w:szCs w:val="32"/>
        </w:rPr>
        <w:t>GB 18280</w:t>
      </w:r>
      <w:r w:rsidRPr="00A10097">
        <w:rPr>
          <w:rFonts w:eastAsia="仿宋_GB2312"/>
          <w:sz w:val="32"/>
          <w:szCs w:val="32"/>
        </w:rPr>
        <w:t>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对于经环氧乙烷灭菌的产品，需提供灭菌结果确认和过程控制报告，具体可参照</w:t>
      </w:r>
      <w:r w:rsidRPr="00A10097">
        <w:rPr>
          <w:rFonts w:eastAsia="仿宋_GB2312"/>
          <w:sz w:val="32"/>
          <w:szCs w:val="32"/>
        </w:rPr>
        <w:t>GB 18279</w:t>
      </w:r>
      <w:r w:rsidRPr="00A10097">
        <w:rPr>
          <w:rFonts w:eastAsia="仿宋_GB2312"/>
          <w:sz w:val="32"/>
          <w:szCs w:val="32"/>
        </w:rPr>
        <w:t>系列标准。</w:t>
      </w:r>
    </w:p>
    <w:p w:rsidR="006D539A" w:rsidRPr="00A10097" w:rsidRDefault="006D539A" w:rsidP="006D539A">
      <w:pPr>
        <w:ind w:firstLineChars="200" w:firstLine="640"/>
        <w:rPr>
          <w:rFonts w:eastAsia="楷体_GB2312"/>
          <w:bCs/>
          <w:sz w:val="32"/>
          <w:szCs w:val="32"/>
        </w:rPr>
      </w:pPr>
      <w:r>
        <w:rPr>
          <w:rFonts w:eastAsia="仿宋" w:hint="eastAsia"/>
          <w:bCs/>
          <w:sz w:val="32"/>
          <w:szCs w:val="32"/>
        </w:rPr>
        <w:t>3.</w:t>
      </w:r>
      <w:r w:rsidRPr="00A10097">
        <w:rPr>
          <w:rFonts w:eastAsia="仿宋"/>
          <w:bCs/>
          <w:sz w:val="32"/>
          <w:szCs w:val="32"/>
        </w:rPr>
        <w:t>产品有效期（货架寿命）的验证资料</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灭菌产品应参照《无源植入性医疗器械货架寿命申报资料指导原则》提供产品有效期（货架寿命）的验证资料。不同包装的产品应分别提供验证资料。灭菌验证资料中需要明确灭菌产品的包装材料、包装工艺及方法、加速老化试验或</w:t>
      </w:r>
      <w:r w:rsidRPr="00A10097">
        <w:rPr>
          <w:rFonts w:eastAsia="仿宋_GB2312"/>
          <w:sz w:val="32"/>
          <w:szCs w:val="32"/>
        </w:rPr>
        <w:t>/</w:t>
      </w:r>
      <w:r w:rsidRPr="00A10097">
        <w:rPr>
          <w:rFonts w:eastAsia="仿宋_GB2312"/>
          <w:sz w:val="32"/>
          <w:szCs w:val="32"/>
        </w:rPr>
        <w:t>和实时老化试验</w:t>
      </w:r>
      <w:r w:rsidRPr="00A10097">
        <w:rPr>
          <w:rFonts w:eastAsia="仿宋_GB2312"/>
          <w:sz w:val="32"/>
          <w:szCs w:val="32"/>
        </w:rPr>
        <w:lastRenderedPageBreak/>
        <w:t>报告。加速老化试验中应明确试验温度、湿度、加速老化时间的确定依据；老化试验后需要对包装完整性和包装强度的评价试验，如染色液穿透试验、气泡试验、材料密封强度试验、模拟运输等；若申请人提供其他医疗器械产品的灭菌验证资料，则应提供其与本次申报产品在原材料、灭菌方法、灭菌剂量、包装材料、包装工艺、包装方式及其它影响阻菌性能的因素方面具有等同性的证明资料。</w:t>
      </w:r>
    </w:p>
    <w:p w:rsidR="006D539A" w:rsidRPr="00A10097" w:rsidRDefault="006D539A" w:rsidP="006D539A">
      <w:pPr>
        <w:autoSpaceDE w:val="0"/>
        <w:autoSpaceDN w:val="0"/>
        <w:adjustRightInd w:val="0"/>
        <w:ind w:firstLineChars="200" w:firstLine="640"/>
        <w:rPr>
          <w:rFonts w:eastAsia="楷体_GB2312"/>
          <w:bCs/>
          <w:sz w:val="32"/>
          <w:szCs w:val="32"/>
        </w:rPr>
      </w:pPr>
      <w:r>
        <w:rPr>
          <w:rFonts w:eastAsia="仿宋" w:hint="eastAsia"/>
          <w:bCs/>
          <w:sz w:val="32"/>
          <w:szCs w:val="32"/>
        </w:rPr>
        <w:t>4.</w:t>
      </w:r>
      <w:r w:rsidRPr="00A10097">
        <w:rPr>
          <w:rFonts w:eastAsia="仿宋"/>
          <w:bCs/>
          <w:sz w:val="32"/>
          <w:szCs w:val="32"/>
        </w:rPr>
        <w:t>生物相容性评价</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产品的生物学安全性评价应按照</w:t>
      </w:r>
      <w:r w:rsidRPr="00A10097">
        <w:rPr>
          <w:rFonts w:eastAsia="仿宋_GB2312"/>
          <w:sz w:val="32"/>
          <w:szCs w:val="32"/>
        </w:rPr>
        <w:t>GB/T 16886.1-2011</w:t>
      </w:r>
      <w:r w:rsidRPr="00A10097">
        <w:rPr>
          <w:rFonts w:eastAsia="仿宋_GB2312"/>
          <w:sz w:val="32"/>
          <w:szCs w:val="32"/>
        </w:rPr>
        <w:t>《医疗器械生物学评价第</w:t>
      </w:r>
      <w:r w:rsidRPr="00A10097">
        <w:rPr>
          <w:rFonts w:eastAsia="仿宋_GB2312"/>
          <w:sz w:val="32"/>
          <w:szCs w:val="32"/>
        </w:rPr>
        <w:t>1</w:t>
      </w:r>
      <w:r w:rsidRPr="00A10097">
        <w:rPr>
          <w:rFonts w:eastAsia="仿宋_GB2312"/>
          <w:sz w:val="32"/>
          <w:szCs w:val="32"/>
        </w:rPr>
        <w:t>部分：风险管理过程中的评价与试验》中的系统方法框图进行风险评价，在缺乏相关数据时，补充进行必要的生物相容性测试。</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（三）生产制造信息</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详述产品的生产过程，提供生产工艺流程图；</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2.</w:t>
      </w:r>
      <w:r w:rsidRPr="00A10097">
        <w:rPr>
          <w:rFonts w:eastAsia="仿宋_GB2312"/>
          <w:sz w:val="32"/>
          <w:szCs w:val="32"/>
        </w:rPr>
        <w:t>明确特殊过程和关键工艺（如关节面抛光、上下终板喷涂等），提供特殊过程的确认资料以及关键工艺的验证资料；</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3.</w:t>
      </w:r>
      <w:r w:rsidRPr="00A10097">
        <w:rPr>
          <w:rFonts w:eastAsia="仿宋_GB2312"/>
          <w:sz w:val="32"/>
          <w:szCs w:val="32"/>
        </w:rPr>
        <w:t>明确表面处理工艺（如等离子喷涂等）；</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4.</w:t>
      </w:r>
      <w:r w:rsidRPr="00A10097">
        <w:rPr>
          <w:rFonts w:eastAsia="仿宋_GB2312"/>
          <w:sz w:val="32"/>
          <w:szCs w:val="32"/>
        </w:rPr>
        <w:t>明确生产工艺中涉及的各种加工助剂（如切削液、粘结剂、抛光剂等）质量控制标准；</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5.</w:t>
      </w:r>
      <w:r w:rsidRPr="00A10097">
        <w:rPr>
          <w:rFonts w:eastAsia="仿宋_GB2312"/>
          <w:sz w:val="32"/>
          <w:szCs w:val="32"/>
        </w:rPr>
        <w:t>明确产品的清洗过程，提供经清洗过程后加工助剂残留控制的验证资料。</w:t>
      </w:r>
    </w:p>
    <w:p w:rsidR="006D539A" w:rsidRPr="00C9539B" w:rsidRDefault="006D539A" w:rsidP="006D539A">
      <w:pPr>
        <w:ind w:firstLineChars="200" w:firstLine="640"/>
        <w:rPr>
          <w:rFonts w:ascii="楷体_GB2312" w:eastAsia="楷体_GB2312"/>
          <w:sz w:val="32"/>
          <w:szCs w:val="32"/>
        </w:rPr>
      </w:pPr>
      <w:r w:rsidRPr="00C9539B">
        <w:rPr>
          <w:rFonts w:ascii="楷体_GB2312" w:eastAsia="楷体_GB2312" w:hint="eastAsia"/>
          <w:sz w:val="32"/>
          <w:szCs w:val="32"/>
        </w:rPr>
        <w:lastRenderedPageBreak/>
        <w:t>（四）临床评价资料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人工颈椎间盘假体系统应在满足注册法规要求的前提下，可按照《医疗器械临床评价技术指导原则》进行同品种产品的临床数据对比、分析、评价，并按照《医疗器械临床评价技术指导原则》要求的项目和格式出具评价报告。</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于需要进行临床试验的，应当按照《医疗器械临床试验质量管理规范》的要求进行。提交的临床评价资料应当包括临床试验协议、临床试验方案和临床试验报告。开展临床试验研究时，在临床试验方案制定中建议考虑以下因素，包括但不限于：</w:t>
      </w:r>
    </w:p>
    <w:p w:rsidR="006D539A" w:rsidRPr="00A10097" w:rsidRDefault="006D539A" w:rsidP="006D539A">
      <w:pPr>
        <w:ind w:firstLineChars="200" w:firstLine="640"/>
        <w:rPr>
          <w:rFonts w:eastAsia="楷体_GB2312"/>
          <w:bCs/>
          <w:sz w:val="32"/>
          <w:szCs w:val="32"/>
        </w:rPr>
      </w:pPr>
      <w:r w:rsidRPr="00A10097">
        <w:rPr>
          <w:rFonts w:eastAsia="仿宋"/>
          <w:bCs/>
          <w:sz w:val="32"/>
          <w:szCs w:val="32"/>
        </w:rPr>
        <w:t>1.</w:t>
      </w:r>
      <w:r w:rsidRPr="00A10097">
        <w:rPr>
          <w:rFonts w:eastAsia="仿宋"/>
          <w:bCs/>
          <w:sz w:val="32"/>
          <w:szCs w:val="32"/>
        </w:rPr>
        <w:t>临床试验设计类型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考虑产品为永久性替代植入物，属于较高风险医疗器械，应进行符合《医疗器械临床试验质量管理规范》要求的多中心临床试验。对于设计型式和选材在国内市场已出现的产品，申请人可采用非随机平行对照研究，在疗效评价时，有可能由于基线不均衡而导致无法客观的评价试验结果，申请人应提供充分的理由解释结果的客观性和真实性；其他类型的产品，应采用具有良好对照的前瞻性的随机对照临床试验。</w:t>
      </w:r>
    </w:p>
    <w:p w:rsidR="006D539A" w:rsidRPr="00A10097" w:rsidRDefault="006D539A" w:rsidP="006D539A">
      <w:pPr>
        <w:ind w:firstLineChars="200" w:firstLine="640"/>
        <w:rPr>
          <w:rFonts w:eastAsia="楷体_GB2312"/>
          <w:bCs/>
          <w:sz w:val="32"/>
          <w:szCs w:val="32"/>
        </w:rPr>
      </w:pPr>
      <w:r w:rsidRPr="00A10097">
        <w:rPr>
          <w:rFonts w:eastAsia="仿宋"/>
          <w:bCs/>
          <w:sz w:val="32"/>
          <w:szCs w:val="32"/>
        </w:rPr>
        <w:t>2.</w:t>
      </w:r>
      <w:r w:rsidRPr="00A10097">
        <w:rPr>
          <w:rFonts w:eastAsia="仿宋"/>
          <w:bCs/>
          <w:sz w:val="32"/>
          <w:szCs w:val="32"/>
        </w:rPr>
        <w:t>入选、排除标准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人工颈椎间盘假体受试者应从脊髓型颈椎病、神经根型颈椎病、颈椎间盘突出症等需要进行前路减压的患者中选出。申请人及临床研究机构应根据申报产品的设计特征及其预期的适应证</w:t>
      </w:r>
      <w:r w:rsidRPr="00A10097">
        <w:rPr>
          <w:rFonts w:eastAsia="仿宋_GB2312"/>
          <w:sz w:val="32"/>
          <w:szCs w:val="32"/>
        </w:rPr>
        <w:t>/</w:t>
      </w:r>
      <w:r w:rsidRPr="00A10097">
        <w:rPr>
          <w:rFonts w:eastAsia="仿宋_GB2312"/>
          <w:sz w:val="32"/>
          <w:szCs w:val="32"/>
        </w:rPr>
        <w:lastRenderedPageBreak/>
        <w:t>禁忌证制定其临床试验的入选</w:t>
      </w:r>
      <w:r w:rsidRPr="00A10097">
        <w:rPr>
          <w:rFonts w:eastAsia="仿宋_GB2312"/>
          <w:sz w:val="32"/>
          <w:szCs w:val="32"/>
        </w:rPr>
        <w:t>/</w:t>
      </w:r>
      <w:r w:rsidRPr="00A10097">
        <w:rPr>
          <w:rFonts w:eastAsia="仿宋_GB2312"/>
          <w:sz w:val="32"/>
          <w:szCs w:val="32"/>
        </w:rPr>
        <w:t>排除</w:t>
      </w:r>
      <w:r w:rsidRPr="00A10097">
        <w:rPr>
          <w:rFonts w:eastAsia="仿宋_GB2312"/>
          <w:sz w:val="32"/>
          <w:szCs w:val="32"/>
        </w:rPr>
        <w:t>/</w:t>
      </w:r>
      <w:r w:rsidRPr="00A10097">
        <w:rPr>
          <w:rFonts w:eastAsia="仿宋_GB2312"/>
          <w:sz w:val="32"/>
          <w:szCs w:val="32"/>
        </w:rPr>
        <w:t>退出标准，不符合所有入选标准或者符合任何一项排除标准的研究对象应被排除。如下为</w:t>
      </w:r>
      <w:r w:rsidRPr="00A10097">
        <w:rPr>
          <w:rFonts w:eastAsia="仿宋_GB2312"/>
          <w:sz w:val="32"/>
          <w:szCs w:val="32"/>
        </w:rPr>
        <w:t>C3-C7</w:t>
      </w:r>
      <w:r w:rsidRPr="00A10097">
        <w:rPr>
          <w:rFonts w:eastAsia="仿宋_GB2312"/>
          <w:sz w:val="32"/>
          <w:szCs w:val="32"/>
        </w:rPr>
        <w:t>中单节段置换的举例：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人工颈椎间盘假体临床试验入选标准：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）患者年龄</w:t>
      </w:r>
      <w:r w:rsidRPr="00A10097">
        <w:rPr>
          <w:rFonts w:eastAsia="仿宋_GB2312"/>
          <w:sz w:val="32"/>
          <w:szCs w:val="32"/>
        </w:rPr>
        <w:t>18</w:t>
      </w:r>
      <w:r>
        <w:rPr>
          <w:rFonts w:eastAsia="仿宋_GB2312" w:hint="eastAsia"/>
          <w:sz w:val="32"/>
          <w:szCs w:val="32"/>
        </w:rPr>
        <w:t>—</w:t>
      </w:r>
      <w:r w:rsidRPr="00A10097">
        <w:rPr>
          <w:rFonts w:eastAsia="仿宋_GB2312"/>
          <w:sz w:val="32"/>
          <w:szCs w:val="32"/>
        </w:rPr>
        <w:t>60</w:t>
      </w:r>
      <w:r w:rsidRPr="00A10097">
        <w:rPr>
          <w:rFonts w:eastAsia="仿宋_GB2312"/>
          <w:sz w:val="32"/>
          <w:szCs w:val="32"/>
        </w:rPr>
        <w:t>岁，性别不限；</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）患者骨骼已成熟；</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w:t>
      </w:r>
      <w:r w:rsidRPr="00A10097">
        <w:rPr>
          <w:rFonts w:eastAsia="仿宋_GB2312"/>
          <w:sz w:val="32"/>
          <w:szCs w:val="32"/>
        </w:rPr>
        <w:t>C3-C7</w:t>
      </w:r>
      <w:r w:rsidRPr="00A10097">
        <w:rPr>
          <w:rFonts w:eastAsia="仿宋_GB2312"/>
          <w:sz w:val="32"/>
          <w:szCs w:val="32"/>
        </w:rPr>
        <w:t>单一节段症状性颈椎病伴有颈部和（或）上肢疼痛和（或）神经功能缺失；</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）非手术治疗</w:t>
      </w:r>
      <w:r w:rsidRPr="00A10097">
        <w:rPr>
          <w:rFonts w:eastAsia="仿宋_GB2312"/>
          <w:sz w:val="32"/>
          <w:szCs w:val="32"/>
        </w:rPr>
        <w:t>6</w:t>
      </w:r>
      <w:r w:rsidRPr="00A10097">
        <w:rPr>
          <w:rFonts w:eastAsia="仿宋_GB2312"/>
          <w:sz w:val="32"/>
          <w:szCs w:val="32"/>
        </w:rPr>
        <w:t>周无效；</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）具有经</w:t>
      </w:r>
      <w:r w:rsidRPr="00A10097">
        <w:rPr>
          <w:rFonts w:eastAsia="仿宋_GB2312"/>
          <w:sz w:val="32"/>
          <w:szCs w:val="32"/>
        </w:rPr>
        <w:t>CT</w:t>
      </w:r>
      <w:r w:rsidRPr="00A10097">
        <w:rPr>
          <w:rFonts w:eastAsia="仿宋_GB2312"/>
          <w:sz w:val="32"/>
          <w:szCs w:val="32"/>
        </w:rPr>
        <w:t>、</w:t>
      </w:r>
      <w:r w:rsidRPr="00A10097">
        <w:rPr>
          <w:rFonts w:eastAsia="仿宋_GB2312"/>
          <w:sz w:val="32"/>
          <w:szCs w:val="32"/>
        </w:rPr>
        <w:t>MRI</w:t>
      </w:r>
      <w:r w:rsidRPr="00A10097">
        <w:rPr>
          <w:rFonts w:eastAsia="仿宋_GB2312"/>
          <w:sz w:val="32"/>
          <w:szCs w:val="32"/>
        </w:rPr>
        <w:t>或</w:t>
      </w:r>
      <w:r w:rsidRPr="00A10097">
        <w:rPr>
          <w:rFonts w:eastAsia="仿宋_GB2312"/>
          <w:sz w:val="32"/>
          <w:szCs w:val="32"/>
        </w:rPr>
        <w:t>X</w:t>
      </w:r>
      <w:r w:rsidRPr="00A10097">
        <w:rPr>
          <w:rFonts w:eastAsia="仿宋_GB2312"/>
          <w:sz w:val="32"/>
          <w:szCs w:val="32"/>
        </w:rPr>
        <w:t>线平片已经证实的神经根病、脊髓病、脊髓神经根病的临床诊断；</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6</w:t>
      </w:r>
      <w:r w:rsidRPr="00A10097">
        <w:rPr>
          <w:rFonts w:eastAsia="仿宋_GB2312"/>
          <w:sz w:val="32"/>
          <w:szCs w:val="32"/>
        </w:rPr>
        <w:t>）伴有神经根症状的患者：颈椎功能障碍指数</w:t>
      </w:r>
      <w:r w:rsidRPr="00A10097">
        <w:rPr>
          <w:rFonts w:eastAsia="仿宋_GB2312"/>
          <w:sz w:val="32"/>
          <w:szCs w:val="32"/>
        </w:rPr>
        <w:t>NDI</w:t>
      </w:r>
      <w:r w:rsidRPr="00A10097">
        <w:rPr>
          <w:rFonts w:eastAsia="仿宋_GB2312"/>
          <w:sz w:val="32"/>
          <w:szCs w:val="32"/>
        </w:rPr>
        <w:t>评分</w:t>
      </w:r>
      <w:r w:rsidRPr="00A10097">
        <w:rPr>
          <w:rFonts w:eastAsia="仿宋_GB2312"/>
          <w:sz w:val="32"/>
          <w:szCs w:val="32"/>
        </w:rPr>
        <w:t>≥15/50</w:t>
      </w:r>
      <w:r w:rsidRPr="00A10097">
        <w:rPr>
          <w:rFonts w:eastAsia="仿宋_GB2312"/>
          <w:sz w:val="32"/>
          <w:szCs w:val="32"/>
        </w:rPr>
        <w:t>（</w:t>
      </w:r>
      <w:r w:rsidRPr="00A10097">
        <w:rPr>
          <w:rFonts w:eastAsia="仿宋_GB2312"/>
          <w:sz w:val="32"/>
          <w:szCs w:val="32"/>
        </w:rPr>
        <w:t>30%</w:t>
      </w:r>
      <w:r w:rsidRPr="00A10097">
        <w:rPr>
          <w:rFonts w:eastAsia="仿宋_GB2312"/>
          <w:sz w:val="32"/>
          <w:szCs w:val="32"/>
        </w:rPr>
        <w:t>）；伴有脊髓症状的患者，</w:t>
      </w:r>
      <w:r w:rsidRPr="00A10097">
        <w:rPr>
          <w:rFonts w:eastAsia="仿宋_GB2312"/>
          <w:sz w:val="32"/>
          <w:szCs w:val="32"/>
        </w:rPr>
        <w:t>JOA</w:t>
      </w:r>
      <w:r w:rsidRPr="00A10097">
        <w:rPr>
          <w:rFonts w:eastAsia="仿宋_GB2312"/>
          <w:sz w:val="32"/>
          <w:szCs w:val="32"/>
        </w:rPr>
        <w:t>评分小于</w:t>
      </w:r>
      <w:r w:rsidRPr="00A10097">
        <w:rPr>
          <w:rFonts w:eastAsia="仿宋_GB2312"/>
          <w:sz w:val="32"/>
          <w:szCs w:val="32"/>
        </w:rPr>
        <w:t>17</w:t>
      </w:r>
      <w:r w:rsidRPr="00A10097">
        <w:rPr>
          <w:rFonts w:eastAsia="仿宋_GB2312"/>
          <w:sz w:val="32"/>
          <w:szCs w:val="32"/>
        </w:rPr>
        <w:t>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7</w:t>
      </w:r>
      <w:r w:rsidRPr="00A10097">
        <w:rPr>
          <w:rFonts w:eastAsia="仿宋_GB2312"/>
          <w:sz w:val="32"/>
          <w:szCs w:val="32"/>
        </w:rPr>
        <w:t>）术前受试者愿意并且能够签署知情同意书；术后能够并愿意配合坚持完整随访。</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排除标准：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）多于一个节段需要治疗；</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）椎间盘退变严重造成椎间盘高度丢失</w:t>
      </w:r>
      <w:r w:rsidRPr="00A10097">
        <w:rPr>
          <w:rFonts w:eastAsia="仿宋_GB2312"/>
          <w:sz w:val="32"/>
          <w:szCs w:val="32"/>
        </w:rPr>
        <w:t>≥50%</w:t>
      </w:r>
      <w:r w:rsidRPr="00A10097">
        <w:rPr>
          <w:rFonts w:eastAsia="仿宋_GB2312"/>
          <w:sz w:val="32"/>
          <w:szCs w:val="32"/>
        </w:rPr>
        <w:t>、该节段屈伸活动范围明显减小，活动度低于</w:t>
      </w:r>
      <w:r w:rsidRPr="00A10097">
        <w:rPr>
          <w:rFonts w:eastAsia="仿宋_GB2312"/>
          <w:sz w:val="32"/>
          <w:szCs w:val="32"/>
        </w:rPr>
        <w:t>2°</w:t>
      </w:r>
      <w:r w:rsidRPr="00A10097">
        <w:rPr>
          <w:rFonts w:eastAsia="仿宋_GB2312"/>
          <w:sz w:val="32"/>
          <w:szCs w:val="32"/>
        </w:rPr>
        <w:t>；或已有骨桥形成；</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）后纵韧带骨化症，巨大后骨赘，钩椎关节严重退变；发育性椎管狭窄、退变性椎管狭窄；</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w:t>
      </w:r>
      <w:r w:rsidRPr="00A10097">
        <w:rPr>
          <w:rFonts w:eastAsia="仿宋_GB2312"/>
          <w:sz w:val="32"/>
          <w:szCs w:val="32"/>
        </w:rPr>
        <w:t>4</w:t>
      </w:r>
      <w:r w:rsidRPr="00A10097">
        <w:rPr>
          <w:rFonts w:eastAsia="仿宋_GB2312"/>
          <w:sz w:val="32"/>
          <w:szCs w:val="32"/>
        </w:rPr>
        <w:t>）骨质疏松症（骨密度检查</w:t>
      </w:r>
      <w:r w:rsidRPr="00A10097">
        <w:rPr>
          <w:rFonts w:eastAsia="仿宋_GB2312"/>
          <w:sz w:val="32"/>
          <w:szCs w:val="32"/>
        </w:rPr>
        <w:t>T≤-2.5</w:t>
      </w:r>
      <w:r w:rsidRPr="00A10097">
        <w:rPr>
          <w:rFonts w:eastAsia="仿宋_GB2312"/>
          <w:sz w:val="32"/>
          <w:szCs w:val="32"/>
        </w:rPr>
        <w:t>）；</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）置换节段严重节段性不稳定，尤其是过屈过伸侧位</w:t>
      </w:r>
      <w:r w:rsidRPr="00A10097">
        <w:rPr>
          <w:rFonts w:eastAsia="仿宋_GB2312"/>
          <w:sz w:val="32"/>
          <w:szCs w:val="32"/>
        </w:rPr>
        <w:t>X</w:t>
      </w:r>
      <w:r w:rsidRPr="00A10097">
        <w:rPr>
          <w:rFonts w:eastAsia="仿宋_GB2312"/>
          <w:sz w:val="32"/>
          <w:szCs w:val="32"/>
        </w:rPr>
        <w:t>线片显示椎体间前后滑移的总和＞</w:t>
      </w:r>
      <w:r w:rsidRPr="00A10097">
        <w:rPr>
          <w:rFonts w:eastAsia="仿宋_GB2312"/>
          <w:sz w:val="32"/>
          <w:szCs w:val="32"/>
        </w:rPr>
        <w:t>3</w:t>
      </w:r>
      <w:r w:rsidRPr="00A10097">
        <w:rPr>
          <w:rFonts w:eastAsia="仿宋_GB2312"/>
          <w:sz w:val="32"/>
          <w:szCs w:val="32"/>
        </w:rPr>
        <w:t>毫米；</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6</w:t>
      </w:r>
      <w:r w:rsidRPr="00A10097">
        <w:rPr>
          <w:rFonts w:eastAsia="仿宋_GB2312"/>
          <w:sz w:val="32"/>
          <w:szCs w:val="32"/>
        </w:rPr>
        <w:t>）屈曲位或仰伸位角度＞</w:t>
      </w:r>
      <w:r w:rsidRPr="00A10097">
        <w:rPr>
          <w:rFonts w:eastAsia="仿宋_GB2312"/>
          <w:sz w:val="32"/>
          <w:szCs w:val="32"/>
        </w:rPr>
        <w:t>11°</w:t>
      </w:r>
      <w:r w:rsidRPr="00A10097">
        <w:rPr>
          <w:rFonts w:eastAsia="仿宋_GB2312"/>
          <w:sz w:val="32"/>
          <w:szCs w:val="32"/>
        </w:rPr>
        <w:t>；</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7</w:t>
      </w:r>
      <w:r w:rsidRPr="00A10097">
        <w:rPr>
          <w:rFonts w:eastAsia="仿宋_GB2312"/>
          <w:sz w:val="32"/>
          <w:szCs w:val="32"/>
        </w:rPr>
        <w:t>）创伤、急性骨折、肿瘤、感染等</w:t>
      </w:r>
      <w:r>
        <w:rPr>
          <w:rFonts w:eastAsia="仿宋_GB2312" w:hint="eastAsia"/>
          <w:sz w:val="32"/>
          <w:szCs w:val="32"/>
        </w:rPr>
        <w:t>；</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8</w:t>
      </w:r>
      <w:r w:rsidRPr="00A10097">
        <w:rPr>
          <w:rFonts w:eastAsia="仿宋_GB2312"/>
          <w:sz w:val="32"/>
          <w:szCs w:val="32"/>
        </w:rPr>
        <w:t>）艾滋病、肝炎等系统性疾病；</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9</w:t>
      </w:r>
      <w:r w:rsidRPr="00A10097">
        <w:rPr>
          <w:rFonts w:eastAsia="仿宋_GB2312"/>
          <w:sz w:val="32"/>
          <w:szCs w:val="32"/>
        </w:rPr>
        <w:t>）胰岛素依赖型糖尿病；</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10</w:t>
      </w:r>
      <w:r w:rsidRPr="00A10097">
        <w:rPr>
          <w:rFonts w:eastAsia="仿宋_GB2312"/>
          <w:sz w:val="32"/>
          <w:szCs w:val="32"/>
        </w:rPr>
        <w:t>）强直性脊柱炎、风湿性关节炎、弥散性骨肥厚症；</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11</w:t>
      </w:r>
      <w:r w:rsidRPr="00A10097">
        <w:rPr>
          <w:rFonts w:eastAsia="仿宋_GB2312"/>
          <w:sz w:val="32"/>
          <w:szCs w:val="32"/>
        </w:rPr>
        <w:t>）病变节段曾接受手术治疗；</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12</w:t>
      </w:r>
      <w:r w:rsidRPr="00A10097">
        <w:rPr>
          <w:rFonts w:eastAsia="仿宋_GB2312"/>
          <w:sz w:val="32"/>
          <w:szCs w:val="32"/>
        </w:rPr>
        <w:t>）服用已知可能影响骨或软组织愈合的药物（例如：类固醇、破骨细胞抑制剂等）；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13</w:t>
      </w:r>
      <w:r w:rsidRPr="00A10097">
        <w:rPr>
          <w:rFonts w:eastAsia="仿宋_GB2312"/>
          <w:sz w:val="32"/>
          <w:szCs w:val="32"/>
        </w:rPr>
        <w:t>）存在小关节病变而导致颈痛；</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14</w:t>
      </w:r>
      <w:r w:rsidRPr="00A10097">
        <w:rPr>
          <w:rFonts w:eastAsia="仿宋_GB2312"/>
          <w:sz w:val="32"/>
          <w:szCs w:val="32"/>
        </w:rPr>
        <w:t>）病理性肥胖，</w:t>
      </w:r>
      <w:r w:rsidRPr="00A10097">
        <w:rPr>
          <w:rFonts w:eastAsia="仿宋_GB2312"/>
          <w:sz w:val="32"/>
          <w:szCs w:val="32"/>
        </w:rPr>
        <w:t>BMI</w:t>
      </w:r>
      <w:r w:rsidRPr="00A10097">
        <w:rPr>
          <w:rFonts w:eastAsia="仿宋_GB2312"/>
          <w:sz w:val="32"/>
          <w:szCs w:val="32"/>
        </w:rPr>
        <w:t>＞</w:t>
      </w:r>
      <w:r w:rsidRPr="00A10097">
        <w:rPr>
          <w:rFonts w:eastAsia="仿宋_GB2312"/>
          <w:sz w:val="32"/>
          <w:szCs w:val="32"/>
        </w:rPr>
        <w:t>40</w:t>
      </w:r>
      <w:r w:rsidRPr="00A10097">
        <w:rPr>
          <w:rFonts w:eastAsia="仿宋_GB2312"/>
          <w:sz w:val="32"/>
          <w:szCs w:val="32"/>
        </w:rPr>
        <w:t>；</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15</w:t>
      </w:r>
      <w:r w:rsidRPr="00A10097">
        <w:rPr>
          <w:rFonts w:eastAsia="仿宋_GB2312"/>
          <w:sz w:val="32"/>
          <w:szCs w:val="32"/>
        </w:rPr>
        <w:t>）骨代谢性疾病，如痛风、帕金森病，骨发育不良或软骨发育不良；</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16</w:t>
      </w:r>
      <w:r w:rsidRPr="00A10097">
        <w:rPr>
          <w:rFonts w:eastAsia="仿宋_GB2312"/>
          <w:sz w:val="32"/>
          <w:szCs w:val="32"/>
        </w:rPr>
        <w:t>）患者精神上无能力或者不能理解参与研究的要求；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17</w:t>
      </w:r>
      <w:r w:rsidRPr="00A10097">
        <w:rPr>
          <w:rFonts w:eastAsia="仿宋_GB2312"/>
          <w:sz w:val="32"/>
          <w:szCs w:val="32"/>
        </w:rPr>
        <w:t>）酗酒者或吸毒者；</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18</w:t>
      </w:r>
      <w:r w:rsidRPr="00A10097">
        <w:rPr>
          <w:rFonts w:eastAsia="仿宋_GB2312"/>
          <w:sz w:val="32"/>
          <w:szCs w:val="32"/>
        </w:rPr>
        <w:t>）预计无依从性，或难以完成随访；</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19</w:t>
      </w:r>
      <w:r w:rsidRPr="00A10097">
        <w:rPr>
          <w:rFonts w:eastAsia="仿宋_GB2312"/>
          <w:sz w:val="32"/>
          <w:szCs w:val="32"/>
        </w:rPr>
        <w:t>）已知患者对一种或多种植入的材料有过敏史；</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20</w:t>
      </w:r>
      <w:r w:rsidRPr="00A10097">
        <w:rPr>
          <w:rFonts w:eastAsia="仿宋_GB2312"/>
          <w:sz w:val="32"/>
          <w:szCs w:val="32"/>
        </w:rPr>
        <w:t>）妊娠或</w:t>
      </w:r>
      <w:r w:rsidRPr="00A10097">
        <w:rPr>
          <w:rFonts w:eastAsia="仿宋_GB2312"/>
          <w:sz w:val="32"/>
          <w:szCs w:val="32"/>
        </w:rPr>
        <w:t>3</w:t>
      </w:r>
      <w:r w:rsidRPr="00A10097">
        <w:rPr>
          <w:rFonts w:eastAsia="仿宋_GB2312"/>
          <w:sz w:val="32"/>
          <w:szCs w:val="32"/>
        </w:rPr>
        <w:t>年内可能妊娠，哺乳期妇女；</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21</w:t>
      </w:r>
      <w:r w:rsidRPr="00A10097">
        <w:rPr>
          <w:rFonts w:eastAsia="仿宋_GB2312"/>
          <w:sz w:val="32"/>
          <w:szCs w:val="32"/>
        </w:rPr>
        <w:t>）体质虚弱或因全身其他疾病不能耐受手术者；</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w:t>
      </w:r>
      <w:r w:rsidRPr="00A10097">
        <w:rPr>
          <w:rFonts w:eastAsia="仿宋_GB2312"/>
          <w:sz w:val="32"/>
          <w:szCs w:val="32"/>
        </w:rPr>
        <w:t>22</w:t>
      </w:r>
      <w:r w:rsidRPr="00A10097">
        <w:rPr>
          <w:rFonts w:eastAsia="仿宋_GB2312"/>
          <w:sz w:val="32"/>
          <w:szCs w:val="32"/>
        </w:rPr>
        <w:t>）神经肌肉性疾病；</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23</w:t>
      </w:r>
      <w:r w:rsidRPr="00A10097">
        <w:rPr>
          <w:rFonts w:eastAsia="仿宋_GB2312"/>
          <w:sz w:val="32"/>
          <w:szCs w:val="32"/>
        </w:rPr>
        <w:t>）病因不明的颈肩痛，如单纯颈痛的患者；</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24</w:t>
      </w:r>
      <w:r w:rsidRPr="00A10097">
        <w:rPr>
          <w:rFonts w:eastAsia="仿宋_GB2312"/>
          <w:sz w:val="32"/>
          <w:szCs w:val="32"/>
        </w:rPr>
        <w:t>）受试者合并的其他疾病限制其参加研究，不能依从随访或影响研究的科学性完整性；</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25</w:t>
      </w:r>
      <w:r w:rsidRPr="00A10097">
        <w:rPr>
          <w:rFonts w:eastAsia="仿宋_GB2312"/>
          <w:sz w:val="32"/>
          <w:szCs w:val="32"/>
        </w:rPr>
        <w:t>）受试者正在参加其他临床试验。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以上为单一节段颈椎间盘置换的入选和排除标准，对于适用于两个节段的产品，申请人可根据产品特点及适应证自行制定，并说明理由。</w:t>
      </w:r>
    </w:p>
    <w:p w:rsidR="006D539A" w:rsidRPr="00A10097" w:rsidRDefault="006D539A" w:rsidP="006D539A">
      <w:pPr>
        <w:ind w:firstLineChars="200" w:firstLine="640"/>
        <w:rPr>
          <w:rFonts w:eastAsia="仿宋"/>
          <w:b/>
          <w:kern w:val="0"/>
          <w:sz w:val="32"/>
          <w:szCs w:val="32"/>
          <w:lang w:val="zh-CN"/>
        </w:rPr>
      </w:pPr>
      <w:r w:rsidRPr="00A10097">
        <w:rPr>
          <w:rFonts w:eastAsia="仿宋"/>
          <w:bCs/>
          <w:sz w:val="32"/>
          <w:szCs w:val="32"/>
        </w:rPr>
        <w:t>3.</w:t>
      </w:r>
      <w:r w:rsidRPr="00A10097">
        <w:rPr>
          <w:rFonts w:eastAsia="仿宋"/>
          <w:bCs/>
          <w:sz w:val="32"/>
          <w:szCs w:val="32"/>
        </w:rPr>
        <w:t>受试者退出标准及退出受试者的处理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退出标准：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）受试者撤回知情同意书；</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）严重违反试验方案；</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）研究者认为不再适合继续进行临床试验者；</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）在临床试验期间妊娠的妇女；</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）受试者死亡；</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6</w:t>
      </w:r>
      <w:r w:rsidRPr="00A10097">
        <w:rPr>
          <w:rFonts w:eastAsia="仿宋_GB2312"/>
          <w:sz w:val="32"/>
          <w:szCs w:val="32"/>
        </w:rPr>
        <w:t>）受试者失访；</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7</w:t>
      </w:r>
      <w:r w:rsidRPr="00A10097">
        <w:rPr>
          <w:rFonts w:eastAsia="仿宋_GB2312"/>
          <w:sz w:val="32"/>
          <w:szCs w:val="32"/>
        </w:rPr>
        <w:t>）申请人要求终止试验。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退出受试者的处理：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）记录最后一次生命体征、术后情况和局部体征检查，拍摄颈椎相关影像学资料，记录合并用药和不良事件、相关评分、肌力感觉、活动度等指标；</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w:t>
      </w:r>
      <w:r w:rsidRPr="00A10097">
        <w:rPr>
          <w:rFonts w:eastAsia="仿宋_GB2312"/>
          <w:sz w:val="32"/>
          <w:szCs w:val="32"/>
        </w:rPr>
        <w:t>2</w:t>
      </w:r>
      <w:r w:rsidRPr="00A10097">
        <w:rPr>
          <w:rFonts w:eastAsia="仿宋_GB2312"/>
          <w:sz w:val="32"/>
          <w:szCs w:val="32"/>
        </w:rPr>
        <w:t>）将终止验证的时间和原因详细记录在病例报告表上；</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）对因不良事件而终止试验的病人必须随访至不良事件得到解决或稳定；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）《医疗器械临床试验质量管理规范》规定的其他相关事宜。</w:t>
      </w:r>
    </w:p>
    <w:p w:rsidR="006D539A" w:rsidRPr="00A10097" w:rsidRDefault="006D539A" w:rsidP="006D539A">
      <w:pPr>
        <w:ind w:firstLineChars="200" w:firstLine="640"/>
        <w:rPr>
          <w:rFonts w:eastAsia="楷体_GB2312"/>
          <w:bCs/>
          <w:sz w:val="32"/>
          <w:szCs w:val="32"/>
        </w:rPr>
      </w:pPr>
      <w:r w:rsidRPr="00A10097">
        <w:rPr>
          <w:rFonts w:eastAsia="仿宋"/>
          <w:bCs/>
          <w:sz w:val="32"/>
          <w:szCs w:val="32"/>
        </w:rPr>
        <w:t>4.</w:t>
      </w:r>
      <w:r w:rsidRPr="00A10097">
        <w:rPr>
          <w:rFonts w:eastAsia="仿宋"/>
          <w:bCs/>
          <w:sz w:val="32"/>
          <w:szCs w:val="32"/>
        </w:rPr>
        <w:t>临床试验持续时间与窗口期</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临床试验的持续时间取决于所有安全性和有效性数据的获得，研究病例至少随访至</w:t>
      </w:r>
      <w:r w:rsidRPr="00A10097">
        <w:rPr>
          <w:rFonts w:eastAsia="仿宋_GB2312"/>
          <w:sz w:val="32"/>
          <w:szCs w:val="32"/>
        </w:rPr>
        <w:t>12</w:t>
      </w:r>
      <w:r w:rsidRPr="00A10097">
        <w:rPr>
          <w:rFonts w:eastAsia="仿宋_GB2312"/>
          <w:sz w:val="32"/>
          <w:szCs w:val="32"/>
        </w:rPr>
        <w:t>个月以上。应在手术前、术后即刻、</w:t>
      </w:r>
      <w:r w:rsidRPr="00A10097">
        <w:rPr>
          <w:rFonts w:eastAsia="仿宋_GB2312"/>
          <w:sz w:val="32"/>
          <w:szCs w:val="32"/>
        </w:rPr>
        <w:t>6</w:t>
      </w:r>
      <w:r w:rsidRPr="00A10097">
        <w:rPr>
          <w:rFonts w:eastAsia="仿宋_GB2312"/>
          <w:sz w:val="32"/>
          <w:szCs w:val="32"/>
        </w:rPr>
        <w:t>周、</w:t>
      </w:r>
      <w:r w:rsidRPr="00A10097">
        <w:rPr>
          <w:rFonts w:eastAsia="仿宋_GB2312"/>
          <w:sz w:val="32"/>
          <w:szCs w:val="32"/>
        </w:rPr>
        <w:t>3</w:t>
      </w:r>
      <w:r w:rsidRPr="00A10097">
        <w:rPr>
          <w:rFonts w:eastAsia="仿宋_GB2312"/>
          <w:sz w:val="32"/>
          <w:szCs w:val="32"/>
        </w:rPr>
        <w:t>个月、</w:t>
      </w:r>
      <w:r w:rsidRPr="00A10097">
        <w:rPr>
          <w:rFonts w:eastAsia="仿宋_GB2312"/>
          <w:sz w:val="32"/>
          <w:szCs w:val="32"/>
        </w:rPr>
        <w:t>6</w:t>
      </w:r>
      <w:r w:rsidRPr="00A10097">
        <w:rPr>
          <w:rFonts w:eastAsia="仿宋_GB2312"/>
          <w:sz w:val="32"/>
          <w:szCs w:val="32"/>
        </w:rPr>
        <w:t>个月、</w:t>
      </w:r>
      <w:r w:rsidRPr="00A10097">
        <w:rPr>
          <w:rFonts w:eastAsia="仿宋_GB2312"/>
          <w:sz w:val="32"/>
          <w:szCs w:val="32"/>
        </w:rPr>
        <w:t>12</w:t>
      </w:r>
      <w:r w:rsidRPr="00A10097">
        <w:rPr>
          <w:rFonts w:eastAsia="仿宋_GB2312"/>
          <w:sz w:val="32"/>
          <w:szCs w:val="32"/>
        </w:rPr>
        <w:t>个月的人工颈椎间盘假体系统的临床研究数据都应该收集。如术后即刻的</w:t>
      </w:r>
      <w:r w:rsidRPr="00A10097">
        <w:rPr>
          <w:rFonts w:eastAsia="仿宋_GB2312"/>
          <w:sz w:val="32"/>
          <w:szCs w:val="32"/>
        </w:rPr>
        <w:t>X</w:t>
      </w:r>
      <w:r w:rsidRPr="00A10097">
        <w:rPr>
          <w:rFonts w:eastAsia="仿宋_GB2312"/>
          <w:sz w:val="32"/>
          <w:szCs w:val="32"/>
        </w:rPr>
        <w:t>射线平片，每次随访包括患者主诉、体格检查、</w:t>
      </w:r>
      <w:r w:rsidRPr="00A10097">
        <w:rPr>
          <w:rFonts w:eastAsia="仿宋_GB2312"/>
          <w:sz w:val="32"/>
          <w:szCs w:val="32"/>
        </w:rPr>
        <w:t>X</w:t>
      </w:r>
      <w:r w:rsidRPr="00A10097">
        <w:rPr>
          <w:rFonts w:eastAsia="仿宋_GB2312"/>
          <w:sz w:val="32"/>
          <w:szCs w:val="32"/>
        </w:rPr>
        <w:t>线平片、颈椎功能评分、以及指导患者功能康复等内容。应详细介绍患者术后注意事项（如</w:t>
      </w:r>
      <w:r w:rsidRPr="00A10097">
        <w:rPr>
          <w:rFonts w:eastAsia="仿宋_GB2312"/>
          <w:sz w:val="32"/>
          <w:szCs w:val="32"/>
        </w:rPr>
        <w:t>6</w:t>
      </w:r>
      <w:r w:rsidRPr="00A10097">
        <w:rPr>
          <w:rFonts w:eastAsia="仿宋_GB2312"/>
          <w:sz w:val="32"/>
          <w:szCs w:val="32"/>
        </w:rPr>
        <w:t>周内避免颈椎过度屈伸侧弯等）及康复计划。</w:t>
      </w:r>
    </w:p>
    <w:p w:rsidR="006D539A" w:rsidRPr="00A10097" w:rsidRDefault="006D539A" w:rsidP="006D539A">
      <w:pPr>
        <w:ind w:firstLineChars="200" w:firstLine="640"/>
        <w:rPr>
          <w:rFonts w:eastAsia="楷体_GB2312"/>
          <w:bCs/>
          <w:sz w:val="32"/>
          <w:szCs w:val="32"/>
        </w:rPr>
      </w:pPr>
      <w:r w:rsidRPr="00A10097">
        <w:rPr>
          <w:rFonts w:eastAsia="仿宋"/>
          <w:bCs/>
          <w:sz w:val="32"/>
          <w:szCs w:val="32"/>
        </w:rPr>
        <w:t>5.</w:t>
      </w:r>
      <w:r w:rsidRPr="00A10097">
        <w:rPr>
          <w:rFonts w:eastAsia="仿宋"/>
          <w:bCs/>
          <w:sz w:val="32"/>
          <w:szCs w:val="32"/>
        </w:rPr>
        <w:t>临床试验评价指标及判定标准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）主要评价指标：术后</w:t>
      </w:r>
      <w:r w:rsidRPr="00A10097">
        <w:rPr>
          <w:rFonts w:eastAsia="仿宋_GB2312"/>
          <w:sz w:val="32"/>
          <w:szCs w:val="32"/>
        </w:rPr>
        <w:t>12</w:t>
      </w:r>
      <w:r w:rsidRPr="00A10097">
        <w:rPr>
          <w:rFonts w:eastAsia="仿宋_GB2312"/>
          <w:sz w:val="32"/>
          <w:szCs w:val="32"/>
        </w:rPr>
        <w:t>个月的治疗成功率，治疗成功的标准如下：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无器械移位；</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无器械故障引起的二次手术；</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神经功能得以保持或提高；</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置换节段颈椎活动度＞</w:t>
      </w:r>
      <w:r w:rsidRPr="00A10097">
        <w:rPr>
          <w:rFonts w:eastAsia="仿宋_GB2312"/>
          <w:sz w:val="32"/>
          <w:szCs w:val="32"/>
        </w:rPr>
        <w:t>2°</w:t>
      </w:r>
      <w:r w:rsidRPr="00A10097">
        <w:rPr>
          <w:rFonts w:eastAsia="仿宋_GB2312"/>
          <w:sz w:val="32"/>
          <w:szCs w:val="32"/>
        </w:rPr>
        <w:t>，且无骨桥形成；</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置换节段的</w:t>
      </w:r>
      <w:r w:rsidRPr="00A10097">
        <w:rPr>
          <w:rFonts w:eastAsia="仿宋_GB2312"/>
          <w:sz w:val="32"/>
          <w:szCs w:val="32"/>
        </w:rPr>
        <w:t>FSU</w:t>
      </w:r>
      <w:r w:rsidRPr="00A10097">
        <w:rPr>
          <w:rFonts w:eastAsia="仿宋_GB2312"/>
          <w:sz w:val="32"/>
          <w:szCs w:val="32"/>
        </w:rPr>
        <w:t>高度与术前相比丢失不超过</w:t>
      </w:r>
      <w:r w:rsidRPr="00A10097">
        <w:rPr>
          <w:rFonts w:eastAsia="仿宋_GB2312"/>
          <w:sz w:val="32"/>
          <w:szCs w:val="32"/>
        </w:rPr>
        <w:t>5%</w:t>
      </w:r>
      <w:r w:rsidRPr="00A10097">
        <w:rPr>
          <w:rFonts w:eastAsia="仿宋_GB2312"/>
          <w:sz w:val="32"/>
          <w:szCs w:val="32"/>
        </w:rPr>
        <w:t>；</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无严重不良事件。</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）次要评价指标</w:t>
      </w:r>
    </w:p>
    <w:p w:rsidR="006D539A" w:rsidRPr="00A10097" w:rsidRDefault="006D539A" w:rsidP="006D539A">
      <w:pPr>
        <w:ind w:firstLineChars="200" w:firstLine="640"/>
        <w:rPr>
          <w:rFonts w:eastAsia="仿宋_GB2312"/>
          <w:sz w:val="32"/>
          <w:szCs w:val="32"/>
        </w:rPr>
      </w:pPr>
      <w:r w:rsidRPr="00A10097">
        <w:rPr>
          <w:rFonts w:ascii="宋体" w:hAnsi="宋体" w:cs="宋体" w:hint="eastAsia"/>
          <w:sz w:val="32"/>
          <w:szCs w:val="32"/>
        </w:rPr>
        <w:t>①</w:t>
      </w:r>
      <w:r w:rsidRPr="00A10097">
        <w:rPr>
          <w:rFonts w:eastAsia="仿宋_GB2312"/>
          <w:sz w:val="32"/>
          <w:szCs w:val="32"/>
        </w:rPr>
        <w:t>临床疗效评估：推荐使用</w:t>
      </w:r>
      <w:r w:rsidRPr="00A10097">
        <w:rPr>
          <w:rFonts w:eastAsia="仿宋_GB2312"/>
          <w:sz w:val="32"/>
          <w:szCs w:val="32"/>
        </w:rPr>
        <w:t>JOA</w:t>
      </w:r>
      <w:r w:rsidRPr="00A10097">
        <w:rPr>
          <w:rFonts w:eastAsia="仿宋_GB2312"/>
          <w:sz w:val="32"/>
          <w:szCs w:val="32"/>
        </w:rPr>
        <w:t>评分评价患者脊髓神经功能恢复情况，采用颈椎功能残障指数量表</w:t>
      </w:r>
      <w:r w:rsidRPr="00A10097">
        <w:rPr>
          <w:rFonts w:eastAsia="仿宋_GB2312"/>
          <w:sz w:val="32"/>
          <w:szCs w:val="32"/>
        </w:rPr>
        <w:t>NDI</w:t>
      </w:r>
      <w:r w:rsidRPr="00A10097">
        <w:rPr>
          <w:rFonts w:eastAsia="仿宋_GB2312"/>
          <w:sz w:val="32"/>
          <w:szCs w:val="32"/>
        </w:rPr>
        <w:t>和视觉模拟</w:t>
      </w:r>
      <w:r w:rsidRPr="00A10097">
        <w:rPr>
          <w:rFonts w:eastAsia="仿宋_GB2312"/>
          <w:sz w:val="32"/>
          <w:szCs w:val="32"/>
        </w:rPr>
        <w:t>VAS</w:t>
      </w:r>
      <w:r w:rsidRPr="00A10097">
        <w:rPr>
          <w:rFonts w:eastAsia="仿宋_GB2312"/>
          <w:sz w:val="32"/>
          <w:szCs w:val="32"/>
        </w:rPr>
        <w:t>评分评价患者手术前后生活质量的变化，应分别记录术前和末次随访时的</w:t>
      </w:r>
      <w:r w:rsidRPr="00A10097">
        <w:rPr>
          <w:rFonts w:eastAsia="仿宋_GB2312"/>
          <w:sz w:val="32"/>
          <w:szCs w:val="32"/>
        </w:rPr>
        <w:t>JOA</w:t>
      </w:r>
      <w:r w:rsidRPr="00A10097">
        <w:rPr>
          <w:rFonts w:eastAsia="仿宋_GB2312"/>
          <w:sz w:val="32"/>
          <w:szCs w:val="32"/>
        </w:rPr>
        <w:t>评分、</w:t>
      </w:r>
      <w:r w:rsidRPr="00A10097">
        <w:rPr>
          <w:rFonts w:eastAsia="仿宋_GB2312"/>
          <w:sz w:val="32"/>
          <w:szCs w:val="32"/>
        </w:rPr>
        <w:t>NDI</w:t>
      </w:r>
      <w:r w:rsidRPr="00A10097">
        <w:rPr>
          <w:rFonts w:eastAsia="仿宋_GB2312"/>
          <w:sz w:val="32"/>
          <w:szCs w:val="32"/>
        </w:rPr>
        <w:t>评分和</w:t>
      </w:r>
      <w:r w:rsidRPr="00A10097">
        <w:rPr>
          <w:rFonts w:eastAsia="仿宋_GB2312"/>
          <w:sz w:val="32"/>
          <w:szCs w:val="32"/>
        </w:rPr>
        <w:t>VAS</w:t>
      </w:r>
      <w:r w:rsidRPr="00A10097">
        <w:rPr>
          <w:rFonts w:eastAsia="仿宋_GB2312"/>
          <w:sz w:val="32"/>
          <w:szCs w:val="32"/>
        </w:rPr>
        <w:t>评分，并计算</w:t>
      </w:r>
      <w:r w:rsidRPr="00A10097">
        <w:rPr>
          <w:rFonts w:eastAsia="仿宋_GB2312"/>
          <w:sz w:val="32"/>
          <w:szCs w:val="32"/>
        </w:rPr>
        <w:t>JOA</w:t>
      </w:r>
      <w:r w:rsidRPr="00A10097">
        <w:rPr>
          <w:rFonts w:eastAsia="仿宋_GB2312"/>
          <w:sz w:val="32"/>
          <w:szCs w:val="32"/>
        </w:rPr>
        <w:t>改善率。</w:t>
      </w:r>
    </w:p>
    <w:p w:rsidR="006D539A" w:rsidRPr="00A10097" w:rsidRDefault="006D539A" w:rsidP="006D539A">
      <w:pPr>
        <w:ind w:firstLineChars="200" w:firstLine="640"/>
        <w:rPr>
          <w:rFonts w:eastAsia="仿宋_GB2312"/>
          <w:sz w:val="32"/>
          <w:szCs w:val="32"/>
        </w:rPr>
      </w:pPr>
      <w:r w:rsidRPr="00A10097">
        <w:rPr>
          <w:rFonts w:ascii="宋体" w:hAnsi="宋体" w:cs="宋体" w:hint="eastAsia"/>
          <w:sz w:val="32"/>
          <w:szCs w:val="32"/>
        </w:rPr>
        <w:t>②</w:t>
      </w:r>
      <w:r w:rsidRPr="00A10097">
        <w:rPr>
          <w:rFonts w:eastAsia="仿宋_GB2312"/>
          <w:sz w:val="32"/>
          <w:szCs w:val="32"/>
        </w:rPr>
        <w:t>影像学指标</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在术前和术后一年随访时进行放射学评估，包括颈椎正侧位</w:t>
      </w:r>
      <w:r w:rsidRPr="00A10097">
        <w:rPr>
          <w:rFonts w:eastAsia="仿宋_GB2312"/>
          <w:sz w:val="32"/>
          <w:szCs w:val="32"/>
        </w:rPr>
        <w:t>X</w:t>
      </w:r>
      <w:r w:rsidRPr="00A10097">
        <w:rPr>
          <w:rFonts w:eastAsia="仿宋_GB2312"/>
          <w:sz w:val="32"/>
          <w:szCs w:val="32"/>
        </w:rPr>
        <w:t>光片和过屈过伸位</w:t>
      </w:r>
      <w:r w:rsidRPr="00A10097">
        <w:rPr>
          <w:rFonts w:eastAsia="仿宋_GB2312"/>
          <w:sz w:val="32"/>
          <w:szCs w:val="32"/>
        </w:rPr>
        <w:t>X</w:t>
      </w:r>
      <w:r w:rsidRPr="00A10097">
        <w:rPr>
          <w:rFonts w:eastAsia="仿宋_GB2312"/>
          <w:sz w:val="32"/>
          <w:szCs w:val="32"/>
        </w:rPr>
        <w:t>光片；</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测量手术节段和相邻节段椎间活动度</w:t>
      </w:r>
      <w:r w:rsidRPr="00A10097">
        <w:rPr>
          <w:rFonts w:eastAsia="仿宋_GB2312"/>
          <w:sz w:val="32"/>
          <w:szCs w:val="32"/>
        </w:rPr>
        <w:t>ROM</w:t>
      </w:r>
      <w:r w:rsidRPr="00A10097">
        <w:rPr>
          <w:rFonts w:eastAsia="仿宋_GB2312"/>
          <w:sz w:val="32"/>
          <w:szCs w:val="32"/>
        </w:rPr>
        <w:t>和椎间隙高度、脊柱功能单元（</w:t>
      </w:r>
      <w:r w:rsidRPr="00A10097">
        <w:rPr>
          <w:rFonts w:eastAsia="仿宋_GB2312"/>
          <w:sz w:val="32"/>
          <w:szCs w:val="32"/>
        </w:rPr>
        <w:t>FSU</w:t>
      </w:r>
      <w:r w:rsidRPr="00A10097">
        <w:rPr>
          <w:rFonts w:eastAsia="仿宋_GB2312"/>
          <w:sz w:val="32"/>
          <w:szCs w:val="32"/>
        </w:rPr>
        <w:t>）的角度、颈椎整体曲度；</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上下终板与椎体间是否有透亮线存在；</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相邻节段是否发生退变；</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是否存在异位骨化。</w:t>
      </w:r>
    </w:p>
    <w:p w:rsidR="006D539A" w:rsidRPr="00A10097" w:rsidRDefault="006D539A" w:rsidP="006D539A">
      <w:pPr>
        <w:ind w:firstLineChars="200" w:firstLine="640"/>
        <w:rPr>
          <w:rFonts w:eastAsia="仿宋_GB2312"/>
          <w:sz w:val="32"/>
          <w:szCs w:val="32"/>
        </w:rPr>
      </w:pPr>
      <w:r w:rsidRPr="00A10097">
        <w:rPr>
          <w:rFonts w:ascii="宋体" w:hAnsi="宋体" w:cs="宋体" w:hint="eastAsia"/>
          <w:sz w:val="32"/>
          <w:szCs w:val="32"/>
        </w:rPr>
        <w:t>③</w:t>
      </w:r>
      <w:r w:rsidRPr="00A10097">
        <w:rPr>
          <w:rFonts w:eastAsia="仿宋_GB2312"/>
          <w:sz w:val="32"/>
          <w:szCs w:val="32"/>
        </w:rPr>
        <w:t>假体生存率：根据取出或者包括取出假体的任何一部分的病例来计算假体的生存率。发生</w:t>
      </w:r>
      <w:r w:rsidRPr="00A10097">
        <w:rPr>
          <w:rFonts w:eastAsia="仿宋_GB2312"/>
          <w:sz w:val="32"/>
          <w:szCs w:val="32"/>
        </w:rPr>
        <w:t>1</w:t>
      </w:r>
      <w:r w:rsidRPr="00A10097">
        <w:rPr>
          <w:rFonts w:eastAsia="仿宋_GB2312"/>
          <w:sz w:val="32"/>
          <w:szCs w:val="32"/>
        </w:rPr>
        <w:t>例与上述产品质量相关的严重不良事件，判定临床试验失败。</w:t>
      </w:r>
    </w:p>
    <w:p w:rsidR="006D539A" w:rsidRPr="00A10097" w:rsidRDefault="006D539A" w:rsidP="006D539A">
      <w:pPr>
        <w:ind w:firstLineChars="200" w:firstLine="640"/>
        <w:rPr>
          <w:rFonts w:eastAsia="仿宋_GB2312"/>
          <w:sz w:val="32"/>
          <w:szCs w:val="32"/>
        </w:rPr>
      </w:pPr>
      <w:r w:rsidRPr="00A10097">
        <w:rPr>
          <w:rFonts w:ascii="宋体" w:hAnsi="宋体" w:cs="宋体" w:hint="eastAsia"/>
          <w:sz w:val="32"/>
          <w:szCs w:val="32"/>
        </w:rPr>
        <w:t>④</w:t>
      </w:r>
      <w:r w:rsidRPr="00A10097">
        <w:rPr>
          <w:rFonts w:eastAsia="仿宋_GB2312"/>
          <w:sz w:val="32"/>
          <w:szCs w:val="32"/>
        </w:rPr>
        <w:t>不良事件发生率</w:t>
      </w:r>
    </w:p>
    <w:p w:rsidR="006D539A" w:rsidRPr="00A10097" w:rsidRDefault="006D539A" w:rsidP="006D539A">
      <w:pPr>
        <w:ind w:firstLineChars="200" w:firstLine="640"/>
        <w:rPr>
          <w:rFonts w:eastAsia="仿宋_GB2312"/>
          <w:sz w:val="32"/>
          <w:szCs w:val="32"/>
        </w:rPr>
      </w:pPr>
      <w:r w:rsidRPr="00A10097">
        <w:rPr>
          <w:rFonts w:ascii="宋体" w:hAnsi="宋体" w:cs="宋体" w:hint="eastAsia"/>
          <w:sz w:val="32"/>
          <w:szCs w:val="32"/>
        </w:rPr>
        <w:t>⑤</w:t>
      </w:r>
      <w:r w:rsidRPr="00A10097">
        <w:rPr>
          <w:rFonts w:eastAsia="仿宋_GB2312"/>
          <w:sz w:val="32"/>
          <w:szCs w:val="32"/>
        </w:rPr>
        <w:t>并发症发生率</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须对并发症发生的类型、数量、比例进行统计分析，并论证其与植入人工颈椎间盘假体的相关性。并发症类型：植入物松动</w:t>
      </w:r>
      <w:r w:rsidRPr="00A10097">
        <w:rPr>
          <w:rFonts w:eastAsia="仿宋_GB2312"/>
          <w:sz w:val="32"/>
          <w:szCs w:val="32"/>
        </w:rPr>
        <w:lastRenderedPageBreak/>
        <w:t>或下沉、假体破裂、假体磨损、假体对合欠佳、持续吞咽困难、浅表感染、深度感染、呼吸和发音障碍、新发的一过性症状如放射痛、麻木和主观感觉无力、脑脊液漏</w:t>
      </w:r>
      <w:r>
        <w:rPr>
          <w:rFonts w:eastAsia="仿宋_GB2312" w:hint="eastAsia"/>
          <w:sz w:val="32"/>
          <w:szCs w:val="32"/>
        </w:rPr>
        <w:t>、</w:t>
      </w:r>
      <w:r w:rsidRPr="00A10097">
        <w:rPr>
          <w:rFonts w:eastAsia="仿宋_GB2312"/>
          <w:sz w:val="32"/>
          <w:szCs w:val="32"/>
        </w:rPr>
        <w:t>喉上</w:t>
      </w:r>
      <w:r>
        <w:rPr>
          <w:rFonts w:eastAsia="仿宋_GB2312" w:hint="eastAsia"/>
          <w:sz w:val="32"/>
          <w:szCs w:val="32"/>
        </w:rPr>
        <w:t>/</w:t>
      </w:r>
      <w:r w:rsidRPr="00A10097">
        <w:rPr>
          <w:rFonts w:eastAsia="仿宋_GB2312"/>
          <w:sz w:val="32"/>
          <w:szCs w:val="32"/>
        </w:rPr>
        <w:t>喉返神经损伤、异位骨化、假体移位</w:t>
      </w:r>
      <w:r>
        <w:rPr>
          <w:rFonts w:eastAsia="仿宋_GB2312" w:hint="eastAsia"/>
          <w:sz w:val="32"/>
          <w:szCs w:val="32"/>
        </w:rPr>
        <w:t>/</w:t>
      </w:r>
      <w:r w:rsidRPr="00A10097">
        <w:rPr>
          <w:rFonts w:eastAsia="仿宋_GB2312"/>
          <w:sz w:val="32"/>
          <w:szCs w:val="32"/>
        </w:rPr>
        <w:t>半脱位等。</w:t>
      </w:r>
    </w:p>
    <w:p w:rsidR="006D539A" w:rsidRPr="00A10097" w:rsidRDefault="006D539A" w:rsidP="006D539A">
      <w:pPr>
        <w:autoSpaceDE w:val="0"/>
        <w:autoSpaceDN w:val="0"/>
        <w:adjustRightInd w:val="0"/>
        <w:ind w:firstLineChars="200" w:firstLine="640"/>
        <w:rPr>
          <w:rFonts w:eastAsia="楷体_GB2312"/>
          <w:bCs/>
          <w:sz w:val="32"/>
          <w:szCs w:val="32"/>
        </w:rPr>
      </w:pPr>
      <w:r w:rsidRPr="00A10097">
        <w:rPr>
          <w:rFonts w:eastAsia="仿宋"/>
          <w:bCs/>
          <w:sz w:val="32"/>
          <w:szCs w:val="32"/>
        </w:rPr>
        <w:t>6.</w:t>
      </w:r>
      <w:r w:rsidRPr="00A10097">
        <w:rPr>
          <w:rFonts w:eastAsia="仿宋"/>
          <w:bCs/>
          <w:sz w:val="32"/>
          <w:szCs w:val="32"/>
        </w:rPr>
        <w:t>对照产品的选择</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对照产品应选择目前临床正广泛使用的、对相应适应证的疗效已被证实并得到公认的产品。申请人应提供对照产品的选择依据。</w:t>
      </w:r>
    </w:p>
    <w:p w:rsidR="006D539A" w:rsidRPr="00A10097" w:rsidRDefault="006D539A" w:rsidP="006D539A">
      <w:pPr>
        <w:autoSpaceDE w:val="0"/>
        <w:autoSpaceDN w:val="0"/>
        <w:adjustRightInd w:val="0"/>
        <w:ind w:firstLineChars="200" w:firstLine="640"/>
        <w:rPr>
          <w:rFonts w:eastAsia="楷体_GB2312"/>
          <w:bCs/>
          <w:sz w:val="32"/>
          <w:szCs w:val="32"/>
        </w:rPr>
      </w:pPr>
      <w:r w:rsidRPr="00A10097">
        <w:rPr>
          <w:rFonts w:eastAsia="仿宋"/>
          <w:bCs/>
          <w:sz w:val="32"/>
          <w:szCs w:val="32"/>
        </w:rPr>
        <w:t>7.</w:t>
      </w:r>
      <w:r w:rsidRPr="00A10097">
        <w:rPr>
          <w:rFonts w:eastAsia="仿宋"/>
          <w:bCs/>
          <w:sz w:val="32"/>
          <w:szCs w:val="32"/>
        </w:rPr>
        <w:t>样本量的估算</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提供样本量足以评价所申报产品安全性和有效性的统计学证据，包括以下内容：对照组与试验组主要评价指标相同试验条件（同样的适应证人群、治疗时间、随访时间等）下的预期疗效、预期的组间差异、显著性水平（</w:t>
      </w:r>
      <w:r w:rsidRPr="00A10097">
        <w:rPr>
          <w:rFonts w:eastAsia="仿宋_GB2312"/>
          <w:sz w:val="32"/>
          <w:szCs w:val="32"/>
        </w:rPr>
        <w:t>α</w:t>
      </w:r>
      <w:r w:rsidRPr="00A10097">
        <w:rPr>
          <w:rFonts w:eastAsia="仿宋_GB2312"/>
          <w:sz w:val="32"/>
          <w:szCs w:val="32"/>
        </w:rPr>
        <w:t>）、把握度（</w:t>
      </w:r>
      <w:r w:rsidRPr="00A10097">
        <w:rPr>
          <w:rFonts w:eastAsia="仿宋_GB2312"/>
          <w:sz w:val="32"/>
          <w:szCs w:val="32"/>
        </w:rPr>
        <w:t>β</w:t>
      </w:r>
      <w:r w:rsidRPr="00A10097">
        <w:rPr>
          <w:rFonts w:eastAsia="仿宋_GB2312"/>
          <w:sz w:val="32"/>
          <w:szCs w:val="32"/>
        </w:rPr>
        <w:t>）、预期失访率、所用到的样本量计算公式、所有的计算过程及使用的统计学软件、引用的参考文献等。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申请人应根据产品的性能指标选择对照品，并采用经典的统计学方法及国内外公认的统计学软件计算样本量。</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例如：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假设某随机对照非劣效临床试验，根据文献报道：同类产品的治疗成功率为</w:t>
      </w:r>
      <w:r w:rsidRPr="00A10097">
        <w:rPr>
          <w:rFonts w:eastAsia="仿宋_GB2312"/>
          <w:sz w:val="32"/>
          <w:szCs w:val="32"/>
        </w:rPr>
        <w:t>95%</w:t>
      </w:r>
      <w:r w:rsidRPr="00A10097">
        <w:rPr>
          <w:rFonts w:eastAsia="仿宋_GB2312"/>
          <w:sz w:val="32"/>
          <w:szCs w:val="32"/>
        </w:rPr>
        <w:t>、临床认可的非劣效界值为</w:t>
      </w:r>
      <w:r w:rsidRPr="00A10097">
        <w:rPr>
          <w:rFonts w:eastAsia="仿宋_GB2312"/>
          <w:sz w:val="32"/>
          <w:szCs w:val="32"/>
        </w:rPr>
        <w:t>10%</w:t>
      </w:r>
      <w:r w:rsidRPr="00A10097">
        <w:rPr>
          <w:rFonts w:eastAsia="仿宋_GB2312"/>
          <w:sz w:val="32"/>
          <w:szCs w:val="32"/>
        </w:rPr>
        <w:t>，则在双侧显著性水平</w:t>
      </w:r>
      <w:r w:rsidRPr="00A10097">
        <w:rPr>
          <w:rFonts w:eastAsia="仿宋_GB2312"/>
          <w:sz w:val="32"/>
          <w:szCs w:val="32"/>
        </w:rPr>
        <w:t>0.05</w:t>
      </w:r>
      <w:r w:rsidRPr="00A10097">
        <w:rPr>
          <w:rFonts w:eastAsia="仿宋_GB2312"/>
          <w:sz w:val="32"/>
          <w:szCs w:val="32"/>
        </w:rPr>
        <w:t>、把握度</w:t>
      </w:r>
      <w:r w:rsidRPr="00A10097">
        <w:rPr>
          <w:rFonts w:eastAsia="仿宋_GB2312"/>
          <w:sz w:val="32"/>
          <w:szCs w:val="32"/>
        </w:rPr>
        <w:t>80%</w:t>
      </w:r>
      <w:r w:rsidRPr="00A10097">
        <w:rPr>
          <w:rFonts w:eastAsia="仿宋_GB2312"/>
          <w:sz w:val="32"/>
          <w:szCs w:val="32"/>
        </w:rPr>
        <w:t>、须每组完成有效病例</w:t>
      </w:r>
      <w:r w:rsidRPr="00A10097">
        <w:rPr>
          <w:rFonts w:eastAsia="仿宋_GB2312"/>
          <w:sz w:val="32"/>
          <w:szCs w:val="32"/>
        </w:rPr>
        <w:t>74</w:t>
      </w:r>
      <w:r w:rsidRPr="00A10097">
        <w:rPr>
          <w:rFonts w:eastAsia="仿宋_GB2312"/>
          <w:sz w:val="32"/>
          <w:szCs w:val="32"/>
        </w:rPr>
        <w:t>例，</w:t>
      </w:r>
      <w:r w:rsidRPr="00A10097">
        <w:rPr>
          <w:rFonts w:eastAsia="仿宋_GB2312"/>
          <w:sz w:val="32"/>
          <w:szCs w:val="32"/>
        </w:rPr>
        <w:lastRenderedPageBreak/>
        <w:t>考虑脱落率</w:t>
      </w:r>
      <w:r w:rsidRPr="00A10097">
        <w:rPr>
          <w:rFonts w:eastAsia="仿宋_GB2312"/>
          <w:sz w:val="32"/>
          <w:szCs w:val="32"/>
        </w:rPr>
        <w:t>20%</w:t>
      </w:r>
      <w:r w:rsidRPr="00A10097">
        <w:rPr>
          <w:rFonts w:eastAsia="仿宋_GB2312"/>
          <w:sz w:val="32"/>
          <w:szCs w:val="32"/>
        </w:rPr>
        <w:t>时，每组需要</w:t>
      </w:r>
      <w:r w:rsidRPr="00A10097">
        <w:rPr>
          <w:rFonts w:eastAsia="仿宋_GB2312"/>
          <w:sz w:val="32"/>
          <w:szCs w:val="32"/>
        </w:rPr>
        <w:t>89</w:t>
      </w:r>
      <w:r w:rsidRPr="00A10097">
        <w:rPr>
          <w:rFonts w:eastAsia="仿宋_GB2312"/>
          <w:sz w:val="32"/>
          <w:szCs w:val="32"/>
        </w:rPr>
        <w:t>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决定样本量的关键因素有：研究类型、主要评价指标、对照组与试验组主要评价指标的预期疗效、非劣效界值、显著性水平（</w:t>
      </w:r>
      <w:r w:rsidRPr="00A10097">
        <w:rPr>
          <w:rFonts w:eastAsia="仿宋_GB2312"/>
          <w:sz w:val="32"/>
          <w:szCs w:val="32"/>
        </w:rPr>
        <w:t>α</w:t>
      </w:r>
      <w:r w:rsidRPr="00A10097">
        <w:rPr>
          <w:rFonts w:eastAsia="仿宋_GB2312"/>
          <w:sz w:val="32"/>
          <w:szCs w:val="32"/>
        </w:rPr>
        <w:t>）、把握度（</w:t>
      </w:r>
      <w:r w:rsidRPr="00A10097">
        <w:rPr>
          <w:rFonts w:eastAsia="仿宋_GB2312"/>
          <w:sz w:val="32"/>
          <w:szCs w:val="32"/>
        </w:rPr>
        <w:t>β</w:t>
      </w:r>
      <w:r w:rsidRPr="00A10097">
        <w:rPr>
          <w:rFonts w:eastAsia="仿宋_GB2312"/>
          <w:sz w:val="32"/>
          <w:szCs w:val="32"/>
        </w:rPr>
        <w:t>）、预期失访率等。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若进行随机对照非劣效试验，则需明确对照产品预期疗效和临床认可的非劣效界值。</w:t>
      </w:r>
    </w:p>
    <w:p w:rsidR="006D539A" w:rsidRPr="00A10097" w:rsidRDefault="006D539A" w:rsidP="006D539A">
      <w:pPr>
        <w:autoSpaceDE w:val="0"/>
        <w:autoSpaceDN w:val="0"/>
        <w:adjustRightInd w:val="0"/>
        <w:ind w:firstLineChars="200" w:firstLine="640"/>
        <w:rPr>
          <w:rFonts w:eastAsia="仿宋_GB2312"/>
          <w:bCs/>
          <w:sz w:val="32"/>
          <w:szCs w:val="32"/>
        </w:rPr>
      </w:pPr>
      <w:r w:rsidRPr="00A10097">
        <w:rPr>
          <w:rFonts w:eastAsia="仿宋_GB2312"/>
          <w:bCs/>
          <w:sz w:val="32"/>
          <w:szCs w:val="32"/>
        </w:rPr>
        <w:t>8.</w:t>
      </w:r>
      <w:r w:rsidRPr="00A10097">
        <w:rPr>
          <w:rFonts w:eastAsia="仿宋_GB2312"/>
          <w:bCs/>
          <w:sz w:val="32"/>
          <w:szCs w:val="32"/>
        </w:rPr>
        <w:t>人口统计学和基线特征</w:t>
      </w:r>
    </w:p>
    <w:p w:rsidR="006D539A" w:rsidRPr="00C9539B" w:rsidRDefault="006D539A" w:rsidP="006D539A">
      <w:pPr>
        <w:ind w:firstLineChars="200" w:firstLine="640"/>
        <w:rPr>
          <w:rFonts w:eastAsia="仿宋_GB2312"/>
          <w:spacing w:val="-6"/>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w:t>
      </w:r>
      <w:r w:rsidRPr="00C9539B">
        <w:rPr>
          <w:rFonts w:eastAsia="仿宋_GB2312"/>
          <w:spacing w:val="-6"/>
          <w:sz w:val="32"/>
          <w:szCs w:val="32"/>
        </w:rPr>
        <w:t>人口统计学资料：如性别、年龄、民族、身高、体重等；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）临床疗效相关的基线数据：考虑因素包括疾病的诊断、分期、分级及影像学参数、血尿常规、肝肾功能、血沉、</w:t>
      </w:r>
      <w:r w:rsidRPr="00A10097">
        <w:rPr>
          <w:rFonts w:eastAsia="仿宋_GB2312"/>
          <w:sz w:val="32"/>
          <w:szCs w:val="32"/>
        </w:rPr>
        <w:t>CRP</w:t>
      </w:r>
      <w:r w:rsidRPr="00A10097">
        <w:rPr>
          <w:rFonts w:eastAsia="仿宋_GB2312"/>
          <w:sz w:val="32"/>
          <w:szCs w:val="32"/>
        </w:rPr>
        <w:t>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）合并症：是否有骨质疏松、营养不良（钙、磷、蛋白质、铁）、贫血、激素缺乏（生长激素、甲状旁腺素等）、放射治疗、手术史、糖尿病史、高血压、冠心病、肺功能情况、免疫学疾病等。</w:t>
      </w:r>
    </w:p>
    <w:p w:rsidR="006D539A" w:rsidRPr="00A10097" w:rsidRDefault="006D539A" w:rsidP="006D539A">
      <w:pPr>
        <w:autoSpaceDE w:val="0"/>
        <w:autoSpaceDN w:val="0"/>
        <w:adjustRightInd w:val="0"/>
        <w:ind w:firstLineChars="200" w:firstLine="640"/>
        <w:rPr>
          <w:rFonts w:eastAsia="仿宋_GB2312"/>
          <w:bCs/>
          <w:sz w:val="32"/>
          <w:szCs w:val="32"/>
        </w:rPr>
      </w:pPr>
      <w:r w:rsidRPr="00A10097">
        <w:rPr>
          <w:rFonts w:eastAsia="仿宋_GB2312"/>
          <w:bCs/>
          <w:sz w:val="32"/>
          <w:szCs w:val="32"/>
        </w:rPr>
        <w:t>9.</w:t>
      </w:r>
      <w:r w:rsidRPr="00A10097">
        <w:rPr>
          <w:rFonts w:eastAsia="仿宋_GB2312"/>
          <w:bCs/>
          <w:sz w:val="32"/>
          <w:szCs w:val="32"/>
        </w:rPr>
        <w:t>统计分析方法</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应明示具体的统计分析方法以及统计分析软件及版本。</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数据分析时应考虑数据的完整性，所有签署知情同意并使用了受试产品的受试者必须纳入分析。数据的剔除或偏移数据的处理必须有科学依据和详细说明。</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临床试验的数据分析应基于不同的分析集，通常包括全分析</w:t>
      </w:r>
      <w:r w:rsidRPr="00A10097">
        <w:rPr>
          <w:rFonts w:eastAsia="仿宋_GB2312"/>
          <w:sz w:val="32"/>
          <w:szCs w:val="32"/>
        </w:rPr>
        <w:lastRenderedPageBreak/>
        <w:t>集（</w:t>
      </w:r>
      <w:r w:rsidRPr="00A10097">
        <w:rPr>
          <w:rFonts w:eastAsia="仿宋_GB2312"/>
          <w:sz w:val="32"/>
          <w:szCs w:val="32"/>
        </w:rPr>
        <w:t>Full Analysis Set</w:t>
      </w:r>
      <w:r w:rsidRPr="00A10097">
        <w:rPr>
          <w:rFonts w:eastAsia="仿宋_GB2312"/>
          <w:sz w:val="32"/>
          <w:szCs w:val="32"/>
        </w:rPr>
        <w:t>，</w:t>
      </w:r>
      <w:r w:rsidRPr="00A10097">
        <w:rPr>
          <w:rFonts w:eastAsia="仿宋_GB2312"/>
          <w:sz w:val="32"/>
          <w:szCs w:val="32"/>
        </w:rPr>
        <w:t>FAS</w:t>
      </w:r>
      <w:r w:rsidRPr="00A10097">
        <w:rPr>
          <w:rFonts w:eastAsia="仿宋_GB2312"/>
          <w:sz w:val="32"/>
          <w:szCs w:val="32"/>
        </w:rPr>
        <w:t>）、符合方案集（</w:t>
      </w:r>
      <w:r w:rsidRPr="00A10097">
        <w:rPr>
          <w:rFonts w:eastAsia="仿宋_GB2312"/>
          <w:sz w:val="32"/>
          <w:szCs w:val="32"/>
        </w:rPr>
        <w:t>Per Protocol Set</w:t>
      </w:r>
      <w:r w:rsidRPr="00A10097">
        <w:rPr>
          <w:rFonts w:eastAsia="仿宋_GB2312"/>
          <w:sz w:val="32"/>
          <w:szCs w:val="32"/>
        </w:rPr>
        <w:t>，</w:t>
      </w:r>
      <w:r w:rsidRPr="00A10097">
        <w:rPr>
          <w:rFonts w:eastAsia="仿宋_GB2312"/>
          <w:sz w:val="32"/>
          <w:szCs w:val="32"/>
        </w:rPr>
        <w:t>PPS</w:t>
      </w:r>
      <w:r w:rsidRPr="00A10097">
        <w:rPr>
          <w:rFonts w:eastAsia="仿宋_GB2312"/>
          <w:sz w:val="32"/>
          <w:szCs w:val="32"/>
        </w:rPr>
        <w:t>）和安全集（</w:t>
      </w:r>
      <w:r w:rsidRPr="00A10097">
        <w:rPr>
          <w:rFonts w:eastAsia="仿宋_GB2312"/>
          <w:sz w:val="32"/>
          <w:szCs w:val="32"/>
        </w:rPr>
        <w:t>Safety Set</w:t>
      </w:r>
      <w:r w:rsidRPr="00A10097">
        <w:rPr>
          <w:rFonts w:eastAsia="仿宋_GB2312"/>
          <w:sz w:val="32"/>
          <w:szCs w:val="32"/>
        </w:rPr>
        <w:t>，</w:t>
      </w:r>
      <w:r w:rsidRPr="00A10097">
        <w:rPr>
          <w:rFonts w:eastAsia="仿宋_GB2312"/>
          <w:sz w:val="32"/>
          <w:szCs w:val="32"/>
        </w:rPr>
        <w:t>SS</w:t>
      </w:r>
      <w:r w:rsidRPr="00A10097">
        <w:rPr>
          <w:rFonts w:eastAsia="仿宋_GB2312"/>
          <w:sz w:val="32"/>
          <w:szCs w:val="32"/>
        </w:rPr>
        <w:t>），研究方案中应明确各分析集的定义。全分析集中脱落病例，其主要研究终点的缺失值的填补方法等应在方案中事先予以说明，并进行不同分析策略的灵敏度分析，以评价缺失数据对研究结果稳定性的影响。</w:t>
      </w:r>
    </w:p>
    <w:p w:rsidR="006D539A" w:rsidRPr="00A10097" w:rsidRDefault="006D539A" w:rsidP="006D539A">
      <w:pPr>
        <w:autoSpaceDE w:val="0"/>
        <w:autoSpaceDN w:val="0"/>
        <w:adjustRightInd w:val="0"/>
        <w:spacing w:line="620" w:lineRule="exact"/>
        <w:ind w:firstLineChars="200" w:firstLine="640"/>
        <w:rPr>
          <w:rFonts w:eastAsia="仿宋_GB2312"/>
          <w:sz w:val="32"/>
          <w:szCs w:val="32"/>
        </w:rPr>
      </w:pPr>
      <w:r w:rsidRPr="00A10097">
        <w:rPr>
          <w:rFonts w:eastAsia="仿宋_GB2312"/>
          <w:sz w:val="32"/>
          <w:szCs w:val="32"/>
        </w:rPr>
        <w:t>主要研究终点指标的分析应同时在全分析集和符合方案集上进行；安全性指标的分析应基于安全集。</w:t>
      </w:r>
    </w:p>
    <w:p w:rsidR="006D539A" w:rsidRPr="00A10097" w:rsidRDefault="006D539A" w:rsidP="006D539A">
      <w:pPr>
        <w:autoSpaceDE w:val="0"/>
        <w:autoSpaceDN w:val="0"/>
        <w:adjustRightInd w:val="0"/>
        <w:spacing w:line="620" w:lineRule="exact"/>
        <w:ind w:firstLineChars="200" w:firstLine="640"/>
        <w:rPr>
          <w:rFonts w:eastAsia="仿宋_GB2312"/>
          <w:sz w:val="32"/>
          <w:szCs w:val="32"/>
        </w:rPr>
      </w:pPr>
      <w:r w:rsidRPr="00A10097">
        <w:rPr>
          <w:rFonts w:eastAsia="仿宋_GB2312"/>
          <w:sz w:val="32"/>
          <w:szCs w:val="32"/>
        </w:rPr>
        <w:t>临床试验数据的分析应采用国内外公认的经典统计分析方法。临床试验方案应该明确统计检验的类型、检验假设、判定疗效有临床意义的界值（非劣效界值）等，界值的确定应有依据。</w:t>
      </w:r>
    </w:p>
    <w:p w:rsidR="006D539A" w:rsidRPr="00A10097" w:rsidRDefault="006D539A" w:rsidP="006D539A">
      <w:pPr>
        <w:autoSpaceDE w:val="0"/>
        <w:autoSpaceDN w:val="0"/>
        <w:adjustRightInd w:val="0"/>
        <w:spacing w:line="620" w:lineRule="exact"/>
        <w:ind w:firstLineChars="200" w:firstLine="640"/>
        <w:rPr>
          <w:rFonts w:eastAsia="仿宋_GB2312"/>
          <w:sz w:val="32"/>
          <w:szCs w:val="32"/>
        </w:rPr>
      </w:pPr>
      <w:r w:rsidRPr="00A10097">
        <w:rPr>
          <w:rFonts w:eastAsia="仿宋_GB2312"/>
          <w:sz w:val="32"/>
          <w:szCs w:val="32"/>
        </w:rPr>
        <w:t>对于主要研究终点，统计结果需采用点估计及相应的</w:t>
      </w:r>
      <w:r w:rsidRPr="00A10097">
        <w:rPr>
          <w:rFonts w:eastAsia="仿宋_GB2312"/>
          <w:sz w:val="32"/>
          <w:szCs w:val="32"/>
        </w:rPr>
        <w:t>95%</w:t>
      </w:r>
      <w:r w:rsidRPr="00A10097">
        <w:rPr>
          <w:rFonts w:eastAsia="仿宋_GB2312"/>
          <w:sz w:val="32"/>
          <w:szCs w:val="32"/>
        </w:rPr>
        <w:t>可信区间进行评价。不能仅将</w:t>
      </w:r>
      <w:r w:rsidRPr="00A10097">
        <w:rPr>
          <w:rFonts w:eastAsia="仿宋_GB2312"/>
          <w:sz w:val="32"/>
          <w:szCs w:val="32"/>
        </w:rPr>
        <w:t>p</w:t>
      </w:r>
      <w:r w:rsidRPr="00A10097">
        <w:rPr>
          <w:rFonts w:eastAsia="仿宋_GB2312"/>
          <w:sz w:val="32"/>
          <w:szCs w:val="32"/>
        </w:rPr>
        <w:t>值作为对主要研究终点进行评价的依据。</w:t>
      </w:r>
    </w:p>
    <w:p w:rsidR="006D539A" w:rsidRPr="00A10097" w:rsidRDefault="006D539A" w:rsidP="006D539A">
      <w:pPr>
        <w:autoSpaceDE w:val="0"/>
        <w:autoSpaceDN w:val="0"/>
        <w:adjustRightInd w:val="0"/>
        <w:spacing w:line="620" w:lineRule="exact"/>
        <w:ind w:firstLineChars="200" w:firstLine="640"/>
        <w:rPr>
          <w:rFonts w:eastAsia="仿宋_GB2312"/>
          <w:sz w:val="32"/>
          <w:szCs w:val="32"/>
        </w:rPr>
      </w:pPr>
      <w:r w:rsidRPr="00A10097">
        <w:rPr>
          <w:rFonts w:eastAsia="仿宋_GB2312"/>
          <w:sz w:val="32"/>
          <w:szCs w:val="32"/>
        </w:rPr>
        <w:t>对验证期间发生的所有有害事件的种类、严重程度、发生频率及与验证产品的关系将列表描述。</w:t>
      </w:r>
    </w:p>
    <w:p w:rsidR="006D539A" w:rsidRPr="00A10097" w:rsidRDefault="006D539A" w:rsidP="006D539A">
      <w:pPr>
        <w:autoSpaceDE w:val="0"/>
        <w:autoSpaceDN w:val="0"/>
        <w:adjustRightInd w:val="0"/>
        <w:spacing w:line="620" w:lineRule="exact"/>
        <w:ind w:firstLineChars="200" w:firstLine="640"/>
        <w:rPr>
          <w:rFonts w:eastAsia="仿宋_GB2312"/>
          <w:sz w:val="32"/>
          <w:szCs w:val="32"/>
        </w:rPr>
      </w:pPr>
      <w:r w:rsidRPr="00A10097">
        <w:rPr>
          <w:rFonts w:eastAsia="仿宋_GB2312"/>
          <w:sz w:val="32"/>
          <w:szCs w:val="32"/>
        </w:rPr>
        <w:t>申请人应提供基于所有临床试验数据的统计分析报告，以便临床试验组长单位根据此报告撰写临床试验总结报告。</w:t>
      </w:r>
    </w:p>
    <w:p w:rsidR="006D539A" w:rsidRPr="00A10097" w:rsidRDefault="006D539A" w:rsidP="006D539A">
      <w:pPr>
        <w:autoSpaceDE w:val="0"/>
        <w:autoSpaceDN w:val="0"/>
        <w:adjustRightInd w:val="0"/>
        <w:spacing w:line="620" w:lineRule="exact"/>
        <w:ind w:firstLineChars="200" w:firstLine="640"/>
        <w:rPr>
          <w:rFonts w:eastAsia="仿宋_GB2312"/>
          <w:sz w:val="32"/>
          <w:szCs w:val="32"/>
        </w:rPr>
      </w:pPr>
      <w:r w:rsidRPr="00A10097">
        <w:rPr>
          <w:rFonts w:eastAsia="仿宋_GB2312"/>
          <w:sz w:val="32"/>
          <w:szCs w:val="32"/>
        </w:rPr>
        <w:t>结论应：成功率方面不劣于对照产品。</w:t>
      </w:r>
    </w:p>
    <w:p w:rsidR="006D539A" w:rsidRPr="00A10097" w:rsidRDefault="006D539A" w:rsidP="006D539A">
      <w:pPr>
        <w:spacing w:line="620" w:lineRule="exact"/>
        <w:ind w:firstLineChars="200" w:firstLine="640"/>
        <w:rPr>
          <w:rFonts w:ascii="楷体_GB2312" w:eastAsia="楷体_GB2312"/>
          <w:sz w:val="32"/>
          <w:szCs w:val="32"/>
        </w:rPr>
      </w:pPr>
      <w:r w:rsidRPr="00A10097">
        <w:rPr>
          <w:rFonts w:ascii="楷体_GB2312" w:eastAsia="楷体_GB2312" w:hint="eastAsia"/>
          <w:sz w:val="32"/>
          <w:szCs w:val="32"/>
        </w:rPr>
        <w:t>（五）产品风险分析资料</w:t>
      </w:r>
    </w:p>
    <w:p w:rsidR="006D539A" w:rsidRPr="00A10097" w:rsidRDefault="006D539A" w:rsidP="006D539A">
      <w:pPr>
        <w:autoSpaceDE w:val="0"/>
        <w:autoSpaceDN w:val="0"/>
        <w:adjustRightInd w:val="0"/>
        <w:spacing w:line="620" w:lineRule="exact"/>
        <w:ind w:firstLineChars="200" w:firstLine="640"/>
        <w:rPr>
          <w:rFonts w:eastAsia="仿宋_GB2312"/>
          <w:sz w:val="32"/>
          <w:szCs w:val="32"/>
        </w:rPr>
      </w:pPr>
      <w:r w:rsidRPr="00A10097">
        <w:rPr>
          <w:rFonts w:eastAsia="仿宋_GB2312"/>
          <w:sz w:val="32"/>
          <w:szCs w:val="32"/>
        </w:rPr>
        <w:t>根据</w:t>
      </w:r>
      <w:r w:rsidRPr="00A10097">
        <w:rPr>
          <w:rFonts w:eastAsia="仿宋_GB2312"/>
          <w:sz w:val="32"/>
          <w:szCs w:val="32"/>
        </w:rPr>
        <w:t>YY/T 0316-2016</w:t>
      </w:r>
      <w:r w:rsidRPr="00A10097">
        <w:rPr>
          <w:rFonts w:eastAsia="仿宋_GB2312"/>
          <w:sz w:val="32"/>
          <w:szCs w:val="32"/>
        </w:rPr>
        <w:t>《医疗器械风险管理对医疗器械的应用》，充分识别人工颈椎间盘假体的设计、原材料采购、生产加</w:t>
      </w:r>
      <w:r w:rsidRPr="00A10097">
        <w:rPr>
          <w:rFonts w:eastAsia="仿宋_GB2312"/>
          <w:sz w:val="32"/>
          <w:szCs w:val="32"/>
        </w:rPr>
        <w:lastRenderedPageBreak/>
        <w:t>工过程、产品包装、灭菌、运输、贮存、使用等产品生命周期内各个环节的安全特征，从生物学危害、环境危害、有关使用的危害、由功能失效、能量危害（若涉及）、老化及存储不当引起的危害等方面，对产品进行全面的风险分析，并详述所采取的风险控制措施。</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提供一份产品决定上市前，对其风险管理活动进行全面评审所形成的风险管理报告并在报告中说明和承诺：</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风险管理计划已被适当地实施；</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综合剩余风险是可接受的；</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已有恰当的方法获得与本产品相关的包括出厂后流通与临床应用的信息。</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风险管理报告应包括风险分析、风险评价、风险控制等产品风险管理的相关资料。至少应包括：</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产品安全特征清单；</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2.</w:t>
      </w:r>
      <w:r w:rsidRPr="00A10097">
        <w:rPr>
          <w:rFonts w:eastAsia="仿宋_GB2312"/>
          <w:sz w:val="32"/>
          <w:szCs w:val="32"/>
        </w:rPr>
        <w:t>产品可预见的危害及危害分析清单</w:t>
      </w:r>
      <w:r>
        <w:rPr>
          <w:rFonts w:eastAsia="仿宋_GB2312" w:hint="eastAsia"/>
          <w:sz w:val="32"/>
          <w:szCs w:val="32"/>
        </w:rPr>
        <w:t>[</w:t>
      </w:r>
      <w:r w:rsidRPr="00A10097">
        <w:rPr>
          <w:rFonts w:eastAsia="仿宋_GB2312"/>
          <w:sz w:val="32"/>
          <w:szCs w:val="32"/>
        </w:rPr>
        <w:t>说明危害、可预见事件序列（即危害成因分析）、危害处境和可能发生的损害之间的关系</w:t>
      </w:r>
      <w:r>
        <w:rPr>
          <w:rFonts w:eastAsia="仿宋_GB2312" w:hint="eastAsia"/>
          <w:sz w:val="32"/>
          <w:szCs w:val="32"/>
        </w:rPr>
        <w:t>]</w:t>
      </w:r>
      <w:r w:rsidRPr="00A10097">
        <w:rPr>
          <w:rFonts w:eastAsia="仿宋_GB2312"/>
          <w:sz w:val="32"/>
          <w:szCs w:val="32"/>
        </w:rPr>
        <w:t>；</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3.</w:t>
      </w:r>
      <w:r w:rsidRPr="00A10097">
        <w:rPr>
          <w:rFonts w:eastAsia="仿宋_GB2312"/>
          <w:sz w:val="32"/>
          <w:szCs w:val="32"/>
        </w:rPr>
        <w:t>风险评价、风险控制措施以及剩余风险评价汇总表。</w:t>
      </w:r>
    </w:p>
    <w:p w:rsidR="006D539A" w:rsidRPr="00A10097" w:rsidRDefault="006D539A" w:rsidP="006D539A">
      <w:pPr>
        <w:autoSpaceDE w:val="0"/>
        <w:autoSpaceDN w:val="0"/>
        <w:adjustRightInd w:val="0"/>
        <w:spacing w:line="640" w:lineRule="exact"/>
        <w:ind w:firstLineChars="200" w:firstLine="640"/>
        <w:rPr>
          <w:rFonts w:eastAsia="仿宋_GB2312"/>
          <w:sz w:val="32"/>
          <w:szCs w:val="32"/>
        </w:rPr>
      </w:pPr>
      <w:r w:rsidRPr="00A10097">
        <w:rPr>
          <w:rFonts w:eastAsia="仿宋_GB2312"/>
          <w:sz w:val="32"/>
          <w:szCs w:val="32"/>
        </w:rPr>
        <w:t>风险管理报告及相关资料的要求可参考附１《人工颈椎间盘假体系统产品风险管理资料要求》。</w:t>
      </w:r>
    </w:p>
    <w:p w:rsidR="006D539A" w:rsidRPr="00A10097" w:rsidRDefault="006D539A" w:rsidP="006D539A">
      <w:pPr>
        <w:ind w:firstLineChars="200" w:firstLine="640"/>
        <w:rPr>
          <w:rFonts w:ascii="楷体_GB2312" w:eastAsia="楷体_GB2312"/>
          <w:sz w:val="32"/>
          <w:szCs w:val="32"/>
        </w:rPr>
      </w:pPr>
      <w:r w:rsidRPr="00A10097">
        <w:rPr>
          <w:rFonts w:ascii="楷体_GB2312" w:eastAsia="楷体_GB2312" w:hint="eastAsia"/>
          <w:sz w:val="32"/>
          <w:szCs w:val="32"/>
        </w:rPr>
        <w:lastRenderedPageBreak/>
        <w:t>（六）产品技术要求</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产品技术要求应按照《医疗器械产品技术要求编写指导原则》进行编写。</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产品技术要求应符合相关国家标准、国际标准、行业标准和有关法律、法规的相应要求。在此基础上，申请人应根据产品的特点，制定保证产品安全、有效、质量可控的技术要求。人工颈椎间盘假体技术要求中的性能指标及检验方法的确定是技术要求的主要内容，应根据现行有效的相关国家标准、国际标准、行业标准制定，并注明相应标准的编号和年代号。产品技术要求中指标应针对终产品制定，且性能指标不应低于产品适用的强制性国家标准</w:t>
      </w:r>
      <w:r w:rsidRPr="00A10097">
        <w:rPr>
          <w:rFonts w:eastAsia="仿宋_GB2312"/>
          <w:sz w:val="32"/>
          <w:szCs w:val="32"/>
        </w:rPr>
        <w:t>/</w:t>
      </w:r>
      <w:r w:rsidRPr="00A10097">
        <w:rPr>
          <w:rFonts w:eastAsia="仿宋_GB2312"/>
          <w:sz w:val="32"/>
          <w:szCs w:val="32"/>
        </w:rPr>
        <w:t>行业标准，检验方法应优先考虑采用公认的或已颁布的标准检验方法，包括推荐性标准。相关标准列表见附２。</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对同一注册单元中存在多种型号和</w:t>
      </w:r>
      <w:r w:rsidRPr="00A10097">
        <w:rPr>
          <w:rFonts w:eastAsia="仿宋_GB2312"/>
          <w:sz w:val="32"/>
          <w:szCs w:val="32"/>
        </w:rPr>
        <w:t>/</w:t>
      </w:r>
      <w:r w:rsidRPr="00A10097">
        <w:rPr>
          <w:rFonts w:eastAsia="仿宋_GB2312"/>
          <w:sz w:val="32"/>
          <w:szCs w:val="32"/>
        </w:rPr>
        <w:t>或规格的产品，应明确各型号及各规格之间的所有区别，并附相应图示及数据表格对逐型号规格进行说明。技术要求中包括但不限于如下项目：</w:t>
      </w:r>
    </w:p>
    <w:p w:rsidR="006D539A" w:rsidRPr="00A10097" w:rsidRDefault="006D539A" w:rsidP="006D539A">
      <w:pPr>
        <w:autoSpaceDE w:val="0"/>
        <w:autoSpaceDN w:val="0"/>
        <w:adjustRightInd w:val="0"/>
        <w:ind w:firstLineChars="200" w:firstLine="640"/>
        <w:rPr>
          <w:rFonts w:eastAsia="仿宋_GB2312"/>
          <w:sz w:val="32"/>
          <w:szCs w:val="32"/>
        </w:rPr>
      </w:pPr>
      <w:r w:rsidRPr="00A10097">
        <w:rPr>
          <w:rFonts w:eastAsia="仿宋_GB2312"/>
          <w:sz w:val="32"/>
          <w:szCs w:val="32"/>
        </w:rPr>
        <w:t>产品涉及的材料化学成分、显微组织、力学性能、表面质量、产品尺寸和公差、涂层相关性能、关节面粗糙度、关节面的耐磨性能</w:t>
      </w:r>
      <w:bookmarkStart w:id="1" w:name="OLE_LINK8"/>
      <w:bookmarkEnd w:id="1"/>
      <w:r w:rsidRPr="00A10097">
        <w:rPr>
          <w:rFonts w:eastAsia="仿宋_GB2312"/>
          <w:sz w:val="32"/>
          <w:szCs w:val="32"/>
        </w:rPr>
        <w:t>、无菌、高分子材料部件累计辐射剂量。</w:t>
      </w:r>
    </w:p>
    <w:p w:rsidR="006D539A" w:rsidRPr="00A10097" w:rsidRDefault="006D539A" w:rsidP="006D539A">
      <w:pPr>
        <w:ind w:firstLineChars="200" w:firstLine="640"/>
        <w:rPr>
          <w:rFonts w:ascii="楷体_GB2312" w:eastAsia="楷体_GB2312"/>
          <w:sz w:val="32"/>
          <w:szCs w:val="32"/>
        </w:rPr>
      </w:pPr>
      <w:r w:rsidRPr="00A10097">
        <w:rPr>
          <w:rFonts w:ascii="楷体_GB2312" w:eastAsia="楷体_GB2312" w:hint="eastAsia"/>
          <w:sz w:val="32"/>
          <w:szCs w:val="32"/>
        </w:rPr>
        <w:t>（七）产品注册检验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典型性产品的选择：产品应按不同材质分别选取典型性产品进行注册检测，在同一注册单元内，上终板、髓核假体、下终板</w:t>
      </w:r>
      <w:r w:rsidRPr="00A10097">
        <w:rPr>
          <w:rFonts w:eastAsia="仿宋_GB2312"/>
          <w:sz w:val="32"/>
          <w:szCs w:val="32"/>
        </w:rPr>
        <w:lastRenderedPageBreak/>
        <w:t>等应分别检测。</w:t>
      </w:r>
    </w:p>
    <w:p w:rsidR="006D539A" w:rsidRPr="00A10097" w:rsidRDefault="006D539A" w:rsidP="006D539A">
      <w:pPr>
        <w:ind w:firstLineChars="200" w:firstLine="640"/>
        <w:rPr>
          <w:rFonts w:ascii="楷体_GB2312" w:eastAsia="楷体_GB2312"/>
          <w:sz w:val="32"/>
          <w:szCs w:val="32"/>
        </w:rPr>
      </w:pPr>
      <w:r w:rsidRPr="00A10097">
        <w:rPr>
          <w:rFonts w:ascii="楷体_GB2312" w:eastAsia="楷体_GB2312"/>
          <w:sz w:val="32"/>
          <w:szCs w:val="32"/>
        </w:rPr>
        <w:t>（八）产品说明书和标签</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产品说明书、标签和包装标识应符合《医疗器械说明书和标签管理规定》的要求，还应符合相关国家标准、行业标准的要求，例如</w:t>
      </w:r>
      <w:r w:rsidRPr="00A10097">
        <w:rPr>
          <w:rFonts w:eastAsia="仿宋_GB2312"/>
          <w:sz w:val="32"/>
          <w:szCs w:val="32"/>
        </w:rPr>
        <w:t xml:space="preserve"> YY/T 0466.1-2016</w:t>
      </w:r>
      <w:r w:rsidRPr="00A10097">
        <w:rPr>
          <w:rFonts w:eastAsia="仿宋_GB2312"/>
          <w:sz w:val="32"/>
          <w:szCs w:val="32"/>
        </w:rPr>
        <w:t>《用于医疗器械标签、标记和提供信息的符号第</w:t>
      </w:r>
      <w:r w:rsidRPr="00A10097">
        <w:rPr>
          <w:rFonts w:eastAsia="仿宋_GB2312"/>
          <w:sz w:val="32"/>
          <w:szCs w:val="32"/>
        </w:rPr>
        <w:t>1</w:t>
      </w:r>
      <w:r w:rsidRPr="00A10097">
        <w:rPr>
          <w:rFonts w:eastAsia="仿宋_GB2312"/>
          <w:sz w:val="32"/>
          <w:szCs w:val="32"/>
        </w:rPr>
        <w:t>部分：通用要求》。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2.</w:t>
      </w:r>
      <w:r w:rsidRPr="00A10097">
        <w:rPr>
          <w:rFonts w:eastAsia="仿宋_GB2312"/>
          <w:sz w:val="32"/>
          <w:szCs w:val="32"/>
        </w:rPr>
        <w:t>产品临床适用范围</w:t>
      </w:r>
      <w:r w:rsidRPr="00A10097">
        <w:rPr>
          <w:rFonts w:eastAsia="仿宋_GB2312"/>
          <w:sz w:val="32"/>
          <w:szCs w:val="32"/>
        </w:rPr>
        <w:t>/</w:t>
      </w:r>
      <w:r w:rsidRPr="00A10097">
        <w:rPr>
          <w:rFonts w:eastAsia="仿宋_GB2312"/>
          <w:sz w:val="32"/>
          <w:szCs w:val="32"/>
        </w:rPr>
        <w:t>适应证、禁忌证、注意事项应依据临床评价的结果进行确定。</w:t>
      </w:r>
    </w:p>
    <w:p w:rsidR="006D539A" w:rsidRPr="00A10097" w:rsidRDefault="006D539A" w:rsidP="006D539A">
      <w:pPr>
        <w:ind w:firstLineChars="200" w:firstLine="640"/>
        <w:rPr>
          <w:rFonts w:eastAsia="仿宋_GB2312"/>
          <w:sz w:val="32"/>
          <w:szCs w:val="32"/>
        </w:rPr>
      </w:pPr>
      <w:bookmarkStart w:id="2" w:name="_Toc363650885"/>
      <w:bookmarkStart w:id="3" w:name="_Toc372719241"/>
      <w:r w:rsidRPr="00A10097">
        <w:rPr>
          <w:rFonts w:eastAsia="仿宋_GB2312"/>
          <w:sz w:val="32"/>
          <w:szCs w:val="32"/>
        </w:rPr>
        <w:t>3.</w:t>
      </w:r>
      <w:r w:rsidRPr="00A10097">
        <w:rPr>
          <w:rFonts w:eastAsia="仿宋_GB2312"/>
          <w:sz w:val="32"/>
          <w:szCs w:val="32"/>
        </w:rPr>
        <w:t>产品有效期、灭菌产品采用的灭菌方法等信息应与产品技术报告所述一致。</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4.</w:t>
      </w:r>
      <w:r w:rsidRPr="00A10097">
        <w:rPr>
          <w:rFonts w:eastAsia="仿宋_GB2312"/>
          <w:sz w:val="32"/>
          <w:szCs w:val="32"/>
        </w:rPr>
        <w:t>说明书的警示中注明</w:t>
      </w:r>
      <w:r w:rsidRPr="00A10097">
        <w:rPr>
          <w:rFonts w:eastAsia="仿宋_GB2312"/>
          <w:sz w:val="32"/>
          <w:szCs w:val="32"/>
        </w:rPr>
        <w:t>MRI</w:t>
      </w:r>
      <w:r w:rsidRPr="00A10097">
        <w:rPr>
          <w:rFonts w:eastAsia="仿宋_GB2312"/>
          <w:sz w:val="32"/>
          <w:szCs w:val="32"/>
        </w:rPr>
        <w:t>内容，明确相关的试验结果，提示其存在的风险。</w:t>
      </w:r>
    </w:p>
    <w:p w:rsidR="006D539A" w:rsidRPr="00A10097" w:rsidRDefault="006D539A" w:rsidP="006D539A">
      <w:pPr>
        <w:ind w:firstLineChars="200" w:firstLine="640"/>
        <w:rPr>
          <w:rFonts w:eastAsia="黑体"/>
          <w:sz w:val="32"/>
          <w:szCs w:val="32"/>
        </w:rPr>
      </w:pPr>
      <w:r w:rsidRPr="00A10097">
        <w:rPr>
          <w:rFonts w:eastAsia="黑体"/>
          <w:sz w:val="32"/>
          <w:szCs w:val="32"/>
        </w:rPr>
        <w:t>四、参考文献</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《医疗器械监督管理条例》（中华人民共和国国务院令第</w:t>
      </w:r>
      <w:r w:rsidRPr="00A10097">
        <w:rPr>
          <w:rFonts w:eastAsia="仿宋_GB2312"/>
          <w:sz w:val="32"/>
          <w:szCs w:val="32"/>
        </w:rPr>
        <w:t>650</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2.</w:t>
      </w:r>
      <w:r w:rsidRPr="00A10097">
        <w:rPr>
          <w:rFonts w:eastAsia="仿宋_GB2312"/>
          <w:sz w:val="32"/>
          <w:szCs w:val="32"/>
        </w:rPr>
        <w:t>《医疗器械注册管理办法》（国家食品药品监督管理总局令第</w:t>
      </w:r>
      <w:r w:rsidRPr="00A10097">
        <w:rPr>
          <w:rFonts w:eastAsia="仿宋_GB2312"/>
          <w:sz w:val="32"/>
          <w:szCs w:val="32"/>
        </w:rPr>
        <w:t>4</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3.</w:t>
      </w:r>
      <w:r w:rsidRPr="00A10097">
        <w:rPr>
          <w:rFonts w:eastAsia="仿宋_GB2312"/>
          <w:sz w:val="32"/>
          <w:szCs w:val="32"/>
        </w:rPr>
        <w:t>《医疗器械临床试验质量管理规范》（国家食品药品监督管理总局中华人民共和国国家卫生和计划生育委员会令第</w:t>
      </w:r>
      <w:r w:rsidRPr="00A10097">
        <w:rPr>
          <w:rFonts w:eastAsia="仿宋_GB2312"/>
          <w:sz w:val="32"/>
          <w:szCs w:val="32"/>
        </w:rPr>
        <w:t>25</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4.</w:t>
      </w:r>
      <w:r w:rsidRPr="00A10097">
        <w:rPr>
          <w:rFonts w:eastAsia="仿宋_GB2312"/>
          <w:sz w:val="32"/>
          <w:szCs w:val="32"/>
        </w:rPr>
        <w:t>《医疗器械说明书和标签管理规定》（国家食品药品监督管理总局令第</w:t>
      </w:r>
      <w:r w:rsidRPr="00A10097">
        <w:rPr>
          <w:rFonts w:eastAsia="仿宋_GB2312"/>
          <w:sz w:val="32"/>
          <w:szCs w:val="32"/>
        </w:rPr>
        <w:t>6</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5.</w:t>
      </w:r>
      <w:r w:rsidRPr="00A10097">
        <w:rPr>
          <w:rFonts w:eastAsia="仿宋_GB2312"/>
          <w:sz w:val="32"/>
          <w:szCs w:val="32"/>
        </w:rPr>
        <w:t>《国家食品药品监督管理总局关于发布医疗器械临床评价技术指导原则的通告》（</w:t>
      </w:r>
      <w:r w:rsidRPr="00A10097">
        <w:rPr>
          <w:rFonts w:eastAsia="仿宋_GB2312"/>
          <w:sz w:val="32"/>
          <w:szCs w:val="32"/>
        </w:rPr>
        <w:t>2015</w:t>
      </w:r>
      <w:r w:rsidRPr="00A10097">
        <w:rPr>
          <w:rFonts w:eastAsia="仿宋_GB2312"/>
          <w:sz w:val="32"/>
          <w:szCs w:val="32"/>
        </w:rPr>
        <w:t>年第</w:t>
      </w:r>
      <w:r w:rsidRPr="00A10097">
        <w:rPr>
          <w:rFonts w:eastAsia="仿宋_GB2312"/>
          <w:sz w:val="32"/>
          <w:szCs w:val="32"/>
        </w:rPr>
        <w:t>14</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6.</w:t>
      </w:r>
      <w:r w:rsidRPr="00A10097">
        <w:rPr>
          <w:rFonts w:eastAsia="仿宋_GB2312"/>
          <w:sz w:val="32"/>
          <w:szCs w:val="32"/>
        </w:rPr>
        <w:t>《国家食品药品监督管理总局关于公布医疗器械注册申报资料要求和批准证明文件格式的公告》（</w:t>
      </w:r>
      <w:r w:rsidRPr="00A10097">
        <w:rPr>
          <w:rFonts w:eastAsia="仿宋_GB2312"/>
          <w:sz w:val="32"/>
          <w:szCs w:val="32"/>
        </w:rPr>
        <w:t>2014</w:t>
      </w:r>
      <w:r w:rsidRPr="00A10097">
        <w:rPr>
          <w:rFonts w:eastAsia="仿宋_GB2312"/>
          <w:sz w:val="32"/>
          <w:szCs w:val="32"/>
        </w:rPr>
        <w:t>年第</w:t>
      </w:r>
      <w:r w:rsidRPr="00A10097">
        <w:rPr>
          <w:rFonts w:eastAsia="仿宋_GB2312"/>
          <w:sz w:val="32"/>
          <w:szCs w:val="32"/>
        </w:rPr>
        <w:t>43</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7.YY/T 0316-2016</w:t>
      </w:r>
      <w:r w:rsidRPr="00A10097">
        <w:rPr>
          <w:rFonts w:eastAsia="仿宋_GB2312"/>
          <w:sz w:val="32"/>
          <w:szCs w:val="32"/>
        </w:rPr>
        <w:t>《医疗器械风险管理对医疗器械的应用》</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8.</w:t>
      </w:r>
      <w:r w:rsidRPr="00A10097">
        <w:rPr>
          <w:rFonts w:eastAsia="仿宋_GB2312"/>
          <w:sz w:val="32"/>
          <w:szCs w:val="32"/>
        </w:rPr>
        <w:t>《无源植入性医疗器械产品注册申报资料指导原则》（食药监办械函</w:t>
      </w:r>
      <w:r w:rsidRPr="00A10097">
        <w:rPr>
          <w:rFonts w:eastAsia="仿宋"/>
          <w:sz w:val="32"/>
          <w:szCs w:val="32"/>
        </w:rPr>
        <w:t>〔</w:t>
      </w:r>
      <w:r w:rsidRPr="00A10097">
        <w:rPr>
          <w:rFonts w:eastAsia="仿宋_GB2312"/>
          <w:sz w:val="32"/>
          <w:szCs w:val="32"/>
        </w:rPr>
        <w:t>2009</w:t>
      </w:r>
      <w:r w:rsidRPr="00A10097">
        <w:rPr>
          <w:rFonts w:eastAsia="仿宋"/>
          <w:sz w:val="32"/>
          <w:szCs w:val="32"/>
        </w:rPr>
        <w:t>〕</w:t>
      </w:r>
      <w:r w:rsidRPr="00A10097">
        <w:rPr>
          <w:rFonts w:eastAsia="仿宋_GB2312"/>
          <w:sz w:val="32"/>
          <w:szCs w:val="32"/>
        </w:rPr>
        <w:t>519</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9.</w:t>
      </w:r>
      <w:r w:rsidRPr="00A10097">
        <w:rPr>
          <w:rFonts w:eastAsia="仿宋_GB2312"/>
          <w:sz w:val="32"/>
          <w:szCs w:val="32"/>
        </w:rPr>
        <w:t>《无源植入性医疗器械货架寿命申报资料指导原则》（食药监办械函</w:t>
      </w:r>
      <w:r w:rsidRPr="00A10097">
        <w:rPr>
          <w:rFonts w:eastAsia="仿宋"/>
          <w:sz w:val="32"/>
          <w:szCs w:val="32"/>
        </w:rPr>
        <w:t>〔</w:t>
      </w:r>
      <w:r w:rsidRPr="00A10097">
        <w:rPr>
          <w:rFonts w:eastAsia="仿宋_GB2312"/>
          <w:sz w:val="32"/>
          <w:szCs w:val="32"/>
        </w:rPr>
        <w:t>2011</w:t>
      </w:r>
      <w:r w:rsidRPr="00A10097">
        <w:rPr>
          <w:rFonts w:eastAsia="仿宋"/>
          <w:sz w:val="32"/>
          <w:szCs w:val="32"/>
        </w:rPr>
        <w:t>〕</w:t>
      </w:r>
      <w:r w:rsidRPr="00A10097">
        <w:rPr>
          <w:rFonts w:eastAsia="仿宋_GB2312"/>
          <w:sz w:val="32"/>
          <w:szCs w:val="32"/>
        </w:rPr>
        <w:t>116</w:t>
      </w:r>
      <w:r w:rsidRPr="00A10097">
        <w:rPr>
          <w:rFonts w:eastAsia="仿宋_GB2312"/>
          <w:sz w:val="32"/>
          <w:szCs w:val="32"/>
        </w:rPr>
        <w:t>号）</w:t>
      </w:r>
      <w:bookmarkEnd w:id="2"/>
      <w:bookmarkEnd w:id="3"/>
    </w:p>
    <w:p w:rsidR="006D539A" w:rsidRPr="00A10097" w:rsidRDefault="006D539A" w:rsidP="006D539A">
      <w:pPr>
        <w:ind w:firstLine="645"/>
        <w:rPr>
          <w:rFonts w:eastAsia="黑体"/>
          <w:sz w:val="32"/>
          <w:szCs w:val="32"/>
        </w:rPr>
      </w:pPr>
      <w:r w:rsidRPr="00A10097">
        <w:rPr>
          <w:rFonts w:eastAsia="黑体"/>
          <w:sz w:val="32"/>
          <w:szCs w:val="32"/>
        </w:rPr>
        <w:t>五、起草单位</w:t>
      </w:r>
    </w:p>
    <w:p w:rsidR="006D539A" w:rsidRPr="00A10097" w:rsidRDefault="006D539A" w:rsidP="006D539A">
      <w:pPr>
        <w:ind w:firstLine="645"/>
        <w:rPr>
          <w:rFonts w:eastAsia="仿宋_GB2312"/>
          <w:sz w:val="32"/>
          <w:szCs w:val="32"/>
        </w:rPr>
      </w:pPr>
      <w:r w:rsidRPr="00A10097">
        <w:rPr>
          <w:rFonts w:eastAsia="仿宋_GB2312"/>
          <w:sz w:val="32"/>
          <w:szCs w:val="32"/>
        </w:rPr>
        <w:t>国家食品药品监督管理总局医疗器械技术审评中心</w:t>
      </w:r>
    </w:p>
    <w:p w:rsidR="006D539A" w:rsidRPr="00A10097" w:rsidRDefault="006D539A" w:rsidP="006D539A">
      <w:pPr>
        <w:ind w:firstLine="645"/>
        <w:rPr>
          <w:rFonts w:eastAsia="仿宋_GB2312"/>
          <w:sz w:val="32"/>
          <w:szCs w:val="32"/>
        </w:rPr>
      </w:pPr>
    </w:p>
    <w:p w:rsidR="006D539A" w:rsidRPr="00A10097" w:rsidRDefault="006D539A" w:rsidP="006D539A">
      <w:pPr>
        <w:ind w:firstLineChars="200" w:firstLine="640"/>
        <w:rPr>
          <w:rFonts w:eastAsia="仿宋_GB2312"/>
          <w:sz w:val="32"/>
          <w:szCs w:val="32"/>
        </w:rPr>
      </w:pPr>
      <w:r w:rsidRPr="00A10097">
        <w:rPr>
          <w:rFonts w:eastAsia="仿宋_GB2312"/>
          <w:sz w:val="32"/>
          <w:szCs w:val="32"/>
        </w:rPr>
        <w:t>附：</w:t>
      </w:r>
      <w:r w:rsidRPr="00A10097">
        <w:rPr>
          <w:rFonts w:eastAsia="仿宋_GB2312"/>
          <w:sz w:val="32"/>
          <w:szCs w:val="32"/>
        </w:rPr>
        <w:t>1.</w:t>
      </w:r>
      <w:r w:rsidRPr="00A10097">
        <w:rPr>
          <w:rFonts w:eastAsia="仿宋_GB2312"/>
          <w:sz w:val="32"/>
          <w:szCs w:val="32"/>
        </w:rPr>
        <w:t>人工颈椎间盘假体产品风险管理资料要求</w:t>
      </w:r>
    </w:p>
    <w:p w:rsidR="006D539A" w:rsidRPr="00C9539B" w:rsidRDefault="006D539A" w:rsidP="006D539A">
      <w:pPr>
        <w:ind w:firstLineChars="411" w:firstLine="1315"/>
        <w:rPr>
          <w:rFonts w:eastAsia="仿宋_GB2312"/>
          <w:sz w:val="32"/>
          <w:szCs w:val="32"/>
        </w:rPr>
      </w:pPr>
      <w:r>
        <w:rPr>
          <w:rFonts w:eastAsia="仿宋_GB2312" w:hint="eastAsia"/>
          <w:sz w:val="32"/>
          <w:szCs w:val="32"/>
        </w:rPr>
        <w:t>2</w:t>
      </w:r>
      <w:r w:rsidRPr="00C9539B">
        <w:rPr>
          <w:rFonts w:eastAsia="仿宋_GB2312"/>
          <w:sz w:val="32"/>
          <w:szCs w:val="32"/>
        </w:rPr>
        <w:t>.</w:t>
      </w:r>
      <w:r w:rsidRPr="00C9539B">
        <w:rPr>
          <w:rFonts w:eastAsia="仿宋_GB2312"/>
          <w:sz w:val="32"/>
          <w:szCs w:val="32"/>
        </w:rPr>
        <w:t>相关国家标准、行业标准、国际标准举例</w:t>
      </w:r>
    </w:p>
    <w:p w:rsidR="006D539A" w:rsidRPr="00CF64DB" w:rsidRDefault="006D539A" w:rsidP="006D539A">
      <w:pPr>
        <w:widowControl/>
        <w:rPr>
          <w:rFonts w:ascii="黑体" w:eastAsia="黑体" w:hAnsi="黑体"/>
          <w:sz w:val="32"/>
          <w:szCs w:val="32"/>
        </w:rPr>
      </w:pPr>
      <w:r w:rsidRPr="00A10097">
        <w:rPr>
          <w:rFonts w:eastAsia="仿宋_GB2312"/>
          <w:sz w:val="32"/>
          <w:szCs w:val="32"/>
        </w:rPr>
        <w:br w:type="page"/>
      </w:r>
      <w:r w:rsidRPr="00A10097">
        <w:rPr>
          <w:rFonts w:ascii="黑体" w:eastAsia="黑体" w:hAnsi="黑体"/>
          <w:sz w:val="32"/>
          <w:szCs w:val="32"/>
        </w:rPr>
        <w:lastRenderedPageBreak/>
        <w:t>附1</w:t>
      </w:r>
    </w:p>
    <w:p w:rsidR="006D539A" w:rsidRPr="00A10097" w:rsidRDefault="006D539A" w:rsidP="006D539A">
      <w:pPr>
        <w:spacing w:before="100" w:beforeAutospacing="1" w:after="100" w:afterAutospacing="1" w:line="360" w:lineRule="auto"/>
        <w:ind w:leftChars="-86" w:left="-5" w:rightChars="-70" w:right="-147" w:hangingChars="40" w:hanging="176"/>
        <w:jc w:val="center"/>
        <w:rPr>
          <w:rFonts w:eastAsia="方正小标宋简体"/>
          <w:color w:val="000000"/>
          <w:sz w:val="44"/>
          <w:szCs w:val="44"/>
        </w:rPr>
      </w:pPr>
      <w:r w:rsidRPr="00A10097">
        <w:rPr>
          <w:rFonts w:eastAsia="方正小标宋简体"/>
          <w:color w:val="000000"/>
          <w:sz w:val="44"/>
          <w:szCs w:val="44"/>
        </w:rPr>
        <w:t>人工颈椎间盘假体产品风险管理资料要求</w:t>
      </w:r>
    </w:p>
    <w:p w:rsidR="006D539A" w:rsidRPr="00A10097" w:rsidRDefault="006D539A" w:rsidP="006D539A">
      <w:pPr>
        <w:ind w:firstLineChars="200" w:firstLine="640"/>
        <w:rPr>
          <w:rFonts w:eastAsia="黑体"/>
          <w:bCs/>
          <w:sz w:val="32"/>
          <w:szCs w:val="32"/>
        </w:rPr>
      </w:pPr>
      <w:r w:rsidRPr="00A10097">
        <w:rPr>
          <w:rFonts w:eastAsia="黑体"/>
          <w:bCs/>
          <w:sz w:val="32"/>
          <w:szCs w:val="32"/>
        </w:rPr>
        <w:t>一、总要求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申请人应提供产品上市前对其风险管理活动进行全面评审所形成的风险管理报告以及相关的产品风险管理资料。该风险管理报告应说明：</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－风险管理计划已被适当地实施；</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－综合剩余风险是可接受的；</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w:t>
      </w:r>
      <w:bookmarkStart w:id="4" w:name="OLE_LINK2"/>
      <w:r w:rsidRPr="00F963BB">
        <w:rPr>
          <w:rFonts w:ascii="仿宋_GB2312" w:eastAsia="仿宋_GB2312" w:hint="eastAsia"/>
          <w:sz w:val="32"/>
          <w:szCs w:val="32"/>
        </w:rPr>
        <w:t>已有恰当的方法获得与本产品相关的包括出厂后流通与临床应用的信息。</w:t>
      </w:r>
      <w:bookmarkEnd w:id="4"/>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除此之外，风险管理报告还应扼要说明：</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－在产品研制的初期阶段，对风险管理活动的策划，和所形成的风险管理计划；</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－说明已识别了产品的有关可能的危害，并对其危害产生的风险进行了估计和评价；</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－在降低风险措施方面，考虑了相关安全标准和相关产品标准，并有针对性地实施了降低风险的技术和管理方面的措施；</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－通过产品性能、成分等测试、生产工艺检验、相关文件的审查、试生产等活动对风险控制措施的有效性实施验证；</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－申请人应对产品的安全性作出承诺。</w:t>
      </w:r>
    </w:p>
    <w:p w:rsidR="006D539A" w:rsidRPr="00A10097" w:rsidRDefault="006D539A" w:rsidP="006D539A">
      <w:pPr>
        <w:ind w:firstLineChars="200" w:firstLine="640"/>
        <w:rPr>
          <w:rFonts w:eastAsia="黑体"/>
          <w:bCs/>
          <w:sz w:val="32"/>
          <w:szCs w:val="32"/>
        </w:rPr>
      </w:pPr>
      <w:r w:rsidRPr="00A10097">
        <w:rPr>
          <w:rFonts w:eastAsia="黑体"/>
          <w:bCs/>
          <w:sz w:val="32"/>
          <w:szCs w:val="32"/>
        </w:rPr>
        <w:lastRenderedPageBreak/>
        <w:t>二、风险管理报告及风险管理资料内容</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（一）职责权限</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明确参与风险管理活动的成员，包括风险分析人员、风险评价人员、风险控制措施制定人员及验证人员、风险管理过程评审人员以及风险管理报告的编制及审批人员，他们可能是同一组人，应列出其姓名、职务及责任范围。其成员应具有与风险管理任务相适应的知识和经验。</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（二）产品描述</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－通过照片、结构图和文字等形式说明产品的各型号、各组件以及各关键部位；</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－产品各组件的材料牌号；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－产品工艺流程。</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（三）产品适用标准（见</w:t>
      </w:r>
      <w:r w:rsidRPr="00C9539B">
        <w:rPr>
          <w:rFonts w:eastAsia="楷体_GB2312"/>
          <w:bCs/>
          <w:sz w:val="32"/>
          <w:szCs w:val="32"/>
        </w:rPr>
        <w:t>附</w:t>
      </w:r>
      <w:r>
        <w:rPr>
          <w:rFonts w:eastAsia="楷体_GB2312" w:hint="eastAsia"/>
          <w:bCs/>
          <w:sz w:val="32"/>
          <w:szCs w:val="32"/>
        </w:rPr>
        <w:t>2</w:t>
      </w:r>
      <w:r w:rsidRPr="00A10097">
        <w:rPr>
          <w:rFonts w:eastAsia="楷体_GB2312"/>
          <w:bCs/>
          <w:sz w:val="32"/>
          <w:szCs w:val="32"/>
        </w:rPr>
        <w:t>）</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（四）产品的安全特征判定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申请人可参照</w:t>
      </w:r>
      <w:r w:rsidRPr="00A10097">
        <w:rPr>
          <w:rFonts w:eastAsia="仿宋_GB2312"/>
          <w:sz w:val="32"/>
          <w:szCs w:val="32"/>
        </w:rPr>
        <w:t>YY/T 0316-2016</w:t>
      </w:r>
      <w:r w:rsidRPr="00A10097">
        <w:rPr>
          <w:rFonts w:eastAsia="仿宋_GB2312"/>
          <w:sz w:val="32"/>
          <w:szCs w:val="32"/>
        </w:rPr>
        <w:t>《医疗器械风险管理对医疗器械的应用》附录</w:t>
      </w:r>
      <w:r w:rsidRPr="00A10097">
        <w:rPr>
          <w:rFonts w:eastAsia="仿宋_GB2312"/>
          <w:sz w:val="32"/>
          <w:szCs w:val="32"/>
        </w:rPr>
        <w:t>C</w:t>
      </w:r>
      <w:r w:rsidRPr="00A10097">
        <w:rPr>
          <w:rFonts w:eastAsia="仿宋_GB2312"/>
          <w:sz w:val="32"/>
          <w:szCs w:val="32"/>
        </w:rPr>
        <w:t>提示的问题，对照产品的实际情况简明扼要的描述产品安全特征。产品如存在附录</w:t>
      </w:r>
      <w:r w:rsidRPr="00A10097">
        <w:rPr>
          <w:rFonts w:eastAsia="仿宋_GB2312"/>
          <w:sz w:val="32"/>
          <w:szCs w:val="32"/>
        </w:rPr>
        <w:t>C</w:t>
      </w:r>
      <w:r w:rsidRPr="00A10097">
        <w:rPr>
          <w:rFonts w:eastAsia="仿宋_GB2312"/>
          <w:sz w:val="32"/>
          <w:szCs w:val="32"/>
        </w:rPr>
        <w:t>提示以外的可能影响安全性的特征时，也应做出说明。最终形成一份《产品安全特征清单》。</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（五）产品的可能危害判定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申请人应在《产品安全特征清单》的基础上，系统地识别产</w:t>
      </w:r>
      <w:r w:rsidRPr="00A10097">
        <w:rPr>
          <w:rFonts w:eastAsia="仿宋_GB2312"/>
          <w:sz w:val="32"/>
          <w:szCs w:val="32"/>
        </w:rPr>
        <w:lastRenderedPageBreak/>
        <w:t>品在正常和故障两种条件下的可预见的危害，并对危害的成因及后果进行分析，即说明危害、可预见事件序列、危害处境和可能发生的损害之间的关系。形成一份产品可预见的危害及危害分析清单。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下表为人工颈椎间盘假体常见危害举例，申请人应考虑不同型号、不同材料等危害，并补充</w:t>
      </w:r>
      <w:r>
        <w:rPr>
          <w:rFonts w:eastAsia="仿宋_GB2312" w:hint="eastAsia"/>
          <w:sz w:val="32"/>
          <w:szCs w:val="32"/>
        </w:rPr>
        <w:t>在</w:t>
      </w:r>
      <w:r w:rsidRPr="00A10097">
        <w:rPr>
          <w:rFonts w:eastAsia="仿宋_GB2312"/>
          <w:sz w:val="32"/>
          <w:szCs w:val="32"/>
        </w:rPr>
        <w:t>危害清单之中：</w:t>
      </w:r>
    </w:p>
    <w:p w:rsidR="006D539A" w:rsidRPr="00A10097" w:rsidRDefault="006D539A" w:rsidP="006D539A">
      <w:pPr>
        <w:ind w:firstLineChars="200" w:firstLine="640"/>
        <w:rPr>
          <w:rFonts w:eastAsia="仿宋_GB2312"/>
          <w:sz w:val="32"/>
          <w:szCs w:val="32"/>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3240"/>
        <w:gridCol w:w="5174"/>
      </w:tblGrid>
      <w:tr w:rsidR="006D539A" w:rsidRPr="00A10097" w:rsidTr="009F6037">
        <w:trPr>
          <w:jc w:val="center"/>
        </w:trPr>
        <w:tc>
          <w:tcPr>
            <w:tcW w:w="3240" w:type="dxa"/>
            <w:shd w:val="clear" w:color="auto" w:fill="auto"/>
          </w:tcPr>
          <w:p w:rsidR="006D539A" w:rsidRPr="00A10097" w:rsidRDefault="006D539A" w:rsidP="009F6037">
            <w:pPr>
              <w:jc w:val="center"/>
              <w:rPr>
                <w:rFonts w:eastAsia="仿宋_GB2312"/>
                <w:sz w:val="32"/>
                <w:szCs w:val="32"/>
              </w:rPr>
            </w:pPr>
            <w:r w:rsidRPr="00A10097">
              <w:rPr>
                <w:rFonts w:eastAsia="仿宋_GB2312"/>
                <w:sz w:val="32"/>
                <w:szCs w:val="32"/>
              </w:rPr>
              <w:t>可预见的危害</w:t>
            </w:r>
          </w:p>
        </w:tc>
        <w:tc>
          <w:tcPr>
            <w:tcW w:w="5174" w:type="dxa"/>
            <w:shd w:val="clear" w:color="auto" w:fill="auto"/>
          </w:tcPr>
          <w:p w:rsidR="006D539A" w:rsidRPr="00A10097" w:rsidRDefault="006D539A" w:rsidP="009F6037">
            <w:pPr>
              <w:ind w:firstLineChars="200" w:firstLine="640"/>
              <w:rPr>
                <w:rFonts w:eastAsia="仿宋_GB2312"/>
                <w:sz w:val="32"/>
                <w:szCs w:val="32"/>
              </w:rPr>
            </w:pPr>
            <w:r w:rsidRPr="00A10097">
              <w:rPr>
                <w:rFonts w:eastAsia="仿宋_GB2312"/>
                <w:sz w:val="32"/>
                <w:szCs w:val="32"/>
              </w:rPr>
              <w:t>危害举例及形成因素</w:t>
            </w:r>
          </w:p>
        </w:tc>
      </w:tr>
      <w:tr w:rsidR="006D539A" w:rsidRPr="00A10097" w:rsidTr="009F6037">
        <w:trPr>
          <w:jc w:val="center"/>
        </w:trPr>
        <w:tc>
          <w:tcPr>
            <w:tcW w:w="3240" w:type="dxa"/>
            <w:shd w:val="clear" w:color="auto" w:fill="FFFFFF"/>
            <w:vAlign w:val="center"/>
          </w:tcPr>
          <w:p w:rsidR="006D539A" w:rsidRDefault="006D539A" w:rsidP="009F6037">
            <w:pPr>
              <w:jc w:val="center"/>
              <w:rPr>
                <w:rFonts w:eastAsia="仿宋_GB2312"/>
                <w:sz w:val="32"/>
                <w:szCs w:val="32"/>
              </w:rPr>
            </w:pPr>
            <w:r w:rsidRPr="00A10097">
              <w:rPr>
                <w:rFonts w:eastAsia="仿宋_GB2312"/>
                <w:sz w:val="32"/>
                <w:szCs w:val="32"/>
              </w:rPr>
              <w:t>生物相容性方面的</w:t>
            </w:r>
          </w:p>
          <w:p w:rsidR="006D539A" w:rsidRPr="00A10097" w:rsidRDefault="006D539A" w:rsidP="009F6037">
            <w:pPr>
              <w:jc w:val="center"/>
              <w:rPr>
                <w:rFonts w:eastAsia="仿宋_GB2312"/>
                <w:sz w:val="32"/>
                <w:szCs w:val="32"/>
              </w:rPr>
            </w:pPr>
            <w:r w:rsidRPr="00A10097">
              <w:rPr>
                <w:rFonts w:eastAsia="仿宋_GB2312"/>
                <w:sz w:val="32"/>
                <w:szCs w:val="32"/>
              </w:rPr>
              <w:t>危害</w:t>
            </w:r>
          </w:p>
        </w:tc>
        <w:tc>
          <w:tcPr>
            <w:tcW w:w="5174" w:type="dxa"/>
            <w:shd w:val="clear" w:color="auto" w:fill="FFFFFF"/>
          </w:tcPr>
          <w:p w:rsidR="006D539A" w:rsidRPr="00A10097" w:rsidRDefault="006D539A" w:rsidP="009F6037">
            <w:pPr>
              <w:rPr>
                <w:rFonts w:eastAsia="仿宋_GB2312"/>
                <w:sz w:val="32"/>
                <w:szCs w:val="32"/>
              </w:rPr>
            </w:pPr>
            <w:r w:rsidRPr="00A10097">
              <w:rPr>
                <w:rFonts w:eastAsia="仿宋_GB2312"/>
                <w:sz w:val="32"/>
                <w:szCs w:val="32"/>
              </w:rPr>
              <w:t>人工颈椎间盘假体产品材料（包括如表面涂层处理后）生物不相容，如：毒性、致热源等</w:t>
            </w:r>
          </w:p>
        </w:tc>
      </w:tr>
      <w:tr w:rsidR="006D539A" w:rsidRPr="00A10097" w:rsidTr="009F6037">
        <w:trPr>
          <w:jc w:val="center"/>
        </w:trPr>
        <w:tc>
          <w:tcPr>
            <w:tcW w:w="3240" w:type="dxa"/>
            <w:vMerge w:val="restart"/>
            <w:shd w:val="clear" w:color="auto" w:fill="FFFFFF"/>
            <w:vAlign w:val="center"/>
          </w:tcPr>
          <w:p w:rsidR="006D539A" w:rsidRPr="00A10097" w:rsidRDefault="006D539A" w:rsidP="009F6037">
            <w:pPr>
              <w:jc w:val="center"/>
              <w:rPr>
                <w:rFonts w:eastAsia="仿宋_GB2312"/>
                <w:sz w:val="32"/>
                <w:szCs w:val="32"/>
              </w:rPr>
            </w:pPr>
            <w:r w:rsidRPr="00A10097">
              <w:rPr>
                <w:rFonts w:eastAsia="仿宋_GB2312"/>
                <w:sz w:val="32"/>
                <w:szCs w:val="32"/>
              </w:rPr>
              <w:t>化学危害</w:t>
            </w:r>
          </w:p>
        </w:tc>
        <w:tc>
          <w:tcPr>
            <w:tcW w:w="5174" w:type="dxa"/>
            <w:shd w:val="clear" w:color="auto" w:fill="FFFFFF"/>
          </w:tcPr>
          <w:p w:rsidR="006D539A" w:rsidRPr="00A10097" w:rsidRDefault="006D539A" w:rsidP="009F6037">
            <w:pPr>
              <w:ind w:firstLineChars="16" w:firstLine="51"/>
              <w:rPr>
                <w:rFonts w:eastAsia="仿宋_GB2312"/>
                <w:sz w:val="32"/>
                <w:szCs w:val="32"/>
              </w:rPr>
            </w:pPr>
            <w:r w:rsidRPr="00A10097">
              <w:rPr>
                <w:rFonts w:eastAsia="仿宋_GB2312"/>
                <w:sz w:val="32"/>
                <w:szCs w:val="32"/>
              </w:rPr>
              <w:t>化学成分不符</w:t>
            </w:r>
          </w:p>
        </w:tc>
      </w:tr>
      <w:tr w:rsidR="006D539A" w:rsidRPr="00A10097" w:rsidTr="009F6037">
        <w:trPr>
          <w:jc w:val="center"/>
        </w:trPr>
        <w:tc>
          <w:tcPr>
            <w:tcW w:w="3240" w:type="dxa"/>
            <w:vMerge/>
            <w:shd w:val="clear" w:color="auto" w:fill="FFFFFF"/>
            <w:vAlign w:val="center"/>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ind w:firstLineChars="16" w:firstLine="51"/>
              <w:rPr>
                <w:rFonts w:eastAsia="仿宋_GB2312"/>
                <w:sz w:val="32"/>
                <w:szCs w:val="32"/>
              </w:rPr>
            </w:pPr>
            <w:r w:rsidRPr="00A10097">
              <w:rPr>
                <w:rFonts w:eastAsia="仿宋_GB2312"/>
                <w:sz w:val="32"/>
                <w:szCs w:val="32"/>
              </w:rPr>
              <w:t>金属腐蚀</w:t>
            </w:r>
          </w:p>
        </w:tc>
      </w:tr>
      <w:tr w:rsidR="006D539A" w:rsidRPr="00A10097" w:rsidTr="009F6037">
        <w:trPr>
          <w:jc w:val="center"/>
        </w:trPr>
        <w:tc>
          <w:tcPr>
            <w:tcW w:w="3240" w:type="dxa"/>
            <w:vMerge/>
            <w:shd w:val="clear" w:color="auto" w:fill="FFFFFF"/>
            <w:vAlign w:val="center"/>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ind w:firstLineChars="16" w:firstLine="51"/>
              <w:rPr>
                <w:rFonts w:eastAsia="仿宋_GB2312"/>
                <w:sz w:val="32"/>
                <w:szCs w:val="32"/>
              </w:rPr>
            </w:pPr>
            <w:r w:rsidRPr="00A10097">
              <w:rPr>
                <w:rFonts w:eastAsia="仿宋_GB2312"/>
                <w:sz w:val="32"/>
                <w:szCs w:val="32"/>
              </w:rPr>
              <w:t>产品清洗后的酸碱性</w:t>
            </w:r>
          </w:p>
        </w:tc>
      </w:tr>
      <w:tr w:rsidR="006D539A" w:rsidRPr="00A10097" w:rsidTr="009F6037">
        <w:trPr>
          <w:jc w:val="center"/>
        </w:trPr>
        <w:tc>
          <w:tcPr>
            <w:tcW w:w="3240" w:type="dxa"/>
            <w:vMerge/>
            <w:shd w:val="clear" w:color="auto" w:fill="FFFFFF"/>
            <w:vAlign w:val="center"/>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rPr>
                <w:rFonts w:eastAsia="仿宋_GB2312"/>
                <w:sz w:val="32"/>
                <w:szCs w:val="32"/>
              </w:rPr>
            </w:pPr>
            <w:r w:rsidRPr="00A10097">
              <w:rPr>
                <w:rFonts w:eastAsia="仿宋_GB2312"/>
                <w:sz w:val="32"/>
                <w:szCs w:val="32"/>
              </w:rPr>
              <w:t>加工过程中使用的材料（清洁剂等）未能有效清除</w:t>
            </w:r>
          </w:p>
        </w:tc>
      </w:tr>
      <w:tr w:rsidR="006D539A" w:rsidRPr="00A10097" w:rsidTr="009F6037">
        <w:trPr>
          <w:jc w:val="center"/>
        </w:trPr>
        <w:tc>
          <w:tcPr>
            <w:tcW w:w="3240" w:type="dxa"/>
            <w:vMerge/>
            <w:shd w:val="clear" w:color="auto" w:fill="FFFFFF"/>
            <w:vAlign w:val="center"/>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rPr>
                <w:rFonts w:eastAsia="仿宋_GB2312"/>
                <w:sz w:val="32"/>
                <w:szCs w:val="32"/>
              </w:rPr>
            </w:pPr>
            <w:r w:rsidRPr="00A10097">
              <w:rPr>
                <w:rFonts w:eastAsia="仿宋_GB2312"/>
                <w:sz w:val="32"/>
                <w:szCs w:val="32"/>
              </w:rPr>
              <w:t>环氧乙烷灭菌后的环氧乙烷残留</w:t>
            </w:r>
          </w:p>
        </w:tc>
      </w:tr>
      <w:tr w:rsidR="006D539A" w:rsidRPr="00A10097" w:rsidTr="009F6037">
        <w:trPr>
          <w:jc w:val="center"/>
        </w:trPr>
        <w:tc>
          <w:tcPr>
            <w:tcW w:w="3240" w:type="dxa"/>
            <w:vMerge w:val="restart"/>
            <w:shd w:val="clear" w:color="auto" w:fill="FFFFFF"/>
            <w:vAlign w:val="center"/>
          </w:tcPr>
          <w:p w:rsidR="006D539A" w:rsidRPr="00A10097" w:rsidRDefault="006D539A" w:rsidP="009F6037">
            <w:pPr>
              <w:jc w:val="center"/>
              <w:rPr>
                <w:rFonts w:eastAsia="仿宋_GB2312"/>
                <w:sz w:val="32"/>
                <w:szCs w:val="32"/>
              </w:rPr>
            </w:pPr>
            <w:r w:rsidRPr="00A10097">
              <w:rPr>
                <w:rFonts w:eastAsia="仿宋_GB2312"/>
                <w:sz w:val="32"/>
                <w:szCs w:val="32"/>
              </w:rPr>
              <w:t>生物学方面的危害</w:t>
            </w:r>
          </w:p>
        </w:tc>
        <w:tc>
          <w:tcPr>
            <w:tcW w:w="5174" w:type="dxa"/>
            <w:shd w:val="clear" w:color="auto" w:fill="FFFFFF"/>
          </w:tcPr>
          <w:p w:rsidR="006D539A" w:rsidRPr="00A10097" w:rsidRDefault="006D539A" w:rsidP="009F6037">
            <w:pPr>
              <w:ind w:firstLineChars="16" w:firstLine="51"/>
              <w:rPr>
                <w:rFonts w:eastAsia="仿宋_GB2312"/>
                <w:sz w:val="32"/>
                <w:szCs w:val="32"/>
              </w:rPr>
            </w:pPr>
            <w:r w:rsidRPr="00A10097">
              <w:rPr>
                <w:rFonts w:eastAsia="仿宋_GB2312"/>
                <w:sz w:val="32"/>
                <w:szCs w:val="32"/>
              </w:rPr>
              <w:t>产品未能有效灭菌</w:t>
            </w:r>
          </w:p>
        </w:tc>
      </w:tr>
      <w:tr w:rsidR="006D539A" w:rsidRPr="00A10097" w:rsidTr="009F6037">
        <w:trPr>
          <w:jc w:val="center"/>
        </w:trPr>
        <w:tc>
          <w:tcPr>
            <w:tcW w:w="3240" w:type="dxa"/>
            <w:vMerge/>
            <w:shd w:val="clear" w:color="auto" w:fill="FFFFFF"/>
            <w:vAlign w:val="center"/>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ind w:firstLineChars="16" w:firstLine="51"/>
              <w:rPr>
                <w:rFonts w:eastAsia="仿宋_GB2312"/>
                <w:sz w:val="32"/>
                <w:szCs w:val="32"/>
              </w:rPr>
            </w:pPr>
            <w:r w:rsidRPr="00A10097">
              <w:rPr>
                <w:rFonts w:eastAsia="仿宋_GB2312"/>
                <w:sz w:val="32"/>
                <w:szCs w:val="32"/>
              </w:rPr>
              <w:t>产品包装未能有效阻菌</w:t>
            </w:r>
          </w:p>
        </w:tc>
      </w:tr>
      <w:tr w:rsidR="006D539A" w:rsidRPr="00A10097" w:rsidTr="009F6037">
        <w:trPr>
          <w:jc w:val="center"/>
        </w:trPr>
        <w:tc>
          <w:tcPr>
            <w:tcW w:w="3240" w:type="dxa"/>
            <w:vMerge/>
            <w:shd w:val="clear" w:color="auto" w:fill="FFFFFF"/>
            <w:vAlign w:val="center"/>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ind w:firstLineChars="16" w:firstLine="51"/>
              <w:rPr>
                <w:rFonts w:eastAsia="仿宋_GB2312"/>
                <w:sz w:val="32"/>
                <w:szCs w:val="32"/>
              </w:rPr>
            </w:pPr>
            <w:r w:rsidRPr="00A10097">
              <w:rPr>
                <w:rFonts w:eastAsia="仿宋_GB2312"/>
                <w:sz w:val="32"/>
                <w:szCs w:val="32"/>
              </w:rPr>
              <w:t>交叉感染</w:t>
            </w:r>
          </w:p>
        </w:tc>
      </w:tr>
      <w:tr w:rsidR="006D539A" w:rsidRPr="00A10097" w:rsidTr="009F6037">
        <w:trPr>
          <w:jc w:val="center"/>
        </w:trPr>
        <w:tc>
          <w:tcPr>
            <w:tcW w:w="3240" w:type="dxa"/>
            <w:vMerge w:val="restart"/>
            <w:shd w:val="clear" w:color="auto" w:fill="FFFFFF"/>
            <w:vAlign w:val="center"/>
          </w:tcPr>
          <w:p w:rsidR="006D539A" w:rsidRPr="00A10097" w:rsidRDefault="006D539A" w:rsidP="009F6037">
            <w:pPr>
              <w:jc w:val="center"/>
              <w:rPr>
                <w:rFonts w:eastAsia="仿宋_GB2312"/>
                <w:sz w:val="32"/>
                <w:szCs w:val="32"/>
              </w:rPr>
            </w:pPr>
            <w:r w:rsidRPr="00A10097">
              <w:rPr>
                <w:rFonts w:eastAsia="仿宋_GB2312"/>
                <w:sz w:val="32"/>
                <w:szCs w:val="32"/>
              </w:rPr>
              <w:lastRenderedPageBreak/>
              <w:t>机械能方面的危害</w:t>
            </w:r>
          </w:p>
        </w:tc>
        <w:tc>
          <w:tcPr>
            <w:tcW w:w="5174" w:type="dxa"/>
            <w:shd w:val="clear" w:color="auto" w:fill="FFFFFF"/>
          </w:tcPr>
          <w:p w:rsidR="006D539A" w:rsidRPr="00A10097" w:rsidRDefault="006D539A" w:rsidP="009F6037">
            <w:pPr>
              <w:ind w:firstLineChars="16" w:firstLine="51"/>
              <w:rPr>
                <w:rFonts w:eastAsia="仿宋_GB2312"/>
                <w:sz w:val="32"/>
                <w:szCs w:val="32"/>
              </w:rPr>
            </w:pPr>
            <w:r w:rsidRPr="00A10097">
              <w:rPr>
                <w:rFonts w:eastAsia="仿宋_GB2312"/>
                <w:sz w:val="32"/>
                <w:szCs w:val="32"/>
              </w:rPr>
              <w:t>疲劳性能</w:t>
            </w:r>
          </w:p>
        </w:tc>
      </w:tr>
      <w:tr w:rsidR="006D539A" w:rsidRPr="00A10097" w:rsidTr="009F6037">
        <w:trPr>
          <w:jc w:val="center"/>
        </w:trPr>
        <w:tc>
          <w:tcPr>
            <w:tcW w:w="3240" w:type="dxa"/>
            <w:vMerge/>
            <w:shd w:val="clear" w:color="auto" w:fill="FFFFFF"/>
            <w:vAlign w:val="center"/>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ind w:firstLineChars="16" w:firstLine="51"/>
              <w:rPr>
                <w:rFonts w:eastAsia="仿宋_GB2312"/>
                <w:sz w:val="32"/>
                <w:szCs w:val="32"/>
              </w:rPr>
            </w:pPr>
            <w:r w:rsidRPr="00A10097">
              <w:rPr>
                <w:rFonts w:eastAsia="仿宋_GB2312"/>
                <w:sz w:val="32"/>
                <w:szCs w:val="32"/>
              </w:rPr>
              <w:t>磨损</w:t>
            </w:r>
          </w:p>
        </w:tc>
      </w:tr>
      <w:tr w:rsidR="006D539A" w:rsidRPr="00A10097" w:rsidTr="009F6037">
        <w:trPr>
          <w:jc w:val="center"/>
        </w:trPr>
        <w:tc>
          <w:tcPr>
            <w:tcW w:w="3240" w:type="dxa"/>
            <w:vMerge/>
            <w:shd w:val="clear" w:color="auto" w:fill="FFFFFF"/>
            <w:vAlign w:val="center"/>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rPr>
                <w:rFonts w:eastAsia="仿宋_GB2312"/>
                <w:sz w:val="32"/>
                <w:szCs w:val="32"/>
              </w:rPr>
            </w:pPr>
            <w:r w:rsidRPr="00A10097">
              <w:rPr>
                <w:rFonts w:eastAsia="仿宋_GB2312"/>
                <w:sz w:val="32"/>
                <w:szCs w:val="32"/>
              </w:rPr>
              <w:t>配合尺寸不符，松动、位移、脱位</w:t>
            </w:r>
          </w:p>
        </w:tc>
      </w:tr>
      <w:tr w:rsidR="006D539A" w:rsidRPr="00A10097" w:rsidTr="009F6037">
        <w:trPr>
          <w:jc w:val="center"/>
        </w:trPr>
        <w:tc>
          <w:tcPr>
            <w:tcW w:w="3240" w:type="dxa"/>
            <w:vMerge/>
            <w:shd w:val="clear" w:color="auto" w:fill="FFFFFF"/>
            <w:vAlign w:val="center"/>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rPr>
                <w:rFonts w:eastAsia="仿宋_GB2312"/>
                <w:sz w:val="32"/>
                <w:szCs w:val="32"/>
              </w:rPr>
            </w:pPr>
            <w:r w:rsidRPr="00A10097">
              <w:rPr>
                <w:rFonts w:eastAsia="仿宋_GB2312"/>
                <w:sz w:val="32"/>
                <w:szCs w:val="32"/>
              </w:rPr>
              <w:t>产品表面缺陷</w:t>
            </w:r>
          </w:p>
        </w:tc>
      </w:tr>
      <w:tr w:rsidR="006D539A" w:rsidRPr="00A10097" w:rsidTr="009F6037">
        <w:trPr>
          <w:jc w:val="center"/>
        </w:trPr>
        <w:tc>
          <w:tcPr>
            <w:tcW w:w="3240" w:type="dxa"/>
            <w:vMerge w:val="restart"/>
            <w:shd w:val="clear" w:color="auto" w:fill="FFFFFF"/>
            <w:vAlign w:val="center"/>
          </w:tcPr>
          <w:p w:rsidR="006D539A" w:rsidRPr="00A10097" w:rsidRDefault="006D539A" w:rsidP="009F6037">
            <w:pPr>
              <w:jc w:val="center"/>
              <w:rPr>
                <w:rFonts w:eastAsia="仿宋_GB2312"/>
                <w:sz w:val="32"/>
                <w:szCs w:val="32"/>
              </w:rPr>
            </w:pPr>
            <w:r w:rsidRPr="00A10097">
              <w:rPr>
                <w:rFonts w:eastAsia="仿宋_GB2312"/>
                <w:sz w:val="32"/>
                <w:szCs w:val="32"/>
              </w:rPr>
              <w:t>产品使用错误的危害</w:t>
            </w:r>
          </w:p>
        </w:tc>
        <w:tc>
          <w:tcPr>
            <w:tcW w:w="5174" w:type="dxa"/>
            <w:shd w:val="clear" w:color="auto" w:fill="FFFFFF"/>
          </w:tcPr>
          <w:p w:rsidR="006D539A" w:rsidRPr="00A10097" w:rsidRDefault="006D539A" w:rsidP="009F6037">
            <w:pPr>
              <w:rPr>
                <w:rFonts w:eastAsia="仿宋_GB2312"/>
                <w:sz w:val="32"/>
                <w:szCs w:val="32"/>
              </w:rPr>
            </w:pPr>
            <w:r w:rsidRPr="00A10097">
              <w:rPr>
                <w:rFonts w:eastAsia="仿宋_GB2312"/>
                <w:sz w:val="32"/>
                <w:szCs w:val="32"/>
              </w:rPr>
              <w:t>操作者应经过何种培训</w:t>
            </w:r>
          </w:p>
        </w:tc>
      </w:tr>
      <w:tr w:rsidR="006D539A" w:rsidRPr="00A10097" w:rsidTr="009F6037">
        <w:trPr>
          <w:jc w:val="center"/>
        </w:trPr>
        <w:tc>
          <w:tcPr>
            <w:tcW w:w="3240" w:type="dxa"/>
            <w:vMerge/>
            <w:shd w:val="clear" w:color="auto" w:fill="FFFFFF"/>
            <w:vAlign w:val="center"/>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rPr>
                <w:rFonts w:eastAsia="仿宋_GB2312"/>
                <w:sz w:val="32"/>
                <w:szCs w:val="32"/>
              </w:rPr>
            </w:pPr>
            <w:r w:rsidRPr="00A10097">
              <w:rPr>
                <w:rFonts w:eastAsia="仿宋_GB2312"/>
                <w:sz w:val="32"/>
                <w:szCs w:val="32"/>
              </w:rPr>
              <w:t>手术时，选择了不适当的规格型号的产品</w:t>
            </w:r>
          </w:p>
        </w:tc>
      </w:tr>
      <w:tr w:rsidR="006D539A" w:rsidRPr="00A10097" w:rsidTr="009F6037">
        <w:trPr>
          <w:jc w:val="center"/>
        </w:trPr>
        <w:tc>
          <w:tcPr>
            <w:tcW w:w="3240" w:type="dxa"/>
            <w:vMerge w:val="restart"/>
            <w:shd w:val="clear" w:color="auto" w:fill="FFFFFF"/>
            <w:vAlign w:val="center"/>
          </w:tcPr>
          <w:p w:rsidR="006D539A" w:rsidRPr="00A10097" w:rsidRDefault="006D539A" w:rsidP="009F6037">
            <w:pPr>
              <w:jc w:val="center"/>
              <w:rPr>
                <w:rFonts w:eastAsia="仿宋_GB2312"/>
                <w:sz w:val="32"/>
                <w:szCs w:val="32"/>
              </w:rPr>
            </w:pPr>
            <w:r w:rsidRPr="00A10097">
              <w:rPr>
                <w:rFonts w:eastAsia="仿宋_GB2312"/>
                <w:sz w:val="32"/>
                <w:szCs w:val="32"/>
              </w:rPr>
              <w:t>说明书、标签方面的危害</w:t>
            </w:r>
          </w:p>
        </w:tc>
        <w:tc>
          <w:tcPr>
            <w:tcW w:w="5174" w:type="dxa"/>
            <w:shd w:val="clear" w:color="auto" w:fill="FFFFFF"/>
          </w:tcPr>
          <w:p w:rsidR="006D539A" w:rsidRPr="00A10097" w:rsidRDefault="006D539A" w:rsidP="009F6037">
            <w:pPr>
              <w:rPr>
                <w:rFonts w:eastAsia="仿宋_GB2312"/>
                <w:sz w:val="32"/>
                <w:szCs w:val="32"/>
              </w:rPr>
            </w:pPr>
            <w:r w:rsidRPr="00A10097">
              <w:rPr>
                <w:rFonts w:eastAsia="仿宋_GB2312"/>
                <w:sz w:val="32"/>
                <w:szCs w:val="32"/>
              </w:rPr>
              <w:t>说明书不完整，不符合要求</w:t>
            </w:r>
          </w:p>
        </w:tc>
      </w:tr>
      <w:tr w:rsidR="006D539A" w:rsidRPr="00A10097" w:rsidTr="009F6037">
        <w:trPr>
          <w:jc w:val="center"/>
        </w:trPr>
        <w:tc>
          <w:tcPr>
            <w:tcW w:w="3240" w:type="dxa"/>
            <w:vMerge/>
            <w:shd w:val="clear" w:color="auto" w:fill="FFFFFF"/>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rPr>
                <w:rFonts w:eastAsia="仿宋_GB2312"/>
                <w:sz w:val="32"/>
                <w:szCs w:val="32"/>
              </w:rPr>
            </w:pPr>
            <w:r w:rsidRPr="00A10097">
              <w:rPr>
                <w:rFonts w:eastAsia="仿宋_GB2312"/>
                <w:sz w:val="32"/>
                <w:szCs w:val="32"/>
              </w:rPr>
              <w:t>标签内容缺失、错误</w:t>
            </w:r>
          </w:p>
        </w:tc>
      </w:tr>
      <w:tr w:rsidR="006D539A" w:rsidRPr="00A10097" w:rsidTr="009F6037">
        <w:trPr>
          <w:jc w:val="center"/>
        </w:trPr>
        <w:tc>
          <w:tcPr>
            <w:tcW w:w="3240" w:type="dxa"/>
            <w:vMerge/>
            <w:shd w:val="clear" w:color="auto" w:fill="FFFFFF"/>
          </w:tcPr>
          <w:p w:rsidR="006D539A" w:rsidRPr="00A10097" w:rsidRDefault="006D539A" w:rsidP="009F6037">
            <w:pPr>
              <w:ind w:firstLineChars="200" w:firstLine="640"/>
              <w:jc w:val="center"/>
              <w:rPr>
                <w:rFonts w:eastAsia="仿宋_GB2312"/>
                <w:sz w:val="32"/>
                <w:szCs w:val="32"/>
              </w:rPr>
            </w:pPr>
          </w:p>
        </w:tc>
        <w:tc>
          <w:tcPr>
            <w:tcW w:w="5174" w:type="dxa"/>
            <w:shd w:val="clear" w:color="auto" w:fill="FFFFFF"/>
          </w:tcPr>
          <w:p w:rsidR="006D539A" w:rsidRPr="00A10097" w:rsidRDefault="006D539A" w:rsidP="009F6037">
            <w:pPr>
              <w:rPr>
                <w:rFonts w:eastAsia="仿宋_GB2312"/>
                <w:sz w:val="32"/>
                <w:szCs w:val="32"/>
              </w:rPr>
            </w:pPr>
            <w:r w:rsidRPr="00A10097">
              <w:rPr>
                <w:rFonts w:eastAsia="仿宋_GB2312"/>
                <w:sz w:val="32"/>
                <w:szCs w:val="32"/>
              </w:rPr>
              <w:t>可追溯标记</w:t>
            </w:r>
          </w:p>
        </w:tc>
      </w:tr>
      <w:tr w:rsidR="006D539A" w:rsidRPr="00A10097" w:rsidTr="009F6037">
        <w:trPr>
          <w:jc w:val="center"/>
        </w:trPr>
        <w:tc>
          <w:tcPr>
            <w:tcW w:w="3240" w:type="dxa"/>
            <w:shd w:val="clear" w:color="auto" w:fill="FFFFFF"/>
          </w:tcPr>
          <w:p w:rsidR="006D539A" w:rsidRPr="00A10097" w:rsidRDefault="006D539A" w:rsidP="009F6037">
            <w:pPr>
              <w:jc w:val="center"/>
              <w:rPr>
                <w:rFonts w:eastAsia="仿宋_GB2312"/>
                <w:sz w:val="32"/>
                <w:szCs w:val="32"/>
              </w:rPr>
            </w:pPr>
            <w:r w:rsidRPr="00A10097">
              <w:rPr>
                <w:rFonts w:eastAsia="仿宋_GB2312"/>
                <w:sz w:val="32"/>
                <w:szCs w:val="32"/>
              </w:rPr>
              <w:t>……</w:t>
            </w:r>
          </w:p>
        </w:tc>
        <w:tc>
          <w:tcPr>
            <w:tcW w:w="5174" w:type="dxa"/>
            <w:shd w:val="clear" w:color="auto" w:fill="FFFFFF"/>
          </w:tcPr>
          <w:p w:rsidR="006D539A" w:rsidRPr="00A10097" w:rsidRDefault="006D539A" w:rsidP="009F6037">
            <w:pPr>
              <w:ind w:firstLineChars="200" w:firstLine="640"/>
              <w:rPr>
                <w:rFonts w:eastAsia="仿宋_GB2312"/>
                <w:sz w:val="32"/>
                <w:szCs w:val="32"/>
              </w:rPr>
            </w:pPr>
          </w:p>
        </w:tc>
      </w:tr>
    </w:tbl>
    <w:p w:rsidR="006D539A" w:rsidRPr="00A10097" w:rsidRDefault="006D539A" w:rsidP="006D539A">
      <w:pPr>
        <w:ind w:firstLineChars="200" w:firstLine="640"/>
        <w:rPr>
          <w:rFonts w:eastAsia="仿宋_GB2312"/>
          <w:sz w:val="32"/>
          <w:szCs w:val="32"/>
        </w:rPr>
      </w:pP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（六）对危害清单中每一危害处境下的风险进行风险估计和风险评价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明确风险可接受准则，并对损害发生的概率和损害的严重程度予以明确定义；产品国家标准、行业标准中如涉及了相关风险的可接受准则，该准则应作为申请人所确定的风险可接受准则之一，除非有证据证实其特定风险的可接受准则不必符合相关标准。申请人应依据风险可接受准则对危害清单中每一危害处境下的风险进行风险估计和风险评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风险评价的结果可以记入《风险评价、风险控制措施以及剩</w:t>
      </w:r>
      <w:r w:rsidRPr="00A10097">
        <w:rPr>
          <w:rFonts w:eastAsia="仿宋_GB2312"/>
          <w:sz w:val="32"/>
          <w:szCs w:val="32"/>
        </w:rPr>
        <w:lastRenderedPageBreak/>
        <w:t>余风险评价汇总表》中。</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（七）降低风险的控制措施</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对经风险评价后不可接受的、或考虑可进一步采取措施降低的风险实施降低风险的控制措施。在制定降低风险的控制措施方案时，应充分考虑产品国家标准、行业标准中有关降低风险的措施。应确保降低风险的控制措施在研制初期得到有效的输入，并应对措施的有效性实施验证。</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申请人应对采取降低风险的控制措施后的剩余风险以及是否会引发新的风险进行评价。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以上降低风险的控制措施、控制措施的验证、剩余风险评价等信息可以记入《风险评价、风险控制措施以及剩余风险评价汇总表》中。</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（八）结论</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申请人应对综合剩余风险是否可接受给出结论性意见，并对已有恰当的方法获得与本产品相关的包括出厂后流通与临床应用的信息进行阐述并作出承诺。</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风险管理报告应由申请人的最高管理者（法人）或其授权的代表签字批准。</w:t>
      </w:r>
    </w:p>
    <w:p w:rsidR="006D539A" w:rsidRPr="00A10097" w:rsidRDefault="006D539A" w:rsidP="006D539A">
      <w:pPr>
        <w:ind w:firstLineChars="200" w:firstLine="640"/>
        <w:rPr>
          <w:rFonts w:eastAsia="仿宋_GB2312"/>
          <w:sz w:val="32"/>
          <w:szCs w:val="32"/>
        </w:rPr>
      </w:pPr>
    </w:p>
    <w:p w:rsidR="006D539A" w:rsidRPr="00A10097" w:rsidRDefault="006D539A" w:rsidP="006D539A">
      <w:pPr>
        <w:rPr>
          <w:rFonts w:ascii="黑体" w:eastAsia="黑体" w:hAnsi="黑体"/>
          <w:sz w:val="32"/>
          <w:szCs w:val="32"/>
        </w:rPr>
      </w:pPr>
      <w:r w:rsidRPr="00A10097">
        <w:rPr>
          <w:rFonts w:eastAsia="仿宋_GB2312"/>
          <w:sz w:val="32"/>
          <w:szCs w:val="32"/>
        </w:rPr>
        <w:br w:type="page"/>
      </w:r>
      <w:r w:rsidRPr="00A10097">
        <w:rPr>
          <w:rFonts w:ascii="黑体" w:eastAsia="黑体" w:hAnsi="黑体"/>
          <w:sz w:val="32"/>
          <w:szCs w:val="32"/>
        </w:rPr>
        <w:lastRenderedPageBreak/>
        <w:t>附2</w:t>
      </w:r>
    </w:p>
    <w:p w:rsidR="006D539A" w:rsidRPr="00A10097" w:rsidRDefault="006D539A" w:rsidP="006D539A">
      <w:pPr>
        <w:tabs>
          <w:tab w:val="left" w:pos="540"/>
        </w:tabs>
        <w:rPr>
          <w:rFonts w:eastAsia="黑体"/>
          <w:sz w:val="32"/>
          <w:szCs w:val="32"/>
        </w:rPr>
      </w:pPr>
    </w:p>
    <w:p w:rsidR="006D539A" w:rsidRPr="00A10097" w:rsidRDefault="006D539A" w:rsidP="006D539A">
      <w:pPr>
        <w:jc w:val="center"/>
        <w:rPr>
          <w:rFonts w:eastAsia="方正小标宋简体"/>
          <w:color w:val="000000"/>
          <w:sz w:val="44"/>
          <w:szCs w:val="44"/>
        </w:rPr>
      </w:pPr>
      <w:r w:rsidRPr="00A10097">
        <w:rPr>
          <w:rFonts w:eastAsia="方正小标宋简体"/>
          <w:color w:val="000000"/>
          <w:sz w:val="44"/>
          <w:szCs w:val="44"/>
        </w:rPr>
        <w:t>相关国家标准、行业标准、国际标准举例</w:t>
      </w:r>
    </w:p>
    <w:p w:rsidR="006D539A" w:rsidRPr="00A10097" w:rsidRDefault="006D539A" w:rsidP="006D539A">
      <w:pPr>
        <w:ind w:firstLineChars="200" w:firstLine="640"/>
        <w:rPr>
          <w:rFonts w:eastAsia="仿宋_GB2312"/>
          <w:sz w:val="32"/>
          <w:szCs w:val="32"/>
        </w:rPr>
      </w:pPr>
    </w:p>
    <w:p w:rsidR="006D539A" w:rsidRPr="00A10097" w:rsidRDefault="006D539A" w:rsidP="006D539A">
      <w:pPr>
        <w:ind w:firstLineChars="200" w:firstLine="640"/>
        <w:rPr>
          <w:rFonts w:eastAsia="仿宋_GB2312"/>
          <w:sz w:val="32"/>
          <w:szCs w:val="32"/>
        </w:rPr>
      </w:pPr>
      <w:r w:rsidRPr="00A10097">
        <w:rPr>
          <w:rFonts w:eastAsia="仿宋_GB2312"/>
          <w:sz w:val="32"/>
          <w:szCs w:val="32"/>
        </w:rPr>
        <w:t>相关国家标准、行业标准、国际标准举例</w:t>
      </w:r>
      <w:r w:rsidRPr="00A10097">
        <w:rPr>
          <w:rFonts w:eastAsia="仿宋_GB2312"/>
          <w:sz w:val="32"/>
          <w:szCs w:val="32"/>
        </w:rPr>
        <w:t>,</w:t>
      </w:r>
      <w:r w:rsidRPr="00A10097">
        <w:rPr>
          <w:rFonts w:eastAsia="仿宋_GB2312"/>
          <w:sz w:val="32"/>
          <w:szCs w:val="32"/>
        </w:rPr>
        <w:t>包含但不限于如下（本指导原则中所列标准适用最新版本）：</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GB/T 10610-2009</w:t>
      </w:r>
      <w:r w:rsidRPr="00A10097">
        <w:rPr>
          <w:rFonts w:eastAsia="仿宋_GB2312"/>
          <w:sz w:val="32"/>
          <w:szCs w:val="32"/>
        </w:rPr>
        <w:t>产品几何技术规范</w:t>
      </w:r>
      <w:r>
        <w:rPr>
          <w:rFonts w:eastAsia="仿宋_GB2312" w:hint="eastAsia"/>
          <w:sz w:val="32"/>
          <w:szCs w:val="32"/>
        </w:rPr>
        <w:t>（</w:t>
      </w:r>
      <w:r w:rsidRPr="00A10097">
        <w:rPr>
          <w:rFonts w:eastAsia="仿宋_GB2312"/>
          <w:sz w:val="32"/>
          <w:szCs w:val="32"/>
        </w:rPr>
        <w:t>GPS</w:t>
      </w:r>
      <w:r>
        <w:rPr>
          <w:rFonts w:eastAsia="仿宋_GB2312" w:hint="eastAsia"/>
          <w:sz w:val="32"/>
          <w:szCs w:val="32"/>
        </w:rPr>
        <w:t>）</w:t>
      </w:r>
      <w:r w:rsidRPr="00A10097">
        <w:rPr>
          <w:rFonts w:eastAsia="仿宋_GB2312"/>
          <w:sz w:val="32"/>
          <w:szCs w:val="32"/>
        </w:rPr>
        <w:t>表面结构轮廓法评定表面结构的规则和方法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GB/T 16886 </w:t>
      </w:r>
      <w:r w:rsidRPr="00A10097">
        <w:rPr>
          <w:rFonts w:eastAsia="仿宋_GB2312"/>
          <w:sz w:val="32"/>
          <w:szCs w:val="32"/>
        </w:rPr>
        <w:t>医疗器械生物学评价系列标准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 18278 </w:t>
      </w:r>
      <w:r w:rsidRPr="00A10097">
        <w:rPr>
          <w:rFonts w:eastAsia="仿宋_GB2312"/>
          <w:sz w:val="32"/>
          <w:szCs w:val="32"/>
        </w:rPr>
        <w:t>医疗保健产品灭菌确认和常规控制要求工业湿热灭菌系列标准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GB 18279</w:t>
      </w:r>
      <w:r w:rsidRPr="00A10097">
        <w:rPr>
          <w:rFonts w:eastAsia="仿宋_GB2312"/>
          <w:sz w:val="32"/>
          <w:szCs w:val="32"/>
        </w:rPr>
        <w:t>医疗器械环氧乙烷灭菌确认和常规控制系列标准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GB 18280</w:t>
      </w:r>
      <w:r w:rsidRPr="00A10097">
        <w:rPr>
          <w:rFonts w:eastAsia="仿宋_GB2312"/>
          <w:sz w:val="32"/>
          <w:szCs w:val="32"/>
        </w:rPr>
        <w:t>医疗保健产品灭菌确认和常规控制要求辐射灭菌系列标准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GB/T 19701.1-2005 </w:t>
      </w:r>
      <w:r w:rsidRPr="00A10097">
        <w:rPr>
          <w:rFonts w:eastAsia="仿宋_GB2312"/>
          <w:sz w:val="32"/>
          <w:szCs w:val="32"/>
        </w:rPr>
        <w:t>超高分子量聚乙烯第</w:t>
      </w:r>
      <w:r w:rsidRPr="00A10097">
        <w:rPr>
          <w:rFonts w:eastAsia="仿宋_GB2312"/>
          <w:sz w:val="32"/>
          <w:szCs w:val="32"/>
        </w:rPr>
        <w:t>1</w:t>
      </w:r>
      <w:r w:rsidRPr="00A10097">
        <w:rPr>
          <w:rFonts w:eastAsia="仿宋_GB2312"/>
          <w:sz w:val="32"/>
          <w:szCs w:val="32"/>
        </w:rPr>
        <w:t>部分：粉料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GB/T 19701.2-2005 </w:t>
      </w:r>
      <w:r w:rsidRPr="00A10097">
        <w:rPr>
          <w:rFonts w:eastAsia="仿宋_GB2312"/>
          <w:sz w:val="32"/>
          <w:szCs w:val="32"/>
        </w:rPr>
        <w:t>超高分子量聚乙烯第</w:t>
      </w:r>
      <w:r w:rsidRPr="00A10097">
        <w:rPr>
          <w:rFonts w:eastAsia="仿宋_GB2312"/>
          <w:sz w:val="32"/>
          <w:szCs w:val="32"/>
        </w:rPr>
        <w:t>2</w:t>
      </w:r>
      <w:r w:rsidRPr="00A10097">
        <w:rPr>
          <w:rFonts w:eastAsia="仿宋_GB2312"/>
          <w:sz w:val="32"/>
          <w:szCs w:val="32"/>
        </w:rPr>
        <w:t>部分：模塑料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 23101.2-2008 </w:t>
      </w:r>
      <w:r w:rsidRPr="00A10097">
        <w:rPr>
          <w:rFonts w:eastAsia="仿宋_GB2312"/>
          <w:sz w:val="32"/>
          <w:szCs w:val="32"/>
        </w:rPr>
        <w:t>外科植入物羟基磷灰石第</w:t>
      </w:r>
      <w:r w:rsidRPr="00A10097">
        <w:rPr>
          <w:rFonts w:eastAsia="仿宋_GB2312"/>
          <w:sz w:val="32"/>
          <w:szCs w:val="32"/>
        </w:rPr>
        <w:t>2</w:t>
      </w:r>
      <w:r w:rsidRPr="00A10097">
        <w:rPr>
          <w:rFonts w:eastAsia="仿宋_GB2312"/>
          <w:sz w:val="32"/>
          <w:szCs w:val="32"/>
        </w:rPr>
        <w:t>部分：羟基磷灰石涂层</w:t>
      </w:r>
    </w:p>
    <w:p w:rsidR="006D539A" w:rsidRPr="00A10097" w:rsidRDefault="006D539A" w:rsidP="006D539A">
      <w:pPr>
        <w:ind w:leftChars="76" w:left="160" w:firstLineChars="150" w:firstLine="480"/>
        <w:rPr>
          <w:rFonts w:eastAsia="仿宋_GB2312"/>
          <w:sz w:val="32"/>
          <w:szCs w:val="32"/>
        </w:rPr>
      </w:pPr>
      <w:r w:rsidRPr="00A10097">
        <w:rPr>
          <w:rFonts w:eastAsia="仿宋_GB2312"/>
          <w:sz w:val="32"/>
          <w:szCs w:val="32"/>
        </w:rPr>
        <w:t xml:space="preserve">YY 0117.1-2005 </w:t>
      </w:r>
      <w:r w:rsidRPr="00A10097">
        <w:rPr>
          <w:rFonts w:eastAsia="仿宋_GB2312"/>
          <w:sz w:val="32"/>
          <w:szCs w:val="32"/>
        </w:rPr>
        <w:t>外科植入物骨关节假体锻、铸件</w:t>
      </w:r>
      <w:r w:rsidRPr="00A10097">
        <w:rPr>
          <w:rFonts w:eastAsia="仿宋_GB2312"/>
          <w:sz w:val="32"/>
          <w:szCs w:val="32"/>
        </w:rPr>
        <w:t xml:space="preserve"> Ti6Al4V</w:t>
      </w:r>
      <w:r w:rsidRPr="00A10097">
        <w:rPr>
          <w:rFonts w:eastAsia="仿宋_GB2312"/>
          <w:sz w:val="32"/>
          <w:szCs w:val="32"/>
        </w:rPr>
        <w:t>钛合金锻件</w:t>
      </w:r>
    </w:p>
    <w:p w:rsidR="006D539A" w:rsidRPr="00A10097" w:rsidRDefault="006D539A" w:rsidP="006D539A">
      <w:pPr>
        <w:ind w:leftChars="76" w:left="160" w:firstLineChars="150" w:firstLine="480"/>
        <w:rPr>
          <w:rFonts w:eastAsia="仿宋_GB2312"/>
          <w:sz w:val="32"/>
          <w:szCs w:val="32"/>
        </w:rPr>
      </w:pPr>
      <w:r w:rsidRPr="00A10097">
        <w:rPr>
          <w:rFonts w:eastAsia="仿宋_GB2312"/>
          <w:sz w:val="32"/>
          <w:szCs w:val="32"/>
        </w:rPr>
        <w:lastRenderedPageBreak/>
        <w:t xml:space="preserve">YY 0117.2-2005 </w:t>
      </w:r>
      <w:r w:rsidRPr="00A10097">
        <w:rPr>
          <w:rFonts w:eastAsia="仿宋_GB2312"/>
          <w:sz w:val="32"/>
          <w:szCs w:val="32"/>
        </w:rPr>
        <w:t>外科植入物骨关节假体锻、铸件</w:t>
      </w:r>
      <w:r w:rsidRPr="00A10097">
        <w:rPr>
          <w:rFonts w:eastAsia="仿宋_GB2312"/>
          <w:sz w:val="32"/>
          <w:szCs w:val="32"/>
        </w:rPr>
        <w:t xml:space="preserve"> ZTi6Al4V</w:t>
      </w:r>
      <w:r w:rsidRPr="00A10097">
        <w:rPr>
          <w:rFonts w:eastAsia="仿宋_GB2312"/>
          <w:sz w:val="32"/>
          <w:szCs w:val="32"/>
        </w:rPr>
        <w:t>钛合金铸件</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 0117.3-2005 </w:t>
      </w:r>
      <w:r w:rsidRPr="00A10097">
        <w:rPr>
          <w:rFonts w:eastAsia="仿宋_GB2312"/>
          <w:sz w:val="32"/>
          <w:szCs w:val="32"/>
        </w:rPr>
        <w:t>外科植入物骨关节假体锻、铸件钴铬钼合金铸件</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0343-2002 </w:t>
      </w:r>
      <w:r w:rsidRPr="00A10097">
        <w:rPr>
          <w:rFonts w:eastAsia="仿宋_GB2312"/>
          <w:sz w:val="32"/>
          <w:szCs w:val="32"/>
        </w:rPr>
        <w:t>外科金属植入物液体渗透检验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0772.3-2009 </w:t>
      </w:r>
      <w:r w:rsidRPr="00A10097">
        <w:rPr>
          <w:rFonts w:eastAsia="仿宋_GB2312"/>
          <w:sz w:val="32"/>
          <w:szCs w:val="32"/>
        </w:rPr>
        <w:t>外科植入物超高分子量聚乙烯第</w:t>
      </w:r>
      <w:r w:rsidRPr="00A10097">
        <w:rPr>
          <w:rFonts w:eastAsia="仿宋_GB2312"/>
          <w:sz w:val="32"/>
          <w:szCs w:val="32"/>
        </w:rPr>
        <w:t>3</w:t>
      </w:r>
      <w:r w:rsidRPr="00A10097">
        <w:rPr>
          <w:rFonts w:eastAsia="仿宋_GB2312"/>
          <w:sz w:val="32"/>
          <w:szCs w:val="32"/>
        </w:rPr>
        <w:t>部分：加速老化方法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0772.4-2009 </w:t>
      </w:r>
      <w:r w:rsidRPr="00A10097">
        <w:rPr>
          <w:rFonts w:eastAsia="仿宋_GB2312"/>
          <w:sz w:val="32"/>
          <w:szCs w:val="32"/>
        </w:rPr>
        <w:t>外科植入物超高分子量聚乙烯第</w:t>
      </w:r>
      <w:r w:rsidRPr="00A10097">
        <w:rPr>
          <w:rFonts w:eastAsia="仿宋_GB2312"/>
          <w:sz w:val="32"/>
          <w:szCs w:val="32"/>
        </w:rPr>
        <w:t>4</w:t>
      </w:r>
      <w:r w:rsidRPr="00A10097">
        <w:rPr>
          <w:rFonts w:eastAsia="仿宋_GB2312"/>
          <w:sz w:val="32"/>
          <w:szCs w:val="32"/>
        </w:rPr>
        <w:t>部分：氧化指数测试方法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0772.5-2009 </w:t>
      </w:r>
      <w:r w:rsidRPr="00A10097">
        <w:rPr>
          <w:rFonts w:eastAsia="仿宋_GB2312"/>
          <w:sz w:val="32"/>
          <w:szCs w:val="32"/>
        </w:rPr>
        <w:t>外科植入物超高分子量聚乙烯第</w:t>
      </w:r>
      <w:r w:rsidRPr="00A10097">
        <w:rPr>
          <w:rFonts w:eastAsia="仿宋_GB2312"/>
          <w:sz w:val="32"/>
          <w:szCs w:val="32"/>
        </w:rPr>
        <w:t>5</w:t>
      </w:r>
      <w:r w:rsidRPr="00A10097">
        <w:rPr>
          <w:rFonts w:eastAsia="仿宋_GB2312"/>
          <w:sz w:val="32"/>
          <w:szCs w:val="32"/>
        </w:rPr>
        <w:t>部分：形态评价方法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0811-2010 </w:t>
      </w:r>
      <w:r w:rsidRPr="00A10097">
        <w:rPr>
          <w:rFonts w:eastAsia="仿宋_GB2312"/>
          <w:sz w:val="32"/>
          <w:szCs w:val="32"/>
        </w:rPr>
        <w:t>外科植入物用大剂量辐射交联超高分子量聚乙烯制品标准要求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ISO 4287-1997</w:t>
      </w:r>
      <w:r w:rsidRPr="00A10097">
        <w:rPr>
          <w:rFonts w:eastAsia="仿宋_GB2312"/>
          <w:sz w:val="32"/>
          <w:szCs w:val="32"/>
        </w:rPr>
        <w:tab/>
      </w:r>
      <w:r w:rsidRPr="00A10097">
        <w:rPr>
          <w:rFonts w:eastAsia="仿宋_GB2312"/>
          <w:sz w:val="32"/>
          <w:szCs w:val="32"/>
        </w:rPr>
        <w:t>产品几何技术规范（</w:t>
      </w:r>
      <w:r w:rsidRPr="00A10097">
        <w:rPr>
          <w:rFonts w:eastAsia="仿宋_GB2312"/>
          <w:sz w:val="32"/>
          <w:szCs w:val="32"/>
        </w:rPr>
        <w:t>GPS</w:t>
      </w:r>
      <w:r w:rsidRPr="00A10097">
        <w:rPr>
          <w:rFonts w:eastAsia="仿宋_GB2312"/>
          <w:sz w:val="32"/>
          <w:szCs w:val="32"/>
        </w:rPr>
        <w:t>）表面结构：轮廓法术语、定义及表面结构参数</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6474-1-2010 </w:t>
      </w:r>
      <w:r w:rsidRPr="00A10097">
        <w:rPr>
          <w:rFonts w:eastAsia="仿宋_GB2312"/>
          <w:sz w:val="32"/>
          <w:szCs w:val="32"/>
        </w:rPr>
        <w:t>外科植入物陶瓷材料第</w:t>
      </w:r>
      <w:r w:rsidRPr="00A10097">
        <w:rPr>
          <w:rFonts w:eastAsia="仿宋_GB2312"/>
          <w:sz w:val="32"/>
          <w:szCs w:val="32"/>
        </w:rPr>
        <w:t>1</w:t>
      </w:r>
      <w:r w:rsidRPr="00A10097">
        <w:rPr>
          <w:rFonts w:eastAsia="仿宋_GB2312"/>
          <w:sz w:val="32"/>
          <w:szCs w:val="32"/>
        </w:rPr>
        <w:t>部分：高纯氧化铝基陶瓷材料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6474-2-2012 </w:t>
      </w:r>
      <w:r w:rsidRPr="00A10097">
        <w:rPr>
          <w:rFonts w:eastAsia="仿宋_GB2312"/>
          <w:sz w:val="32"/>
          <w:szCs w:val="32"/>
        </w:rPr>
        <w:t>外科植入物陶瓷材料第</w:t>
      </w:r>
      <w:r w:rsidRPr="00A10097">
        <w:rPr>
          <w:rFonts w:eastAsia="仿宋_GB2312"/>
          <w:sz w:val="32"/>
          <w:szCs w:val="32"/>
        </w:rPr>
        <w:t>2</w:t>
      </w:r>
      <w:r w:rsidRPr="00A10097">
        <w:rPr>
          <w:rFonts w:eastAsia="仿宋_GB2312"/>
          <w:sz w:val="32"/>
          <w:szCs w:val="32"/>
        </w:rPr>
        <w:t>部分：氧化锆强化型高纯氧化铝基复合材料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14630-2012   </w:t>
      </w:r>
      <w:r w:rsidRPr="00A10097">
        <w:rPr>
          <w:rFonts w:eastAsia="仿宋_GB2312"/>
          <w:sz w:val="32"/>
          <w:szCs w:val="32"/>
        </w:rPr>
        <w:t>无源外科植入物通用要求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ISO 21534-2007</w:t>
      </w:r>
      <w:r w:rsidRPr="00A10097">
        <w:rPr>
          <w:rFonts w:eastAsia="仿宋_GB2312"/>
          <w:sz w:val="32"/>
          <w:szCs w:val="32"/>
        </w:rPr>
        <w:t>无源外科植入物关节置换植入物特殊要求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 xml:space="preserve">ASTM F1044-2011 </w:t>
      </w:r>
      <w:r w:rsidRPr="00A10097">
        <w:rPr>
          <w:rFonts w:eastAsia="仿宋_GB2312"/>
          <w:sz w:val="32"/>
          <w:szCs w:val="32"/>
        </w:rPr>
        <w:t>磷酸钙涂层和金属涂层的剪切试验方法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F1147-2011 </w:t>
      </w:r>
      <w:r w:rsidRPr="00A10097">
        <w:rPr>
          <w:rFonts w:eastAsia="仿宋_GB2312"/>
          <w:sz w:val="32"/>
          <w:szCs w:val="32"/>
        </w:rPr>
        <w:t>磷酸钙涂层和金属涂层的拉伸试验方法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F1160-2014 </w:t>
      </w:r>
      <w:r w:rsidRPr="00A10097">
        <w:rPr>
          <w:rFonts w:eastAsia="仿宋_GB2312"/>
          <w:sz w:val="32"/>
          <w:szCs w:val="32"/>
        </w:rPr>
        <w:t>磷酸钙涂层、金属涂层和磷酸钙</w:t>
      </w:r>
      <w:r w:rsidRPr="00A10097">
        <w:rPr>
          <w:rFonts w:eastAsia="仿宋_GB2312"/>
          <w:sz w:val="32"/>
          <w:szCs w:val="32"/>
        </w:rPr>
        <w:t>/</w:t>
      </w:r>
      <w:r w:rsidRPr="00A10097">
        <w:rPr>
          <w:rFonts w:eastAsia="仿宋_GB2312"/>
          <w:sz w:val="32"/>
          <w:szCs w:val="32"/>
        </w:rPr>
        <w:t>金属复合涂层的剪切疲劳试验与弯曲疲劳试验方法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F1580-2012 </w:t>
      </w:r>
      <w:r w:rsidRPr="00A10097">
        <w:rPr>
          <w:rFonts w:eastAsia="仿宋_GB2312"/>
          <w:sz w:val="32"/>
          <w:szCs w:val="32"/>
        </w:rPr>
        <w:t>外科植入物涂层用钛及钛</w:t>
      </w:r>
      <w:r w:rsidRPr="00A10097">
        <w:rPr>
          <w:rFonts w:eastAsia="仿宋_GB2312"/>
          <w:sz w:val="32"/>
          <w:szCs w:val="32"/>
        </w:rPr>
        <w:t>6</w:t>
      </w:r>
      <w:r w:rsidRPr="00A10097">
        <w:rPr>
          <w:rFonts w:eastAsia="仿宋_GB2312"/>
          <w:sz w:val="32"/>
          <w:szCs w:val="32"/>
        </w:rPr>
        <w:t>铝</w:t>
      </w:r>
      <w:r w:rsidRPr="00A10097">
        <w:rPr>
          <w:rFonts w:eastAsia="仿宋_GB2312"/>
          <w:sz w:val="32"/>
          <w:szCs w:val="32"/>
        </w:rPr>
        <w:t>4</w:t>
      </w:r>
      <w:r w:rsidRPr="00A10097">
        <w:rPr>
          <w:rFonts w:eastAsia="仿宋_GB2312"/>
          <w:sz w:val="32"/>
          <w:szCs w:val="32"/>
        </w:rPr>
        <w:t>钒合金粉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F1854-2015 </w:t>
      </w:r>
      <w:r w:rsidRPr="00A10097">
        <w:rPr>
          <w:rFonts w:eastAsia="仿宋_GB2312"/>
          <w:sz w:val="32"/>
          <w:szCs w:val="32"/>
        </w:rPr>
        <w:t>外科植入物用多孔涂层立体学评价的试验方法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F1978-2012 </w:t>
      </w:r>
      <w:r w:rsidRPr="00A10097">
        <w:rPr>
          <w:rFonts w:eastAsia="仿宋_GB2312"/>
          <w:sz w:val="32"/>
          <w:szCs w:val="32"/>
        </w:rPr>
        <w:t>使用</w:t>
      </w:r>
      <w:r w:rsidRPr="00A10097">
        <w:rPr>
          <w:rFonts w:eastAsia="仿宋_GB2312"/>
          <w:sz w:val="32"/>
          <w:szCs w:val="32"/>
        </w:rPr>
        <w:t>Taber</w:t>
      </w:r>
      <w:r w:rsidRPr="00A10097">
        <w:rPr>
          <w:rFonts w:eastAsia="仿宋_GB2312"/>
          <w:sz w:val="32"/>
          <w:szCs w:val="32"/>
        </w:rPr>
        <w:t>研磨机测试金属热喷涂涂层耐磨性的试验方法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F2346-2011 </w:t>
      </w:r>
      <w:r w:rsidRPr="00A10097">
        <w:rPr>
          <w:rFonts w:eastAsia="仿宋_GB2312"/>
          <w:sz w:val="32"/>
          <w:szCs w:val="32"/>
        </w:rPr>
        <w:t>椎间盘假体静态和动态性能试验方法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F2423-2011 </w:t>
      </w:r>
      <w:r w:rsidRPr="00A10097">
        <w:rPr>
          <w:rFonts w:eastAsia="仿宋_GB2312"/>
          <w:sz w:val="32"/>
          <w:szCs w:val="32"/>
        </w:rPr>
        <w:t>全椎间盘假体功能、运动和磨损评价和试验方法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ASTM F2052-2015</w:t>
      </w:r>
      <w:r w:rsidRPr="00A10097">
        <w:rPr>
          <w:rFonts w:eastAsia="仿宋_GB2312"/>
          <w:sz w:val="32"/>
          <w:szCs w:val="32"/>
        </w:rPr>
        <w:t>测量磁共振环境中医疗设备磁感应位移力的标准试验方法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ASTM F2213-2006</w:t>
      </w:r>
      <w:r w:rsidRPr="00A10097">
        <w:rPr>
          <w:rFonts w:eastAsia="仿宋_GB2312"/>
          <w:sz w:val="32"/>
          <w:szCs w:val="32"/>
        </w:rPr>
        <w:t>（</w:t>
      </w:r>
      <w:r w:rsidRPr="00A10097">
        <w:rPr>
          <w:rFonts w:eastAsia="仿宋_GB2312"/>
          <w:sz w:val="32"/>
          <w:szCs w:val="32"/>
        </w:rPr>
        <w:t>2011</w:t>
      </w:r>
      <w:r w:rsidRPr="00A10097">
        <w:rPr>
          <w:rFonts w:eastAsia="仿宋_GB2312"/>
          <w:sz w:val="32"/>
          <w:szCs w:val="32"/>
        </w:rPr>
        <w:t>）测量磁共振环境中无源植入物上磁感应扭矩的标准试验方法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F2182-2011a </w:t>
      </w:r>
      <w:r w:rsidRPr="00A10097">
        <w:rPr>
          <w:rFonts w:eastAsia="仿宋_GB2312"/>
          <w:sz w:val="32"/>
          <w:szCs w:val="32"/>
        </w:rPr>
        <w:t>测定磁共振成像中交变磁力线中植入物发热标准试验方法</w:t>
      </w:r>
    </w:p>
    <w:p w:rsidR="006D539A" w:rsidRPr="00A10097" w:rsidRDefault="006D539A" w:rsidP="006D539A">
      <w:pPr>
        <w:ind w:firstLineChars="200" w:firstLine="640"/>
        <w:rPr>
          <w:rFonts w:eastAsia="仿宋_GB2312"/>
          <w:spacing w:val="-16"/>
          <w:sz w:val="32"/>
          <w:szCs w:val="32"/>
        </w:rPr>
      </w:pPr>
      <w:r w:rsidRPr="00A10097">
        <w:rPr>
          <w:rFonts w:eastAsia="仿宋_GB2312"/>
          <w:sz w:val="32"/>
          <w:szCs w:val="32"/>
        </w:rPr>
        <w:t xml:space="preserve">ASTM F2119-2013 </w:t>
      </w:r>
      <w:r w:rsidRPr="00A10097">
        <w:rPr>
          <w:rFonts w:eastAsia="仿宋_GB2312"/>
          <w:sz w:val="32"/>
          <w:szCs w:val="32"/>
        </w:rPr>
        <w:t>评</w:t>
      </w:r>
      <w:r w:rsidRPr="00A10097">
        <w:rPr>
          <w:rFonts w:eastAsia="仿宋_GB2312"/>
          <w:spacing w:val="-16"/>
          <w:sz w:val="32"/>
          <w:szCs w:val="32"/>
        </w:rPr>
        <w:t>定无源植入物磁共振图像伪影的试验方法</w:t>
      </w:r>
    </w:p>
    <w:p w:rsidR="006D539A" w:rsidRPr="00A10097" w:rsidRDefault="006D539A" w:rsidP="006D539A">
      <w:pPr>
        <w:ind w:firstLineChars="200" w:firstLine="640"/>
        <w:rPr>
          <w:rFonts w:eastAsia="仿宋_GB2312"/>
          <w:spacing w:val="-16"/>
          <w:sz w:val="32"/>
          <w:szCs w:val="32"/>
        </w:rPr>
      </w:pPr>
      <w:r w:rsidRPr="00A10097">
        <w:rPr>
          <w:rFonts w:eastAsia="仿宋_GB2312"/>
          <w:sz w:val="32"/>
          <w:szCs w:val="32"/>
        </w:rPr>
        <w:t>ASTM F2193-2014</w:t>
      </w:r>
      <w:r w:rsidRPr="00A10097">
        <w:rPr>
          <w:rFonts w:eastAsia="仿宋_GB2312"/>
          <w:sz w:val="32"/>
          <w:szCs w:val="32"/>
        </w:rPr>
        <w:t>脊柱</w:t>
      </w:r>
      <w:r w:rsidRPr="00A10097">
        <w:rPr>
          <w:rFonts w:eastAsia="仿宋_GB2312"/>
          <w:spacing w:val="-16"/>
          <w:sz w:val="32"/>
          <w:szCs w:val="32"/>
        </w:rPr>
        <w:t>植入物外固定用部件规格与试验方法</w:t>
      </w:r>
    </w:p>
    <w:p w:rsidR="006D539A" w:rsidRPr="00A10097" w:rsidRDefault="006D539A" w:rsidP="006D539A">
      <w:pPr>
        <w:ind w:firstLineChars="200" w:firstLine="640"/>
        <w:rPr>
          <w:rFonts w:eastAsia="仿宋_GB2312"/>
          <w:spacing w:val="-16"/>
          <w:sz w:val="32"/>
          <w:szCs w:val="32"/>
        </w:rPr>
      </w:pPr>
      <w:r w:rsidRPr="00A10097">
        <w:rPr>
          <w:rFonts w:eastAsia="仿宋_GB2312"/>
          <w:sz w:val="32"/>
          <w:szCs w:val="32"/>
        </w:rPr>
        <w:lastRenderedPageBreak/>
        <w:t xml:space="preserve">ASTM F2267-2011 </w:t>
      </w:r>
      <w:r w:rsidRPr="00A10097">
        <w:rPr>
          <w:rFonts w:eastAsia="仿宋_GB2312"/>
          <w:sz w:val="32"/>
          <w:szCs w:val="32"/>
        </w:rPr>
        <w:t>测量</w:t>
      </w:r>
      <w:r w:rsidRPr="00A10097">
        <w:rPr>
          <w:rFonts w:eastAsia="仿宋_GB2312"/>
          <w:spacing w:val="-16"/>
          <w:sz w:val="32"/>
          <w:szCs w:val="32"/>
        </w:rPr>
        <w:t>融合器轴向压缩载荷的标准试验方法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ASTMF2077-2014</w:t>
      </w:r>
      <w:r w:rsidRPr="00A10097">
        <w:rPr>
          <w:rFonts w:eastAsia="仿宋_GB2312"/>
          <w:sz w:val="32"/>
          <w:szCs w:val="32"/>
        </w:rPr>
        <w:t>椎间融合装置的试验方法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ISO18192</w:t>
      </w:r>
      <w:r w:rsidRPr="00A10097">
        <w:rPr>
          <w:rFonts w:eastAsia="仿宋_GB2312"/>
          <w:sz w:val="32"/>
          <w:szCs w:val="32"/>
        </w:rPr>
        <w:t>全椎间盘假体的磨损系列标准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ASTM F1609-2014</w:t>
      </w:r>
      <w:r w:rsidRPr="00A10097">
        <w:rPr>
          <w:rFonts w:eastAsia="仿宋_GB2312"/>
          <w:sz w:val="32"/>
          <w:szCs w:val="32"/>
        </w:rPr>
        <w:t>植入性磷酸钙涂层标准规范</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ASTM F1877-2016</w:t>
      </w:r>
      <w:r w:rsidRPr="00A10097">
        <w:rPr>
          <w:rFonts w:eastAsia="仿宋_GB2312"/>
          <w:sz w:val="32"/>
          <w:szCs w:val="32"/>
        </w:rPr>
        <w:t>粒度特征标准实施规程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 23101.1-2008 </w:t>
      </w:r>
      <w:r w:rsidRPr="00A10097">
        <w:rPr>
          <w:rFonts w:eastAsia="仿宋_GB2312"/>
          <w:sz w:val="32"/>
          <w:szCs w:val="32"/>
        </w:rPr>
        <w:t>羟基磷灰石第</w:t>
      </w:r>
      <w:r w:rsidRPr="00A10097">
        <w:rPr>
          <w:rFonts w:eastAsia="仿宋_GB2312"/>
          <w:sz w:val="32"/>
          <w:szCs w:val="32"/>
        </w:rPr>
        <w:t>1</w:t>
      </w:r>
      <w:r w:rsidRPr="00A10097">
        <w:rPr>
          <w:rFonts w:eastAsia="仿宋_GB2312"/>
          <w:sz w:val="32"/>
          <w:szCs w:val="32"/>
        </w:rPr>
        <w:t>部分：羟基磷灰石陶瓷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 23101.2-2008 </w:t>
      </w:r>
      <w:r w:rsidRPr="00A10097">
        <w:rPr>
          <w:rFonts w:eastAsia="仿宋_GB2312"/>
          <w:sz w:val="32"/>
          <w:szCs w:val="32"/>
        </w:rPr>
        <w:t>羟基磷灰石第</w:t>
      </w:r>
      <w:r w:rsidRPr="00A10097">
        <w:rPr>
          <w:rFonts w:eastAsia="仿宋_GB2312"/>
          <w:sz w:val="32"/>
          <w:szCs w:val="32"/>
        </w:rPr>
        <w:t>2</w:t>
      </w:r>
      <w:r w:rsidRPr="00A10097">
        <w:rPr>
          <w:rFonts w:eastAsia="仿宋_GB2312"/>
          <w:sz w:val="32"/>
          <w:szCs w:val="32"/>
        </w:rPr>
        <w:t>部分：羟基磷灰石涂层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 23101.3-2010 </w:t>
      </w:r>
      <w:r w:rsidRPr="00A10097">
        <w:rPr>
          <w:rFonts w:eastAsia="仿宋_GB2312"/>
          <w:sz w:val="32"/>
          <w:szCs w:val="32"/>
        </w:rPr>
        <w:t>羟基磷灰石第</w:t>
      </w:r>
      <w:r w:rsidRPr="00A10097">
        <w:rPr>
          <w:rFonts w:eastAsia="仿宋_GB2312"/>
          <w:sz w:val="32"/>
          <w:szCs w:val="32"/>
        </w:rPr>
        <w:t>3</w:t>
      </w:r>
      <w:r w:rsidRPr="00A10097">
        <w:rPr>
          <w:rFonts w:eastAsia="仿宋_GB2312"/>
          <w:sz w:val="32"/>
          <w:szCs w:val="32"/>
        </w:rPr>
        <w:t>部分：结晶度和相纯度的化学分析和表征</w:t>
      </w:r>
    </w:p>
    <w:p w:rsidR="006D539A" w:rsidRPr="00A10097" w:rsidRDefault="006D539A" w:rsidP="006D539A">
      <w:pPr>
        <w:ind w:firstLineChars="200" w:firstLine="640"/>
        <w:rPr>
          <w:rFonts w:eastAsia="仿宋_GB2312"/>
          <w:spacing w:val="-16"/>
          <w:sz w:val="32"/>
          <w:szCs w:val="32"/>
        </w:rPr>
      </w:pPr>
      <w:r w:rsidRPr="00A10097">
        <w:rPr>
          <w:rFonts w:eastAsia="仿宋_GB2312"/>
          <w:sz w:val="32"/>
          <w:szCs w:val="32"/>
        </w:rPr>
        <w:t xml:space="preserve">GB 23101.4-2008 </w:t>
      </w:r>
      <w:r w:rsidRPr="00A10097">
        <w:rPr>
          <w:rFonts w:eastAsia="仿宋_GB2312"/>
          <w:sz w:val="32"/>
          <w:szCs w:val="32"/>
        </w:rPr>
        <w:t>羟</w:t>
      </w:r>
      <w:r w:rsidRPr="00A10097">
        <w:rPr>
          <w:rFonts w:eastAsia="仿宋_GB2312"/>
          <w:spacing w:val="-16"/>
          <w:sz w:val="32"/>
          <w:szCs w:val="32"/>
        </w:rPr>
        <w:t>基磷灰石第</w:t>
      </w:r>
      <w:r w:rsidRPr="00A10097">
        <w:rPr>
          <w:rFonts w:eastAsia="仿宋_GB2312"/>
          <w:spacing w:val="-16"/>
          <w:sz w:val="32"/>
          <w:szCs w:val="32"/>
        </w:rPr>
        <w:t>4</w:t>
      </w:r>
      <w:r w:rsidRPr="00A10097">
        <w:rPr>
          <w:rFonts w:eastAsia="仿宋_GB2312"/>
          <w:spacing w:val="-16"/>
          <w:sz w:val="32"/>
          <w:szCs w:val="32"/>
        </w:rPr>
        <w:t>部分：涂层粘结强度的测定</w:t>
      </w:r>
    </w:p>
    <w:p w:rsidR="006D539A" w:rsidRPr="00A10097" w:rsidRDefault="006D539A" w:rsidP="006D539A">
      <w:pPr>
        <w:ind w:firstLineChars="200" w:firstLine="640"/>
        <w:rPr>
          <w:rFonts w:eastAsia="仿宋_GB2312"/>
          <w:sz w:val="32"/>
          <w:szCs w:val="32"/>
        </w:rPr>
      </w:pPr>
    </w:p>
    <w:bookmarkEnd w:id="0"/>
    <w:p w:rsidR="008B5449" w:rsidRPr="006D539A" w:rsidRDefault="008B5449" w:rsidP="003825D6">
      <w:pPr>
        <w:pStyle w:val="20"/>
        <w:spacing w:line="720" w:lineRule="exact"/>
        <w:ind w:left="0"/>
        <w:jc w:val="both"/>
      </w:pPr>
    </w:p>
    <w:sectPr w:rsidR="008B5449" w:rsidRPr="006D539A" w:rsidSect="00C9539B">
      <w:footerReference w:type="even" r:id="rId7"/>
      <w:footerReference w:type="default" r:id="rId8"/>
      <w:pgSz w:w="11906" w:h="16838"/>
      <w:pgMar w:top="1928" w:right="1531" w:bottom="1701"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3F4" w:rsidRDefault="008433F4" w:rsidP="006D539A">
      <w:r>
        <w:separator/>
      </w:r>
    </w:p>
  </w:endnote>
  <w:endnote w:type="continuationSeparator" w:id="1">
    <w:p w:rsidR="008433F4" w:rsidRDefault="008433F4" w:rsidP="006D539A">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_GB23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990" w:rsidRPr="00C9539B" w:rsidRDefault="003761B8">
    <w:pPr>
      <w:pStyle w:val="ae"/>
      <w:rPr>
        <w:sz w:val="28"/>
        <w:szCs w:val="28"/>
      </w:rPr>
    </w:pPr>
    <w:r w:rsidRPr="00C9539B">
      <w:rPr>
        <w:rFonts w:hint="eastAsia"/>
        <w:color w:val="FFFFFF"/>
        <w:sz w:val="28"/>
        <w:szCs w:val="28"/>
      </w:rPr>
      <w:t>—</w:t>
    </w:r>
    <w:r w:rsidRPr="00C9539B">
      <w:rPr>
        <w:rFonts w:hint="eastAsia"/>
        <w:sz w:val="28"/>
        <w:szCs w:val="28"/>
      </w:rPr>
      <w:t>—</w:t>
    </w:r>
    <w:r w:rsidR="00D6785C" w:rsidRPr="00C9539B">
      <w:rPr>
        <w:sz w:val="28"/>
        <w:szCs w:val="28"/>
      </w:rPr>
      <w:fldChar w:fldCharType="begin"/>
    </w:r>
    <w:r w:rsidRPr="00C9539B">
      <w:rPr>
        <w:sz w:val="28"/>
        <w:szCs w:val="28"/>
      </w:rPr>
      <w:instrText>PAGE   \* MERGEFORMAT</w:instrText>
    </w:r>
    <w:r w:rsidR="00D6785C" w:rsidRPr="00C9539B">
      <w:rPr>
        <w:sz w:val="28"/>
        <w:szCs w:val="28"/>
      </w:rPr>
      <w:fldChar w:fldCharType="separate"/>
    </w:r>
    <w:r w:rsidRPr="00F77AE3">
      <w:rPr>
        <w:noProof/>
        <w:sz w:val="28"/>
        <w:szCs w:val="28"/>
        <w:lang w:val="zh-CN"/>
      </w:rPr>
      <w:t>66</w:t>
    </w:r>
    <w:r w:rsidR="00D6785C" w:rsidRPr="00C9539B">
      <w:rPr>
        <w:sz w:val="28"/>
        <w:szCs w:val="28"/>
      </w:rPr>
      <w:fldChar w:fldCharType="end"/>
    </w:r>
    <w:r w:rsidRPr="00C9539B">
      <w:rPr>
        <w:rFonts w:hint="eastAsia"/>
        <w:sz w:val="28"/>
        <w:szCs w:val="28"/>
      </w:rPr>
      <w:t>—</w:t>
    </w:r>
  </w:p>
  <w:p w:rsidR="00A73EB3" w:rsidRDefault="008433F4" w:rsidP="00C9539B">
    <w:pPr>
      <w:pStyle w:val="a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990" w:rsidRPr="00C9539B" w:rsidRDefault="003761B8" w:rsidP="00C9539B">
    <w:pPr>
      <w:pStyle w:val="ae"/>
      <w:wordWrap w:val="0"/>
      <w:jc w:val="right"/>
      <w:rPr>
        <w:color w:val="FFFFFF"/>
        <w:sz w:val="28"/>
        <w:szCs w:val="28"/>
      </w:rPr>
    </w:pPr>
    <w:r w:rsidRPr="00C9539B">
      <w:rPr>
        <w:rFonts w:hint="eastAsia"/>
        <w:sz w:val="28"/>
        <w:szCs w:val="28"/>
      </w:rPr>
      <w:t>—</w:t>
    </w:r>
    <w:r w:rsidR="00D6785C" w:rsidRPr="00C9539B">
      <w:rPr>
        <w:sz w:val="28"/>
        <w:szCs w:val="28"/>
      </w:rPr>
      <w:fldChar w:fldCharType="begin"/>
    </w:r>
    <w:r w:rsidRPr="00C9539B">
      <w:rPr>
        <w:sz w:val="28"/>
        <w:szCs w:val="28"/>
      </w:rPr>
      <w:instrText>PAGE   \* MERGEFORMAT</w:instrText>
    </w:r>
    <w:r w:rsidR="00D6785C" w:rsidRPr="00C9539B">
      <w:rPr>
        <w:sz w:val="28"/>
        <w:szCs w:val="28"/>
      </w:rPr>
      <w:fldChar w:fldCharType="separate"/>
    </w:r>
    <w:r w:rsidR="003825D6" w:rsidRPr="003825D6">
      <w:rPr>
        <w:noProof/>
        <w:sz w:val="28"/>
        <w:szCs w:val="28"/>
        <w:lang w:val="zh-CN"/>
      </w:rPr>
      <w:t>2</w:t>
    </w:r>
    <w:r w:rsidR="00D6785C" w:rsidRPr="00C9539B">
      <w:rPr>
        <w:sz w:val="28"/>
        <w:szCs w:val="28"/>
      </w:rPr>
      <w:fldChar w:fldCharType="end"/>
    </w:r>
    <w:r w:rsidRPr="00C9539B">
      <w:rPr>
        <w:rFonts w:hint="eastAsia"/>
        <w:sz w:val="28"/>
        <w:szCs w:val="28"/>
      </w:rPr>
      <w:t>—</w:t>
    </w:r>
    <w:r w:rsidRPr="00C9539B">
      <w:rPr>
        <w:rFonts w:hint="eastAsia"/>
        <w:color w:val="FFFFFF"/>
        <w:sz w:val="28"/>
        <w:szCs w:val="28"/>
      </w:rPr>
      <w:t>—</w:t>
    </w:r>
  </w:p>
  <w:p w:rsidR="00A73EB3" w:rsidRDefault="008433F4" w:rsidP="00C9539B">
    <w:pPr>
      <w:pStyle w:val="a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3F4" w:rsidRDefault="008433F4" w:rsidP="006D539A">
      <w:r>
        <w:separator/>
      </w:r>
    </w:p>
  </w:footnote>
  <w:footnote w:type="continuationSeparator" w:id="1">
    <w:p w:rsidR="008433F4" w:rsidRDefault="008433F4" w:rsidP="006D53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C8226FE"/>
    <w:lvl w:ilvl="0">
      <w:numFmt w:val="bullet"/>
      <w:lvlText w:val="*"/>
      <w:lvlJc w:val="left"/>
    </w:lvl>
  </w:abstractNum>
  <w:abstractNum w:abstractNumId="1">
    <w:nsid w:val="1DBF583A"/>
    <w:multiLevelType w:val="multilevel"/>
    <w:tmpl w:val="F5FEA1AC"/>
    <w:lvl w:ilvl="0">
      <w:start w:val="1"/>
      <w:numFmt w:val="decimal"/>
      <w:lvlRestart w:val="0"/>
      <w:pStyle w:val="a"/>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1"/>
        </w:tabs>
        <w:ind w:left="1174" w:hanging="630"/>
      </w:pPr>
      <w:rPr>
        <w:rFonts w:hint="eastAsia"/>
        <w:vertAlign w:val="baseline"/>
      </w:rPr>
    </w:lvl>
    <w:lvl w:ilvl="2">
      <w:start w:val="1"/>
      <w:numFmt w:val="lowerRoman"/>
      <w:lvlText w:val="%3."/>
      <w:lvlJc w:val="right"/>
      <w:pPr>
        <w:tabs>
          <w:tab w:val="num" w:pos="181"/>
        </w:tabs>
        <w:ind w:left="1174" w:hanging="630"/>
      </w:pPr>
      <w:rPr>
        <w:rFonts w:hint="eastAsia"/>
        <w:vertAlign w:val="baseline"/>
      </w:rPr>
    </w:lvl>
    <w:lvl w:ilvl="3">
      <w:start w:val="1"/>
      <w:numFmt w:val="decimal"/>
      <w:lvlText w:val="%4."/>
      <w:lvlJc w:val="left"/>
      <w:pPr>
        <w:tabs>
          <w:tab w:val="num" w:pos="181"/>
        </w:tabs>
        <w:ind w:left="1174" w:hanging="630"/>
      </w:pPr>
      <w:rPr>
        <w:rFonts w:hint="eastAsia"/>
        <w:vertAlign w:val="baseline"/>
      </w:rPr>
    </w:lvl>
    <w:lvl w:ilvl="4">
      <w:start w:val="1"/>
      <w:numFmt w:val="lowerLetter"/>
      <w:lvlText w:val="%5)"/>
      <w:lvlJc w:val="left"/>
      <w:pPr>
        <w:tabs>
          <w:tab w:val="num" w:pos="181"/>
        </w:tabs>
        <w:ind w:left="1174" w:hanging="630"/>
      </w:pPr>
      <w:rPr>
        <w:rFonts w:hint="eastAsia"/>
        <w:vertAlign w:val="baseline"/>
      </w:rPr>
    </w:lvl>
    <w:lvl w:ilvl="5">
      <w:start w:val="1"/>
      <w:numFmt w:val="lowerRoman"/>
      <w:lvlText w:val="%6."/>
      <w:lvlJc w:val="right"/>
      <w:pPr>
        <w:tabs>
          <w:tab w:val="num" w:pos="181"/>
        </w:tabs>
        <w:ind w:left="1174" w:hanging="630"/>
      </w:pPr>
      <w:rPr>
        <w:rFonts w:hint="eastAsia"/>
        <w:vertAlign w:val="baseline"/>
      </w:rPr>
    </w:lvl>
    <w:lvl w:ilvl="6">
      <w:start w:val="1"/>
      <w:numFmt w:val="decimal"/>
      <w:lvlText w:val="%7."/>
      <w:lvlJc w:val="left"/>
      <w:pPr>
        <w:tabs>
          <w:tab w:val="num" w:pos="181"/>
        </w:tabs>
        <w:ind w:left="1174" w:hanging="630"/>
      </w:pPr>
      <w:rPr>
        <w:rFonts w:hint="eastAsia"/>
        <w:vertAlign w:val="baseline"/>
      </w:rPr>
    </w:lvl>
    <w:lvl w:ilvl="7">
      <w:start w:val="1"/>
      <w:numFmt w:val="lowerLetter"/>
      <w:lvlText w:val="%8)"/>
      <w:lvlJc w:val="left"/>
      <w:pPr>
        <w:tabs>
          <w:tab w:val="num" w:pos="181"/>
        </w:tabs>
        <w:ind w:left="1174" w:hanging="630"/>
      </w:pPr>
      <w:rPr>
        <w:rFonts w:hint="eastAsia"/>
        <w:vertAlign w:val="baseline"/>
      </w:rPr>
    </w:lvl>
    <w:lvl w:ilvl="8">
      <w:start w:val="1"/>
      <w:numFmt w:val="lowerRoman"/>
      <w:lvlText w:val="%9."/>
      <w:lvlJc w:val="right"/>
      <w:pPr>
        <w:tabs>
          <w:tab w:val="num" w:pos="181"/>
        </w:tabs>
        <w:ind w:left="1174" w:hanging="630"/>
      </w:pPr>
      <w:rPr>
        <w:rFonts w:hint="eastAsia"/>
        <w:vertAlign w:val="baseline"/>
      </w:rPr>
    </w:lvl>
  </w:abstractNum>
  <w:abstractNum w:abstractNumId="2">
    <w:nsid w:val="24953393"/>
    <w:multiLevelType w:val="hybridMultilevel"/>
    <w:tmpl w:val="A4086ADA"/>
    <w:lvl w:ilvl="0" w:tplc="64E03B2E">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331BA3"/>
    <w:multiLevelType w:val="multilevel"/>
    <w:tmpl w:val="69A8E1DA"/>
    <w:lvl w:ilvl="0">
      <w:start w:val="1"/>
      <w:numFmt w:val="decimal"/>
      <w:lvlText w:val="%1"/>
      <w:lvlJc w:val="left"/>
      <w:pPr>
        <w:ind w:left="284" w:hanging="284"/>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851" w:hanging="851"/>
      </w:pPr>
      <w:rPr>
        <w:rFonts w:hint="eastAsia"/>
      </w:rPr>
    </w:lvl>
    <w:lvl w:ilvl="5">
      <w:start w:val="1"/>
      <w:numFmt w:val="decimal"/>
      <w:lvlText w:val="%1.%2.%3.%4.%5.%6"/>
      <w:lvlJc w:val="left"/>
      <w:pPr>
        <w:ind w:left="992" w:hanging="992"/>
      </w:pPr>
      <w:rPr>
        <w:rFonts w:hint="eastAsia"/>
      </w:rPr>
    </w:lvl>
    <w:lvl w:ilvl="6">
      <w:start w:val="1"/>
      <w:numFmt w:val="decimal"/>
      <w:lvlText w:val="%1.%2.%3.%4.%5.%6.%7"/>
      <w:lvlJc w:val="left"/>
      <w:pPr>
        <w:ind w:left="3827" w:hanging="3827"/>
      </w:pPr>
      <w:rPr>
        <w:rFonts w:hint="eastAsia"/>
      </w:rPr>
    </w:lvl>
    <w:lvl w:ilvl="7">
      <w:start w:val="1"/>
      <w:numFmt w:val="decimal"/>
      <w:lvlText w:val="%1.%2.%3.%4.%5.%6.%7.%8"/>
      <w:lvlJc w:val="left"/>
      <w:pPr>
        <w:ind w:left="4394" w:hanging="4394"/>
      </w:pPr>
      <w:rPr>
        <w:rFonts w:hint="eastAsia"/>
      </w:rPr>
    </w:lvl>
    <w:lvl w:ilvl="8">
      <w:start w:val="1"/>
      <w:numFmt w:val="decimal"/>
      <w:lvlText w:val="%1.%2.%3.%4.%5.%6.%7.%8.%9"/>
      <w:lvlJc w:val="left"/>
      <w:pPr>
        <w:ind w:left="5102" w:hanging="5102"/>
      </w:pPr>
      <w:rPr>
        <w:rFonts w:hint="eastAsia"/>
      </w:rPr>
    </w:lvl>
  </w:abstractNum>
  <w:abstractNum w:abstractNumId="4">
    <w:nsid w:val="26EE2C3C"/>
    <w:multiLevelType w:val="hybridMultilevel"/>
    <w:tmpl w:val="46EE888A"/>
    <w:lvl w:ilvl="0" w:tplc="16A86898">
      <w:start w:val="1"/>
      <w:numFmt w:val="bullet"/>
      <w:lvlText w:val=""/>
      <w:lvlJc w:val="left"/>
      <w:pPr>
        <w:tabs>
          <w:tab w:val="num" w:pos="840"/>
        </w:tabs>
        <w:ind w:left="840" w:hanging="420"/>
      </w:pPr>
      <w:rPr>
        <w:rFonts w:ascii="Wingdings 2" w:hAnsi="Wingdings 2"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2A8F7113"/>
    <w:multiLevelType w:val="multilevel"/>
    <w:tmpl w:val="76786F08"/>
    <w:lvl w:ilvl="0">
      <w:start w:val="1"/>
      <w:numFmt w:val="upperLetter"/>
      <w:pStyle w:val="a0"/>
      <w:suff w:val="space"/>
      <w:lvlText w:val="%1"/>
      <w:lvlJc w:val="left"/>
      <w:pPr>
        <w:ind w:left="623" w:hanging="425"/>
      </w:pPr>
      <w:rPr>
        <w:rFonts w:hint="eastAsia"/>
      </w:rPr>
    </w:lvl>
    <w:lvl w:ilvl="1">
      <w:start w:val="1"/>
      <w:numFmt w:val="decimal"/>
      <w:pStyle w:val="a1"/>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6">
    <w:nsid w:val="2C5917C3"/>
    <w:multiLevelType w:val="multilevel"/>
    <w:tmpl w:val="C9A69A3E"/>
    <w:lvl w:ilvl="0">
      <w:start w:val="1"/>
      <w:numFmt w:val="none"/>
      <w:pStyle w:val="a2"/>
      <w:suff w:val="nothing"/>
      <w:lvlText w:val="%1——"/>
      <w:lvlJc w:val="left"/>
      <w:pPr>
        <w:ind w:left="833" w:hanging="408"/>
      </w:pPr>
      <w:rPr>
        <w:rFonts w:hint="eastAsia"/>
      </w:rPr>
    </w:lvl>
    <w:lvl w:ilvl="1">
      <w:start w:val="1"/>
      <w:numFmt w:val="bullet"/>
      <w:pStyle w:val="a3"/>
      <w:lvlText w:val=""/>
      <w:lvlJc w:val="left"/>
      <w:pPr>
        <w:tabs>
          <w:tab w:val="num" w:pos="760"/>
        </w:tabs>
        <w:ind w:left="1264" w:hanging="413"/>
      </w:pPr>
      <w:rPr>
        <w:rFonts w:ascii="Symbol" w:hAnsi="Symbol" w:hint="default"/>
        <w:color w:val="auto"/>
      </w:rPr>
    </w:lvl>
    <w:lvl w:ilvl="2">
      <w:start w:val="1"/>
      <w:numFmt w:val="bullet"/>
      <w:pStyle w:val="a4"/>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7">
    <w:nsid w:val="2F934B4F"/>
    <w:multiLevelType w:val="hybridMultilevel"/>
    <w:tmpl w:val="78606374"/>
    <w:lvl w:ilvl="0" w:tplc="55F4DC32">
      <w:start w:val="3"/>
      <w:numFmt w:val="japaneseCounting"/>
      <w:lvlText w:val="%1、"/>
      <w:lvlJc w:val="left"/>
      <w:pPr>
        <w:ind w:left="720" w:hanging="720"/>
      </w:pPr>
      <w:rPr>
        <w:rFonts w:cs="宋体" w:hint="default"/>
      </w:rPr>
    </w:lvl>
    <w:lvl w:ilvl="1" w:tplc="EF02D32A" w:tentative="1">
      <w:start w:val="1"/>
      <w:numFmt w:val="lowerLetter"/>
      <w:lvlText w:val="%2)"/>
      <w:lvlJc w:val="left"/>
      <w:pPr>
        <w:ind w:left="840" w:hanging="420"/>
      </w:pPr>
    </w:lvl>
    <w:lvl w:ilvl="2" w:tplc="AD983426" w:tentative="1">
      <w:start w:val="1"/>
      <w:numFmt w:val="lowerRoman"/>
      <w:lvlText w:val="%3."/>
      <w:lvlJc w:val="right"/>
      <w:pPr>
        <w:ind w:left="1260" w:hanging="420"/>
      </w:pPr>
    </w:lvl>
    <w:lvl w:ilvl="3" w:tplc="FC141D74" w:tentative="1">
      <w:start w:val="1"/>
      <w:numFmt w:val="decimal"/>
      <w:lvlText w:val="%4."/>
      <w:lvlJc w:val="left"/>
      <w:pPr>
        <w:ind w:left="1680" w:hanging="420"/>
      </w:pPr>
    </w:lvl>
    <w:lvl w:ilvl="4" w:tplc="721C279E" w:tentative="1">
      <w:start w:val="1"/>
      <w:numFmt w:val="lowerLetter"/>
      <w:lvlText w:val="%5)"/>
      <w:lvlJc w:val="left"/>
      <w:pPr>
        <w:ind w:left="2100" w:hanging="420"/>
      </w:pPr>
    </w:lvl>
    <w:lvl w:ilvl="5" w:tplc="2E6061FE" w:tentative="1">
      <w:start w:val="1"/>
      <w:numFmt w:val="lowerRoman"/>
      <w:lvlText w:val="%6."/>
      <w:lvlJc w:val="right"/>
      <w:pPr>
        <w:ind w:left="2520" w:hanging="420"/>
      </w:pPr>
    </w:lvl>
    <w:lvl w:ilvl="6" w:tplc="ECCA8790" w:tentative="1">
      <w:start w:val="1"/>
      <w:numFmt w:val="decimal"/>
      <w:lvlText w:val="%7."/>
      <w:lvlJc w:val="left"/>
      <w:pPr>
        <w:ind w:left="2940" w:hanging="420"/>
      </w:pPr>
    </w:lvl>
    <w:lvl w:ilvl="7" w:tplc="1ECE0554" w:tentative="1">
      <w:start w:val="1"/>
      <w:numFmt w:val="lowerLetter"/>
      <w:lvlText w:val="%8)"/>
      <w:lvlJc w:val="left"/>
      <w:pPr>
        <w:ind w:left="3360" w:hanging="420"/>
      </w:pPr>
    </w:lvl>
    <w:lvl w:ilvl="8" w:tplc="E10C3DD2" w:tentative="1">
      <w:start w:val="1"/>
      <w:numFmt w:val="lowerRoman"/>
      <w:lvlText w:val="%9."/>
      <w:lvlJc w:val="right"/>
      <w:pPr>
        <w:ind w:left="3780" w:hanging="420"/>
      </w:pPr>
    </w:lvl>
  </w:abstractNum>
  <w:abstractNum w:abstractNumId="8">
    <w:nsid w:val="369D6947"/>
    <w:multiLevelType w:val="hybridMultilevel"/>
    <w:tmpl w:val="24F8AB2C"/>
    <w:lvl w:ilvl="0" w:tplc="A53A12A4">
      <w:start w:val="1"/>
      <w:numFmt w:val="decimal"/>
      <w:lvlText w:val="%1"/>
      <w:lvlJc w:val="left"/>
      <w:pPr>
        <w:ind w:left="720" w:hanging="720"/>
      </w:pPr>
      <w:rPr>
        <w:rFonts w:ascii="Calibri" w:eastAsia="宋体" w:hAnsi="Calibri" w:cs="Times New Roman"/>
      </w:rPr>
    </w:lvl>
    <w:lvl w:ilvl="1" w:tplc="7B5874B4" w:tentative="1">
      <w:start w:val="1"/>
      <w:numFmt w:val="lowerLetter"/>
      <w:lvlText w:val="%2)"/>
      <w:lvlJc w:val="left"/>
      <w:pPr>
        <w:ind w:left="840" w:hanging="420"/>
      </w:pPr>
    </w:lvl>
    <w:lvl w:ilvl="2" w:tplc="803C195E" w:tentative="1">
      <w:start w:val="1"/>
      <w:numFmt w:val="lowerRoman"/>
      <w:lvlText w:val="%3."/>
      <w:lvlJc w:val="right"/>
      <w:pPr>
        <w:ind w:left="1260" w:hanging="420"/>
      </w:pPr>
    </w:lvl>
    <w:lvl w:ilvl="3" w:tplc="78A60D18" w:tentative="1">
      <w:start w:val="1"/>
      <w:numFmt w:val="decimal"/>
      <w:lvlText w:val="%4."/>
      <w:lvlJc w:val="left"/>
      <w:pPr>
        <w:ind w:left="1680" w:hanging="420"/>
      </w:pPr>
    </w:lvl>
    <w:lvl w:ilvl="4" w:tplc="B7E6A2DC" w:tentative="1">
      <w:start w:val="1"/>
      <w:numFmt w:val="lowerLetter"/>
      <w:lvlText w:val="%5)"/>
      <w:lvlJc w:val="left"/>
      <w:pPr>
        <w:ind w:left="2100" w:hanging="420"/>
      </w:pPr>
    </w:lvl>
    <w:lvl w:ilvl="5" w:tplc="6EB6CB22" w:tentative="1">
      <w:start w:val="1"/>
      <w:numFmt w:val="lowerRoman"/>
      <w:lvlText w:val="%6."/>
      <w:lvlJc w:val="right"/>
      <w:pPr>
        <w:ind w:left="2520" w:hanging="420"/>
      </w:pPr>
    </w:lvl>
    <w:lvl w:ilvl="6" w:tplc="6428C0FE" w:tentative="1">
      <w:start w:val="1"/>
      <w:numFmt w:val="decimal"/>
      <w:lvlText w:val="%7."/>
      <w:lvlJc w:val="left"/>
      <w:pPr>
        <w:ind w:left="2940" w:hanging="420"/>
      </w:pPr>
    </w:lvl>
    <w:lvl w:ilvl="7" w:tplc="5302F174" w:tentative="1">
      <w:start w:val="1"/>
      <w:numFmt w:val="lowerLetter"/>
      <w:lvlText w:val="%8)"/>
      <w:lvlJc w:val="left"/>
      <w:pPr>
        <w:ind w:left="3360" w:hanging="420"/>
      </w:pPr>
    </w:lvl>
    <w:lvl w:ilvl="8" w:tplc="82568A78" w:tentative="1">
      <w:start w:val="1"/>
      <w:numFmt w:val="lowerRoman"/>
      <w:lvlText w:val="%9."/>
      <w:lvlJc w:val="right"/>
      <w:pPr>
        <w:ind w:left="3780" w:hanging="420"/>
      </w:pPr>
    </w:lvl>
  </w:abstractNum>
  <w:abstractNum w:abstractNumId="9">
    <w:nsid w:val="384906AD"/>
    <w:multiLevelType w:val="hybridMultilevel"/>
    <w:tmpl w:val="0DA61B2C"/>
    <w:lvl w:ilvl="0" w:tplc="D6FC1E58">
      <w:start w:val="1"/>
      <w:numFmt w:val="japaneseCounting"/>
      <w:lvlText w:val="%1、"/>
      <w:lvlJc w:val="left"/>
      <w:pPr>
        <w:ind w:left="1429"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F66C5B"/>
    <w:multiLevelType w:val="multilevel"/>
    <w:tmpl w:val="77E06AA4"/>
    <w:lvl w:ilvl="0">
      <w:start w:val="1"/>
      <w:numFmt w:val="decimal"/>
      <w:pStyle w:val="a5"/>
      <w:lvlText w:val="%1."/>
      <w:lvlJc w:val="left"/>
      <w:pPr>
        <w:tabs>
          <w:tab w:val="num" w:pos="720"/>
        </w:tabs>
        <w:ind w:left="720" w:hanging="720"/>
      </w:pPr>
    </w:lvl>
    <w:lvl w:ilvl="1">
      <w:start w:val="1"/>
      <w:numFmt w:val="decimal"/>
      <w:pStyle w:val="a6"/>
      <w:lvlText w:val="%2."/>
      <w:lvlJc w:val="left"/>
      <w:pPr>
        <w:tabs>
          <w:tab w:val="num" w:pos="1440"/>
        </w:tabs>
        <w:ind w:left="1440" w:hanging="720"/>
      </w:pPr>
    </w:lvl>
    <w:lvl w:ilvl="2">
      <w:start w:val="1"/>
      <w:numFmt w:val="decimal"/>
      <w:pStyle w:val="a7"/>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a8"/>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7D96AB1"/>
    <w:multiLevelType w:val="hybridMultilevel"/>
    <w:tmpl w:val="EFE850A4"/>
    <w:lvl w:ilvl="0" w:tplc="CDA27146">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97D6BEA"/>
    <w:multiLevelType w:val="hybridMultilevel"/>
    <w:tmpl w:val="E594FAF6"/>
    <w:lvl w:ilvl="0" w:tplc="BD40D9E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B9B2019"/>
    <w:multiLevelType w:val="hybridMultilevel"/>
    <w:tmpl w:val="922ABD2C"/>
    <w:lvl w:ilvl="0" w:tplc="964EA6AE">
      <w:start w:val="1"/>
      <w:numFmt w:val="decimal"/>
      <w:lvlText w:val="%1、"/>
      <w:lvlJc w:val="left"/>
      <w:pPr>
        <w:ind w:left="1650" w:hanging="1050"/>
      </w:pPr>
      <w:rPr>
        <w:rFonts w:hint="default"/>
      </w:rPr>
    </w:lvl>
    <w:lvl w:ilvl="1" w:tplc="D9DA0510" w:tentative="1">
      <w:start w:val="1"/>
      <w:numFmt w:val="lowerLetter"/>
      <w:lvlText w:val="%2)"/>
      <w:lvlJc w:val="left"/>
      <w:pPr>
        <w:ind w:left="1440" w:hanging="420"/>
      </w:pPr>
    </w:lvl>
    <w:lvl w:ilvl="2" w:tplc="8312CCB4" w:tentative="1">
      <w:start w:val="1"/>
      <w:numFmt w:val="lowerRoman"/>
      <w:lvlText w:val="%3."/>
      <w:lvlJc w:val="right"/>
      <w:pPr>
        <w:ind w:left="1860" w:hanging="420"/>
      </w:pPr>
    </w:lvl>
    <w:lvl w:ilvl="3" w:tplc="BB3A2A48" w:tentative="1">
      <w:start w:val="1"/>
      <w:numFmt w:val="decimal"/>
      <w:lvlText w:val="%4."/>
      <w:lvlJc w:val="left"/>
      <w:pPr>
        <w:ind w:left="2280" w:hanging="420"/>
      </w:pPr>
    </w:lvl>
    <w:lvl w:ilvl="4" w:tplc="61C412A0" w:tentative="1">
      <w:start w:val="1"/>
      <w:numFmt w:val="lowerLetter"/>
      <w:lvlText w:val="%5)"/>
      <w:lvlJc w:val="left"/>
      <w:pPr>
        <w:ind w:left="2700" w:hanging="420"/>
      </w:pPr>
    </w:lvl>
    <w:lvl w:ilvl="5" w:tplc="FB908178" w:tentative="1">
      <w:start w:val="1"/>
      <w:numFmt w:val="lowerRoman"/>
      <w:lvlText w:val="%6."/>
      <w:lvlJc w:val="right"/>
      <w:pPr>
        <w:ind w:left="3120" w:hanging="420"/>
      </w:pPr>
    </w:lvl>
    <w:lvl w:ilvl="6" w:tplc="7C44E142" w:tentative="1">
      <w:start w:val="1"/>
      <w:numFmt w:val="decimal"/>
      <w:lvlText w:val="%7."/>
      <w:lvlJc w:val="left"/>
      <w:pPr>
        <w:ind w:left="3540" w:hanging="420"/>
      </w:pPr>
    </w:lvl>
    <w:lvl w:ilvl="7" w:tplc="272877C4" w:tentative="1">
      <w:start w:val="1"/>
      <w:numFmt w:val="lowerLetter"/>
      <w:lvlText w:val="%8)"/>
      <w:lvlJc w:val="left"/>
      <w:pPr>
        <w:ind w:left="3960" w:hanging="420"/>
      </w:pPr>
    </w:lvl>
    <w:lvl w:ilvl="8" w:tplc="39446102" w:tentative="1">
      <w:start w:val="1"/>
      <w:numFmt w:val="lowerRoman"/>
      <w:lvlText w:val="%9."/>
      <w:lvlJc w:val="right"/>
      <w:pPr>
        <w:ind w:left="4380" w:hanging="420"/>
      </w:pPr>
    </w:lvl>
  </w:abstractNum>
  <w:abstractNum w:abstractNumId="14">
    <w:nsid w:val="61106B17"/>
    <w:multiLevelType w:val="hybridMultilevel"/>
    <w:tmpl w:val="AE42906C"/>
    <w:lvl w:ilvl="0" w:tplc="4C108E96">
      <w:start w:val="1"/>
      <w:numFmt w:val="decimal"/>
      <w:lvlText w:val="%1、"/>
      <w:lvlJc w:val="left"/>
      <w:pPr>
        <w:ind w:left="1050" w:hanging="450"/>
      </w:pPr>
      <w:rPr>
        <w:rFonts w:cs="??_GB2312"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66453976"/>
    <w:multiLevelType w:val="hybridMultilevel"/>
    <w:tmpl w:val="6B0E6CF8"/>
    <w:lvl w:ilvl="0" w:tplc="DB12E07A">
      <w:start w:val="1"/>
      <w:numFmt w:val="decimal"/>
      <w:lvlText w:val="(%1)"/>
      <w:lvlJc w:val="left"/>
      <w:pPr>
        <w:ind w:left="1100" w:hanging="5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78BD30BE"/>
    <w:multiLevelType w:val="hybridMultilevel"/>
    <w:tmpl w:val="5092678A"/>
    <w:lvl w:ilvl="0" w:tplc="9768013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DA3E7C"/>
    <w:multiLevelType w:val="hybridMultilevel"/>
    <w:tmpl w:val="4798E108"/>
    <w:lvl w:ilvl="0" w:tplc="FAC0224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7F89034F"/>
    <w:multiLevelType w:val="hybridMultilevel"/>
    <w:tmpl w:val="892CE3EA"/>
    <w:lvl w:ilvl="0" w:tplc="A65C8BA4">
      <w:start w:val="1"/>
      <w:numFmt w:val="ideographDigital"/>
      <w:lvlText w:val="%1、"/>
      <w:lvlJc w:val="left"/>
      <w:pPr>
        <w:tabs>
          <w:tab w:val="num" w:pos="420"/>
        </w:tabs>
        <w:ind w:left="420" w:hanging="420"/>
      </w:pPr>
      <w:rPr>
        <w:rFonts w:hint="default"/>
      </w:rPr>
    </w:lvl>
    <w:lvl w:ilvl="1" w:tplc="10444962">
      <w:start w:val="1"/>
      <w:numFmt w:val="japaneseCounting"/>
      <w:lvlText w:val="%2）"/>
      <w:lvlJc w:val="left"/>
      <w:pPr>
        <w:tabs>
          <w:tab w:val="num" w:pos="840"/>
        </w:tabs>
        <w:ind w:left="840" w:hanging="420"/>
      </w:pPr>
      <w:rPr>
        <w:rFonts w:hint="default"/>
        <w:lang w:val="en-US"/>
      </w:rPr>
    </w:lvl>
    <w:lvl w:ilvl="2" w:tplc="39689D6E" w:tentative="1">
      <w:start w:val="1"/>
      <w:numFmt w:val="lowerRoman"/>
      <w:lvlText w:val="%3."/>
      <w:lvlJc w:val="right"/>
      <w:pPr>
        <w:tabs>
          <w:tab w:val="num" w:pos="1260"/>
        </w:tabs>
        <w:ind w:left="1260" w:hanging="420"/>
      </w:pPr>
    </w:lvl>
    <w:lvl w:ilvl="3" w:tplc="12C0C750" w:tentative="1">
      <w:start w:val="1"/>
      <w:numFmt w:val="decimal"/>
      <w:lvlText w:val="%4."/>
      <w:lvlJc w:val="left"/>
      <w:pPr>
        <w:tabs>
          <w:tab w:val="num" w:pos="1680"/>
        </w:tabs>
        <w:ind w:left="1680" w:hanging="420"/>
      </w:pPr>
    </w:lvl>
    <w:lvl w:ilvl="4" w:tplc="D9BEDF40" w:tentative="1">
      <w:start w:val="1"/>
      <w:numFmt w:val="lowerLetter"/>
      <w:lvlText w:val="%5)"/>
      <w:lvlJc w:val="left"/>
      <w:pPr>
        <w:tabs>
          <w:tab w:val="num" w:pos="2100"/>
        </w:tabs>
        <w:ind w:left="2100" w:hanging="420"/>
      </w:pPr>
    </w:lvl>
    <w:lvl w:ilvl="5" w:tplc="5C081EC6" w:tentative="1">
      <w:start w:val="1"/>
      <w:numFmt w:val="lowerRoman"/>
      <w:lvlText w:val="%6."/>
      <w:lvlJc w:val="right"/>
      <w:pPr>
        <w:tabs>
          <w:tab w:val="num" w:pos="2520"/>
        </w:tabs>
        <w:ind w:left="2520" w:hanging="420"/>
      </w:pPr>
    </w:lvl>
    <w:lvl w:ilvl="6" w:tplc="0BCE4CBE" w:tentative="1">
      <w:start w:val="1"/>
      <w:numFmt w:val="decimal"/>
      <w:lvlText w:val="%7."/>
      <w:lvlJc w:val="left"/>
      <w:pPr>
        <w:tabs>
          <w:tab w:val="num" w:pos="2940"/>
        </w:tabs>
        <w:ind w:left="2940" w:hanging="420"/>
      </w:pPr>
    </w:lvl>
    <w:lvl w:ilvl="7" w:tplc="6DB09864" w:tentative="1">
      <w:start w:val="1"/>
      <w:numFmt w:val="lowerLetter"/>
      <w:lvlText w:val="%8)"/>
      <w:lvlJc w:val="left"/>
      <w:pPr>
        <w:tabs>
          <w:tab w:val="num" w:pos="3360"/>
        </w:tabs>
        <w:ind w:left="3360" w:hanging="420"/>
      </w:pPr>
    </w:lvl>
    <w:lvl w:ilvl="8" w:tplc="CF464A10" w:tentative="1">
      <w:start w:val="1"/>
      <w:numFmt w:val="lowerRoman"/>
      <w:lvlText w:val="%9."/>
      <w:lvlJc w:val="right"/>
      <w:pPr>
        <w:tabs>
          <w:tab w:val="num" w:pos="3780"/>
        </w:tabs>
        <w:ind w:left="3780" w:hanging="420"/>
      </w:pPr>
    </w:lvl>
  </w:abstractNum>
  <w:num w:numId="1">
    <w:abstractNumId w:val="12"/>
  </w:num>
  <w:num w:numId="2">
    <w:abstractNumId w:val="17"/>
  </w:num>
  <w:num w:numId="3">
    <w:abstractNumId w:val="18"/>
  </w:num>
  <w:num w:numId="4">
    <w:abstractNumId w:val="16"/>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3"/>
  </w:num>
  <w:num w:numId="7">
    <w:abstractNumId w:val="8"/>
  </w:num>
  <w:num w:numId="8">
    <w:abstractNumId w:val="10"/>
  </w:num>
  <w:num w:numId="9">
    <w:abstractNumId w:val="9"/>
  </w:num>
  <w:num w:numId="10">
    <w:abstractNumId w:val="7"/>
  </w:num>
  <w:num w:numId="11">
    <w:abstractNumId w:val="6"/>
  </w:num>
  <w:num w:numId="12">
    <w:abstractNumId w:val="1"/>
  </w:num>
  <w:num w:numId="13">
    <w:abstractNumId w:val="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4"/>
  </w:num>
  <w:num w:numId="17">
    <w:abstractNumId w:val="3"/>
  </w:num>
  <w:num w:numId="18">
    <w:abstractNumId w:val="15"/>
  </w:num>
  <w:num w:numId="19">
    <w:abstractNumId w:val="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5703"/>
    <w:rsid w:val="003761B8"/>
    <w:rsid w:val="003825D6"/>
    <w:rsid w:val="00515703"/>
    <w:rsid w:val="006D539A"/>
    <w:rsid w:val="008433F4"/>
    <w:rsid w:val="008B5449"/>
    <w:rsid w:val="00CE2974"/>
    <w:rsid w:val="00D678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6D539A"/>
    <w:pPr>
      <w:widowControl w:val="0"/>
      <w:jc w:val="both"/>
    </w:pPr>
    <w:rPr>
      <w:rFonts w:ascii="Times New Roman" w:eastAsia="宋体" w:hAnsi="Times New Roman" w:cs="Times New Roman"/>
      <w:szCs w:val="24"/>
    </w:rPr>
  </w:style>
  <w:style w:type="paragraph" w:styleId="1">
    <w:name w:val="heading 1"/>
    <w:basedOn w:val="a9"/>
    <w:next w:val="a9"/>
    <w:link w:val="1Char"/>
    <w:uiPriority w:val="9"/>
    <w:qFormat/>
    <w:rsid w:val="006D539A"/>
    <w:pPr>
      <w:keepNext/>
      <w:keepLines/>
      <w:spacing w:before="340" w:after="330" w:line="578" w:lineRule="auto"/>
      <w:outlineLvl w:val="0"/>
    </w:pPr>
    <w:rPr>
      <w:rFonts w:ascii="Calibri" w:hAnsi="Calibri"/>
      <w:b/>
      <w:bCs/>
      <w:kern w:val="44"/>
      <w:sz w:val="44"/>
      <w:szCs w:val="44"/>
    </w:rPr>
  </w:style>
  <w:style w:type="paragraph" w:styleId="2">
    <w:name w:val="heading 2"/>
    <w:basedOn w:val="a9"/>
    <w:next w:val="a9"/>
    <w:link w:val="2Char"/>
    <w:uiPriority w:val="9"/>
    <w:unhideWhenUsed/>
    <w:qFormat/>
    <w:rsid w:val="006D539A"/>
    <w:pPr>
      <w:keepNext/>
      <w:keepLines/>
      <w:spacing w:before="260" w:after="260" w:line="416" w:lineRule="auto"/>
      <w:outlineLvl w:val="1"/>
    </w:pPr>
    <w:rPr>
      <w:rFonts w:ascii="Cambria" w:hAnsi="Cambria"/>
      <w:b/>
      <w:bCs/>
      <w:sz w:val="32"/>
      <w:szCs w:val="32"/>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Char"/>
    <w:unhideWhenUsed/>
    <w:rsid w:val="006D53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a"/>
    <w:link w:val="ad"/>
    <w:rsid w:val="006D539A"/>
    <w:rPr>
      <w:sz w:val="18"/>
      <w:szCs w:val="18"/>
    </w:rPr>
  </w:style>
  <w:style w:type="paragraph" w:styleId="ae">
    <w:name w:val="footer"/>
    <w:basedOn w:val="a9"/>
    <w:link w:val="Char0"/>
    <w:uiPriority w:val="99"/>
    <w:unhideWhenUsed/>
    <w:rsid w:val="006D539A"/>
    <w:pPr>
      <w:tabs>
        <w:tab w:val="center" w:pos="4153"/>
        <w:tab w:val="right" w:pos="8306"/>
      </w:tabs>
      <w:snapToGrid w:val="0"/>
      <w:jc w:val="left"/>
    </w:pPr>
    <w:rPr>
      <w:sz w:val="18"/>
      <w:szCs w:val="18"/>
    </w:rPr>
  </w:style>
  <w:style w:type="character" w:customStyle="1" w:styleId="Char0">
    <w:name w:val="页脚 Char"/>
    <w:basedOn w:val="aa"/>
    <w:link w:val="ae"/>
    <w:uiPriority w:val="99"/>
    <w:rsid w:val="006D539A"/>
    <w:rPr>
      <w:sz w:val="18"/>
      <w:szCs w:val="18"/>
    </w:rPr>
  </w:style>
  <w:style w:type="character" w:customStyle="1" w:styleId="1Char">
    <w:name w:val="标题 1 Char"/>
    <w:basedOn w:val="aa"/>
    <w:link w:val="1"/>
    <w:uiPriority w:val="9"/>
    <w:rsid w:val="006D539A"/>
    <w:rPr>
      <w:rFonts w:ascii="Calibri" w:eastAsia="宋体" w:hAnsi="Calibri" w:cs="Times New Roman"/>
      <w:b/>
      <w:bCs/>
      <w:kern w:val="44"/>
      <w:sz w:val="44"/>
      <w:szCs w:val="44"/>
    </w:rPr>
  </w:style>
  <w:style w:type="character" w:customStyle="1" w:styleId="2Char">
    <w:name w:val="标题 2 Char"/>
    <w:basedOn w:val="aa"/>
    <w:link w:val="2"/>
    <w:uiPriority w:val="9"/>
    <w:rsid w:val="006D539A"/>
    <w:rPr>
      <w:rFonts w:ascii="Cambria" w:eastAsia="宋体" w:hAnsi="Cambria" w:cs="Times New Roman"/>
      <w:b/>
      <w:bCs/>
      <w:sz w:val="32"/>
      <w:szCs w:val="32"/>
    </w:rPr>
  </w:style>
  <w:style w:type="paragraph" w:styleId="af">
    <w:name w:val="Document Map"/>
    <w:basedOn w:val="a9"/>
    <w:link w:val="Char1"/>
    <w:uiPriority w:val="99"/>
    <w:rsid w:val="006D539A"/>
    <w:pPr>
      <w:shd w:val="clear" w:color="auto" w:fill="000080"/>
    </w:pPr>
  </w:style>
  <w:style w:type="character" w:customStyle="1" w:styleId="Char1">
    <w:name w:val="文档结构图 Char"/>
    <w:basedOn w:val="aa"/>
    <w:link w:val="af"/>
    <w:uiPriority w:val="99"/>
    <w:rsid w:val="006D539A"/>
    <w:rPr>
      <w:rFonts w:ascii="Times New Roman" w:eastAsia="宋体" w:hAnsi="Times New Roman" w:cs="Times New Roman"/>
      <w:szCs w:val="24"/>
      <w:shd w:val="clear" w:color="auto" w:fill="000080"/>
    </w:rPr>
  </w:style>
  <w:style w:type="character" w:styleId="af0">
    <w:name w:val="page number"/>
    <w:basedOn w:val="aa"/>
    <w:rsid w:val="006D539A"/>
  </w:style>
  <w:style w:type="paragraph" w:customStyle="1" w:styleId="Default">
    <w:name w:val="Default"/>
    <w:rsid w:val="006D539A"/>
    <w:pPr>
      <w:widowControl w:val="0"/>
      <w:autoSpaceDE w:val="0"/>
      <w:autoSpaceDN w:val="0"/>
      <w:adjustRightInd w:val="0"/>
    </w:pPr>
    <w:rPr>
      <w:rFonts w:ascii="黑体" w:eastAsia="黑体" w:hAnsi="Times New Roman" w:cs="黑体"/>
      <w:color w:val="000000"/>
      <w:kern w:val="0"/>
      <w:sz w:val="24"/>
      <w:szCs w:val="24"/>
    </w:rPr>
  </w:style>
  <w:style w:type="paragraph" w:styleId="af1">
    <w:name w:val="Title"/>
    <w:basedOn w:val="a9"/>
    <w:next w:val="a9"/>
    <w:link w:val="Char2"/>
    <w:uiPriority w:val="10"/>
    <w:qFormat/>
    <w:rsid w:val="006D539A"/>
    <w:pPr>
      <w:spacing w:before="240" w:after="60"/>
      <w:jc w:val="center"/>
      <w:outlineLvl w:val="0"/>
    </w:pPr>
    <w:rPr>
      <w:rFonts w:ascii="Cambria" w:hAnsi="Cambria"/>
      <w:b/>
      <w:bCs/>
      <w:sz w:val="32"/>
      <w:szCs w:val="32"/>
    </w:rPr>
  </w:style>
  <w:style w:type="character" w:customStyle="1" w:styleId="Char2">
    <w:name w:val="标题 Char"/>
    <w:basedOn w:val="aa"/>
    <w:link w:val="af1"/>
    <w:uiPriority w:val="10"/>
    <w:rsid w:val="006D539A"/>
    <w:rPr>
      <w:rFonts w:ascii="Cambria" w:eastAsia="宋体" w:hAnsi="Cambria" w:cs="Times New Roman"/>
      <w:b/>
      <w:bCs/>
      <w:sz w:val="32"/>
      <w:szCs w:val="32"/>
    </w:rPr>
  </w:style>
  <w:style w:type="paragraph" w:styleId="af2">
    <w:name w:val="List Paragraph"/>
    <w:basedOn w:val="a9"/>
    <w:uiPriority w:val="34"/>
    <w:qFormat/>
    <w:rsid w:val="006D539A"/>
    <w:pPr>
      <w:ind w:firstLineChars="200" w:firstLine="420"/>
    </w:pPr>
    <w:rPr>
      <w:rFonts w:ascii="Calibri" w:hAnsi="Calibri"/>
      <w:szCs w:val="22"/>
    </w:rPr>
  </w:style>
  <w:style w:type="paragraph" w:customStyle="1" w:styleId="af3">
    <w:name w:val="段"/>
    <w:link w:val="Char3"/>
    <w:rsid w:val="006D539A"/>
    <w:pPr>
      <w:autoSpaceDE w:val="0"/>
      <w:autoSpaceDN w:val="0"/>
      <w:ind w:firstLineChars="200" w:firstLine="200"/>
      <w:jc w:val="both"/>
    </w:pPr>
    <w:rPr>
      <w:rFonts w:ascii="宋体" w:eastAsia="宋体" w:hAnsi="Times New Roman" w:cs="Times New Roman"/>
      <w:noProof/>
      <w:kern w:val="0"/>
      <w:szCs w:val="20"/>
    </w:rPr>
  </w:style>
  <w:style w:type="paragraph" w:customStyle="1" w:styleId="a5">
    <w:name w:val="前言、引言标题"/>
    <w:next w:val="a9"/>
    <w:rsid w:val="006D539A"/>
    <w:pPr>
      <w:numPr>
        <w:numId w:val="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6">
    <w:name w:val="章标题"/>
    <w:next w:val="af3"/>
    <w:link w:val="Char4"/>
    <w:rsid w:val="006D539A"/>
    <w:pPr>
      <w:numPr>
        <w:ilvl w:val="1"/>
        <w:numId w:val="8"/>
      </w:numPr>
      <w:spacing w:beforeLines="50" w:afterLines="50"/>
      <w:jc w:val="both"/>
      <w:outlineLvl w:val="1"/>
    </w:pPr>
    <w:rPr>
      <w:rFonts w:ascii="黑体" w:eastAsia="黑体" w:hAnsi="Times New Roman" w:cs="Times New Roman"/>
      <w:kern w:val="0"/>
      <w:szCs w:val="20"/>
    </w:rPr>
  </w:style>
  <w:style w:type="paragraph" w:customStyle="1" w:styleId="a7">
    <w:name w:val="一级条标题"/>
    <w:next w:val="af3"/>
    <w:rsid w:val="006D539A"/>
    <w:pPr>
      <w:numPr>
        <w:ilvl w:val="2"/>
        <w:numId w:val="8"/>
      </w:numPr>
      <w:outlineLvl w:val="2"/>
    </w:pPr>
    <w:rPr>
      <w:rFonts w:ascii="Times New Roman" w:eastAsia="黑体" w:hAnsi="Times New Roman" w:cs="Times New Roman"/>
      <w:kern w:val="0"/>
      <w:szCs w:val="20"/>
    </w:rPr>
  </w:style>
  <w:style w:type="paragraph" w:customStyle="1" w:styleId="a8">
    <w:name w:val="二级条标题"/>
    <w:basedOn w:val="a7"/>
    <w:next w:val="af3"/>
    <w:rsid w:val="006D539A"/>
    <w:pPr>
      <w:numPr>
        <w:ilvl w:val="4"/>
      </w:numPr>
      <w:outlineLvl w:val="3"/>
    </w:pPr>
  </w:style>
  <w:style w:type="paragraph" w:styleId="af4">
    <w:name w:val="Balloon Text"/>
    <w:basedOn w:val="a9"/>
    <w:link w:val="Char5"/>
    <w:uiPriority w:val="99"/>
    <w:unhideWhenUsed/>
    <w:rsid w:val="006D539A"/>
    <w:rPr>
      <w:rFonts w:ascii="Calibri" w:hAnsi="Calibri"/>
      <w:sz w:val="18"/>
      <w:szCs w:val="18"/>
    </w:rPr>
  </w:style>
  <w:style w:type="character" w:customStyle="1" w:styleId="Char5">
    <w:name w:val="批注框文本 Char"/>
    <w:basedOn w:val="aa"/>
    <w:link w:val="af4"/>
    <w:uiPriority w:val="99"/>
    <w:rsid w:val="006D539A"/>
    <w:rPr>
      <w:rFonts w:ascii="Calibri" w:eastAsia="宋体" w:hAnsi="Calibri" w:cs="Times New Roman"/>
      <w:sz w:val="18"/>
      <w:szCs w:val="18"/>
    </w:rPr>
  </w:style>
  <w:style w:type="character" w:customStyle="1" w:styleId="Char3">
    <w:name w:val="段 Char"/>
    <w:link w:val="af3"/>
    <w:rsid w:val="006D539A"/>
    <w:rPr>
      <w:rFonts w:ascii="宋体" w:eastAsia="宋体" w:hAnsi="Times New Roman" w:cs="Times New Roman"/>
      <w:noProof/>
      <w:kern w:val="0"/>
      <w:szCs w:val="20"/>
    </w:rPr>
  </w:style>
  <w:style w:type="paragraph" w:customStyle="1" w:styleId="a2">
    <w:name w:val="列项——（一级）"/>
    <w:rsid w:val="006D539A"/>
    <w:pPr>
      <w:widowControl w:val="0"/>
      <w:numPr>
        <w:numId w:val="11"/>
      </w:numPr>
      <w:jc w:val="both"/>
    </w:pPr>
    <w:rPr>
      <w:rFonts w:ascii="宋体" w:eastAsia="宋体" w:hAnsi="Times New Roman" w:cs="Times New Roman"/>
      <w:kern w:val="0"/>
      <w:szCs w:val="20"/>
    </w:rPr>
  </w:style>
  <w:style w:type="paragraph" w:customStyle="1" w:styleId="a3">
    <w:name w:val="列项●（二级）"/>
    <w:rsid w:val="006D539A"/>
    <w:pPr>
      <w:numPr>
        <w:ilvl w:val="1"/>
        <w:numId w:val="11"/>
      </w:numPr>
      <w:tabs>
        <w:tab w:val="left" w:pos="840"/>
      </w:tabs>
      <w:jc w:val="both"/>
    </w:pPr>
    <w:rPr>
      <w:rFonts w:ascii="宋体" w:eastAsia="宋体" w:hAnsi="Times New Roman" w:cs="Times New Roman"/>
      <w:kern w:val="0"/>
      <w:szCs w:val="20"/>
    </w:rPr>
  </w:style>
  <w:style w:type="paragraph" w:customStyle="1" w:styleId="af5">
    <w:name w:val="三级条标题"/>
    <w:basedOn w:val="a8"/>
    <w:next w:val="af3"/>
    <w:rsid w:val="006D539A"/>
    <w:pPr>
      <w:numPr>
        <w:ilvl w:val="0"/>
        <w:numId w:val="0"/>
      </w:numPr>
      <w:spacing w:beforeLines="50" w:afterLines="50"/>
      <w:outlineLvl w:val="4"/>
    </w:pPr>
    <w:rPr>
      <w:rFonts w:ascii="黑体"/>
      <w:szCs w:val="21"/>
    </w:rPr>
  </w:style>
  <w:style w:type="paragraph" w:customStyle="1" w:styleId="af6">
    <w:name w:val="四级条标题"/>
    <w:basedOn w:val="af5"/>
    <w:next w:val="af3"/>
    <w:rsid w:val="006D539A"/>
    <w:pPr>
      <w:outlineLvl w:val="5"/>
    </w:pPr>
  </w:style>
  <w:style w:type="paragraph" w:customStyle="1" w:styleId="af7">
    <w:name w:val="五级条标题"/>
    <w:basedOn w:val="af6"/>
    <w:next w:val="af3"/>
    <w:rsid w:val="006D539A"/>
    <w:pPr>
      <w:outlineLvl w:val="6"/>
    </w:pPr>
  </w:style>
  <w:style w:type="paragraph" w:customStyle="1" w:styleId="a4">
    <w:name w:val="列项◆（三级）"/>
    <w:basedOn w:val="a9"/>
    <w:rsid w:val="006D539A"/>
    <w:pPr>
      <w:numPr>
        <w:ilvl w:val="2"/>
        <w:numId w:val="11"/>
      </w:numPr>
    </w:pPr>
    <w:rPr>
      <w:rFonts w:ascii="宋体"/>
      <w:szCs w:val="21"/>
    </w:rPr>
  </w:style>
  <w:style w:type="paragraph" w:customStyle="1" w:styleId="af8">
    <w:name w:val="注：（正文）"/>
    <w:basedOn w:val="a9"/>
    <w:next w:val="af3"/>
    <w:rsid w:val="006D539A"/>
    <w:pPr>
      <w:tabs>
        <w:tab w:val="num" w:pos="780"/>
      </w:tabs>
      <w:autoSpaceDE w:val="0"/>
      <w:autoSpaceDN w:val="0"/>
      <w:ind w:left="780" w:hanging="360"/>
    </w:pPr>
    <w:rPr>
      <w:rFonts w:ascii="宋体"/>
      <w:kern w:val="0"/>
      <w:sz w:val="18"/>
      <w:szCs w:val="18"/>
    </w:rPr>
  </w:style>
  <w:style w:type="paragraph" w:customStyle="1" w:styleId="a">
    <w:name w:val="注×：（正文）"/>
    <w:rsid w:val="006D539A"/>
    <w:pPr>
      <w:numPr>
        <w:numId w:val="12"/>
      </w:numPr>
      <w:jc w:val="both"/>
    </w:pPr>
    <w:rPr>
      <w:rFonts w:ascii="宋体" w:eastAsia="宋体" w:hAnsi="Times New Roman" w:cs="Times New Roman"/>
      <w:kern w:val="0"/>
      <w:sz w:val="18"/>
      <w:szCs w:val="18"/>
    </w:rPr>
  </w:style>
  <w:style w:type="paragraph" w:customStyle="1" w:styleId="a0">
    <w:name w:val="附录图标号"/>
    <w:basedOn w:val="a9"/>
    <w:rsid w:val="006D539A"/>
    <w:pPr>
      <w:keepNext/>
      <w:pageBreakBefore/>
      <w:widowControl/>
      <w:numPr>
        <w:numId w:val="13"/>
      </w:numPr>
      <w:spacing w:line="14" w:lineRule="exact"/>
      <w:ind w:left="0" w:firstLine="363"/>
      <w:jc w:val="center"/>
      <w:outlineLvl w:val="0"/>
    </w:pPr>
    <w:rPr>
      <w:color w:val="FFFFFF"/>
    </w:rPr>
  </w:style>
  <w:style w:type="paragraph" w:customStyle="1" w:styleId="a1">
    <w:name w:val="附录图标题"/>
    <w:basedOn w:val="a9"/>
    <w:next w:val="af3"/>
    <w:rsid w:val="006D539A"/>
    <w:pPr>
      <w:numPr>
        <w:ilvl w:val="1"/>
        <w:numId w:val="13"/>
      </w:numPr>
      <w:tabs>
        <w:tab w:val="num" w:pos="363"/>
      </w:tabs>
      <w:spacing w:beforeLines="50" w:afterLines="50"/>
      <w:ind w:left="0" w:firstLine="0"/>
      <w:jc w:val="center"/>
    </w:pPr>
    <w:rPr>
      <w:rFonts w:ascii="黑体" w:eastAsia="黑体"/>
      <w:szCs w:val="21"/>
    </w:rPr>
  </w:style>
  <w:style w:type="character" w:customStyle="1" w:styleId="Char4">
    <w:name w:val="章标题 Char"/>
    <w:link w:val="a6"/>
    <w:rsid w:val="006D539A"/>
    <w:rPr>
      <w:rFonts w:ascii="黑体" w:eastAsia="黑体" w:hAnsi="Times New Roman" w:cs="Times New Roman"/>
      <w:kern w:val="0"/>
      <w:szCs w:val="20"/>
    </w:rPr>
  </w:style>
  <w:style w:type="paragraph" w:styleId="af9">
    <w:name w:val="Normal (Web)"/>
    <w:basedOn w:val="a9"/>
    <w:uiPriority w:val="99"/>
    <w:unhideWhenUsed/>
    <w:rsid w:val="006D539A"/>
    <w:pPr>
      <w:widowControl/>
      <w:spacing w:before="100" w:beforeAutospacing="1" w:after="100" w:afterAutospacing="1"/>
      <w:jc w:val="left"/>
    </w:pPr>
    <w:rPr>
      <w:rFonts w:ascii="宋体" w:hAnsi="宋体" w:cs="宋体"/>
      <w:kern w:val="0"/>
      <w:sz w:val="24"/>
    </w:rPr>
  </w:style>
  <w:style w:type="character" w:styleId="afa">
    <w:name w:val="Hyperlink"/>
    <w:rsid w:val="006D539A"/>
    <w:rPr>
      <w:color w:val="0000FF"/>
      <w:u w:val="single"/>
    </w:rPr>
  </w:style>
  <w:style w:type="paragraph" w:styleId="afb">
    <w:name w:val="footnote text"/>
    <w:basedOn w:val="a9"/>
    <w:link w:val="Char6"/>
    <w:rsid w:val="006D539A"/>
    <w:pPr>
      <w:snapToGrid w:val="0"/>
      <w:jc w:val="left"/>
    </w:pPr>
    <w:rPr>
      <w:sz w:val="18"/>
      <w:szCs w:val="18"/>
    </w:rPr>
  </w:style>
  <w:style w:type="character" w:customStyle="1" w:styleId="Char6">
    <w:name w:val="脚注文本 Char"/>
    <w:basedOn w:val="aa"/>
    <w:link w:val="afb"/>
    <w:rsid w:val="006D539A"/>
    <w:rPr>
      <w:rFonts w:ascii="Times New Roman" w:eastAsia="宋体" w:hAnsi="Times New Roman" w:cs="Times New Roman"/>
      <w:sz w:val="18"/>
      <w:szCs w:val="18"/>
    </w:rPr>
  </w:style>
  <w:style w:type="character" w:styleId="afc">
    <w:name w:val="footnote reference"/>
    <w:rsid w:val="006D539A"/>
    <w:rPr>
      <w:vertAlign w:val="superscript"/>
    </w:rPr>
  </w:style>
  <w:style w:type="character" w:styleId="afd">
    <w:name w:val="annotation reference"/>
    <w:uiPriority w:val="99"/>
    <w:unhideWhenUsed/>
    <w:rsid w:val="006D539A"/>
    <w:rPr>
      <w:sz w:val="21"/>
      <w:szCs w:val="21"/>
    </w:rPr>
  </w:style>
  <w:style w:type="paragraph" w:styleId="afe">
    <w:name w:val="annotation text"/>
    <w:basedOn w:val="a9"/>
    <w:link w:val="Char7"/>
    <w:uiPriority w:val="99"/>
    <w:unhideWhenUsed/>
    <w:rsid w:val="006D539A"/>
    <w:pPr>
      <w:jc w:val="left"/>
    </w:pPr>
    <w:rPr>
      <w:rFonts w:ascii="Calibri" w:hAnsi="Calibri"/>
      <w:szCs w:val="22"/>
    </w:rPr>
  </w:style>
  <w:style w:type="character" w:customStyle="1" w:styleId="Char7">
    <w:name w:val="批注文字 Char"/>
    <w:basedOn w:val="aa"/>
    <w:link w:val="afe"/>
    <w:uiPriority w:val="99"/>
    <w:rsid w:val="006D539A"/>
    <w:rPr>
      <w:rFonts w:ascii="Calibri" w:eastAsia="宋体" w:hAnsi="Calibri" w:cs="Times New Roman"/>
    </w:rPr>
  </w:style>
  <w:style w:type="paragraph" w:styleId="aff">
    <w:name w:val="annotation subject"/>
    <w:basedOn w:val="afe"/>
    <w:next w:val="afe"/>
    <w:link w:val="Char8"/>
    <w:uiPriority w:val="99"/>
    <w:unhideWhenUsed/>
    <w:rsid w:val="006D539A"/>
    <w:rPr>
      <w:b/>
      <w:bCs/>
    </w:rPr>
  </w:style>
  <w:style w:type="character" w:customStyle="1" w:styleId="Char8">
    <w:name w:val="批注主题 Char"/>
    <w:basedOn w:val="Char7"/>
    <w:link w:val="aff"/>
    <w:uiPriority w:val="99"/>
    <w:rsid w:val="006D539A"/>
    <w:rPr>
      <w:rFonts w:ascii="Calibri" w:eastAsia="宋体" w:hAnsi="Calibri" w:cs="Times New Roman"/>
      <w:b/>
      <w:bCs/>
    </w:rPr>
  </w:style>
  <w:style w:type="table" w:styleId="aff0">
    <w:name w:val="Table Grid"/>
    <w:basedOn w:val="ab"/>
    <w:rsid w:val="006D53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9"/>
    <w:link w:val="2Char0"/>
    <w:unhideWhenUsed/>
    <w:rsid w:val="006D539A"/>
    <w:pPr>
      <w:ind w:left="270"/>
      <w:jc w:val="center"/>
    </w:pPr>
    <w:rPr>
      <w:rFonts w:ascii="宋体" w:hAnsi="宋体"/>
      <w:b/>
      <w:kern w:val="0"/>
      <w:sz w:val="36"/>
      <w:szCs w:val="28"/>
    </w:rPr>
  </w:style>
  <w:style w:type="character" w:customStyle="1" w:styleId="2Char0">
    <w:name w:val="正文文本缩进 2 Char"/>
    <w:basedOn w:val="aa"/>
    <w:link w:val="20"/>
    <w:rsid w:val="006D539A"/>
    <w:rPr>
      <w:rFonts w:ascii="宋体" w:eastAsia="宋体" w:hAnsi="宋体" w:cs="Times New Roman"/>
      <w:b/>
      <w:kern w:val="0"/>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6D539A"/>
    <w:pPr>
      <w:widowControl w:val="0"/>
      <w:jc w:val="both"/>
    </w:pPr>
    <w:rPr>
      <w:rFonts w:ascii="Times New Roman" w:eastAsia="宋体" w:hAnsi="Times New Roman" w:cs="Times New Roman"/>
      <w:szCs w:val="24"/>
    </w:rPr>
  </w:style>
  <w:style w:type="paragraph" w:styleId="1">
    <w:name w:val="heading 1"/>
    <w:basedOn w:val="a9"/>
    <w:next w:val="a9"/>
    <w:link w:val="1Char"/>
    <w:uiPriority w:val="9"/>
    <w:qFormat/>
    <w:rsid w:val="006D539A"/>
    <w:pPr>
      <w:keepNext/>
      <w:keepLines/>
      <w:spacing w:before="340" w:after="330" w:line="578" w:lineRule="auto"/>
      <w:outlineLvl w:val="0"/>
    </w:pPr>
    <w:rPr>
      <w:rFonts w:ascii="Calibri" w:hAnsi="Calibri"/>
      <w:b/>
      <w:bCs/>
      <w:kern w:val="44"/>
      <w:sz w:val="44"/>
      <w:szCs w:val="44"/>
    </w:rPr>
  </w:style>
  <w:style w:type="paragraph" w:styleId="2">
    <w:name w:val="heading 2"/>
    <w:basedOn w:val="a9"/>
    <w:next w:val="a9"/>
    <w:link w:val="2Char"/>
    <w:uiPriority w:val="9"/>
    <w:unhideWhenUsed/>
    <w:qFormat/>
    <w:rsid w:val="006D539A"/>
    <w:pPr>
      <w:keepNext/>
      <w:keepLines/>
      <w:spacing w:before="260" w:after="260" w:line="416" w:lineRule="auto"/>
      <w:outlineLvl w:val="1"/>
    </w:pPr>
    <w:rPr>
      <w:rFonts w:ascii="Cambria" w:hAnsi="Cambria"/>
      <w:b/>
      <w:bCs/>
      <w:sz w:val="32"/>
      <w:szCs w:val="32"/>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Char"/>
    <w:unhideWhenUsed/>
    <w:rsid w:val="006D53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a"/>
    <w:link w:val="ad"/>
    <w:rsid w:val="006D539A"/>
    <w:rPr>
      <w:sz w:val="18"/>
      <w:szCs w:val="18"/>
    </w:rPr>
  </w:style>
  <w:style w:type="paragraph" w:styleId="ae">
    <w:name w:val="footer"/>
    <w:basedOn w:val="a9"/>
    <w:link w:val="Char0"/>
    <w:uiPriority w:val="99"/>
    <w:unhideWhenUsed/>
    <w:rsid w:val="006D539A"/>
    <w:pPr>
      <w:tabs>
        <w:tab w:val="center" w:pos="4153"/>
        <w:tab w:val="right" w:pos="8306"/>
      </w:tabs>
      <w:snapToGrid w:val="0"/>
      <w:jc w:val="left"/>
    </w:pPr>
    <w:rPr>
      <w:sz w:val="18"/>
      <w:szCs w:val="18"/>
    </w:rPr>
  </w:style>
  <w:style w:type="character" w:customStyle="1" w:styleId="Char0">
    <w:name w:val="页脚 Char"/>
    <w:basedOn w:val="aa"/>
    <w:link w:val="ae"/>
    <w:uiPriority w:val="99"/>
    <w:rsid w:val="006D539A"/>
    <w:rPr>
      <w:sz w:val="18"/>
      <w:szCs w:val="18"/>
    </w:rPr>
  </w:style>
  <w:style w:type="character" w:customStyle="1" w:styleId="1Char">
    <w:name w:val="标题 1 Char"/>
    <w:basedOn w:val="aa"/>
    <w:link w:val="1"/>
    <w:uiPriority w:val="9"/>
    <w:rsid w:val="006D539A"/>
    <w:rPr>
      <w:rFonts w:ascii="Calibri" w:eastAsia="宋体" w:hAnsi="Calibri" w:cs="Times New Roman"/>
      <w:b/>
      <w:bCs/>
      <w:kern w:val="44"/>
      <w:sz w:val="44"/>
      <w:szCs w:val="44"/>
    </w:rPr>
  </w:style>
  <w:style w:type="character" w:customStyle="1" w:styleId="2Char">
    <w:name w:val="标题 2 Char"/>
    <w:basedOn w:val="aa"/>
    <w:link w:val="2"/>
    <w:uiPriority w:val="9"/>
    <w:rsid w:val="006D539A"/>
    <w:rPr>
      <w:rFonts w:ascii="Cambria" w:eastAsia="宋体" w:hAnsi="Cambria" w:cs="Times New Roman"/>
      <w:b/>
      <w:bCs/>
      <w:sz w:val="32"/>
      <w:szCs w:val="32"/>
    </w:rPr>
  </w:style>
  <w:style w:type="paragraph" w:styleId="af">
    <w:name w:val="Document Map"/>
    <w:basedOn w:val="a9"/>
    <w:link w:val="Char1"/>
    <w:uiPriority w:val="99"/>
    <w:rsid w:val="006D539A"/>
    <w:pPr>
      <w:shd w:val="clear" w:color="auto" w:fill="000080"/>
    </w:pPr>
  </w:style>
  <w:style w:type="character" w:customStyle="1" w:styleId="Char1">
    <w:name w:val="文档结构图 Char"/>
    <w:basedOn w:val="aa"/>
    <w:link w:val="af"/>
    <w:uiPriority w:val="99"/>
    <w:rsid w:val="006D539A"/>
    <w:rPr>
      <w:rFonts w:ascii="Times New Roman" w:eastAsia="宋体" w:hAnsi="Times New Roman" w:cs="Times New Roman"/>
      <w:szCs w:val="24"/>
      <w:shd w:val="clear" w:color="auto" w:fill="000080"/>
    </w:rPr>
  </w:style>
  <w:style w:type="character" w:styleId="af0">
    <w:name w:val="page number"/>
    <w:basedOn w:val="aa"/>
    <w:rsid w:val="006D539A"/>
  </w:style>
  <w:style w:type="paragraph" w:customStyle="1" w:styleId="Default">
    <w:name w:val="Default"/>
    <w:rsid w:val="006D539A"/>
    <w:pPr>
      <w:widowControl w:val="0"/>
      <w:autoSpaceDE w:val="0"/>
      <w:autoSpaceDN w:val="0"/>
      <w:adjustRightInd w:val="0"/>
    </w:pPr>
    <w:rPr>
      <w:rFonts w:ascii="黑体" w:eastAsia="黑体" w:hAnsi="Times New Roman" w:cs="黑体"/>
      <w:color w:val="000000"/>
      <w:kern w:val="0"/>
      <w:sz w:val="24"/>
      <w:szCs w:val="24"/>
    </w:rPr>
  </w:style>
  <w:style w:type="paragraph" w:styleId="af1">
    <w:name w:val="Title"/>
    <w:basedOn w:val="a9"/>
    <w:next w:val="a9"/>
    <w:link w:val="Char2"/>
    <w:uiPriority w:val="10"/>
    <w:qFormat/>
    <w:rsid w:val="006D539A"/>
    <w:pPr>
      <w:spacing w:before="240" w:after="60"/>
      <w:jc w:val="center"/>
      <w:outlineLvl w:val="0"/>
    </w:pPr>
    <w:rPr>
      <w:rFonts w:ascii="Cambria" w:hAnsi="Cambria"/>
      <w:b/>
      <w:bCs/>
      <w:sz w:val="32"/>
      <w:szCs w:val="32"/>
    </w:rPr>
  </w:style>
  <w:style w:type="character" w:customStyle="1" w:styleId="Char2">
    <w:name w:val="标题 Char"/>
    <w:basedOn w:val="aa"/>
    <w:link w:val="af1"/>
    <w:uiPriority w:val="10"/>
    <w:rsid w:val="006D539A"/>
    <w:rPr>
      <w:rFonts w:ascii="Cambria" w:eastAsia="宋体" w:hAnsi="Cambria" w:cs="Times New Roman"/>
      <w:b/>
      <w:bCs/>
      <w:sz w:val="32"/>
      <w:szCs w:val="32"/>
    </w:rPr>
  </w:style>
  <w:style w:type="paragraph" w:styleId="af2">
    <w:name w:val="List Paragraph"/>
    <w:basedOn w:val="a9"/>
    <w:uiPriority w:val="34"/>
    <w:qFormat/>
    <w:rsid w:val="006D539A"/>
    <w:pPr>
      <w:ind w:firstLineChars="200" w:firstLine="420"/>
    </w:pPr>
    <w:rPr>
      <w:rFonts w:ascii="Calibri" w:hAnsi="Calibri"/>
      <w:szCs w:val="22"/>
    </w:rPr>
  </w:style>
  <w:style w:type="paragraph" w:customStyle="1" w:styleId="af3">
    <w:name w:val="段"/>
    <w:link w:val="Char3"/>
    <w:rsid w:val="006D539A"/>
    <w:pPr>
      <w:autoSpaceDE w:val="0"/>
      <w:autoSpaceDN w:val="0"/>
      <w:ind w:firstLineChars="200" w:firstLine="200"/>
      <w:jc w:val="both"/>
    </w:pPr>
    <w:rPr>
      <w:rFonts w:ascii="宋体" w:eastAsia="宋体" w:hAnsi="Times New Roman" w:cs="Times New Roman"/>
      <w:noProof/>
      <w:kern w:val="0"/>
      <w:szCs w:val="20"/>
    </w:rPr>
  </w:style>
  <w:style w:type="paragraph" w:customStyle="1" w:styleId="a5">
    <w:name w:val="前言、引言标题"/>
    <w:next w:val="a9"/>
    <w:rsid w:val="006D539A"/>
    <w:pPr>
      <w:numPr>
        <w:numId w:val="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6">
    <w:name w:val="章标题"/>
    <w:next w:val="af3"/>
    <w:link w:val="Char4"/>
    <w:rsid w:val="006D539A"/>
    <w:pPr>
      <w:numPr>
        <w:ilvl w:val="1"/>
        <w:numId w:val="8"/>
      </w:numPr>
      <w:spacing w:beforeLines="50" w:afterLines="50"/>
      <w:jc w:val="both"/>
      <w:outlineLvl w:val="1"/>
    </w:pPr>
    <w:rPr>
      <w:rFonts w:ascii="黑体" w:eastAsia="黑体" w:hAnsi="Times New Roman" w:cs="Times New Roman"/>
      <w:kern w:val="0"/>
      <w:szCs w:val="20"/>
    </w:rPr>
  </w:style>
  <w:style w:type="paragraph" w:customStyle="1" w:styleId="a7">
    <w:name w:val="一级条标题"/>
    <w:next w:val="af3"/>
    <w:rsid w:val="006D539A"/>
    <w:pPr>
      <w:numPr>
        <w:ilvl w:val="2"/>
        <w:numId w:val="8"/>
      </w:numPr>
      <w:outlineLvl w:val="2"/>
    </w:pPr>
    <w:rPr>
      <w:rFonts w:ascii="Times New Roman" w:eastAsia="黑体" w:hAnsi="Times New Roman" w:cs="Times New Roman"/>
      <w:kern w:val="0"/>
      <w:szCs w:val="20"/>
    </w:rPr>
  </w:style>
  <w:style w:type="paragraph" w:customStyle="1" w:styleId="a8">
    <w:name w:val="二级条标题"/>
    <w:basedOn w:val="a7"/>
    <w:next w:val="af3"/>
    <w:rsid w:val="006D539A"/>
    <w:pPr>
      <w:numPr>
        <w:ilvl w:val="4"/>
      </w:numPr>
      <w:outlineLvl w:val="3"/>
    </w:pPr>
  </w:style>
  <w:style w:type="paragraph" w:styleId="af4">
    <w:name w:val="Balloon Text"/>
    <w:basedOn w:val="a9"/>
    <w:link w:val="Char5"/>
    <w:uiPriority w:val="99"/>
    <w:unhideWhenUsed/>
    <w:rsid w:val="006D539A"/>
    <w:rPr>
      <w:rFonts w:ascii="Calibri" w:hAnsi="Calibri"/>
      <w:sz w:val="18"/>
      <w:szCs w:val="18"/>
    </w:rPr>
  </w:style>
  <w:style w:type="character" w:customStyle="1" w:styleId="Char5">
    <w:name w:val="批注框文本 Char"/>
    <w:basedOn w:val="aa"/>
    <w:link w:val="af4"/>
    <w:uiPriority w:val="99"/>
    <w:rsid w:val="006D539A"/>
    <w:rPr>
      <w:rFonts w:ascii="Calibri" w:eastAsia="宋体" w:hAnsi="Calibri" w:cs="Times New Roman"/>
      <w:sz w:val="18"/>
      <w:szCs w:val="18"/>
    </w:rPr>
  </w:style>
  <w:style w:type="character" w:customStyle="1" w:styleId="Char3">
    <w:name w:val="段 Char"/>
    <w:link w:val="af3"/>
    <w:rsid w:val="006D539A"/>
    <w:rPr>
      <w:rFonts w:ascii="宋体" w:eastAsia="宋体" w:hAnsi="Times New Roman" w:cs="Times New Roman"/>
      <w:noProof/>
      <w:kern w:val="0"/>
      <w:szCs w:val="20"/>
    </w:rPr>
  </w:style>
  <w:style w:type="paragraph" w:customStyle="1" w:styleId="a2">
    <w:name w:val="列项——（一级）"/>
    <w:rsid w:val="006D539A"/>
    <w:pPr>
      <w:widowControl w:val="0"/>
      <w:numPr>
        <w:numId w:val="11"/>
      </w:numPr>
      <w:jc w:val="both"/>
    </w:pPr>
    <w:rPr>
      <w:rFonts w:ascii="宋体" w:eastAsia="宋体" w:hAnsi="Times New Roman" w:cs="Times New Roman"/>
      <w:kern w:val="0"/>
      <w:szCs w:val="20"/>
    </w:rPr>
  </w:style>
  <w:style w:type="paragraph" w:customStyle="1" w:styleId="a3">
    <w:name w:val="列项●（二级）"/>
    <w:rsid w:val="006D539A"/>
    <w:pPr>
      <w:numPr>
        <w:ilvl w:val="1"/>
        <w:numId w:val="11"/>
      </w:numPr>
      <w:tabs>
        <w:tab w:val="left" w:pos="840"/>
      </w:tabs>
      <w:jc w:val="both"/>
    </w:pPr>
    <w:rPr>
      <w:rFonts w:ascii="宋体" w:eastAsia="宋体" w:hAnsi="Times New Roman" w:cs="Times New Roman"/>
      <w:kern w:val="0"/>
      <w:szCs w:val="20"/>
    </w:rPr>
  </w:style>
  <w:style w:type="paragraph" w:customStyle="1" w:styleId="af5">
    <w:name w:val="三级条标题"/>
    <w:basedOn w:val="a8"/>
    <w:next w:val="af3"/>
    <w:rsid w:val="006D539A"/>
    <w:pPr>
      <w:numPr>
        <w:ilvl w:val="0"/>
        <w:numId w:val="0"/>
      </w:numPr>
      <w:spacing w:beforeLines="50" w:afterLines="50"/>
      <w:outlineLvl w:val="4"/>
    </w:pPr>
    <w:rPr>
      <w:rFonts w:ascii="黑体"/>
      <w:szCs w:val="21"/>
    </w:rPr>
  </w:style>
  <w:style w:type="paragraph" w:customStyle="1" w:styleId="af6">
    <w:name w:val="四级条标题"/>
    <w:basedOn w:val="af5"/>
    <w:next w:val="af3"/>
    <w:rsid w:val="006D539A"/>
    <w:pPr>
      <w:outlineLvl w:val="5"/>
    </w:pPr>
  </w:style>
  <w:style w:type="paragraph" w:customStyle="1" w:styleId="af7">
    <w:name w:val="五级条标题"/>
    <w:basedOn w:val="af6"/>
    <w:next w:val="af3"/>
    <w:rsid w:val="006D539A"/>
    <w:pPr>
      <w:outlineLvl w:val="6"/>
    </w:pPr>
  </w:style>
  <w:style w:type="paragraph" w:customStyle="1" w:styleId="a4">
    <w:name w:val="列项◆（三级）"/>
    <w:basedOn w:val="a9"/>
    <w:rsid w:val="006D539A"/>
    <w:pPr>
      <w:numPr>
        <w:ilvl w:val="2"/>
        <w:numId w:val="11"/>
      </w:numPr>
    </w:pPr>
    <w:rPr>
      <w:rFonts w:ascii="宋体"/>
      <w:szCs w:val="21"/>
    </w:rPr>
  </w:style>
  <w:style w:type="paragraph" w:customStyle="1" w:styleId="af8">
    <w:name w:val="注：（正文）"/>
    <w:basedOn w:val="a9"/>
    <w:next w:val="af3"/>
    <w:rsid w:val="006D539A"/>
    <w:pPr>
      <w:tabs>
        <w:tab w:val="num" w:pos="780"/>
      </w:tabs>
      <w:autoSpaceDE w:val="0"/>
      <w:autoSpaceDN w:val="0"/>
      <w:ind w:left="780" w:hanging="360"/>
    </w:pPr>
    <w:rPr>
      <w:rFonts w:ascii="宋体"/>
      <w:kern w:val="0"/>
      <w:sz w:val="18"/>
      <w:szCs w:val="18"/>
    </w:rPr>
  </w:style>
  <w:style w:type="paragraph" w:customStyle="1" w:styleId="a">
    <w:name w:val="注×：（正文）"/>
    <w:rsid w:val="006D539A"/>
    <w:pPr>
      <w:numPr>
        <w:numId w:val="12"/>
      </w:numPr>
      <w:jc w:val="both"/>
    </w:pPr>
    <w:rPr>
      <w:rFonts w:ascii="宋体" w:eastAsia="宋体" w:hAnsi="Times New Roman" w:cs="Times New Roman"/>
      <w:kern w:val="0"/>
      <w:sz w:val="18"/>
      <w:szCs w:val="18"/>
    </w:rPr>
  </w:style>
  <w:style w:type="paragraph" w:customStyle="1" w:styleId="a0">
    <w:name w:val="附录图标号"/>
    <w:basedOn w:val="a9"/>
    <w:rsid w:val="006D539A"/>
    <w:pPr>
      <w:keepNext/>
      <w:pageBreakBefore/>
      <w:widowControl/>
      <w:numPr>
        <w:numId w:val="13"/>
      </w:numPr>
      <w:spacing w:line="14" w:lineRule="exact"/>
      <w:ind w:left="0" w:firstLine="363"/>
      <w:jc w:val="center"/>
      <w:outlineLvl w:val="0"/>
    </w:pPr>
    <w:rPr>
      <w:color w:val="FFFFFF"/>
    </w:rPr>
  </w:style>
  <w:style w:type="paragraph" w:customStyle="1" w:styleId="a1">
    <w:name w:val="附录图标题"/>
    <w:basedOn w:val="a9"/>
    <w:next w:val="af3"/>
    <w:rsid w:val="006D539A"/>
    <w:pPr>
      <w:numPr>
        <w:ilvl w:val="1"/>
        <w:numId w:val="13"/>
      </w:numPr>
      <w:tabs>
        <w:tab w:val="num" w:pos="363"/>
      </w:tabs>
      <w:spacing w:beforeLines="50" w:afterLines="50"/>
      <w:ind w:left="0" w:firstLine="0"/>
      <w:jc w:val="center"/>
    </w:pPr>
    <w:rPr>
      <w:rFonts w:ascii="黑体" w:eastAsia="黑体"/>
      <w:szCs w:val="21"/>
    </w:rPr>
  </w:style>
  <w:style w:type="character" w:customStyle="1" w:styleId="Char4">
    <w:name w:val="章标题 Char"/>
    <w:link w:val="a6"/>
    <w:rsid w:val="006D539A"/>
    <w:rPr>
      <w:rFonts w:ascii="黑体" w:eastAsia="黑体" w:hAnsi="Times New Roman" w:cs="Times New Roman"/>
      <w:kern w:val="0"/>
      <w:szCs w:val="20"/>
    </w:rPr>
  </w:style>
  <w:style w:type="paragraph" w:styleId="af9">
    <w:name w:val="Normal (Web)"/>
    <w:basedOn w:val="a9"/>
    <w:uiPriority w:val="99"/>
    <w:unhideWhenUsed/>
    <w:rsid w:val="006D539A"/>
    <w:pPr>
      <w:widowControl/>
      <w:spacing w:before="100" w:beforeAutospacing="1" w:after="100" w:afterAutospacing="1"/>
      <w:jc w:val="left"/>
    </w:pPr>
    <w:rPr>
      <w:rFonts w:ascii="宋体" w:hAnsi="宋体" w:cs="宋体"/>
      <w:kern w:val="0"/>
      <w:sz w:val="24"/>
    </w:rPr>
  </w:style>
  <w:style w:type="character" w:styleId="afa">
    <w:name w:val="Hyperlink"/>
    <w:rsid w:val="006D539A"/>
    <w:rPr>
      <w:color w:val="0000FF"/>
      <w:u w:val="single"/>
    </w:rPr>
  </w:style>
  <w:style w:type="paragraph" w:styleId="afb">
    <w:name w:val="footnote text"/>
    <w:basedOn w:val="a9"/>
    <w:link w:val="Char6"/>
    <w:rsid w:val="006D539A"/>
    <w:pPr>
      <w:snapToGrid w:val="0"/>
      <w:jc w:val="left"/>
    </w:pPr>
    <w:rPr>
      <w:sz w:val="18"/>
      <w:szCs w:val="18"/>
    </w:rPr>
  </w:style>
  <w:style w:type="character" w:customStyle="1" w:styleId="Char6">
    <w:name w:val="脚注文本 Char"/>
    <w:basedOn w:val="aa"/>
    <w:link w:val="afb"/>
    <w:rsid w:val="006D539A"/>
    <w:rPr>
      <w:rFonts w:ascii="Times New Roman" w:eastAsia="宋体" w:hAnsi="Times New Roman" w:cs="Times New Roman"/>
      <w:sz w:val="18"/>
      <w:szCs w:val="18"/>
    </w:rPr>
  </w:style>
  <w:style w:type="character" w:styleId="afc">
    <w:name w:val="footnote reference"/>
    <w:rsid w:val="006D539A"/>
    <w:rPr>
      <w:vertAlign w:val="superscript"/>
    </w:rPr>
  </w:style>
  <w:style w:type="character" w:styleId="afd">
    <w:name w:val="annotation reference"/>
    <w:uiPriority w:val="99"/>
    <w:unhideWhenUsed/>
    <w:rsid w:val="006D539A"/>
    <w:rPr>
      <w:sz w:val="21"/>
      <w:szCs w:val="21"/>
    </w:rPr>
  </w:style>
  <w:style w:type="paragraph" w:styleId="afe">
    <w:name w:val="annotation text"/>
    <w:basedOn w:val="a9"/>
    <w:link w:val="Char7"/>
    <w:uiPriority w:val="99"/>
    <w:unhideWhenUsed/>
    <w:rsid w:val="006D539A"/>
    <w:pPr>
      <w:jc w:val="left"/>
    </w:pPr>
    <w:rPr>
      <w:rFonts w:ascii="Calibri" w:hAnsi="Calibri"/>
      <w:szCs w:val="22"/>
    </w:rPr>
  </w:style>
  <w:style w:type="character" w:customStyle="1" w:styleId="Char7">
    <w:name w:val="批注文字 Char"/>
    <w:basedOn w:val="aa"/>
    <w:link w:val="afe"/>
    <w:uiPriority w:val="99"/>
    <w:rsid w:val="006D539A"/>
    <w:rPr>
      <w:rFonts w:ascii="Calibri" w:eastAsia="宋体" w:hAnsi="Calibri" w:cs="Times New Roman"/>
    </w:rPr>
  </w:style>
  <w:style w:type="paragraph" w:styleId="aff">
    <w:name w:val="annotation subject"/>
    <w:basedOn w:val="afe"/>
    <w:next w:val="afe"/>
    <w:link w:val="Char8"/>
    <w:uiPriority w:val="99"/>
    <w:unhideWhenUsed/>
    <w:rsid w:val="006D539A"/>
    <w:rPr>
      <w:b/>
      <w:bCs/>
    </w:rPr>
  </w:style>
  <w:style w:type="character" w:customStyle="1" w:styleId="Char8">
    <w:name w:val="批注主题 Char"/>
    <w:basedOn w:val="Char7"/>
    <w:link w:val="aff"/>
    <w:uiPriority w:val="99"/>
    <w:rsid w:val="006D539A"/>
    <w:rPr>
      <w:rFonts w:ascii="Calibri" w:eastAsia="宋体" w:hAnsi="Calibri" w:cs="Times New Roman"/>
      <w:b/>
      <w:bCs/>
    </w:rPr>
  </w:style>
  <w:style w:type="table" w:styleId="aff0">
    <w:name w:val="Table Grid"/>
    <w:basedOn w:val="ab"/>
    <w:rsid w:val="006D53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9"/>
    <w:link w:val="2Char0"/>
    <w:unhideWhenUsed/>
    <w:rsid w:val="006D539A"/>
    <w:pPr>
      <w:ind w:left="270"/>
      <w:jc w:val="center"/>
    </w:pPr>
    <w:rPr>
      <w:rFonts w:ascii="宋体" w:hAnsi="宋体"/>
      <w:b/>
      <w:kern w:val="0"/>
      <w:sz w:val="36"/>
      <w:szCs w:val="28"/>
    </w:rPr>
  </w:style>
  <w:style w:type="character" w:customStyle="1" w:styleId="2Char0">
    <w:name w:val="正文文本缩进 2 Char"/>
    <w:basedOn w:val="aa"/>
    <w:link w:val="20"/>
    <w:rsid w:val="006D539A"/>
    <w:rPr>
      <w:rFonts w:ascii="宋体" w:eastAsia="宋体" w:hAnsi="宋体" w:cs="Times New Roman"/>
      <w:b/>
      <w:kern w:val="0"/>
      <w:sz w:val="36"/>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1926</Words>
  <Characters>10982</Characters>
  <Application>Microsoft Office Word</Application>
  <DocSecurity>0</DocSecurity>
  <Lines>91</Lines>
  <Paragraphs>25</Paragraphs>
  <ScaleCrop>false</ScaleCrop>
  <Company>CFDA</Company>
  <LinksUpToDate>false</LinksUpToDate>
  <CharactersWithSpaces>12883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耿欣</dc:creator>
  <cp:lastModifiedBy>wxl</cp:lastModifiedBy>
  <cp:revision>2</cp:revision>
  <dcterms:created xsi:type="dcterms:W3CDTF">2017-02-16T08:49:00Z</dcterms:created>
  <dcterms:modified xsi:type="dcterms:W3CDTF">2017-02-16T08:49:00Z</dcterms:modified>
</cp:coreProperties>
</file>