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240" w:rsidRPr="00CF0D51" w:rsidRDefault="00124240" w:rsidP="00124240">
      <w:pPr>
        <w:spacing w:line="600" w:lineRule="exact"/>
        <w:rPr>
          <w:rFonts w:eastAsia="黑体"/>
          <w:bCs/>
          <w:color w:val="000000"/>
          <w:kern w:val="0"/>
          <w:sz w:val="32"/>
          <w:szCs w:val="32"/>
        </w:rPr>
      </w:pPr>
      <w:bookmarkStart w:id="0" w:name="zhengwen"/>
      <w:r w:rsidRPr="00CF0D51">
        <w:rPr>
          <w:rFonts w:eastAsia="黑体"/>
          <w:bCs/>
          <w:color w:val="000000"/>
          <w:kern w:val="0"/>
          <w:sz w:val="32"/>
          <w:szCs w:val="32"/>
        </w:rPr>
        <w:t>附件</w:t>
      </w:r>
      <w:r w:rsidRPr="00CF0D51">
        <w:rPr>
          <w:rFonts w:eastAsia="黑体"/>
          <w:bCs/>
          <w:color w:val="000000"/>
          <w:kern w:val="0"/>
          <w:sz w:val="32"/>
          <w:szCs w:val="32"/>
        </w:rPr>
        <w:t xml:space="preserve">2 </w:t>
      </w:r>
    </w:p>
    <w:p w:rsidR="00124240" w:rsidRPr="00CF0D51" w:rsidRDefault="00124240" w:rsidP="00124240">
      <w:pPr>
        <w:spacing w:line="600" w:lineRule="exact"/>
        <w:rPr>
          <w:rFonts w:eastAsia="黑体"/>
          <w:bCs/>
          <w:color w:val="000000"/>
          <w:kern w:val="0"/>
          <w:sz w:val="32"/>
          <w:szCs w:val="32"/>
        </w:rPr>
      </w:pPr>
    </w:p>
    <w:p w:rsidR="00124240" w:rsidRPr="00CF0D51" w:rsidRDefault="00124240" w:rsidP="00124240">
      <w:pPr>
        <w:spacing w:line="600" w:lineRule="exact"/>
        <w:jc w:val="center"/>
        <w:rPr>
          <w:rFonts w:eastAsia="方正小标宋简体"/>
          <w:bCs/>
          <w:color w:val="000000"/>
          <w:kern w:val="0"/>
          <w:sz w:val="44"/>
          <w:szCs w:val="44"/>
        </w:rPr>
      </w:pPr>
      <w:r w:rsidRPr="00CF0D51">
        <w:rPr>
          <w:rFonts w:eastAsia="方正小标宋简体"/>
          <w:bCs/>
          <w:color w:val="000000"/>
          <w:kern w:val="0"/>
          <w:sz w:val="44"/>
          <w:szCs w:val="44"/>
        </w:rPr>
        <w:t>牙科纤维桩</w:t>
      </w:r>
      <w:r w:rsidRPr="00CF0D51">
        <w:rPr>
          <w:rFonts w:eastAsia="方正小标宋简体" w:hint="eastAsia"/>
          <w:bCs/>
          <w:color w:val="000000"/>
          <w:kern w:val="0"/>
          <w:sz w:val="44"/>
          <w:szCs w:val="44"/>
        </w:rPr>
        <w:t>产品</w:t>
      </w:r>
      <w:r w:rsidRPr="00CF0D51">
        <w:rPr>
          <w:rFonts w:eastAsia="方正小标宋简体"/>
          <w:bCs/>
          <w:color w:val="000000"/>
          <w:kern w:val="0"/>
          <w:sz w:val="44"/>
          <w:szCs w:val="44"/>
        </w:rPr>
        <w:t>注册技术审查指导原则</w:t>
      </w:r>
    </w:p>
    <w:p w:rsidR="00124240" w:rsidRPr="00CF0D51" w:rsidRDefault="00124240" w:rsidP="00124240">
      <w:pPr>
        <w:pStyle w:val="Default"/>
        <w:adjustRightInd/>
        <w:spacing w:line="600" w:lineRule="exact"/>
        <w:ind w:firstLineChars="200" w:firstLine="480"/>
        <w:jc w:val="both"/>
        <w:rPr>
          <w:rFonts w:eastAsia="仿宋_GB2312"/>
          <w:bCs/>
        </w:rPr>
      </w:pPr>
    </w:p>
    <w:p w:rsidR="00124240" w:rsidRPr="00CC5603" w:rsidRDefault="00124240" w:rsidP="00124240">
      <w:pPr>
        <w:spacing w:line="560" w:lineRule="exact"/>
        <w:ind w:firstLineChars="200" w:firstLine="640"/>
        <w:rPr>
          <w:rFonts w:eastAsia="仿宋_GB2312"/>
          <w:sz w:val="32"/>
          <w:szCs w:val="32"/>
        </w:rPr>
      </w:pPr>
      <w:r w:rsidRPr="006A71BF">
        <w:rPr>
          <w:rFonts w:eastAsia="仿宋_GB2312"/>
          <w:sz w:val="32"/>
          <w:szCs w:val="32"/>
        </w:rPr>
        <w:t>本指导原则旨在为申请人进行</w:t>
      </w:r>
      <w:r w:rsidRPr="00CC5603">
        <w:rPr>
          <w:rFonts w:eastAsia="仿宋_GB2312"/>
          <w:sz w:val="32"/>
          <w:szCs w:val="32"/>
        </w:rPr>
        <w:t>牙科纤维桩</w:t>
      </w:r>
      <w:r w:rsidRPr="006A71BF">
        <w:rPr>
          <w:rFonts w:eastAsia="仿宋_GB2312"/>
          <w:sz w:val="32"/>
          <w:szCs w:val="32"/>
        </w:rPr>
        <w:t>的注册申报提供技术指导，同时也为食品药品监督管理部门对注册申报资料的审评提供技术参考。</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本指导原则是对牙科纤维桩产品的一般要求，注册申请人应依据具体产品的特性对注册申报资料的内容进行充分说明和细化。申请人还应依据具体产品的特性确定其中的具体内容是否适用，若不适用，需详细阐述理由及相应的科学依据。</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本指导原则是对申请人和审查人员的指导性文件，但不包括注册审批所涉及的行政事项，亦不作为法规强制执行，如果有能满足相关法规要求的其他方法，也可以采用，但是需要提供详细的研究资料和验证资料。应在遵循相关法规的前提下使用本指导原则。</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本指导原则是在现行法规和标准体系以及当前认知水平下制定的，随着法规和标准的不断完善，以及科学技术的不断发展，本指导原则相关内容也将进行适时的调整。</w:t>
      </w:r>
      <w:bookmarkStart w:id="1" w:name="_Toc470865597"/>
    </w:p>
    <w:p w:rsidR="00124240" w:rsidRPr="00CC5603" w:rsidRDefault="00124240" w:rsidP="00124240">
      <w:pPr>
        <w:spacing w:line="560" w:lineRule="exact"/>
        <w:ind w:firstLineChars="200" w:firstLine="640"/>
        <w:rPr>
          <w:rFonts w:ascii="黑体" w:eastAsia="黑体" w:hAnsi="黑体"/>
          <w:sz w:val="32"/>
          <w:szCs w:val="32"/>
        </w:rPr>
      </w:pPr>
      <w:r w:rsidRPr="00CC5603">
        <w:rPr>
          <w:rFonts w:ascii="黑体" w:eastAsia="黑体" w:hAnsi="黑体"/>
          <w:sz w:val="32"/>
          <w:szCs w:val="32"/>
        </w:rPr>
        <w:t>一、适用范围</w:t>
      </w:r>
      <w:bookmarkEnd w:id="1"/>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本指导原则适用于牙科纤维桩产品，牙科纤维桩用于口腔临床治疗中对残根、残冠的修复，包括预成纤维桩、半预成纤维桩和</w:t>
      </w:r>
      <w:r w:rsidRPr="00CC5603">
        <w:rPr>
          <w:rFonts w:eastAsia="仿宋_GB2312"/>
          <w:sz w:val="32"/>
          <w:szCs w:val="32"/>
        </w:rPr>
        <w:t>CAD/CAM</w:t>
      </w:r>
      <w:r w:rsidRPr="00CC5603">
        <w:rPr>
          <w:rFonts w:eastAsia="仿宋_GB2312"/>
          <w:sz w:val="32"/>
          <w:szCs w:val="32"/>
        </w:rPr>
        <w:t>一体化纤维桩核产品，其中定制式</w:t>
      </w:r>
      <w:r w:rsidRPr="00CC5603">
        <w:rPr>
          <w:rFonts w:eastAsia="仿宋_GB2312"/>
          <w:sz w:val="32"/>
          <w:szCs w:val="32"/>
        </w:rPr>
        <w:t>CAD/CAM</w:t>
      </w:r>
      <w:r w:rsidRPr="00CC5603">
        <w:rPr>
          <w:rFonts w:eastAsia="仿宋_GB2312"/>
          <w:sz w:val="32"/>
          <w:szCs w:val="32"/>
        </w:rPr>
        <w:t>一</w:t>
      </w:r>
      <w:r w:rsidRPr="00CC5603">
        <w:rPr>
          <w:rFonts w:eastAsia="仿宋_GB2312"/>
          <w:sz w:val="32"/>
          <w:szCs w:val="32"/>
        </w:rPr>
        <w:lastRenderedPageBreak/>
        <w:t>体化纤维桩核产品在参照本指导原则要求基础上，还应满足定制式医疗器械相关法规要求。</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牙科纤维桩又称牙科纤维根管桩、纤维增强的复合树脂桩，是一种纤维增强的高分子复合材料产品，在牙科临床治疗中插入已经过根管治疗的根管内，通过粘结剂与根管内壁牢固结合，形成冠核和牙冠固位的基础。本指导原则适用的牙科纤维桩产品通常分类如下：</w:t>
      </w:r>
    </w:p>
    <w:p w:rsidR="00124240" w:rsidRPr="00CC5603" w:rsidRDefault="00124240" w:rsidP="00124240">
      <w:pPr>
        <w:spacing w:line="560" w:lineRule="exact"/>
        <w:ind w:firstLineChars="200" w:firstLine="640"/>
        <w:rPr>
          <w:rFonts w:eastAsia="楷体_GB2312"/>
          <w:sz w:val="32"/>
          <w:szCs w:val="32"/>
        </w:rPr>
      </w:pPr>
      <w:r w:rsidRPr="00CC5603">
        <w:rPr>
          <w:rFonts w:eastAsia="楷体_GB2312"/>
          <w:sz w:val="32"/>
          <w:szCs w:val="32"/>
        </w:rPr>
        <w:t>（一）按照纤维材料分类：</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1.</w:t>
      </w:r>
      <w:r w:rsidRPr="00CC5603">
        <w:rPr>
          <w:rFonts w:eastAsia="仿宋_GB2312"/>
          <w:sz w:val="32"/>
          <w:szCs w:val="32"/>
        </w:rPr>
        <w:t>碳纤维桩：指增强纤维为碳纤维的纤维桩。碳纤维一般采用预拉伸技术平行排列于树脂基质中。</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2.</w:t>
      </w:r>
      <w:r w:rsidRPr="00CC5603">
        <w:rPr>
          <w:rFonts w:eastAsia="仿宋_GB2312"/>
          <w:sz w:val="32"/>
          <w:szCs w:val="32"/>
        </w:rPr>
        <w:t>玻璃纤维桩：指增强纤维为玻璃纤维的纤维桩，颜色呈白色、乳白色或半透明状，接近天然牙齿。</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3.</w:t>
      </w:r>
      <w:r w:rsidRPr="00CC5603">
        <w:rPr>
          <w:rFonts w:eastAsia="仿宋_GB2312"/>
          <w:sz w:val="32"/>
          <w:szCs w:val="32"/>
        </w:rPr>
        <w:t>石英纤维桩：指增强纤维为石英纤维的纤维桩，颜色呈白色或半透明状，接近天然牙齿。</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4.</w:t>
      </w:r>
      <w:r w:rsidRPr="00CC5603">
        <w:rPr>
          <w:rFonts w:eastAsia="仿宋_GB2312"/>
          <w:sz w:val="32"/>
          <w:szCs w:val="32"/>
        </w:rPr>
        <w:t>聚乙烯纤维桩：指一种经特殊工艺制作而成的纤维桩。它是将超高分子量聚乙烯纤维经冷空气等离子喷涂后编织呈带状，使用时与树脂基质浸润导入根管，然后塑核成形。</w:t>
      </w:r>
    </w:p>
    <w:p w:rsidR="00124240" w:rsidRPr="00CC5603" w:rsidRDefault="00124240" w:rsidP="00124240">
      <w:pPr>
        <w:spacing w:line="560" w:lineRule="exact"/>
        <w:ind w:firstLineChars="200" w:firstLine="640"/>
        <w:rPr>
          <w:rFonts w:eastAsia="楷体_GB2312"/>
          <w:sz w:val="32"/>
          <w:szCs w:val="32"/>
        </w:rPr>
      </w:pPr>
      <w:r w:rsidRPr="00CC5603">
        <w:rPr>
          <w:rFonts w:eastAsia="楷体_GB2312"/>
          <w:sz w:val="32"/>
          <w:szCs w:val="32"/>
        </w:rPr>
        <w:t>（二）按照制作方法分类：</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1.</w:t>
      </w:r>
      <w:r w:rsidRPr="00CC5603">
        <w:rPr>
          <w:rFonts w:eastAsia="仿宋_GB2312"/>
          <w:sz w:val="32"/>
          <w:szCs w:val="32"/>
        </w:rPr>
        <w:t>预成纤维桩：预先制作成型的纤维桩，又称成品桩。</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2.</w:t>
      </w:r>
      <w:r w:rsidRPr="00CC5603">
        <w:rPr>
          <w:rFonts w:eastAsia="仿宋_GB2312"/>
          <w:sz w:val="32"/>
          <w:szCs w:val="32"/>
        </w:rPr>
        <w:t>半预成纤维桩：未固化成形的软体纤维桩，又称可塑性纤维桩，通常适用于根管弯曲或需改变冠根角度的患牙。</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3.CAD/CAM</w:t>
      </w:r>
      <w:r w:rsidRPr="00CC5603">
        <w:rPr>
          <w:rFonts w:eastAsia="仿宋_GB2312"/>
          <w:sz w:val="32"/>
          <w:szCs w:val="32"/>
        </w:rPr>
        <w:t>一体化纤维桩核（计算机辅助设计</w:t>
      </w:r>
      <w:r w:rsidRPr="00CC5603">
        <w:rPr>
          <w:rFonts w:eastAsia="仿宋_GB2312"/>
          <w:sz w:val="32"/>
          <w:szCs w:val="32"/>
        </w:rPr>
        <w:t>/</w:t>
      </w:r>
      <w:r w:rsidRPr="00CC5603">
        <w:rPr>
          <w:rFonts w:eastAsia="仿宋_GB2312"/>
          <w:sz w:val="32"/>
          <w:szCs w:val="32"/>
        </w:rPr>
        <w:t>计算机辅助制造一体化纤维桩核）：利用计算机辅助设计与制作技术切削纤</w:t>
      </w:r>
      <w:r w:rsidRPr="00CC5603">
        <w:rPr>
          <w:rFonts w:eastAsia="仿宋_GB2312"/>
          <w:sz w:val="32"/>
          <w:szCs w:val="32"/>
        </w:rPr>
        <w:lastRenderedPageBreak/>
        <w:t>维增强树脂块而成的一体化纤维桩核。</w:t>
      </w:r>
    </w:p>
    <w:p w:rsidR="00124240" w:rsidRPr="00CC5603" w:rsidRDefault="00124240" w:rsidP="00124240">
      <w:pPr>
        <w:spacing w:line="560" w:lineRule="exact"/>
        <w:ind w:firstLineChars="200" w:firstLine="640"/>
        <w:rPr>
          <w:rFonts w:eastAsia="楷体_GB2312"/>
          <w:sz w:val="32"/>
          <w:szCs w:val="32"/>
        </w:rPr>
      </w:pPr>
      <w:r w:rsidRPr="00CC5603">
        <w:rPr>
          <w:rFonts w:eastAsia="楷体_GB2312"/>
          <w:sz w:val="32"/>
          <w:szCs w:val="32"/>
        </w:rPr>
        <w:t>（三）按照外观形状分类：</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1.</w:t>
      </w:r>
      <w:r w:rsidRPr="00CC5603">
        <w:rPr>
          <w:rFonts w:eastAsia="仿宋_GB2312"/>
          <w:sz w:val="32"/>
          <w:szCs w:val="32"/>
        </w:rPr>
        <w:t>圆柱形纤维桩</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2.</w:t>
      </w:r>
      <w:r w:rsidRPr="00CC5603">
        <w:rPr>
          <w:rFonts w:eastAsia="仿宋_GB2312"/>
          <w:sz w:val="32"/>
          <w:szCs w:val="32"/>
        </w:rPr>
        <w:t>改良型圆柱形纤维桩</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3.</w:t>
      </w:r>
      <w:r w:rsidRPr="00CC5603">
        <w:rPr>
          <w:rFonts w:eastAsia="仿宋_GB2312"/>
          <w:sz w:val="32"/>
          <w:szCs w:val="32"/>
        </w:rPr>
        <w:t>锥形纤维桩</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4.</w:t>
      </w:r>
      <w:r w:rsidRPr="00CC5603">
        <w:rPr>
          <w:rFonts w:eastAsia="仿宋_GB2312"/>
          <w:sz w:val="32"/>
          <w:szCs w:val="32"/>
        </w:rPr>
        <w:t>椭圆形纤维桩</w:t>
      </w:r>
    </w:p>
    <w:p w:rsidR="00124240" w:rsidRPr="00CC5603" w:rsidRDefault="00124240" w:rsidP="00124240">
      <w:pPr>
        <w:spacing w:line="560" w:lineRule="exact"/>
        <w:ind w:firstLineChars="200" w:firstLine="640"/>
        <w:rPr>
          <w:rFonts w:eastAsia="楷体_GB2312"/>
          <w:sz w:val="32"/>
          <w:szCs w:val="32"/>
        </w:rPr>
      </w:pPr>
      <w:r w:rsidRPr="00CC5603">
        <w:rPr>
          <w:rFonts w:eastAsia="楷体_GB2312"/>
          <w:sz w:val="32"/>
          <w:szCs w:val="32"/>
        </w:rPr>
        <w:t>（四）按照表面特征分类：</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1.</w:t>
      </w:r>
      <w:r w:rsidRPr="00CC5603">
        <w:rPr>
          <w:rFonts w:eastAsia="仿宋_GB2312"/>
          <w:sz w:val="32"/>
          <w:szCs w:val="32"/>
        </w:rPr>
        <w:t>光滑形纤维桩：指表面无固位形的纤维桩。</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2.</w:t>
      </w:r>
      <w:r w:rsidRPr="00CC5603">
        <w:rPr>
          <w:rFonts w:eastAsia="仿宋_GB2312"/>
          <w:sz w:val="32"/>
          <w:szCs w:val="32"/>
        </w:rPr>
        <w:t>固位形纤维桩：指表面设计为沟槽状、螺纹状、球状、锯齿状等形状，从而增加桩与牙体组织及核材料机械锁结作用的纤维桩。</w:t>
      </w:r>
    </w:p>
    <w:p w:rsidR="00124240" w:rsidRPr="00CC5603" w:rsidRDefault="00124240" w:rsidP="00124240">
      <w:pPr>
        <w:spacing w:line="560" w:lineRule="exact"/>
        <w:ind w:firstLineChars="200" w:firstLine="640"/>
        <w:rPr>
          <w:rFonts w:eastAsia="楷体_GB2312"/>
          <w:sz w:val="32"/>
          <w:szCs w:val="32"/>
        </w:rPr>
      </w:pPr>
      <w:r w:rsidRPr="00CC5603">
        <w:rPr>
          <w:rFonts w:eastAsia="楷体_GB2312"/>
          <w:sz w:val="32"/>
          <w:szCs w:val="32"/>
        </w:rPr>
        <w:t>（五）按照功能作用分类：</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1.</w:t>
      </w:r>
      <w:r w:rsidRPr="00CC5603">
        <w:rPr>
          <w:rFonts w:eastAsia="仿宋_GB2312"/>
          <w:sz w:val="32"/>
          <w:szCs w:val="32"/>
        </w:rPr>
        <w:t>主桩：根据圆形根管的平均直径大小而设计的不同型号的纤维桩。</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2.</w:t>
      </w:r>
      <w:r w:rsidRPr="00CC5603">
        <w:rPr>
          <w:rFonts w:eastAsia="仿宋_GB2312"/>
          <w:sz w:val="32"/>
          <w:szCs w:val="32"/>
        </w:rPr>
        <w:t>辅桩：与主桩配合使用，弥补桩</w:t>
      </w:r>
      <w:r w:rsidRPr="00CC5603">
        <w:rPr>
          <w:rFonts w:eastAsia="仿宋_GB2312"/>
          <w:sz w:val="32"/>
          <w:szCs w:val="32"/>
        </w:rPr>
        <w:t>-</w:t>
      </w:r>
      <w:r w:rsidRPr="00CC5603">
        <w:rPr>
          <w:rFonts w:eastAsia="仿宋_GB2312"/>
          <w:sz w:val="32"/>
          <w:szCs w:val="32"/>
        </w:rPr>
        <w:t>核间隙，提高主桩与根管形态吻合性的细小纤维桩。通常用于主桩与根管形态适合性较差，纤维桩与根管壁存在不同程度空间时，不规则根管的桩核修复。</w:t>
      </w:r>
    </w:p>
    <w:p w:rsidR="00124240" w:rsidRPr="00CC5603" w:rsidRDefault="00124240" w:rsidP="00124240">
      <w:pPr>
        <w:spacing w:line="560" w:lineRule="exact"/>
        <w:ind w:firstLineChars="200" w:firstLine="640"/>
        <w:rPr>
          <w:rFonts w:eastAsia="楷体_GB2312"/>
          <w:sz w:val="32"/>
          <w:szCs w:val="32"/>
        </w:rPr>
      </w:pPr>
      <w:r w:rsidRPr="00CC5603">
        <w:rPr>
          <w:rFonts w:eastAsia="楷体_GB2312"/>
          <w:sz w:val="32"/>
          <w:szCs w:val="32"/>
        </w:rPr>
        <w:t>（六）按照颜色分类：</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1.</w:t>
      </w:r>
      <w:r w:rsidRPr="00CC5603">
        <w:rPr>
          <w:rFonts w:eastAsia="仿宋_GB2312"/>
          <w:sz w:val="32"/>
          <w:szCs w:val="32"/>
        </w:rPr>
        <w:t>有颜色纤维桩</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2.</w:t>
      </w:r>
      <w:r w:rsidRPr="00CC5603">
        <w:rPr>
          <w:rFonts w:eastAsia="仿宋_GB2312"/>
          <w:sz w:val="32"/>
          <w:szCs w:val="32"/>
        </w:rPr>
        <w:t>无颜色纤维桩</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3.</w:t>
      </w:r>
      <w:r w:rsidRPr="00CC5603">
        <w:rPr>
          <w:rFonts w:eastAsia="仿宋_GB2312"/>
          <w:sz w:val="32"/>
          <w:szCs w:val="32"/>
        </w:rPr>
        <w:t>可变色纤维桩</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本指导原则不适用于预成及非预成的金属根管桩和陶瓷根管桩。申请人可根据产品的具体设计原理、结构及组成特征、生</w:t>
      </w:r>
      <w:r w:rsidRPr="00CC5603">
        <w:rPr>
          <w:rFonts w:eastAsia="仿宋_GB2312"/>
          <w:sz w:val="32"/>
          <w:szCs w:val="32"/>
        </w:rPr>
        <w:lastRenderedPageBreak/>
        <w:t>物力学特性及临床应用技术，参考本指导原则中的相关内容。</w:t>
      </w:r>
      <w:bookmarkStart w:id="2" w:name="_Toc470865598"/>
    </w:p>
    <w:p w:rsidR="00124240" w:rsidRPr="00CC5603" w:rsidRDefault="00124240" w:rsidP="00124240">
      <w:pPr>
        <w:spacing w:line="560" w:lineRule="exact"/>
        <w:ind w:firstLineChars="200" w:firstLine="640"/>
        <w:rPr>
          <w:rFonts w:ascii="黑体" w:eastAsia="黑体" w:hAnsi="黑体"/>
          <w:sz w:val="32"/>
          <w:szCs w:val="32"/>
        </w:rPr>
      </w:pPr>
      <w:r w:rsidRPr="00CC5603">
        <w:rPr>
          <w:rFonts w:ascii="黑体" w:eastAsia="黑体" w:hAnsi="黑体"/>
          <w:sz w:val="32"/>
          <w:szCs w:val="32"/>
        </w:rPr>
        <w:t>二、注册单元划分原则</w:t>
      </w:r>
      <w:bookmarkEnd w:id="2"/>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按照《医疗器械注册管理办法》（国家食品药品监督管理总局令第</w:t>
      </w:r>
      <w:r w:rsidRPr="00CC5603">
        <w:rPr>
          <w:rFonts w:eastAsia="仿宋_GB2312"/>
          <w:sz w:val="32"/>
          <w:szCs w:val="32"/>
        </w:rPr>
        <w:t>4</w:t>
      </w:r>
      <w:r w:rsidRPr="00CC5603">
        <w:rPr>
          <w:rFonts w:eastAsia="仿宋_GB2312"/>
          <w:sz w:val="32"/>
          <w:szCs w:val="32"/>
        </w:rPr>
        <w:t>号）第七十四条要求，医疗器械产品的注册或者备案单元原则上以技术原理、结构组成、性能指标和适用范围为划分依据。牙科纤维桩产品注册单元划分建议遵循以下原则：</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（一）材料主要化学成分不同的产品应划分为不同的注册单元。</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（二）关键生产制造工艺不同的产品应划分为不同的注册单元。</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（三）制作方法不同的产品应划分为不同的注册单元（如：预成、半预成、</w:t>
      </w:r>
      <w:r w:rsidRPr="00CC5603">
        <w:rPr>
          <w:rFonts w:eastAsia="仿宋_GB2312"/>
          <w:sz w:val="32"/>
          <w:szCs w:val="32"/>
        </w:rPr>
        <w:t>CAD/CAM</w:t>
      </w:r>
      <w:r w:rsidRPr="00CC5603">
        <w:rPr>
          <w:rFonts w:eastAsia="仿宋_GB2312"/>
          <w:sz w:val="32"/>
          <w:szCs w:val="32"/>
        </w:rPr>
        <w:t>）。</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（四）关键性能指标不同的产品应划分为不同的注册单元（如：透光性）。</w:t>
      </w:r>
    </w:p>
    <w:p w:rsidR="00124240" w:rsidRPr="00CC5603" w:rsidRDefault="00124240" w:rsidP="00124240">
      <w:pPr>
        <w:spacing w:line="560" w:lineRule="exact"/>
        <w:ind w:firstLineChars="200" w:firstLine="640"/>
        <w:rPr>
          <w:rFonts w:ascii="黑体" w:eastAsia="黑体" w:hAnsi="黑体"/>
          <w:sz w:val="32"/>
          <w:szCs w:val="32"/>
        </w:rPr>
      </w:pPr>
      <w:bookmarkStart w:id="3" w:name="_Toc470865599"/>
      <w:r w:rsidRPr="00CC5603">
        <w:rPr>
          <w:rFonts w:ascii="黑体" w:eastAsia="黑体" w:hAnsi="黑体"/>
          <w:sz w:val="32"/>
          <w:szCs w:val="32"/>
        </w:rPr>
        <w:t>三、注册申报资料要求</w:t>
      </w:r>
      <w:bookmarkStart w:id="4" w:name="_Toc470865600"/>
      <w:bookmarkEnd w:id="3"/>
    </w:p>
    <w:p w:rsidR="00124240" w:rsidRPr="00CC5603" w:rsidRDefault="00124240" w:rsidP="00124240">
      <w:pPr>
        <w:spacing w:line="560" w:lineRule="exact"/>
        <w:ind w:firstLineChars="200" w:firstLine="640"/>
        <w:rPr>
          <w:rFonts w:eastAsia="楷体_GB2312"/>
          <w:sz w:val="32"/>
          <w:szCs w:val="32"/>
        </w:rPr>
      </w:pPr>
      <w:r w:rsidRPr="00CC5603">
        <w:rPr>
          <w:rFonts w:eastAsia="楷体_GB2312"/>
          <w:sz w:val="32"/>
          <w:szCs w:val="32"/>
        </w:rPr>
        <w:t>（一）综述资料</w:t>
      </w:r>
      <w:bookmarkEnd w:id="4"/>
    </w:p>
    <w:p w:rsidR="00124240" w:rsidRPr="00CC5603" w:rsidRDefault="00124240" w:rsidP="00124240">
      <w:pPr>
        <w:spacing w:line="560" w:lineRule="exact"/>
        <w:ind w:firstLineChars="200" w:firstLine="643"/>
        <w:rPr>
          <w:rFonts w:eastAsia="仿宋_GB2312"/>
          <w:b/>
          <w:sz w:val="32"/>
          <w:szCs w:val="32"/>
        </w:rPr>
      </w:pPr>
      <w:r w:rsidRPr="00CC5603">
        <w:rPr>
          <w:rFonts w:eastAsia="仿宋_GB2312"/>
          <w:b/>
          <w:sz w:val="32"/>
          <w:szCs w:val="32"/>
        </w:rPr>
        <w:t>1.</w:t>
      </w:r>
      <w:r w:rsidRPr="00CC5603">
        <w:rPr>
          <w:rFonts w:eastAsia="仿宋_GB2312"/>
          <w:b/>
          <w:sz w:val="32"/>
          <w:szCs w:val="32"/>
        </w:rPr>
        <w:t>概述</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1</w:t>
      </w:r>
      <w:r w:rsidRPr="00CC5603">
        <w:rPr>
          <w:rFonts w:eastAsia="仿宋_GB2312"/>
          <w:sz w:val="32"/>
          <w:szCs w:val="32"/>
        </w:rPr>
        <w:t>）申报产品管理类别：</w:t>
      </w:r>
      <w:r w:rsidRPr="00CC5603">
        <w:rPr>
          <w:rFonts w:eastAsia="仿宋_GB2312"/>
          <w:sz w:val="32"/>
          <w:szCs w:val="32"/>
        </w:rPr>
        <w:t>Ш</w:t>
      </w:r>
      <w:r w:rsidRPr="00CC5603">
        <w:rPr>
          <w:rFonts w:eastAsia="仿宋_GB2312"/>
          <w:sz w:val="32"/>
          <w:szCs w:val="32"/>
        </w:rPr>
        <w:t>类。</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2</w:t>
      </w:r>
      <w:r w:rsidRPr="00CC5603">
        <w:rPr>
          <w:rFonts w:eastAsia="仿宋_GB2312"/>
          <w:sz w:val="32"/>
          <w:szCs w:val="32"/>
        </w:rPr>
        <w:t>）产品名称：依据《医疗器械通用名称命名规则》确定，如：</w:t>
      </w:r>
      <w:r w:rsidRPr="00CC5603">
        <w:rPr>
          <w:rFonts w:eastAsia="仿宋_GB2312"/>
          <w:sz w:val="32"/>
          <w:szCs w:val="32"/>
        </w:rPr>
        <w:t>“</w:t>
      </w:r>
      <w:r w:rsidRPr="00CC5603">
        <w:rPr>
          <w:rFonts w:eastAsia="仿宋_GB2312"/>
          <w:sz w:val="32"/>
          <w:szCs w:val="32"/>
        </w:rPr>
        <w:t>纤维桩</w:t>
      </w:r>
      <w:r w:rsidRPr="00CC5603">
        <w:rPr>
          <w:rFonts w:eastAsia="仿宋_GB2312"/>
          <w:sz w:val="32"/>
          <w:szCs w:val="32"/>
        </w:rPr>
        <w:t>”</w:t>
      </w:r>
      <w:r w:rsidRPr="00CC5603">
        <w:rPr>
          <w:rFonts w:eastAsia="仿宋_GB2312"/>
          <w:sz w:val="32"/>
          <w:szCs w:val="32"/>
        </w:rPr>
        <w:t>、</w:t>
      </w:r>
      <w:r w:rsidRPr="00CC5603">
        <w:rPr>
          <w:rFonts w:eastAsia="仿宋_GB2312"/>
          <w:sz w:val="32"/>
          <w:szCs w:val="32"/>
        </w:rPr>
        <w:t>“</w:t>
      </w:r>
      <w:r w:rsidRPr="00CC5603">
        <w:rPr>
          <w:rFonts w:eastAsia="仿宋_GB2312"/>
          <w:sz w:val="32"/>
          <w:szCs w:val="32"/>
        </w:rPr>
        <w:t>牙科纤维桩</w:t>
      </w:r>
      <w:r w:rsidRPr="00CC5603">
        <w:rPr>
          <w:rFonts w:eastAsia="仿宋_GB2312"/>
          <w:sz w:val="32"/>
          <w:szCs w:val="32"/>
        </w:rPr>
        <w:t>”</w:t>
      </w:r>
      <w:r w:rsidRPr="00CC5603">
        <w:rPr>
          <w:rFonts w:eastAsia="仿宋_GB2312"/>
          <w:sz w:val="32"/>
          <w:szCs w:val="32"/>
        </w:rPr>
        <w:t>、</w:t>
      </w:r>
      <w:r w:rsidRPr="00CC5603">
        <w:rPr>
          <w:rFonts w:eastAsia="仿宋_GB2312"/>
          <w:sz w:val="32"/>
          <w:szCs w:val="32"/>
        </w:rPr>
        <w:t>“</w:t>
      </w:r>
      <w:r w:rsidRPr="00CC5603">
        <w:rPr>
          <w:rFonts w:eastAsia="仿宋_GB2312"/>
          <w:sz w:val="32"/>
          <w:szCs w:val="32"/>
        </w:rPr>
        <w:t>纤维增强复合树脂桩</w:t>
      </w:r>
      <w:r w:rsidRPr="00CC5603">
        <w:rPr>
          <w:rFonts w:eastAsia="仿宋_GB2312"/>
          <w:sz w:val="32"/>
          <w:szCs w:val="32"/>
        </w:rPr>
        <w:t>”</w:t>
      </w:r>
      <w:r w:rsidRPr="00CC5603">
        <w:rPr>
          <w:rFonts w:eastAsia="仿宋_GB2312"/>
          <w:sz w:val="32"/>
          <w:szCs w:val="32"/>
        </w:rPr>
        <w:t>等。</w:t>
      </w:r>
    </w:p>
    <w:p w:rsidR="00124240" w:rsidRPr="00CC5603" w:rsidRDefault="00124240" w:rsidP="00124240">
      <w:pPr>
        <w:spacing w:line="560" w:lineRule="exact"/>
        <w:ind w:firstLineChars="200" w:firstLine="643"/>
        <w:rPr>
          <w:rFonts w:eastAsia="仿宋_GB2312"/>
          <w:b/>
          <w:sz w:val="32"/>
          <w:szCs w:val="32"/>
        </w:rPr>
      </w:pPr>
      <w:r w:rsidRPr="00CC5603">
        <w:rPr>
          <w:rFonts w:eastAsia="仿宋_GB2312"/>
          <w:b/>
          <w:sz w:val="32"/>
          <w:szCs w:val="32"/>
        </w:rPr>
        <w:t>2.</w:t>
      </w:r>
      <w:r w:rsidRPr="00CC5603">
        <w:rPr>
          <w:rFonts w:eastAsia="仿宋_GB2312"/>
          <w:b/>
          <w:sz w:val="32"/>
          <w:szCs w:val="32"/>
        </w:rPr>
        <w:t>产品描述</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牙科纤维桩产品描述应全面、详细，具体要求如下：</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1</w:t>
      </w:r>
      <w:r w:rsidRPr="00CC5603">
        <w:rPr>
          <w:rFonts w:eastAsia="仿宋_GB2312"/>
          <w:sz w:val="32"/>
          <w:szCs w:val="32"/>
        </w:rPr>
        <w:t>）基本性状及化学组成成分</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lastRenderedPageBreak/>
        <w:t>应描述产品基本性状，包括形状、几何尺寸及公差、纤维桩轴向面特性（如：桩体表面固位形）等。</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应描述产品各组成成分及含量，包括：纤维、有机树脂、无机填料、硅烷偶联剂、引发剂、促进剂、交联剂、增塑剂、着色剂、阻射剂、紫外线吸收剂等成分及含量，列明各组分的化学名称、结构式和分子量、各组分的作用。描述原材料的来源、符合的标准及质控要求。如有增加产品机械性能的改性，应列明其化学成分的调整或加入增强物的成分及含量。</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2</w:t>
      </w:r>
      <w:r w:rsidRPr="00CC5603">
        <w:rPr>
          <w:rFonts w:eastAsia="仿宋_GB2312"/>
          <w:sz w:val="32"/>
          <w:szCs w:val="32"/>
        </w:rPr>
        <w:t>）基本性能</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应描述产品机械性能、光学性能、阻射性能、抗老化性能、生物功能性等基本性能。机械性能包括弹性模量、挠曲强度、疲劳强度等；光学性能包括折光指数、透光性、半透明性等。</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3</w:t>
      </w:r>
      <w:r w:rsidRPr="00CC5603">
        <w:rPr>
          <w:rFonts w:eastAsia="仿宋_GB2312"/>
          <w:sz w:val="32"/>
          <w:szCs w:val="32"/>
        </w:rPr>
        <w:t>）产品应用技术</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应描述纤维桩产品的临床应用技术，列明应用纤维桩进行桩核冠修复过程中，对产品性能产生影响的操作因素，包括：纤维桩的临床选择，桩道预备的方法，桩道内壁残留物的去除，桩道的清洁和消毒，纤维桩表面污染控制，粘接系统的选择，纤维桩的粘接方法，根管内酸蚀剂的清除，粘接前根管潮湿度的控制，螺旋输送器的使用，根管内多余粘接剂的处理，辅桩的使用等。</w:t>
      </w:r>
    </w:p>
    <w:p w:rsidR="00124240" w:rsidRPr="00CC5603" w:rsidRDefault="00124240" w:rsidP="00124240">
      <w:pPr>
        <w:spacing w:line="560" w:lineRule="exact"/>
        <w:ind w:firstLineChars="200" w:firstLine="643"/>
        <w:rPr>
          <w:rFonts w:eastAsia="仿宋_GB2312"/>
          <w:b/>
          <w:sz w:val="32"/>
          <w:szCs w:val="32"/>
        </w:rPr>
      </w:pPr>
      <w:r w:rsidRPr="00CC5603">
        <w:rPr>
          <w:rFonts w:eastAsia="仿宋_GB2312"/>
          <w:b/>
          <w:sz w:val="32"/>
          <w:szCs w:val="32"/>
        </w:rPr>
        <w:t>3.</w:t>
      </w:r>
      <w:r w:rsidRPr="00CC5603">
        <w:rPr>
          <w:rFonts w:eastAsia="仿宋_GB2312"/>
          <w:b/>
          <w:sz w:val="32"/>
          <w:szCs w:val="32"/>
        </w:rPr>
        <w:t>型号规格</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在同一注册单元内，建议具有不同外形结构的产品划分为不同型号；具有相同外形结构、不同尺寸的产品划分为不同规格。对于申报产品存在多种型号的情形，以结构示意图和文字说明相</w:t>
      </w:r>
      <w:r w:rsidRPr="00CC5603">
        <w:rPr>
          <w:rFonts w:eastAsia="仿宋_GB2312"/>
          <w:sz w:val="32"/>
          <w:szCs w:val="32"/>
        </w:rPr>
        <w:lastRenderedPageBreak/>
        <w:t>结合的形式描述不同型号产品的外形结构特征，定义并标示关键尺寸。</w:t>
      </w:r>
    </w:p>
    <w:p w:rsidR="00124240" w:rsidRPr="00CC5603" w:rsidRDefault="00124240" w:rsidP="00124240">
      <w:pPr>
        <w:spacing w:line="560" w:lineRule="exact"/>
        <w:ind w:firstLineChars="200" w:firstLine="643"/>
        <w:rPr>
          <w:rFonts w:eastAsia="仿宋_GB2312"/>
          <w:b/>
          <w:sz w:val="32"/>
          <w:szCs w:val="32"/>
        </w:rPr>
      </w:pPr>
      <w:r w:rsidRPr="00CC5603">
        <w:rPr>
          <w:rFonts w:eastAsia="仿宋_GB2312"/>
          <w:b/>
          <w:sz w:val="32"/>
          <w:szCs w:val="32"/>
        </w:rPr>
        <w:t>4.</w:t>
      </w:r>
      <w:r w:rsidRPr="00CC5603">
        <w:rPr>
          <w:rFonts w:eastAsia="仿宋_GB2312"/>
          <w:b/>
          <w:sz w:val="32"/>
          <w:szCs w:val="32"/>
        </w:rPr>
        <w:t>产品包装说明</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以图片和文字相结合的方式明示申报产品的包装信息，以列表形式说明所有包装内容物。提供包装材料的信息，评价包装材料对材料储存过程的影响。标明产品包装装量。</w:t>
      </w:r>
    </w:p>
    <w:p w:rsidR="00124240" w:rsidRPr="00CC5603" w:rsidRDefault="00124240" w:rsidP="00124240">
      <w:pPr>
        <w:spacing w:line="560" w:lineRule="exact"/>
        <w:ind w:firstLineChars="200" w:firstLine="643"/>
        <w:rPr>
          <w:rFonts w:eastAsia="仿宋_GB2312"/>
          <w:b/>
          <w:sz w:val="32"/>
          <w:szCs w:val="32"/>
        </w:rPr>
      </w:pPr>
      <w:r w:rsidRPr="00CC5603">
        <w:rPr>
          <w:rFonts w:eastAsia="仿宋_GB2312"/>
          <w:b/>
          <w:sz w:val="32"/>
          <w:szCs w:val="32"/>
        </w:rPr>
        <w:t>5.</w:t>
      </w:r>
      <w:r w:rsidRPr="00CC5603">
        <w:rPr>
          <w:rFonts w:eastAsia="仿宋_GB2312"/>
          <w:b/>
          <w:sz w:val="32"/>
          <w:szCs w:val="32"/>
        </w:rPr>
        <w:t>适用范围和禁忌症</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牙科纤维桩用于口腔临床治疗中对经过完善根管充填治疗后的残根、残冠的修复。申请人可根据申报产品的具体预期用途及研究资料，参考本指导原则相关内容要求进一步确认申报产品具体的适用范围及禁忌症。</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适用范围的表述应客观、清晰，使用有明确定义或由行业内公认的术语或名词，至少应描述产品适用于制作的修复体类型。</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禁忌症应包括该产品不适用的疾病、情况及特定的人群。</w:t>
      </w:r>
    </w:p>
    <w:p w:rsidR="00124240" w:rsidRPr="00CC5603" w:rsidRDefault="00124240" w:rsidP="00124240">
      <w:pPr>
        <w:spacing w:line="560" w:lineRule="exact"/>
        <w:ind w:firstLineChars="200" w:firstLine="643"/>
        <w:rPr>
          <w:rFonts w:eastAsia="仿宋_GB2312"/>
          <w:b/>
          <w:sz w:val="32"/>
          <w:szCs w:val="32"/>
        </w:rPr>
      </w:pPr>
      <w:r w:rsidRPr="00CC5603">
        <w:rPr>
          <w:rFonts w:eastAsia="仿宋_GB2312"/>
          <w:b/>
          <w:sz w:val="32"/>
          <w:szCs w:val="32"/>
        </w:rPr>
        <w:t>6.</w:t>
      </w:r>
      <w:r w:rsidRPr="00CC5603">
        <w:rPr>
          <w:rFonts w:eastAsia="仿宋_GB2312"/>
          <w:b/>
          <w:sz w:val="32"/>
          <w:szCs w:val="32"/>
        </w:rPr>
        <w:t>与同类产品或前代产品的比较信息</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应当提供同类产品（国内外已上市）或前代产品（如有）的信息，阐述申请注册产品的研发背景和目的。对于同类产品，应当说明选择其作为研发参考的原因。</w:t>
      </w:r>
    </w:p>
    <w:p w:rsidR="00124240" w:rsidRPr="00CC5603" w:rsidRDefault="00124240" w:rsidP="00124240">
      <w:pPr>
        <w:spacing w:line="560" w:lineRule="exact"/>
        <w:ind w:firstLineChars="200" w:firstLine="648"/>
        <w:rPr>
          <w:rFonts w:eastAsia="仿宋_GB2312"/>
          <w:spacing w:val="2"/>
          <w:sz w:val="32"/>
          <w:szCs w:val="32"/>
        </w:rPr>
      </w:pPr>
      <w:r w:rsidRPr="00CC5603">
        <w:rPr>
          <w:rFonts w:eastAsia="仿宋_GB2312"/>
          <w:spacing w:val="2"/>
          <w:sz w:val="32"/>
          <w:szCs w:val="32"/>
        </w:rPr>
        <w:t>申请人应综述同类产品国内外研究及临床使用现状及发展趋势。同时列表比较说明产品与参考产品（同类产品或前代产品）在材料结构组成、性能指标、适用范围、应用技术等方面的异同。</w:t>
      </w:r>
      <w:bookmarkStart w:id="5" w:name="_Toc470865601"/>
    </w:p>
    <w:p w:rsidR="00124240" w:rsidRPr="00CC5603" w:rsidRDefault="00124240" w:rsidP="00124240">
      <w:pPr>
        <w:spacing w:line="560" w:lineRule="exact"/>
        <w:ind w:firstLineChars="200" w:firstLine="640"/>
        <w:rPr>
          <w:rFonts w:ascii="楷体_GB2312" w:eastAsia="楷体_GB2312"/>
          <w:sz w:val="32"/>
          <w:szCs w:val="32"/>
        </w:rPr>
      </w:pPr>
      <w:r w:rsidRPr="00CC5603">
        <w:rPr>
          <w:rFonts w:ascii="楷体_GB2312" w:eastAsia="楷体_GB2312" w:hint="eastAsia"/>
          <w:sz w:val="32"/>
          <w:szCs w:val="32"/>
        </w:rPr>
        <w:t>（二）研究资料</w:t>
      </w:r>
      <w:bookmarkEnd w:id="5"/>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lastRenderedPageBreak/>
        <w:t>至少应包含如下内容：</w:t>
      </w:r>
    </w:p>
    <w:p w:rsidR="00124240" w:rsidRPr="00CC5603" w:rsidRDefault="00124240" w:rsidP="00124240">
      <w:pPr>
        <w:spacing w:line="560" w:lineRule="exact"/>
        <w:ind w:firstLineChars="200" w:firstLine="643"/>
        <w:rPr>
          <w:rFonts w:eastAsia="仿宋_GB2312"/>
          <w:b/>
          <w:sz w:val="32"/>
          <w:szCs w:val="32"/>
        </w:rPr>
      </w:pPr>
      <w:r w:rsidRPr="00CC5603">
        <w:rPr>
          <w:rFonts w:eastAsia="仿宋_GB2312"/>
          <w:b/>
          <w:sz w:val="32"/>
          <w:szCs w:val="32"/>
        </w:rPr>
        <w:t>1.</w:t>
      </w:r>
      <w:r w:rsidRPr="00CC5603">
        <w:rPr>
          <w:rFonts w:eastAsia="仿宋_GB2312"/>
          <w:b/>
          <w:sz w:val="32"/>
          <w:szCs w:val="32"/>
        </w:rPr>
        <w:t>原材料控制</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明确产品的起始物质，列明产品生产过程中由起始物质至终产品加工过程中所需全部材料（包括：基质成分、纤维成分及其引发剂、交联剂、光敏剂、增塑剂、着色剂等全部辅料）的化学名称、</w:t>
      </w:r>
      <w:r w:rsidRPr="00CC5603">
        <w:rPr>
          <w:rFonts w:eastAsia="仿宋_GB2312"/>
          <w:sz w:val="32"/>
          <w:szCs w:val="32"/>
        </w:rPr>
        <w:t>CAS</w:t>
      </w:r>
      <w:r w:rsidRPr="00CC5603">
        <w:rPr>
          <w:rFonts w:eastAsia="仿宋_GB2312"/>
          <w:sz w:val="32"/>
          <w:szCs w:val="32"/>
        </w:rPr>
        <w:t>号、化学结构式</w:t>
      </w:r>
      <w:r w:rsidRPr="00CC5603">
        <w:rPr>
          <w:rFonts w:eastAsia="仿宋_GB2312"/>
          <w:sz w:val="32"/>
          <w:szCs w:val="32"/>
        </w:rPr>
        <w:t>/</w:t>
      </w:r>
      <w:r w:rsidRPr="00CC5603">
        <w:rPr>
          <w:rFonts w:eastAsia="仿宋_GB2312"/>
          <w:sz w:val="32"/>
          <w:szCs w:val="32"/>
        </w:rPr>
        <w:t>分子式、分子量及其分布、来源和纯度（如适用）、使用量或组成比例、符合的标准和申请人的验收标准及相关的安全性评价报告，建议以列表的形式提供。并说明原材料的选择依据及来源。</w:t>
      </w:r>
    </w:p>
    <w:p w:rsidR="00124240" w:rsidRPr="00CC5603" w:rsidRDefault="00124240" w:rsidP="00124240">
      <w:pPr>
        <w:spacing w:line="560" w:lineRule="exact"/>
        <w:ind w:firstLineChars="200" w:firstLine="643"/>
        <w:rPr>
          <w:rFonts w:eastAsia="仿宋_GB2312"/>
          <w:b/>
          <w:sz w:val="32"/>
          <w:szCs w:val="32"/>
        </w:rPr>
      </w:pPr>
      <w:r w:rsidRPr="00CC5603">
        <w:rPr>
          <w:rFonts w:eastAsia="仿宋_GB2312"/>
          <w:b/>
          <w:sz w:val="32"/>
          <w:szCs w:val="32"/>
        </w:rPr>
        <w:t>2.</w:t>
      </w:r>
      <w:r w:rsidRPr="00CC5603">
        <w:rPr>
          <w:rFonts w:eastAsia="仿宋_GB2312"/>
          <w:b/>
          <w:sz w:val="32"/>
          <w:szCs w:val="32"/>
        </w:rPr>
        <w:t>产品性能研究</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申请人应根据产品设计特点提交有关性能的研究资料，建议包括下列性能：</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1</w:t>
      </w:r>
      <w:r w:rsidRPr="00CC5603">
        <w:rPr>
          <w:rFonts w:eastAsia="仿宋_GB2312"/>
          <w:sz w:val="32"/>
          <w:szCs w:val="32"/>
        </w:rPr>
        <w:t>）产品外观及结构尺寸，并提供图示说明。</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2</w:t>
      </w:r>
      <w:r w:rsidRPr="00CC5603">
        <w:rPr>
          <w:rFonts w:eastAsia="仿宋_GB2312"/>
          <w:sz w:val="32"/>
          <w:szCs w:val="32"/>
        </w:rPr>
        <w:t>）表面元素分析及表面形貌：纤维桩经切削加工成型后表面元素组成与分布决定了其表面的性质和特征，建议申请人分析表面元素以利于后续临床粘接步骤的确定；表面形貌是纤维桩产品微观结构的主要特征之一，其表面粗糙度与纤维桩的制作工艺、外形设计、纤维直径、纤维含量以及树脂基质等因素有关，建议申请人提供显微镜下纤维桩表面形貌的微观结构，纤维桩表面加工应精细、无纤维剥离。</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3</w:t>
      </w:r>
      <w:r w:rsidRPr="00CC5603">
        <w:rPr>
          <w:rFonts w:eastAsia="仿宋_GB2312"/>
          <w:sz w:val="32"/>
          <w:szCs w:val="32"/>
        </w:rPr>
        <w:t>）内部结构：理想的纤维桩其内部结构应具备以下特征：树脂基质均匀包裹于纤维桩周围，基质与纤维间紧密结合无界面；纤维粗细一致，每根纤维贯穿于桩体内部并均匀分散于树脂基质</w:t>
      </w:r>
      <w:r w:rsidRPr="00CC5603">
        <w:rPr>
          <w:rFonts w:eastAsia="仿宋_GB2312"/>
          <w:sz w:val="32"/>
          <w:szCs w:val="32"/>
        </w:rPr>
        <w:lastRenderedPageBreak/>
        <w:t>中；纤维连续无折断，纤维间无相互挤压现象；树脂基质结构均匀，基质内无气泡、空隙、颗粒杂质等瑕疵。</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应提供使用显微镜等手段所观察得产品信息：纤维桩内部是否可见孔隙、气泡及颗粒杂质；剖面下纤维的直径、直径分布范围及纤维密度，是否存在纤维直径不均、纤维断裂及纤维排列无序、分布不均；纤维与树脂基质界面的状况。</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4</w:t>
      </w:r>
      <w:r w:rsidRPr="00CC5603">
        <w:rPr>
          <w:rFonts w:eastAsia="仿宋_GB2312"/>
          <w:sz w:val="32"/>
          <w:szCs w:val="32"/>
        </w:rPr>
        <w:t>）纤维添加量：纤维种类及添加比例不同的纤维桩，弹性模量和弯曲性能差异较大，建议申请人提供纤维种类及添加比例的验证性资料。</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5</w:t>
      </w:r>
      <w:r w:rsidRPr="00CC5603">
        <w:rPr>
          <w:rFonts w:eastAsia="仿宋_GB2312"/>
          <w:sz w:val="32"/>
          <w:szCs w:val="32"/>
        </w:rPr>
        <w:t>）</w:t>
      </w:r>
      <w:r w:rsidRPr="00CC5603">
        <w:rPr>
          <w:rFonts w:eastAsia="仿宋_GB2312"/>
          <w:spacing w:val="6"/>
          <w:sz w:val="32"/>
          <w:szCs w:val="32"/>
        </w:rPr>
        <w:t>纤维桩与粘结剂的粘接界面状况：描述纤维桩与配套</w:t>
      </w:r>
      <w:r>
        <w:rPr>
          <w:rFonts w:eastAsia="仿宋_GB2312" w:hint="eastAsia"/>
          <w:spacing w:val="6"/>
          <w:sz w:val="32"/>
          <w:szCs w:val="32"/>
        </w:rPr>
        <w:t>/</w:t>
      </w:r>
      <w:r w:rsidRPr="00CC5603">
        <w:rPr>
          <w:rFonts w:eastAsia="仿宋_GB2312"/>
          <w:spacing w:val="6"/>
          <w:sz w:val="32"/>
          <w:szCs w:val="32"/>
        </w:rPr>
        <w:t>推荐使用的粘结系统的粘接表面状况，可用纤维桩在根管内放置的推出强度表征该性能。</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6</w:t>
      </w:r>
      <w:r w:rsidRPr="00CC5603">
        <w:rPr>
          <w:rFonts w:eastAsia="仿宋_GB2312"/>
          <w:sz w:val="32"/>
          <w:szCs w:val="32"/>
        </w:rPr>
        <w:t>）弹性模量：纤维桩的弹性模量主要由其所含的纤维类型决定，其次是树脂基质。当外力作用于纤维桩发生弹性形变时，应力首先作用于刚性较大的纤维上，然后再传导至有缓冲作用的树脂基质部分。当纤维</w:t>
      </w:r>
      <w:r w:rsidRPr="00CC5603">
        <w:rPr>
          <w:rFonts w:eastAsia="仿宋_GB2312"/>
          <w:sz w:val="32"/>
          <w:szCs w:val="32"/>
        </w:rPr>
        <w:t>-</w:t>
      </w:r>
      <w:r w:rsidRPr="00CC5603">
        <w:rPr>
          <w:rFonts w:eastAsia="仿宋_GB2312"/>
          <w:sz w:val="32"/>
          <w:szCs w:val="32"/>
        </w:rPr>
        <w:t>树脂界面应力增加到一定程度时发生树脂基质的扭曲变形以及纤维与树脂基质的分离现象，最终伴随纤维的断裂而导致桩体的折断。另外，纤维桩的组成结构和生产工艺对其弹性模量也会产生一定的影响。</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应明确弹性模量并提供弹性模量设定依据，建议纤维桩的弹性模量应尽可能地接近牙本质的弹性模量，当牙齿受力后桩与牙根发生相同或相近的形变和位移，桩</w:t>
      </w:r>
      <w:r w:rsidRPr="00CC5603">
        <w:rPr>
          <w:rFonts w:eastAsia="仿宋_GB2312"/>
          <w:sz w:val="32"/>
          <w:szCs w:val="32"/>
        </w:rPr>
        <w:t>-</w:t>
      </w:r>
      <w:r w:rsidRPr="00CC5603">
        <w:rPr>
          <w:rFonts w:eastAsia="仿宋_GB2312"/>
          <w:sz w:val="32"/>
          <w:szCs w:val="32"/>
        </w:rPr>
        <w:t>牙本质界面应力分布均匀，降低根折的发生率。产品弹性模量与产品说明书规定值的偏差应</w:t>
      </w:r>
      <w:r w:rsidRPr="00CC5603">
        <w:rPr>
          <w:rFonts w:eastAsia="仿宋_GB2312"/>
          <w:sz w:val="32"/>
          <w:szCs w:val="32"/>
        </w:rPr>
        <w:lastRenderedPageBreak/>
        <w:t>在</w:t>
      </w:r>
      <w:r w:rsidRPr="00CC5603">
        <w:rPr>
          <w:rFonts w:eastAsia="仿宋_GB2312"/>
          <w:sz w:val="32"/>
          <w:szCs w:val="32"/>
        </w:rPr>
        <w:t>±30%</w:t>
      </w:r>
      <w:r w:rsidRPr="00CC5603">
        <w:rPr>
          <w:rFonts w:eastAsia="仿宋_GB2312"/>
          <w:sz w:val="32"/>
          <w:szCs w:val="32"/>
        </w:rPr>
        <w:t>以内。</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7</w:t>
      </w:r>
      <w:r w:rsidRPr="00CC5603">
        <w:rPr>
          <w:rFonts w:eastAsia="仿宋_GB2312"/>
          <w:sz w:val="32"/>
          <w:szCs w:val="32"/>
        </w:rPr>
        <w:t>）弯曲性能：不同材料组成（如纤维的种类、树脂基质成分等）的纤维桩弯曲强度存在差异，一般认为纤维桩的弯曲强度应大于</w:t>
      </w:r>
      <w:r w:rsidRPr="00CC5603">
        <w:rPr>
          <w:rFonts w:eastAsia="仿宋_GB2312"/>
          <w:sz w:val="32"/>
          <w:szCs w:val="32"/>
        </w:rPr>
        <w:t>400MPa</w:t>
      </w:r>
      <w:r w:rsidRPr="00CC5603">
        <w:rPr>
          <w:rFonts w:eastAsia="仿宋_GB2312"/>
          <w:sz w:val="32"/>
          <w:szCs w:val="32"/>
        </w:rPr>
        <w:t>。</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8</w:t>
      </w:r>
      <w:r w:rsidRPr="00CC5603">
        <w:rPr>
          <w:rFonts w:eastAsia="仿宋_GB2312"/>
          <w:sz w:val="32"/>
          <w:szCs w:val="32"/>
        </w:rPr>
        <w:t>）纤维桩透光性（或可见光传导性）：描述是否具有透光性。</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9</w:t>
      </w:r>
      <w:r w:rsidRPr="00CC5603">
        <w:rPr>
          <w:rFonts w:eastAsia="仿宋_GB2312"/>
          <w:sz w:val="32"/>
          <w:szCs w:val="32"/>
        </w:rPr>
        <w:t>）</w:t>
      </w:r>
      <w:r w:rsidRPr="00CC5603">
        <w:rPr>
          <w:rFonts w:eastAsia="仿宋_GB2312"/>
          <w:sz w:val="32"/>
          <w:szCs w:val="32"/>
        </w:rPr>
        <w:t>X</w:t>
      </w:r>
      <w:r w:rsidRPr="00CC5603">
        <w:rPr>
          <w:rFonts w:eastAsia="仿宋_GB2312"/>
          <w:sz w:val="32"/>
          <w:szCs w:val="32"/>
        </w:rPr>
        <w:t>射线阻射性：应具有一定的</w:t>
      </w:r>
      <w:r w:rsidRPr="00CC5603">
        <w:rPr>
          <w:rFonts w:eastAsia="仿宋_GB2312"/>
          <w:sz w:val="32"/>
          <w:szCs w:val="32"/>
        </w:rPr>
        <w:t>X</w:t>
      </w:r>
      <w:r w:rsidRPr="00CC5603">
        <w:rPr>
          <w:rFonts w:eastAsia="仿宋_GB2312"/>
          <w:sz w:val="32"/>
          <w:szCs w:val="32"/>
        </w:rPr>
        <w:t>射线阻射性。</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10</w:t>
      </w:r>
      <w:r w:rsidRPr="00CC5603">
        <w:rPr>
          <w:rFonts w:eastAsia="仿宋_GB2312"/>
          <w:sz w:val="32"/>
          <w:szCs w:val="32"/>
        </w:rPr>
        <w:t>）吸水值和溶解值：描述吸水性、溶解性。</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11</w:t>
      </w:r>
      <w:r w:rsidRPr="00CC5603">
        <w:rPr>
          <w:rFonts w:eastAsia="仿宋_GB2312"/>
          <w:sz w:val="32"/>
          <w:szCs w:val="32"/>
        </w:rPr>
        <w:t>）纤维桩表面处理对桩本身及粘接强度的影响（如适用）：如使用酸蚀、喷砂粗糙化、硅烷化等的影响。</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12</w:t>
      </w:r>
      <w:r w:rsidRPr="00CC5603">
        <w:rPr>
          <w:rFonts w:eastAsia="仿宋_GB2312"/>
          <w:sz w:val="32"/>
          <w:szCs w:val="32"/>
        </w:rPr>
        <w:t>）纤维桩的疲劳性能：疲劳强度反映了材料在动态载荷下抵抗断裂破坏的性能。</w:t>
      </w:r>
    </w:p>
    <w:p w:rsidR="00124240" w:rsidRPr="00AE38A3" w:rsidRDefault="00124240" w:rsidP="00124240">
      <w:pPr>
        <w:spacing w:line="560" w:lineRule="exact"/>
        <w:ind w:firstLineChars="200" w:firstLine="643"/>
        <w:rPr>
          <w:rFonts w:eastAsia="仿宋_GB2312"/>
          <w:b/>
          <w:sz w:val="32"/>
          <w:szCs w:val="32"/>
        </w:rPr>
      </w:pPr>
      <w:r w:rsidRPr="00AE38A3">
        <w:rPr>
          <w:rFonts w:eastAsia="仿宋_GB2312"/>
          <w:b/>
          <w:sz w:val="32"/>
          <w:szCs w:val="32"/>
        </w:rPr>
        <w:t>3.</w:t>
      </w:r>
      <w:r w:rsidRPr="00AE38A3">
        <w:rPr>
          <w:rFonts w:eastAsia="仿宋_GB2312"/>
          <w:b/>
          <w:sz w:val="32"/>
          <w:szCs w:val="32"/>
        </w:rPr>
        <w:t>生物相容性评价</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牙科纤维桩产品是置入人体牙齿根管内，与牙本质持久接触的产品，生物相容性评价应遵循</w:t>
      </w:r>
      <w:r w:rsidRPr="00CC5603">
        <w:rPr>
          <w:rFonts w:eastAsia="仿宋_GB2312"/>
          <w:sz w:val="32"/>
          <w:szCs w:val="32"/>
        </w:rPr>
        <w:t>GB/T 16886.1-2011</w:t>
      </w:r>
      <w:r w:rsidRPr="00CC5603">
        <w:rPr>
          <w:rFonts w:eastAsia="仿宋_GB2312"/>
          <w:sz w:val="32"/>
          <w:szCs w:val="32"/>
        </w:rPr>
        <w:t>《医疗器械生物学评价第</w:t>
      </w:r>
      <w:r w:rsidRPr="00CC5603">
        <w:rPr>
          <w:rFonts w:eastAsia="仿宋_GB2312"/>
          <w:sz w:val="32"/>
          <w:szCs w:val="32"/>
        </w:rPr>
        <w:t>1</w:t>
      </w:r>
      <w:r w:rsidRPr="00CC5603">
        <w:rPr>
          <w:rFonts w:eastAsia="仿宋_GB2312"/>
          <w:sz w:val="32"/>
          <w:szCs w:val="32"/>
        </w:rPr>
        <w:t>部分：风险管理过程中的评价与试验》（注：本指导原则中标准适用最新版本，下同）和</w:t>
      </w:r>
      <w:r w:rsidRPr="00CC5603">
        <w:rPr>
          <w:rFonts w:eastAsia="仿宋_GB2312"/>
          <w:sz w:val="32"/>
          <w:szCs w:val="32"/>
        </w:rPr>
        <w:t>YY/T 0268-2008</w:t>
      </w:r>
      <w:r w:rsidRPr="00CC5603">
        <w:rPr>
          <w:rFonts w:eastAsia="仿宋_GB2312"/>
          <w:sz w:val="32"/>
          <w:szCs w:val="32"/>
        </w:rPr>
        <w:t>《牙科学口腔医疗器械生物学评价第</w:t>
      </w:r>
      <w:r w:rsidRPr="00CC5603">
        <w:rPr>
          <w:rFonts w:eastAsia="仿宋_GB2312"/>
          <w:sz w:val="32"/>
          <w:szCs w:val="32"/>
        </w:rPr>
        <w:t>1</w:t>
      </w:r>
      <w:r w:rsidRPr="00CC5603">
        <w:rPr>
          <w:rFonts w:eastAsia="仿宋_GB2312"/>
          <w:sz w:val="32"/>
          <w:szCs w:val="32"/>
        </w:rPr>
        <w:t>单元：评价与试验》相关要求，生物相容性评价资料可以考虑（但不限于）包括以下方面：</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1</w:t>
      </w:r>
      <w:r w:rsidRPr="00CC5603">
        <w:rPr>
          <w:rFonts w:eastAsia="仿宋_GB2312"/>
          <w:sz w:val="32"/>
          <w:szCs w:val="32"/>
        </w:rPr>
        <w:t>）医疗器械生物学评价的策略和所含程序；</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2</w:t>
      </w:r>
      <w:r w:rsidRPr="00CC5603">
        <w:rPr>
          <w:rFonts w:eastAsia="仿宋_GB2312"/>
          <w:sz w:val="32"/>
          <w:szCs w:val="32"/>
        </w:rPr>
        <w:t>）医疗器械所用材料选择的描述；</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3</w:t>
      </w:r>
      <w:r w:rsidRPr="00CC5603">
        <w:rPr>
          <w:rFonts w:eastAsia="仿宋_GB2312"/>
          <w:sz w:val="32"/>
          <w:szCs w:val="32"/>
        </w:rPr>
        <w:t>）材料表征</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 xml:space="preserve">　　－医疗器械材料的定性与定量的说明或分析</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lastRenderedPageBreak/>
        <w:t xml:space="preserve">　　－医疗器械材料与市售产品的等同性比较</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4</w:t>
      </w:r>
      <w:r w:rsidRPr="00CC5603">
        <w:rPr>
          <w:rFonts w:eastAsia="仿宋_GB2312"/>
          <w:sz w:val="32"/>
          <w:szCs w:val="32"/>
        </w:rPr>
        <w:t>）选择或放弃生物学试验的理由和论证；</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5</w:t>
      </w:r>
      <w:r w:rsidRPr="00CC5603">
        <w:rPr>
          <w:rFonts w:eastAsia="仿宋_GB2312"/>
          <w:sz w:val="32"/>
          <w:szCs w:val="32"/>
        </w:rPr>
        <w:t>）已有数据和试验结果的汇总；</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6</w:t>
      </w:r>
      <w:r w:rsidRPr="00CC5603">
        <w:rPr>
          <w:rFonts w:eastAsia="仿宋_GB2312"/>
          <w:sz w:val="32"/>
          <w:szCs w:val="32"/>
        </w:rPr>
        <w:t>）完成生物学评价所需的其他数据。</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具体生物学评价试验项目应参照</w:t>
      </w:r>
      <w:r w:rsidRPr="00CC5603">
        <w:rPr>
          <w:rFonts w:eastAsia="仿宋_GB2312"/>
          <w:sz w:val="32"/>
          <w:szCs w:val="32"/>
        </w:rPr>
        <w:t>YY/T 0268</w:t>
      </w:r>
      <w:r w:rsidRPr="00CC5603">
        <w:rPr>
          <w:rFonts w:eastAsia="仿宋_GB2312"/>
          <w:sz w:val="32"/>
          <w:szCs w:val="32"/>
        </w:rPr>
        <w:t>确定，建议考虑：</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细胞毒性</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致敏性</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急性全身毒性</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刺激或皮内反应</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遗传毒性</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亚慢性全身毒性</w:t>
      </w:r>
    </w:p>
    <w:p w:rsidR="00124240" w:rsidRPr="00CC5603" w:rsidRDefault="00124240" w:rsidP="00124240">
      <w:pPr>
        <w:spacing w:line="560" w:lineRule="exact"/>
        <w:ind w:firstLineChars="200" w:firstLine="643"/>
        <w:rPr>
          <w:rFonts w:eastAsia="仿宋_GB2312"/>
          <w:b/>
          <w:sz w:val="32"/>
          <w:szCs w:val="32"/>
        </w:rPr>
      </w:pPr>
      <w:r w:rsidRPr="00CC5603">
        <w:rPr>
          <w:rFonts w:eastAsia="仿宋_GB2312"/>
          <w:b/>
          <w:sz w:val="32"/>
          <w:szCs w:val="32"/>
        </w:rPr>
        <w:t>4.</w:t>
      </w:r>
      <w:r w:rsidRPr="00CC5603">
        <w:rPr>
          <w:rFonts w:eastAsia="仿宋_GB2312"/>
          <w:b/>
          <w:sz w:val="32"/>
          <w:szCs w:val="32"/>
        </w:rPr>
        <w:t>产品有效期和包装研究</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产品有效期是指产品在一定的温度、湿度、光线等条件的影响下，保持其物理、化学、生物学和微生物学性质的期限。有效期的研究应贯穿于产品研究与开发的全过程。牙科纤维桩产品有效期验证一般包括产品有效期验证和包装验证。</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1</w:t>
      </w:r>
      <w:r w:rsidRPr="00CC5603">
        <w:rPr>
          <w:rFonts w:eastAsia="仿宋_GB2312"/>
          <w:sz w:val="32"/>
          <w:szCs w:val="32"/>
        </w:rPr>
        <w:t>）有效期验证：提供产品有效期及有效期验证资料。</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产品有效期验证可依据有关适用的国内、国际标准和验证方案进行，提交产品的有效期验证报告。产品有效期验证可采用实时老化研究、加速老化研究。</w:t>
      </w:r>
    </w:p>
    <w:p w:rsidR="00124240" w:rsidRPr="00CC5603" w:rsidRDefault="00124240" w:rsidP="00124240">
      <w:pPr>
        <w:spacing w:line="580" w:lineRule="exact"/>
        <w:ind w:firstLineChars="200" w:firstLine="640"/>
        <w:rPr>
          <w:rFonts w:eastAsia="仿宋_GB2312"/>
          <w:sz w:val="32"/>
          <w:szCs w:val="32"/>
        </w:rPr>
      </w:pPr>
      <w:r w:rsidRPr="00CC5603">
        <w:rPr>
          <w:rFonts w:eastAsia="仿宋_GB2312"/>
          <w:sz w:val="32"/>
          <w:szCs w:val="32"/>
        </w:rPr>
        <w:t>在有效期研究中应监测整个有效期内确保产品安全性和有效性的关键参数，如在产品技术要求中所描述的参数，并提交所选择测试方法的验证资料。</w:t>
      </w:r>
    </w:p>
    <w:p w:rsidR="00124240" w:rsidRPr="00CC5603" w:rsidRDefault="00124240" w:rsidP="00124240">
      <w:pPr>
        <w:spacing w:line="580" w:lineRule="exact"/>
        <w:ind w:firstLineChars="200" w:firstLine="640"/>
        <w:rPr>
          <w:rFonts w:eastAsia="仿宋_GB2312"/>
          <w:sz w:val="32"/>
          <w:szCs w:val="32"/>
        </w:rPr>
      </w:pPr>
      <w:r w:rsidRPr="00CC5603">
        <w:rPr>
          <w:rFonts w:eastAsia="仿宋_GB2312"/>
          <w:sz w:val="32"/>
          <w:szCs w:val="32"/>
        </w:rPr>
        <w:lastRenderedPageBreak/>
        <w:t>若选择实时老化有效期验证试验，产品选择的老化环境条件应不低于产品说明书宣称的贮存、运输环境条件。</w:t>
      </w:r>
    </w:p>
    <w:p w:rsidR="00124240" w:rsidRPr="00CC5603" w:rsidRDefault="00124240" w:rsidP="00124240">
      <w:pPr>
        <w:spacing w:line="580" w:lineRule="exact"/>
        <w:ind w:firstLineChars="200" w:firstLine="640"/>
        <w:rPr>
          <w:rFonts w:eastAsia="仿宋_GB2312"/>
          <w:sz w:val="32"/>
          <w:szCs w:val="32"/>
        </w:rPr>
      </w:pPr>
      <w:r w:rsidRPr="00CC5603">
        <w:rPr>
          <w:rFonts w:eastAsia="仿宋_GB2312"/>
          <w:sz w:val="32"/>
          <w:szCs w:val="32"/>
        </w:rPr>
        <w:t>若选择加速老化有效期验证试验，应说明所用加速条件的合理性。例如，在标准温度和升高温度情况下的降解机制应该是等效的，即温度改变而</w:t>
      </w:r>
      <w:r w:rsidRPr="00CC5603">
        <w:rPr>
          <w:rFonts w:eastAsia="仿宋_GB2312"/>
          <w:sz w:val="32"/>
          <w:szCs w:val="32"/>
        </w:rPr>
        <w:t>Arrhenius</w:t>
      </w:r>
      <w:r w:rsidRPr="00CC5603">
        <w:rPr>
          <w:rFonts w:eastAsia="仿宋_GB2312"/>
          <w:sz w:val="32"/>
          <w:szCs w:val="32"/>
        </w:rPr>
        <w:t>曲线的斜率保持不变。在不能证实等效性时，即不同温度下可由不同机制引起产品失效，应提交额外的合理性说明。在进行加速老化试验研究时应注意：产品选择的环境条件的老化机制应与宣称的贮存、运输环境条件下产品老化的机制相匹配。</w:t>
      </w:r>
    </w:p>
    <w:p w:rsidR="00124240" w:rsidRPr="00CC5603" w:rsidRDefault="00124240" w:rsidP="00124240">
      <w:pPr>
        <w:spacing w:line="58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2</w:t>
      </w:r>
      <w:r w:rsidRPr="00CC5603">
        <w:rPr>
          <w:rFonts w:eastAsia="仿宋_GB2312"/>
          <w:sz w:val="32"/>
          <w:szCs w:val="32"/>
        </w:rPr>
        <w:t>）包装验证：在宣称的有效期内以及运输储存条件下，保持包装完整性的依据。</w:t>
      </w:r>
    </w:p>
    <w:p w:rsidR="00124240" w:rsidRPr="00CC5603" w:rsidRDefault="00124240" w:rsidP="00124240">
      <w:pPr>
        <w:spacing w:line="580" w:lineRule="exact"/>
        <w:ind w:firstLineChars="200" w:firstLine="640"/>
        <w:rPr>
          <w:rFonts w:eastAsia="仿宋_GB2312"/>
          <w:sz w:val="32"/>
          <w:szCs w:val="32"/>
        </w:rPr>
      </w:pPr>
      <w:r w:rsidRPr="00CC5603">
        <w:rPr>
          <w:rFonts w:eastAsia="仿宋_GB2312"/>
          <w:sz w:val="32"/>
          <w:szCs w:val="32"/>
        </w:rPr>
        <w:t>产品包装验证可依据有关适用的国内、国际标准和验证方案进行，提交产品的包装验证报告。包装材料的选择建议考虑以下因素：包装材料的物理化学性能；包装材料与产品的适应性；包装材料与成型和密封过程的适应性；包装材料所能提供的物理、化学保护；包装材料与标签系统的适应性；包装材料与贮存运输过程的适合性。其包装验证的资料内容应与包装说明中给出的信息相符。对于不适用的因素应阐述不适用的依据。</w:t>
      </w:r>
    </w:p>
    <w:p w:rsidR="00124240" w:rsidRPr="00CC5603" w:rsidRDefault="00124240" w:rsidP="00124240">
      <w:pPr>
        <w:spacing w:line="580" w:lineRule="exact"/>
        <w:ind w:firstLineChars="200" w:firstLine="640"/>
        <w:rPr>
          <w:rFonts w:eastAsia="仿宋_GB2312"/>
          <w:sz w:val="32"/>
          <w:szCs w:val="32"/>
        </w:rPr>
      </w:pPr>
      <w:r w:rsidRPr="00CC5603">
        <w:rPr>
          <w:rFonts w:eastAsia="仿宋_GB2312"/>
          <w:sz w:val="32"/>
          <w:szCs w:val="32"/>
        </w:rPr>
        <w:t>对于包装的有效期验证，建议申请者提交最终成品初包装的初始完整性和维持完整性的检测结果。</w:t>
      </w:r>
    </w:p>
    <w:p w:rsidR="00124240" w:rsidRPr="00CC5603" w:rsidRDefault="00124240" w:rsidP="00124240">
      <w:pPr>
        <w:spacing w:line="560" w:lineRule="exact"/>
        <w:ind w:firstLineChars="200" w:firstLine="643"/>
        <w:rPr>
          <w:rFonts w:eastAsia="仿宋_GB2312"/>
          <w:b/>
          <w:sz w:val="32"/>
          <w:szCs w:val="32"/>
        </w:rPr>
      </w:pPr>
      <w:r w:rsidRPr="00CC5603">
        <w:rPr>
          <w:rFonts w:eastAsia="仿宋_GB2312"/>
          <w:b/>
          <w:sz w:val="32"/>
          <w:szCs w:val="32"/>
        </w:rPr>
        <w:t>5.</w:t>
      </w:r>
      <w:r w:rsidRPr="00CC5603">
        <w:rPr>
          <w:rFonts w:eastAsia="仿宋_GB2312"/>
          <w:b/>
          <w:sz w:val="32"/>
          <w:szCs w:val="32"/>
        </w:rPr>
        <w:t>其他证明产品安全性、有效性的研究资料。</w:t>
      </w:r>
      <w:bookmarkStart w:id="6" w:name="_Toc470865602"/>
    </w:p>
    <w:p w:rsidR="00124240" w:rsidRPr="00CC5603" w:rsidRDefault="00124240" w:rsidP="00124240">
      <w:pPr>
        <w:spacing w:line="560" w:lineRule="exact"/>
        <w:ind w:firstLineChars="200" w:firstLine="640"/>
        <w:rPr>
          <w:rFonts w:ascii="楷体_GB2312" w:eastAsia="楷体_GB2312"/>
          <w:sz w:val="32"/>
          <w:szCs w:val="32"/>
        </w:rPr>
      </w:pPr>
      <w:r w:rsidRPr="00CC5603">
        <w:rPr>
          <w:rFonts w:ascii="楷体_GB2312" w:eastAsia="楷体_GB2312" w:hint="eastAsia"/>
          <w:sz w:val="32"/>
          <w:szCs w:val="32"/>
        </w:rPr>
        <w:t>（三）生产制造信息</w:t>
      </w:r>
      <w:bookmarkEnd w:id="6"/>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lastRenderedPageBreak/>
        <w:t>1.</w:t>
      </w:r>
      <w:r w:rsidRPr="00CC5603">
        <w:rPr>
          <w:rFonts w:eastAsia="仿宋_GB2312"/>
          <w:sz w:val="32"/>
          <w:szCs w:val="32"/>
        </w:rPr>
        <w:t>提交产品的生产工艺管理控制文件，详细说明产品从原材料至成品的全部的生产工艺和步骤，列出工艺图表。应包括工艺路线、关键工序、特殊工艺、质量控制指标及相关的验证报告。对纤维拉挤、树脂浸渍、加热成型、精密切割、抛光清洗等生产工艺的可控性、稳定性应进行确认。明确关键工序，如：三段控温的温控指标等。</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纤维桩的基本组成为树脂基质和纤维，玻璃纤维需应用硅烷偶联剂表面处理后才能与树脂基质有机结合。纤维桩生产过程中硅烷偶联剂用量及玻璃纤维硅化处理工艺很大程度决定产品机械性能。玻璃纤维硅化处理有三种工艺：前处理、后处理、迁移法。前处理法是将偶联剂配在浸润剂中，在玻璃纤维拉丝过程中同时对玻璃表面进行化学处理；后处理法是先去除玻璃纤维表面浸润剂，再经一定浓度的偶联剂溶液浸渍处理、水洗、烘干等工艺使玻璃纤维表面覆盖一层偶联剂；迁移法是将偶联剂加入到有机树脂中，玻璃纤维经过浸胶后，偶联剂自动从树脂胶液中迁移到玻璃纤维表面，与玻璃纤维表面发生偶联作用。对于这一生产工艺应明确硅烷偶联剂的使用方法、配制浓度、</w:t>
      </w:r>
      <w:r w:rsidRPr="00CC5603">
        <w:rPr>
          <w:rFonts w:eastAsia="仿宋_GB2312"/>
          <w:sz w:val="32"/>
          <w:szCs w:val="32"/>
        </w:rPr>
        <w:t>pH</w:t>
      </w:r>
      <w:r w:rsidRPr="00CC5603">
        <w:rPr>
          <w:rFonts w:eastAsia="仿宋_GB2312"/>
          <w:sz w:val="32"/>
          <w:szCs w:val="32"/>
        </w:rPr>
        <w:t>值、玻璃纤维具体表面硅化处理工艺过程。</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此外，在纤维桩的生产加工中，需要加入引发剂、交联剂、增塑剂等物质，以实现产品的形状；加入紫外线吸收剂、阻射剂等，以提高产品性能。这些物质的配伍、用量、添加时机、使用方法等均会不同程度影响纤维桩产品的理化性能，在生产制造信息中应详尽描述。</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lastRenderedPageBreak/>
        <w:t>2.</w:t>
      </w:r>
      <w:r w:rsidRPr="00CC5603">
        <w:rPr>
          <w:rFonts w:eastAsia="仿宋_GB2312"/>
          <w:sz w:val="32"/>
          <w:szCs w:val="32"/>
        </w:rPr>
        <w:t>生产场地</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若申报产品有多个研制、生产场地，应概述每个研制、生产场地的概况。</w:t>
      </w:r>
      <w:bookmarkStart w:id="7" w:name="_Toc470865603"/>
    </w:p>
    <w:p w:rsidR="00124240" w:rsidRPr="00CC5603" w:rsidRDefault="00124240" w:rsidP="00124240">
      <w:pPr>
        <w:spacing w:line="560" w:lineRule="exact"/>
        <w:ind w:firstLineChars="200" w:firstLine="640"/>
        <w:rPr>
          <w:rFonts w:ascii="楷体_GB2312" w:eastAsia="楷体_GB2312"/>
          <w:sz w:val="32"/>
          <w:szCs w:val="32"/>
        </w:rPr>
      </w:pPr>
      <w:r w:rsidRPr="00CC5603">
        <w:rPr>
          <w:rFonts w:ascii="楷体_GB2312" w:eastAsia="楷体_GB2312" w:hint="eastAsia"/>
          <w:sz w:val="32"/>
          <w:szCs w:val="32"/>
        </w:rPr>
        <w:t>（四）临床评价资料</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申请人应按《医疗器械注册管理办法》、《医疗器械临床评价技术指导原则》选择合理的临床评价方式，提交临床评价资料。</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1.</w:t>
      </w:r>
      <w:r w:rsidRPr="00CC5603">
        <w:rPr>
          <w:rFonts w:eastAsia="仿宋_GB2312"/>
          <w:sz w:val="32"/>
          <w:szCs w:val="32"/>
        </w:rPr>
        <w:t>依据《免于进行临床试验的第三类医疗器械目录》，对于符合</w:t>
      </w:r>
      <w:r w:rsidRPr="00CC5603">
        <w:rPr>
          <w:rFonts w:eastAsia="仿宋_GB2312"/>
          <w:sz w:val="32"/>
          <w:szCs w:val="32"/>
        </w:rPr>
        <w:t>YY/T 0517</w:t>
      </w:r>
      <w:r w:rsidRPr="00CC5603">
        <w:rPr>
          <w:rFonts w:eastAsia="仿宋_GB2312"/>
          <w:sz w:val="32"/>
          <w:szCs w:val="32"/>
        </w:rPr>
        <w:t>的相关要求，用于根管治疗后牙体大面积缺损时对重建的冠核进行可靠固位的牙科纤维桩产品，免于进行临床试验。豁免情况不包括使用了新材料、活性成分、新技术、新设计或具有新作用机理、新功能的产品。</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2.</w:t>
      </w:r>
      <w:r w:rsidRPr="00CC5603">
        <w:rPr>
          <w:rFonts w:eastAsia="仿宋_GB2312"/>
          <w:sz w:val="32"/>
          <w:szCs w:val="32"/>
        </w:rPr>
        <w:t>临床试验基本要求</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在中国境内开展临床试验的应符合《医疗器械临床试验质量管理规范》及本指导原则的要求。应对产品是否满足使用要求或者适用范围进行确认。提交的临床评价资料应当包括临床试验协议、临床试验方案和临床试验报告等。</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根据牙科纤维桩产品使用特点，纤维桩的有效性需通过桩核冠（纤维桩</w:t>
      </w:r>
      <w:r>
        <w:rPr>
          <w:rFonts w:eastAsia="仿宋_GB2312" w:hint="eastAsia"/>
          <w:sz w:val="32"/>
          <w:szCs w:val="32"/>
        </w:rPr>
        <w:t>-</w:t>
      </w:r>
      <w:r w:rsidRPr="00CC5603">
        <w:rPr>
          <w:rFonts w:eastAsia="仿宋_GB2312"/>
          <w:sz w:val="32"/>
          <w:szCs w:val="32"/>
        </w:rPr>
        <w:t>树脂核</w:t>
      </w:r>
      <w:r>
        <w:rPr>
          <w:rFonts w:eastAsia="仿宋_GB2312" w:hint="eastAsia"/>
          <w:sz w:val="32"/>
          <w:szCs w:val="32"/>
        </w:rPr>
        <w:t>-</w:t>
      </w:r>
      <w:r w:rsidRPr="00CC5603">
        <w:rPr>
          <w:rFonts w:eastAsia="仿宋_GB2312"/>
          <w:sz w:val="32"/>
          <w:szCs w:val="32"/>
        </w:rPr>
        <w:t>冠</w:t>
      </w:r>
      <w:r w:rsidRPr="00CC5603">
        <w:rPr>
          <w:rFonts w:eastAsia="仿宋_GB2312"/>
          <w:sz w:val="32"/>
          <w:szCs w:val="32"/>
        </w:rPr>
        <w:t>/</w:t>
      </w:r>
      <w:r w:rsidRPr="00CC5603">
        <w:rPr>
          <w:rFonts w:eastAsia="仿宋_GB2312"/>
          <w:sz w:val="32"/>
          <w:szCs w:val="32"/>
        </w:rPr>
        <w:t>桥）修复体进行整体验证，冠桥修复体需经由临床机构设计并经技工室加工制作，即纤维桩的有效性不仅取决于产品本身属性，还与配套使用粘接剂、树脂核材料属性及桩核冠修复体的临床设计、加工工艺、临床操作水平有关，因此建议牙科纤维桩产品的临床试验应满足合理的修复体设计和规范的临床操作的要求。</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lastRenderedPageBreak/>
        <w:t>临床试验时应注意如下几方面，供参考：</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1</w:t>
      </w:r>
      <w:r w:rsidRPr="00CC5603">
        <w:rPr>
          <w:rFonts w:eastAsia="仿宋_GB2312"/>
          <w:sz w:val="32"/>
          <w:szCs w:val="32"/>
        </w:rPr>
        <w:t>）受试对象</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根据本产品目标适用人群，在临床研究方案中描述受试者口腔状况并规定完善合理的受试者纳入标准及排除标准。</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受试者口腔状况至少应描述：口腔卫生状况，牙齿清洁度及色泽，牙龈及口腔黏膜情况，根尖周组织和牙周组织情况，咬合情况，牙体缺损情况，牙列缺损及缺失情况，预修复的牙位，根管充填情况，修复体的类型，使用辅助材料的情况等。</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参考纳入标准为：牙冠有缺损，需使用桩核冠修复；患牙已行完善根管治疗，无根尖病变；牙槽骨无明显吸收，牙根长度大于等于临床冠长度；有完整牙本质肩领，不松动，无叩痛；口腔卫生良好，牙龈健康无红肿出血；行单冠修复，不作为固定桥或活动义齿的基牙。对不符合纳入标准的入选者应予剔除。</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2</w:t>
      </w:r>
      <w:r w:rsidRPr="00CC5603">
        <w:rPr>
          <w:rFonts w:eastAsia="仿宋_GB2312"/>
          <w:sz w:val="32"/>
          <w:szCs w:val="32"/>
        </w:rPr>
        <w:t>）对照组选择及试验设计类型</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牙科纤维桩产品的临床试验根据需要可设置已上市产品作为对照组，建议尽可能采用随机对照试验，并明确比较类型（优效检验、等效或非劣效检验等）。如属于非劣效性检验、等效性检验或优效性检验的比较类型，应事先规定具有临床意义的界值。如采用单组目标值法，应事先明确目标值及其确定依据。</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3</w:t>
      </w:r>
      <w:r w:rsidRPr="00CC5603">
        <w:rPr>
          <w:rFonts w:eastAsia="仿宋_GB2312"/>
          <w:sz w:val="32"/>
          <w:szCs w:val="32"/>
        </w:rPr>
        <w:t>）评价指标及评价标准</w:t>
      </w:r>
    </w:p>
    <w:p w:rsidR="00124240" w:rsidRPr="00CC5603" w:rsidRDefault="00124240" w:rsidP="00124240">
      <w:pPr>
        <w:spacing w:line="560" w:lineRule="exact"/>
        <w:ind w:firstLineChars="200" w:firstLine="640"/>
        <w:rPr>
          <w:rFonts w:eastAsia="仿宋_GB2312"/>
          <w:sz w:val="32"/>
          <w:szCs w:val="32"/>
        </w:rPr>
      </w:pPr>
      <w:r w:rsidRPr="00CC5603">
        <w:rPr>
          <w:rFonts w:ascii="宋体" w:hAnsi="宋体" w:cs="宋体" w:hint="eastAsia"/>
          <w:sz w:val="32"/>
          <w:szCs w:val="32"/>
        </w:rPr>
        <w:t>①</w:t>
      </w:r>
      <w:r w:rsidRPr="00CC5603">
        <w:rPr>
          <w:rFonts w:eastAsia="仿宋_GB2312"/>
          <w:sz w:val="32"/>
          <w:szCs w:val="32"/>
        </w:rPr>
        <w:t>评价指标</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为评价被试产品的性能，应明确临床试验的主要疗效评价指标、次要疗效评价指标及安全性评价指标。</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lastRenderedPageBreak/>
        <w:t>有效性评价指标设定举例：桩核边缘完整性、桩核松动、桩核折断、桩核脱落、全冠脱落、牙根劈裂、继发龋、根尖病变、患牙叩痛、牙周情况等。对于新型牙科纤维桩，还应根据其宣称的适应症和性能等增加相应的评价项目。</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有效性评价指标设定举例：不良反应、不良事件及并发症、牙科检查、生命体征等。</w:t>
      </w:r>
    </w:p>
    <w:p w:rsidR="00124240" w:rsidRPr="00CC5603" w:rsidRDefault="00124240" w:rsidP="00124240">
      <w:pPr>
        <w:spacing w:line="560" w:lineRule="exact"/>
        <w:ind w:firstLineChars="200" w:firstLine="640"/>
        <w:rPr>
          <w:rFonts w:eastAsia="仿宋_GB2312"/>
          <w:sz w:val="32"/>
          <w:szCs w:val="32"/>
        </w:rPr>
      </w:pPr>
      <w:r w:rsidRPr="00CC5603">
        <w:rPr>
          <w:rFonts w:ascii="宋体" w:hAnsi="宋体" w:cs="宋体" w:hint="eastAsia"/>
          <w:sz w:val="32"/>
          <w:szCs w:val="32"/>
        </w:rPr>
        <w:t>②</w:t>
      </w:r>
      <w:r w:rsidRPr="00CC5603">
        <w:rPr>
          <w:rFonts w:eastAsia="仿宋_GB2312"/>
          <w:sz w:val="32"/>
          <w:szCs w:val="32"/>
        </w:rPr>
        <w:t>评价标准</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评价指标需采用国际公认的评价标准，如果无公认的标准，需采用临床常规疗效评价标准。</w:t>
      </w:r>
    </w:p>
    <w:p w:rsidR="00124240" w:rsidRPr="00CC5603" w:rsidRDefault="00124240" w:rsidP="00124240">
      <w:pPr>
        <w:spacing w:line="560" w:lineRule="exact"/>
        <w:ind w:firstLineChars="200" w:firstLine="640"/>
        <w:rPr>
          <w:rFonts w:eastAsia="仿宋_GB2312"/>
          <w:sz w:val="32"/>
          <w:szCs w:val="32"/>
        </w:rPr>
      </w:pPr>
      <w:r w:rsidRPr="00CC5603">
        <w:rPr>
          <w:rFonts w:eastAsia="仿宋_GB2312"/>
          <w:sz w:val="32"/>
          <w:szCs w:val="32"/>
        </w:rPr>
        <w:t>牙科纤维桩产品临床评价标准示例如下（表</w:t>
      </w:r>
      <w:r w:rsidRPr="00CC5603">
        <w:rPr>
          <w:rFonts w:eastAsia="仿宋_GB2312"/>
          <w:sz w:val="32"/>
          <w:szCs w:val="32"/>
        </w:rPr>
        <w:t>1</w:t>
      </w:r>
      <w:r w:rsidRPr="00CC5603">
        <w:rPr>
          <w:rFonts w:eastAsia="仿宋_GB2312"/>
          <w:sz w:val="32"/>
          <w:szCs w:val="32"/>
        </w:rPr>
        <w:t>）（供参考）：</w:t>
      </w:r>
    </w:p>
    <w:p w:rsidR="00124240" w:rsidRPr="00CF0D51" w:rsidRDefault="00124240" w:rsidP="00124240">
      <w:pPr>
        <w:spacing w:line="560" w:lineRule="exact"/>
        <w:jc w:val="center"/>
        <w:rPr>
          <w:rFonts w:eastAsia="仿宋"/>
          <w:color w:val="000000"/>
          <w:kern w:val="0"/>
          <w:sz w:val="28"/>
          <w:szCs w:val="28"/>
        </w:rPr>
      </w:pPr>
      <w:r w:rsidRPr="00CF0D51">
        <w:rPr>
          <w:rFonts w:eastAsia="仿宋"/>
          <w:color w:val="000000"/>
          <w:kern w:val="0"/>
          <w:sz w:val="28"/>
          <w:szCs w:val="28"/>
        </w:rPr>
        <w:t>表</w:t>
      </w:r>
      <w:r w:rsidRPr="00CF0D51">
        <w:rPr>
          <w:rFonts w:eastAsia="仿宋"/>
          <w:color w:val="000000"/>
          <w:kern w:val="0"/>
          <w:sz w:val="28"/>
          <w:szCs w:val="28"/>
        </w:rPr>
        <w:t xml:space="preserve">1 </w:t>
      </w:r>
      <w:r w:rsidRPr="00CF0D51">
        <w:rPr>
          <w:rFonts w:eastAsia="仿宋"/>
          <w:color w:val="000000"/>
          <w:kern w:val="0"/>
          <w:sz w:val="28"/>
          <w:szCs w:val="28"/>
        </w:rPr>
        <w:t>牙科纤维桩产品临床评价标准（举例）</w:t>
      </w:r>
    </w:p>
    <w:tbl>
      <w:tblPr>
        <w:tblW w:w="0" w:type="auto"/>
        <w:jc w:val="center"/>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45"/>
        <w:gridCol w:w="2698"/>
        <w:gridCol w:w="1562"/>
        <w:gridCol w:w="1554"/>
      </w:tblGrid>
      <w:tr w:rsidR="00124240" w:rsidRPr="00CF0D51" w:rsidTr="00CF0290">
        <w:trPr>
          <w:trHeight w:val="532"/>
          <w:jc w:val="center"/>
        </w:trPr>
        <w:tc>
          <w:tcPr>
            <w:tcW w:w="2045" w:type="dxa"/>
            <w:vAlign w:val="center"/>
          </w:tcPr>
          <w:p w:rsidR="00124240" w:rsidRPr="00CF0D51" w:rsidRDefault="00124240" w:rsidP="00CF0290">
            <w:pPr>
              <w:spacing w:line="480" w:lineRule="exact"/>
              <w:jc w:val="center"/>
              <w:rPr>
                <w:rFonts w:eastAsia="仿宋"/>
                <w:color w:val="000000"/>
                <w:kern w:val="0"/>
                <w:sz w:val="24"/>
              </w:rPr>
            </w:pPr>
            <w:r w:rsidRPr="00CF0D51">
              <w:rPr>
                <w:rFonts w:eastAsia="仿宋"/>
                <w:color w:val="000000"/>
                <w:kern w:val="0"/>
                <w:sz w:val="24"/>
              </w:rPr>
              <w:t>临床评价对象</w:t>
            </w:r>
          </w:p>
        </w:tc>
        <w:tc>
          <w:tcPr>
            <w:tcW w:w="2698" w:type="dxa"/>
            <w:vAlign w:val="center"/>
          </w:tcPr>
          <w:p w:rsidR="00124240" w:rsidRPr="00CF0D51" w:rsidRDefault="00124240" w:rsidP="00CF0290">
            <w:pPr>
              <w:spacing w:line="480" w:lineRule="exact"/>
              <w:ind w:firstLineChars="100" w:firstLine="240"/>
              <w:jc w:val="center"/>
              <w:rPr>
                <w:rFonts w:eastAsia="仿宋"/>
                <w:color w:val="000000"/>
                <w:kern w:val="0"/>
                <w:sz w:val="24"/>
              </w:rPr>
            </w:pPr>
            <w:r w:rsidRPr="00CF0D51">
              <w:rPr>
                <w:rFonts w:eastAsia="仿宋"/>
                <w:color w:val="000000"/>
                <w:kern w:val="0"/>
                <w:sz w:val="24"/>
              </w:rPr>
              <w:t>评价指标</w:t>
            </w:r>
          </w:p>
        </w:tc>
        <w:tc>
          <w:tcPr>
            <w:tcW w:w="1562" w:type="dxa"/>
            <w:vAlign w:val="center"/>
          </w:tcPr>
          <w:p w:rsidR="00124240" w:rsidRPr="00CF0D51" w:rsidRDefault="00124240" w:rsidP="00CF0290">
            <w:pPr>
              <w:spacing w:line="480" w:lineRule="exact"/>
              <w:ind w:firstLineChars="150" w:firstLine="360"/>
              <w:rPr>
                <w:rFonts w:eastAsia="仿宋"/>
                <w:color w:val="000000"/>
                <w:kern w:val="0"/>
                <w:sz w:val="24"/>
              </w:rPr>
            </w:pPr>
            <w:r w:rsidRPr="00CF0D51">
              <w:rPr>
                <w:rFonts w:eastAsia="仿宋"/>
                <w:color w:val="000000"/>
                <w:kern w:val="0"/>
                <w:sz w:val="24"/>
              </w:rPr>
              <w:t>成功</w:t>
            </w:r>
          </w:p>
        </w:tc>
        <w:tc>
          <w:tcPr>
            <w:tcW w:w="1554" w:type="dxa"/>
            <w:vAlign w:val="center"/>
          </w:tcPr>
          <w:p w:rsidR="00124240" w:rsidRPr="00CF0D51" w:rsidRDefault="00124240" w:rsidP="00CF0290">
            <w:pPr>
              <w:spacing w:line="480" w:lineRule="exact"/>
              <w:ind w:firstLineChars="200" w:firstLine="480"/>
              <w:rPr>
                <w:rFonts w:eastAsia="仿宋"/>
                <w:color w:val="000000"/>
                <w:kern w:val="0"/>
                <w:sz w:val="24"/>
              </w:rPr>
            </w:pPr>
            <w:r w:rsidRPr="00CF0D51">
              <w:rPr>
                <w:rFonts w:eastAsia="仿宋"/>
                <w:color w:val="000000"/>
                <w:kern w:val="0"/>
                <w:sz w:val="24"/>
              </w:rPr>
              <w:t>失败</w:t>
            </w:r>
          </w:p>
        </w:tc>
      </w:tr>
      <w:tr w:rsidR="00124240" w:rsidRPr="00CF0D51" w:rsidTr="00CF0290">
        <w:trPr>
          <w:trHeight w:val="1542"/>
          <w:jc w:val="center"/>
        </w:trPr>
        <w:tc>
          <w:tcPr>
            <w:tcW w:w="2045" w:type="dxa"/>
            <w:vAlign w:val="center"/>
          </w:tcPr>
          <w:p w:rsidR="00124240" w:rsidRPr="00CF0D51" w:rsidRDefault="00124240" w:rsidP="00CF0290">
            <w:pPr>
              <w:spacing w:line="480" w:lineRule="exact"/>
              <w:rPr>
                <w:rFonts w:eastAsia="仿宋"/>
                <w:color w:val="000000"/>
                <w:kern w:val="0"/>
                <w:sz w:val="24"/>
              </w:rPr>
            </w:pPr>
            <w:r w:rsidRPr="00CF0D51">
              <w:rPr>
                <w:rFonts w:eastAsia="仿宋"/>
                <w:color w:val="000000"/>
                <w:kern w:val="0"/>
                <w:sz w:val="24"/>
              </w:rPr>
              <w:t>桩核冠修复体</w:t>
            </w:r>
          </w:p>
        </w:tc>
        <w:tc>
          <w:tcPr>
            <w:tcW w:w="2698" w:type="dxa"/>
            <w:vAlign w:val="center"/>
          </w:tcPr>
          <w:p w:rsidR="00124240" w:rsidRPr="00CF0D51" w:rsidRDefault="00124240" w:rsidP="00CF0290">
            <w:pPr>
              <w:spacing w:line="480" w:lineRule="exact"/>
              <w:rPr>
                <w:rFonts w:eastAsia="仿宋"/>
                <w:color w:val="000000"/>
                <w:kern w:val="0"/>
                <w:sz w:val="24"/>
              </w:rPr>
            </w:pPr>
            <w:r w:rsidRPr="00CF0D51">
              <w:rPr>
                <w:rFonts w:eastAsia="仿宋"/>
                <w:color w:val="000000"/>
                <w:kern w:val="0"/>
                <w:sz w:val="24"/>
              </w:rPr>
              <w:t>冠边缘不密合</w:t>
            </w:r>
          </w:p>
          <w:p w:rsidR="00124240" w:rsidRPr="00CF0D51" w:rsidRDefault="00124240" w:rsidP="00CF0290">
            <w:pPr>
              <w:spacing w:line="480" w:lineRule="exact"/>
              <w:rPr>
                <w:rFonts w:eastAsia="仿宋"/>
                <w:color w:val="000000"/>
                <w:kern w:val="0"/>
                <w:sz w:val="24"/>
              </w:rPr>
            </w:pPr>
            <w:r w:rsidRPr="00CF0D51">
              <w:rPr>
                <w:rFonts w:eastAsia="仿宋"/>
                <w:color w:val="000000"/>
                <w:kern w:val="0"/>
                <w:sz w:val="24"/>
              </w:rPr>
              <w:t>桩核有无松动、脱落</w:t>
            </w:r>
          </w:p>
          <w:p w:rsidR="00124240" w:rsidRPr="00CF0D51" w:rsidRDefault="00124240" w:rsidP="00CF0290">
            <w:pPr>
              <w:spacing w:line="480" w:lineRule="exact"/>
              <w:rPr>
                <w:rFonts w:eastAsia="仿宋"/>
                <w:color w:val="000000"/>
                <w:kern w:val="0"/>
                <w:sz w:val="24"/>
              </w:rPr>
            </w:pPr>
            <w:r w:rsidRPr="00CF0D51">
              <w:rPr>
                <w:rFonts w:eastAsia="仿宋"/>
                <w:color w:val="000000"/>
                <w:kern w:val="0"/>
                <w:sz w:val="24"/>
              </w:rPr>
              <w:t>桩核折断</w:t>
            </w:r>
          </w:p>
          <w:p w:rsidR="00124240" w:rsidRPr="00CF0D51" w:rsidRDefault="00124240" w:rsidP="00CF0290">
            <w:pPr>
              <w:spacing w:line="480" w:lineRule="exact"/>
              <w:rPr>
                <w:rFonts w:eastAsia="仿宋"/>
                <w:color w:val="000000"/>
                <w:kern w:val="0"/>
                <w:sz w:val="24"/>
              </w:rPr>
            </w:pPr>
            <w:r w:rsidRPr="00CF0D51">
              <w:rPr>
                <w:rFonts w:eastAsia="仿宋"/>
                <w:color w:val="000000"/>
                <w:kern w:val="0"/>
                <w:sz w:val="24"/>
              </w:rPr>
              <w:t>全冠脱落</w:t>
            </w:r>
          </w:p>
        </w:tc>
        <w:tc>
          <w:tcPr>
            <w:tcW w:w="1562" w:type="dxa"/>
            <w:vAlign w:val="center"/>
          </w:tcPr>
          <w:p w:rsidR="00124240" w:rsidRPr="00CF0D51" w:rsidRDefault="00124240" w:rsidP="00CF0290">
            <w:pPr>
              <w:spacing w:line="480" w:lineRule="exact"/>
              <w:ind w:firstLineChars="200" w:firstLine="480"/>
              <w:rPr>
                <w:rFonts w:eastAsia="仿宋"/>
                <w:color w:val="000000"/>
                <w:kern w:val="0"/>
                <w:sz w:val="24"/>
              </w:rPr>
            </w:pPr>
            <w:r w:rsidRPr="00CF0D51">
              <w:rPr>
                <w:rFonts w:eastAsia="仿宋"/>
                <w:color w:val="000000"/>
                <w:kern w:val="0"/>
                <w:sz w:val="24"/>
              </w:rPr>
              <w:t>无</w:t>
            </w:r>
          </w:p>
        </w:tc>
        <w:tc>
          <w:tcPr>
            <w:tcW w:w="1554" w:type="dxa"/>
            <w:vAlign w:val="center"/>
          </w:tcPr>
          <w:p w:rsidR="00124240" w:rsidRPr="00CF0D51" w:rsidRDefault="00124240" w:rsidP="00CF0290">
            <w:pPr>
              <w:spacing w:line="480" w:lineRule="exact"/>
              <w:ind w:firstLineChars="200" w:firstLine="480"/>
              <w:rPr>
                <w:rFonts w:eastAsia="仿宋"/>
                <w:color w:val="000000"/>
                <w:kern w:val="0"/>
                <w:sz w:val="24"/>
              </w:rPr>
            </w:pPr>
            <w:r w:rsidRPr="00CF0D51">
              <w:rPr>
                <w:rFonts w:eastAsia="仿宋"/>
                <w:color w:val="000000"/>
                <w:kern w:val="0"/>
                <w:sz w:val="24"/>
              </w:rPr>
              <w:t>有</w:t>
            </w:r>
          </w:p>
        </w:tc>
      </w:tr>
      <w:tr w:rsidR="00124240" w:rsidRPr="00CF0D51" w:rsidTr="00CF0290">
        <w:trPr>
          <w:trHeight w:val="692"/>
          <w:jc w:val="center"/>
        </w:trPr>
        <w:tc>
          <w:tcPr>
            <w:tcW w:w="2045" w:type="dxa"/>
            <w:vAlign w:val="center"/>
          </w:tcPr>
          <w:p w:rsidR="00124240" w:rsidRPr="00CF0D51" w:rsidRDefault="00124240" w:rsidP="00CF0290">
            <w:pPr>
              <w:spacing w:line="480" w:lineRule="exact"/>
              <w:rPr>
                <w:rFonts w:eastAsia="仿宋"/>
                <w:color w:val="000000"/>
                <w:kern w:val="0"/>
                <w:sz w:val="24"/>
              </w:rPr>
            </w:pPr>
            <w:r w:rsidRPr="00CF0D51">
              <w:rPr>
                <w:rFonts w:eastAsia="仿宋"/>
                <w:color w:val="000000"/>
                <w:kern w:val="0"/>
                <w:sz w:val="24"/>
              </w:rPr>
              <w:t>牙体情况</w:t>
            </w:r>
          </w:p>
        </w:tc>
        <w:tc>
          <w:tcPr>
            <w:tcW w:w="2698" w:type="dxa"/>
            <w:vAlign w:val="center"/>
          </w:tcPr>
          <w:p w:rsidR="00124240" w:rsidRPr="00CF0D51" w:rsidRDefault="00124240" w:rsidP="00CF0290">
            <w:pPr>
              <w:spacing w:line="480" w:lineRule="exact"/>
              <w:rPr>
                <w:rFonts w:eastAsia="仿宋"/>
                <w:color w:val="000000"/>
                <w:kern w:val="0"/>
                <w:sz w:val="24"/>
              </w:rPr>
            </w:pPr>
            <w:r w:rsidRPr="00CF0D51">
              <w:rPr>
                <w:rFonts w:eastAsia="仿宋"/>
                <w:color w:val="000000"/>
                <w:kern w:val="0"/>
                <w:sz w:val="24"/>
              </w:rPr>
              <w:t>牙根劈裂</w:t>
            </w:r>
          </w:p>
          <w:p w:rsidR="00124240" w:rsidRPr="00CF0D51" w:rsidRDefault="00124240" w:rsidP="00CF0290">
            <w:pPr>
              <w:spacing w:line="480" w:lineRule="exact"/>
              <w:rPr>
                <w:rFonts w:eastAsia="仿宋"/>
                <w:color w:val="000000"/>
                <w:kern w:val="0"/>
                <w:sz w:val="24"/>
              </w:rPr>
            </w:pPr>
            <w:r w:rsidRPr="00CF0D51">
              <w:rPr>
                <w:rFonts w:eastAsia="仿宋"/>
                <w:color w:val="000000"/>
                <w:kern w:val="0"/>
                <w:sz w:val="24"/>
              </w:rPr>
              <w:t>根尖病变或叩痛</w:t>
            </w:r>
          </w:p>
        </w:tc>
        <w:tc>
          <w:tcPr>
            <w:tcW w:w="1562" w:type="dxa"/>
            <w:vAlign w:val="center"/>
          </w:tcPr>
          <w:p w:rsidR="00124240" w:rsidRPr="00CF0D51" w:rsidRDefault="00124240" w:rsidP="00CF0290">
            <w:pPr>
              <w:spacing w:line="480" w:lineRule="exact"/>
              <w:ind w:leftChars="228" w:left="479"/>
              <w:rPr>
                <w:rFonts w:eastAsia="仿宋"/>
                <w:color w:val="000000"/>
                <w:kern w:val="0"/>
                <w:sz w:val="24"/>
              </w:rPr>
            </w:pPr>
            <w:r w:rsidRPr="00CF0D51">
              <w:rPr>
                <w:rFonts w:eastAsia="仿宋"/>
                <w:color w:val="000000"/>
                <w:kern w:val="0"/>
                <w:sz w:val="24"/>
              </w:rPr>
              <w:t>无</w:t>
            </w:r>
          </w:p>
        </w:tc>
        <w:tc>
          <w:tcPr>
            <w:tcW w:w="1554" w:type="dxa"/>
            <w:vAlign w:val="center"/>
          </w:tcPr>
          <w:p w:rsidR="00124240" w:rsidRPr="00CF0D51" w:rsidRDefault="00124240" w:rsidP="00CF0290">
            <w:pPr>
              <w:spacing w:line="480" w:lineRule="exact"/>
              <w:ind w:firstLineChars="200" w:firstLine="480"/>
              <w:rPr>
                <w:rFonts w:eastAsia="仿宋"/>
                <w:color w:val="000000"/>
                <w:kern w:val="0"/>
                <w:sz w:val="24"/>
              </w:rPr>
            </w:pPr>
            <w:r w:rsidRPr="00CF0D51">
              <w:rPr>
                <w:rFonts w:eastAsia="仿宋"/>
                <w:color w:val="000000"/>
                <w:kern w:val="0"/>
                <w:sz w:val="24"/>
              </w:rPr>
              <w:t>有</w:t>
            </w:r>
          </w:p>
        </w:tc>
      </w:tr>
    </w:tbl>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临床试验过程中，还应记录各组患者的就诊次数和操作时间，记录在临床研究期间任何可能影响试验结果的药物治疗及服用</w:t>
      </w:r>
      <w:r w:rsidRPr="00CC5603">
        <w:rPr>
          <w:rFonts w:eastAsia="仿宋_GB2312"/>
          <w:sz w:val="32"/>
          <w:szCs w:val="32"/>
        </w:rPr>
        <w:t>/</w:t>
      </w:r>
      <w:r w:rsidRPr="00CC5603">
        <w:rPr>
          <w:rFonts w:eastAsia="仿宋_GB2312"/>
          <w:sz w:val="32"/>
          <w:szCs w:val="32"/>
        </w:rPr>
        <w:t>使用剂量，如抗生素、镇痛剂、漱口水等的用药情况等。</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4</w:t>
      </w:r>
      <w:r w:rsidRPr="00CC5603">
        <w:rPr>
          <w:rFonts w:eastAsia="仿宋_GB2312"/>
          <w:sz w:val="32"/>
          <w:szCs w:val="32"/>
        </w:rPr>
        <w:t>）临床观察</w:t>
      </w:r>
    </w:p>
    <w:p w:rsidR="00124240" w:rsidRPr="00CC5603" w:rsidRDefault="00124240" w:rsidP="00124240">
      <w:pPr>
        <w:spacing w:line="520" w:lineRule="exact"/>
        <w:ind w:firstLineChars="200" w:firstLine="640"/>
        <w:rPr>
          <w:rFonts w:eastAsia="仿宋_GB2312"/>
          <w:sz w:val="32"/>
          <w:szCs w:val="32"/>
        </w:rPr>
      </w:pPr>
      <w:r w:rsidRPr="00CC5603">
        <w:rPr>
          <w:rFonts w:ascii="宋体" w:hAnsi="宋体" w:cs="宋体" w:hint="eastAsia"/>
          <w:sz w:val="32"/>
          <w:szCs w:val="32"/>
        </w:rPr>
        <w:t>①</w:t>
      </w:r>
      <w:r w:rsidRPr="00CC5603">
        <w:rPr>
          <w:rFonts w:eastAsia="仿宋_GB2312"/>
          <w:sz w:val="32"/>
          <w:szCs w:val="32"/>
        </w:rPr>
        <w:t>修复前评估</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修复前评估应包含：受试者的全身状况，可能影响试验结果</w:t>
      </w:r>
      <w:r w:rsidRPr="00CC5603">
        <w:rPr>
          <w:rFonts w:eastAsia="仿宋_GB2312"/>
          <w:sz w:val="32"/>
          <w:szCs w:val="32"/>
        </w:rPr>
        <w:lastRenderedPageBreak/>
        <w:t>的任何疾病情况，受试者口腔状况，包括：牙齿缺损程度、根面位置、牙根长度、直径和形状、根管充填情况、根尖病变愈合情况、牙周膜有无增宽情况、牙周健康状况，牙槽骨吸收程度等。</w:t>
      </w:r>
    </w:p>
    <w:p w:rsidR="00124240" w:rsidRPr="00CC5603" w:rsidRDefault="00124240" w:rsidP="00124240">
      <w:pPr>
        <w:spacing w:line="520" w:lineRule="exact"/>
        <w:ind w:firstLineChars="200" w:firstLine="640"/>
        <w:rPr>
          <w:rFonts w:eastAsia="仿宋_GB2312"/>
          <w:sz w:val="32"/>
          <w:szCs w:val="32"/>
        </w:rPr>
      </w:pPr>
      <w:r w:rsidRPr="00CC5603">
        <w:rPr>
          <w:rFonts w:ascii="宋体" w:hAnsi="宋体" w:cs="宋体" w:hint="eastAsia"/>
          <w:sz w:val="32"/>
          <w:szCs w:val="32"/>
        </w:rPr>
        <w:t>②</w:t>
      </w:r>
      <w:r w:rsidRPr="00CC5603">
        <w:rPr>
          <w:rFonts w:eastAsia="仿宋_GB2312"/>
          <w:sz w:val="32"/>
          <w:szCs w:val="32"/>
        </w:rPr>
        <w:t>临床操作步骤</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应详细记录临床的操作步骤，明确所选用纤维桩、核树脂、纤维桩桩道预备工具及粘接剂系统的产品名称型号等。至少应记录以下操作步骤和要点：</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冠部初步预备：去除修复牙齿腐质或原充填体的情况，牙本质肩领高度及厚度等。</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桩道预备：</w:t>
      </w:r>
      <w:r w:rsidRPr="00CC5603">
        <w:rPr>
          <w:rFonts w:eastAsia="仿宋_GB2312"/>
          <w:sz w:val="32"/>
          <w:szCs w:val="32"/>
        </w:rPr>
        <w:t>X</w:t>
      </w:r>
      <w:r w:rsidRPr="00CC5603">
        <w:rPr>
          <w:rFonts w:eastAsia="仿宋_GB2312"/>
          <w:sz w:val="32"/>
          <w:szCs w:val="32"/>
        </w:rPr>
        <w:t>线片确定的纤维桩在根管内长度，配套用引导钻、扩孔钻、终钻型号，预备过程，预备完成后</w:t>
      </w:r>
      <w:r w:rsidRPr="00CC5603">
        <w:rPr>
          <w:rFonts w:eastAsia="仿宋_GB2312"/>
          <w:sz w:val="32"/>
          <w:szCs w:val="32"/>
        </w:rPr>
        <w:t>X</w:t>
      </w:r>
      <w:r w:rsidRPr="00CC5603">
        <w:rPr>
          <w:rFonts w:eastAsia="仿宋_GB2312"/>
          <w:sz w:val="32"/>
          <w:szCs w:val="32"/>
        </w:rPr>
        <w:t>线片显示的桩道预备情况，预备后根管深度。</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桩道消毒与清洁：根管消毒剂名称、消毒步骤。</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试放纤维桩</w:t>
      </w:r>
      <w:r w:rsidRPr="00CC5603">
        <w:rPr>
          <w:rFonts w:eastAsia="仿宋_GB2312"/>
          <w:sz w:val="32"/>
          <w:szCs w:val="32"/>
        </w:rPr>
        <w:t>:</w:t>
      </w:r>
      <w:r w:rsidRPr="00CC5603">
        <w:rPr>
          <w:rFonts w:eastAsia="仿宋_GB2312"/>
          <w:sz w:val="32"/>
          <w:szCs w:val="32"/>
        </w:rPr>
        <w:t>桩体和桩道密和性、是否裁剪纤维桩、是否使用辅桩等。</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粘接纤维桩：粘接剂系统名称类型、粘接过程。</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制作树脂核：分层堆核、固化。</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牙体预备：肩台位置、边缘形态、冠修复体类型。</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制取印模：印模材料的名称、型号。</w:t>
      </w:r>
    </w:p>
    <w:p w:rsidR="00124240" w:rsidRPr="00CC5603" w:rsidRDefault="00124240" w:rsidP="00124240">
      <w:pPr>
        <w:spacing w:line="520" w:lineRule="exact"/>
        <w:ind w:firstLineChars="200" w:firstLine="640"/>
        <w:rPr>
          <w:rFonts w:eastAsia="仿宋_GB2312"/>
          <w:sz w:val="32"/>
          <w:szCs w:val="32"/>
        </w:rPr>
      </w:pPr>
      <w:r w:rsidRPr="00CC5603">
        <w:rPr>
          <w:rFonts w:ascii="宋体" w:hAnsi="宋体" w:cs="宋体" w:hint="eastAsia"/>
          <w:sz w:val="32"/>
          <w:szCs w:val="32"/>
        </w:rPr>
        <w:t>③</w:t>
      </w:r>
      <w:r w:rsidRPr="00CC5603">
        <w:rPr>
          <w:rFonts w:eastAsia="仿宋_GB2312"/>
          <w:sz w:val="32"/>
          <w:szCs w:val="32"/>
        </w:rPr>
        <w:t>修复后评估</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依据临床评价标准中有关的项目对修复体进行评价，拍摄根尖片，并记录评价的结果。</w:t>
      </w:r>
    </w:p>
    <w:p w:rsidR="00124240" w:rsidRPr="00CC5603" w:rsidRDefault="00124240" w:rsidP="00124240">
      <w:pPr>
        <w:spacing w:line="520" w:lineRule="exact"/>
        <w:ind w:firstLineChars="200" w:firstLine="640"/>
        <w:rPr>
          <w:rFonts w:eastAsia="仿宋_GB2312"/>
          <w:sz w:val="32"/>
          <w:szCs w:val="32"/>
        </w:rPr>
      </w:pPr>
      <w:r w:rsidRPr="00CC5603">
        <w:rPr>
          <w:rFonts w:ascii="宋体" w:hAnsi="宋体" w:cs="宋体" w:hint="eastAsia"/>
          <w:sz w:val="32"/>
          <w:szCs w:val="32"/>
        </w:rPr>
        <w:t>④</w:t>
      </w:r>
      <w:r w:rsidRPr="00CC5603">
        <w:rPr>
          <w:rFonts w:eastAsia="仿宋_GB2312"/>
          <w:sz w:val="32"/>
          <w:szCs w:val="32"/>
        </w:rPr>
        <w:t>临床观察时间</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根据牙科纤维桩产品特点确定合适的临床观察及随访时间。建议临床试验观察时间点为佩戴桩核冠修复体后１周、</w:t>
      </w:r>
      <w:r w:rsidRPr="00CC5603">
        <w:rPr>
          <w:rFonts w:eastAsia="仿宋_GB2312"/>
          <w:sz w:val="32"/>
          <w:szCs w:val="32"/>
        </w:rPr>
        <w:t>3</w:t>
      </w:r>
      <w:r w:rsidRPr="00CC5603">
        <w:rPr>
          <w:rFonts w:eastAsia="仿宋_GB2312"/>
          <w:sz w:val="32"/>
          <w:szCs w:val="32"/>
        </w:rPr>
        <w:t>个月、</w:t>
      </w:r>
      <w:r w:rsidRPr="00CC5603">
        <w:rPr>
          <w:rFonts w:eastAsia="仿宋_GB2312"/>
          <w:sz w:val="32"/>
          <w:szCs w:val="32"/>
        </w:rPr>
        <w:lastRenderedPageBreak/>
        <w:t>6</w:t>
      </w:r>
      <w:r w:rsidRPr="00CC5603">
        <w:rPr>
          <w:rFonts w:eastAsia="仿宋_GB2312"/>
          <w:sz w:val="32"/>
          <w:szCs w:val="32"/>
        </w:rPr>
        <w:t>个月。属于下列情形的建议适当延长临床试验观察时间，如：</w:t>
      </w:r>
      <w:r w:rsidRPr="00CC5603">
        <w:rPr>
          <w:rFonts w:eastAsia="仿宋_GB2312"/>
          <w:sz w:val="32"/>
          <w:szCs w:val="32"/>
        </w:rPr>
        <w:t>A.</w:t>
      </w:r>
      <w:r w:rsidRPr="00CC5603">
        <w:rPr>
          <w:rFonts w:eastAsia="仿宋_GB2312"/>
          <w:sz w:val="32"/>
          <w:szCs w:val="32"/>
        </w:rPr>
        <w:t>牙科纤维桩产品组成材料缺乏临床应用的安全数据。</w:t>
      </w:r>
      <w:r w:rsidRPr="00CC5603">
        <w:rPr>
          <w:rFonts w:eastAsia="仿宋_GB2312"/>
          <w:sz w:val="32"/>
          <w:szCs w:val="32"/>
        </w:rPr>
        <w:t>B.</w:t>
      </w:r>
      <w:r w:rsidRPr="00CC5603">
        <w:rPr>
          <w:rFonts w:eastAsia="仿宋_GB2312"/>
          <w:sz w:val="32"/>
          <w:szCs w:val="32"/>
        </w:rPr>
        <w:t>缺乏申报产品临床观察期内（</w:t>
      </w:r>
      <w:r w:rsidRPr="00CC5603">
        <w:rPr>
          <w:rFonts w:eastAsia="仿宋_GB2312"/>
          <w:sz w:val="32"/>
          <w:szCs w:val="32"/>
        </w:rPr>
        <w:t>6</w:t>
      </w:r>
      <w:r w:rsidRPr="00CC5603">
        <w:rPr>
          <w:rFonts w:eastAsia="仿宋_GB2312"/>
          <w:sz w:val="32"/>
          <w:szCs w:val="32"/>
        </w:rPr>
        <w:t>个月）各性能趋于稳定的数据。</w:t>
      </w:r>
      <w:r w:rsidRPr="00CC5603">
        <w:rPr>
          <w:rFonts w:eastAsia="仿宋_GB2312"/>
          <w:sz w:val="32"/>
          <w:szCs w:val="32"/>
        </w:rPr>
        <w:t>C.</w:t>
      </w:r>
      <w:r w:rsidRPr="00CC5603">
        <w:rPr>
          <w:rFonts w:eastAsia="仿宋_GB2312"/>
          <w:sz w:val="32"/>
          <w:szCs w:val="32"/>
        </w:rPr>
        <w:t>应用技术与已上市的牙科纤维桩产品不同。</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5</w:t>
      </w:r>
      <w:r w:rsidRPr="00CC5603">
        <w:rPr>
          <w:rFonts w:eastAsia="仿宋_GB2312"/>
          <w:sz w:val="32"/>
          <w:szCs w:val="32"/>
        </w:rPr>
        <w:t>）样本量估计</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可根据以下六方面确定样本量估计的参数，即：</w:t>
      </w:r>
    </w:p>
    <w:p w:rsidR="00124240" w:rsidRPr="00CC5603" w:rsidRDefault="00124240" w:rsidP="00124240">
      <w:pPr>
        <w:spacing w:line="520" w:lineRule="exact"/>
        <w:ind w:firstLineChars="200" w:firstLine="640"/>
        <w:rPr>
          <w:rFonts w:eastAsia="仿宋_GB2312"/>
          <w:sz w:val="32"/>
          <w:szCs w:val="32"/>
        </w:rPr>
      </w:pPr>
      <w:r w:rsidRPr="00CC5603">
        <w:rPr>
          <w:rFonts w:ascii="宋体" w:hAnsi="宋体" w:cs="宋体" w:hint="eastAsia"/>
          <w:sz w:val="32"/>
          <w:szCs w:val="32"/>
        </w:rPr>
        <w:t>①</w:t>
      </w:r>
      <w:r w:rsidRPr="00CC5603">
        <w:rPr>
          <w:rFonts w:eastAsia="仿宋_GB2312"/>
          <w:sz w:val="32"/>
          <w:szCs w:val="32"/>
        </w:rPr>
        <w:t>拟采取的试验设计类型；</w:t>
      </w:r>
    </w:p>
    <w:p w:rsidR="00124240" w:rsidRPr="00CC5603" w:rsidRDefault="00124240" w:rsidP="00124240">
      <w:pPr>
        <w:spacing w:line="520" w:lineRule="exact"/>
        <w:ind w:firstLineChars="200" w:firstLine="640"/>
        <w:rPr>
          <w:rFonts w:eastAsia="仿宋_GB2312"/>
          <w:sz w:val="32"/>
          <w:szCs w:val="32"/>
        </w:rPr>
      </w:pPr>
      <w:r w:rsidRPr="00CC5603">
        <w:rPr>
          <w:rFonts w:ascii="宋体" w:hAnsi="宋体" w:cs="宋体" w:hint="eastAsia"/>
          <w:sz w:val="32"/>
          <w:szCs w:val="32"/>
        </w:rPr>
        <w:t>②</w:t>
      </w:r>
      <w:r w:rsidRPr="00CC5603">
        <w:rPr>
          <w:rFonts w:eastAsia="仿宋_GB2312"/>
          <w:sz w:val="32"/>
          <w:szCs w:val="32"/>
        </w:rPr>
        <w:t>拟采取的比较类型：优效检验、等效或非劣效检验；</w:t>
      </w:r>
    </w:p>
    <w:p w:rsidR="00124240" w:rsidRPr="00CC5603" w:rsidRDefault="00124240" w:rsidP="00124240">
      <w:pPr>
        <w:spacing w:line="520" w:lineRule="exact"/>
        <w:ind w:firstLineChars="200" w:firstLine="640"/>
        <w:rPr>
          <w:rFonts w:eastAsia="仿宋_GB2312"/>
          <w:sz w:val="32"/>
          <w:szCs w:val="32"/>
        </w:rPr>
      </w:pPr>
      <w:r w:rsidRPr="00CC5603">
        <w:rPr>
          <w:rFonts w:ascii="宋体" w:hAnsi="宋体" w:cs="宋体" w:hint="eastAsia"/>
          <w:sz w:val="32"/>
          <w:szCs w:val="32"/>
        </w:rPr>
        <w:t>③</w:t>
      </w:r>
      <w:r w:rsidRPr="00CC5603">
        <w:rPr>
          <w:rFonts w:eastAsia="仿宋_GB2312"/>
          <w:sz w:val="32"/>
          <w:szCs w:val="32"/>
        </w:rPr>
        <w:t>允许犯假阳性错误的概率</w:t>
      </w:r>
      <w:r w:rsidRPr="00CC5603">
        <w:rPr>
          <w:rFonts w:eastAsia="仿宋_GB2312"/>
          <w:sz w:val="32"/>
          <w:szCs w:val="32"/>
        </w:rPr>
        <w:sym w:font="Symbol" w:char="F061"/>
      </w:r>
      <w:r w:rsidRPr="00CC5603">
        <w:rPr>
          <w:rFonts w:eastAsia="仿宋_GB2312"/>
          <w:sz w:val="32"/>
          <w:szCs w:val="32"/>
        </w:rPr>
        <w:t>（通常不超过双侧</w:t>
      </w:r>
      <w:r w:rsidRPr="00CC5603">
        <w:rPr>
          <w:rFonts w:eastAsia="仿宋_GB2312"/>
          <w:sz w:val="32"/>
          <w:szCs w:val="32"/>
        </w:rPr>
        <w:t>0.05</w:t>
      </w:r>
      <w:r w:rsidRPr="00CC5603">
        <w:rPr>
          <w:rFonts w:eastAsia="仿宋_GB2312"/>
          <w:sz w:val="32"/>
          <w:szCs w:val="32"/>
        </w:rPr>
        <w:t>）和犯假阴性错误的概率</w:t>
      </w:r>
      <w:r w:rsidRPr="00CC5603">
        <w:rPr>
          <w:rFonts w:eastAsia="仿宋_GB2312"/>
          <w:sz w:val="32"/>
          <w:szCs w:val="32"/>
        </w:rPr>
        <w:sym w:font="Symbol" w:char="F062"/>
      </w:r>
      <w:r w:rsidRPr="00CC5603">
        <w:rPr>
          <w:rFonts w:eastAsia="仿宋_GB2312"/>
          <w:sz w:val="32"/>
          <w:szCs w:val="32"/>
        </w:rPr>
        <w:t>（通常不超过</w:t>
      </w:r>
      <w:r w:rsidRPr="00CC5603">
        <w:rPr>
          <w:rFonts w:eastAsia="仿宋_GB2312"/>
          <w:sz w:val="32"/>
          <w:szCs w:val="32"/>
        </w:rPr>
        <w:t>0.2</w:t>
      </w:r>
      <w:r w:rsidRPr="00CC5603">
        <w:rPr>
          <w:rFonts w:eastAsia="仿宋_GB2312"/>
          <w:sz w:val="32"/>
          <w:szCs w:val="32"/>
        </w:rPr>
        <w:t>）；</w:t>
      </w:r>
    </w:p>
    <w:p w:rsidR="00124240" w:rsidRPr="00CC5603" w:rsidRDefault="00124240" w:rsidP="00124240">
      <w:pPr>
        <w:spacing w:line="520" w:lineRule="exact"/>
        <w:ind w:firstLineChars="200" w:firstLine="640"/>
        <w:rPr>
          <w:rFonts w:eastAsia="仿宋_GB2312"/>
          <w:sz w:val="32"/>
          <w:szCs w:val="32"/>
        </w:rPr>
      </w:pPr>
      <w:r w:rsidRPr="00CC5603">
        <w:rPr>
          <w:rFonts w:ascii="宋体" w:hAnsi="宋体" w:cs="宋体" w:hint="eastAsia"/>
          <w:sz w:val="32"/>
          <w:szCs w:val="32"/>
        </w:rPr>
        <w:t>④</w:t>
      </w:r>
      <w:r w:rsidRPr="00CC5603">
        <w:rPr>
          <w:rFonts w:eastAsia="仿宋_GB2312"/>
          <w:sz w:val="32"/>
          <w:szCs w:val="32"/>
        </w:rPr>
        <w:t>主要评价指标的类型和有关的效应大小及其变异程度；</w:t>
      </w:r>
    </w:p>
    <w:p w:rsidR="00124240" w:rsidRPr="00CC5603" w:rsidRDefault="00124240" w:rsidP="00124240">
      <w:pPr>
        <w:spacing w:line="520" w:lineRule="exact"/>
        <w:ind w:firstLineChars="200" w:firstLine="640"/>
        <w:rPr>
          <w:rFonts w:eastAsia="仿宋_GB2312"/>
          <w:sz w:val="32"/>
          <w:szCs w:val="32"/>
        </w:rPr>
      </w:pPr>
      <w:r w:rsidRPr="00CC5603">
        <w:rPr>
          <w:rFonts w:ascii="宋体" w:hAnsi="宋体" w:cs="宋体" w:hint="eastAsia"/>
          <w:sz w:val="32"/>
          <w:szCs w:val="32"/>
        </w:rPr>
        <w:t>⑤</w:t>
      </w:r>
      <w:r w:rsidRPr="00CC5603">
        <w:rPr>
          <w:rFonts w:eastAsia="仿宋_GB2312"/>
          <w:sz w:val="32"/>
          <w:szCs w:val="32"/>
        </w:rPr>
        <w:t>如果是等效或非劣效检验，应提供有临床意义的界值；</w:t>
      </w:r>
    </w:p>
    <w:p w:rsidR="00124240" w:rsidRPr="00CC5603" w:rsidRDefault="00124240" w:rsidP="00124240">
      <w:pPr>
        <w:spacing w:line="520" w:lineRule="exact"/>
        <w:ind w:firstLineChars="200" w:firstLine="640"/>
        <w:rPr>
          <w:rFonts w:eastAsia="仿宋_GB2312"/>
          <w:sz w:val="32"/>
          <w:szCs w:val="32"/>
        </w:rPr>
      </w:pPr>
      <w:r w:rsidRPr="00CC5603">
        <w:rPr>
          <w:rFonts w:ascii="宋体" w:hAnsi="宋体" w:cs="宋体" w:hint="eastAsia"/>
          <w:sz w:val="32"/>
          <w:szCs w:val="32"/>
        </w:rPr>
        <w:t>⑥</w:t>
      </w:r>
      <w:r w:rsidRPr="00CC5603">
        <w:rPr>
          <w:rFonts w:eastAsia="仿宋_GB2312"/>
          <w:sz w:val="32"/>
          <w:szCs w:val="32"/>
        </w:rPr>
        <w:t>根据实际情况，确定可能的病例脱落率，以保证有足够的把握度检测组间差异。</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6</w:t>
      </w:r>
      <w:r w:rsidRPr="00CC5603">
        <w:rPr>
          <w:rFonts w:eastAsia="仿宋_GB2312"/>
          <w:sz w:val="32"/>
          <w:szCs w:val="32"/>
        </w:rPr>
        <w:t>）统计分析</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应根据试验设计类型、比较类型、资料性质和统计分析目的，合理选择统计分析方法，明确交代统计分析数据集定义及统计分析软件。</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统计分析内容应至少包括如下四部分：</w:t>
      </w:r>
    </w:p>
    <w:p w:rsidR="00124240" w:rsidRPr="00CC5603" w:rsidRDefault="00124240" w:rsidP="00124240">
      <w:pPr>
        <w:spacing w:line="520" w:lineRule="exact"/>
        <w:ind w:firstLineChars="200" w:firstLine="640"/>
        <w:rPr>
          <w:rFonts w:eastAsia="仿宋_GB2312"/>
          <w:sz w:val="32"/>
          <w:szCs w:val="32"/>
        </w:rPr>
      </w:pPr>
      <w:r w:rsidRPr="00CC5603">
        <w:rPr>
          <w:rFonts w:ascii="宋体" w:hAnsi="宋体" w:cs="宋体" w:hint="eastAsia"/>
          <w:sz w:val="32"/>
          <w:szCs w:val="32"/>
        </w:rPr>
        <w:t>①</w:t>
      </w:r>
      <w:r w:rsidRPr="00CC5603">
        <w:rPr>
          <w:rFonts w:eastAsia="仿宋_GB2312"/>
          <w:sz w:val="32"/>
          <w:szCs w:val="32"/>
        </w:rPr>
        <w:t>临床试验完成情况描述：包括临床试验概况（筛选人数、入组人数、完成人数、失访</w:t>
      </w:r>
      <w:r w:rsidRPr="00CC5603">
        <w:rPr>
          <w:rFonts w:eastAsia="仿宋_GB2312"/>
          <w:sz w:val="32"/>
          <w:szCs w:val="32"/>
        </w:rPr>
        <w:t>/</w:t>
      </w:r>
      <w:r w:rsidRPr="00CC5603">
        <w:rPr>
          <w:rFonts w:eastAsia="仿宋_GB2312"/>
          <w:sz w:val="32"/>
          <w:szCs w:val="32"/>
        </w:rPr>
        <w:t>退出</w:t>
      </w:r>
      <w:r w:rsidRPr="00CC5603">
        <w:rPr>
          <w:rFonts w:eastAsia="仿宋_GB2312"/>
          <w:sz w:val="32"/>
          <w:szCs w:val="32"/>
        </w:rPr>
        <w:t>/</w:t>
      </w:r>
      <w:r w:rsidRPr="00CC5603">
        <w:rPr>
          <w:rFonts w:eastAsia="仿宋_GB2312"/>
          <w:sz w:val="32"/>
          <w:szCs w:val="32"/>
        </w:rPr>
        <w:t>剔除人数等）；</w:t>
      </w:r>
    </w:p>
    <w:p w:rsidR="00124240" w:rsidRPr="00CC5603" w:rsidRDefault="00124240" w:rsidP="00124240">
      <w:pPr>
        <w:spacing w:line="520" w:lineRule="exact"/>
        <w:ind w:firstLineChars="200" w:firstLine="640"/>
        <w:rPr>
          <w:rFonts w:eastAsia="仿宋_GB2312"/>
          <w:sz w:val="32"/>
          <w:szCs w:val="32"/>
        </w:rPr>
      </w:pPr>
      <w:r w:rsidRPr="00CC5603">
        <w:rPr>
          <w:rFonts w:ascii="宋体" w:hAnsi="宋体" w:cs="宋体" w:hint="eastAsia"/>
          <w:sz w:val="32"/>
          <w:szCs w:val="32"/>
        </w:rPr>
        <w:t>②</w:t>
      </w:r>
      <w:r w:rsidRPr="00CC5603">
        <w:rPr>
          <w:rFonts w:eastAsia="仿宋_GB2312"/>
          <w:sz w:val="32"/>
          <w:szCs w:val="32"/>
        </w:rPr>
        <w:t>基线描述：应对所有入选受试者（</w:t>
      </w:r>
      <w:r w:rsidRPr="00CC5603">
        <w:rPr>
          <w:rFonts w:eastAsia="仿宋_GB2312"/>
          <w:sz w:val="32"/>
          <w:szCs w:val="32"/>
        </w:rPr>
        <w:t>ITT</w:t>
      </w:r>
      <w:r w:rsidRPr="00CC5603">
        <w:rPr>
          <w:rFonts w:eastAsia="仿宋_GB2312"/>
          <w:sz w:val="32"/>
          <w:szCs w:val="32"/>
        </w:rPr>
        <w:t>分析集）的基线人口统计学指标及其他相关病史指标等进行统计描述；</w:t>
      </w:r>
    </w:p>
    <w:p w:rsidR="00124240" w:rsidRPr="00CC5603" w:rsidRDefault="00124240" w:rsidP="00124240">
      <w:pPr>
        <w:spacing w:line="520" w:lineRule="exact"/>
        <w:ind w:firstLineChars="200" w:firstLine="640"/>
        <w:rPr>
          <w:rFonts w:eastAsia="仿宋_GB2312"/>
          <w:sz w:val="32"/>
          <w:szCs w:val="32"/>
        </w:rPr>
      </w:pPr>
      <w:r w:rsidRPr="00CC5603">
        <w:rPr>
          <w:rFonts w:ascii="宋体" w:hAnsi="宋体" w:cs="宋体" w:hint="eastAsia"/>
          <w:sz w:val="32"/>
          <w:szCs w:val="32"/>
        </w:rPr>
        <w:t>③</w:t>
      </w:r>
      <w:r w:rsidRPr="00CC5603">
        <w:rPr>
          <w:rFonts w:eastAsia="仿宋_GB2312"/>
          <w:sz w:val="32"/>
          <w:szCs w:val="32"/>
        </w:rPr>
        <w:t>疗效</w:t>
      </w:r>
      <w:r w:rsidRPr="00CC5603">
        <w:rPr>
          <w:rFonts w:eastAsia="仿宋_GB2312"/>
          <w:sz w:val="32"/>
          <w:szCs w:val="32"/>
        </w:rPr>
        <w:t>/</w:t>
      </w:r>
      <w:r w:rsidRPr="00CC5603">
        <w:rPr>
          <w:rFonts w:eastAsia="仿宋_GB2312"/>
          <w:sz w:val="32"/>
          <w:szCs w:val="32"/>
        </w:rPr>
        <w:t>效果评价：应对所有入选的受试者（</w:t>
      </w:r>
      <w:r w:rsidRPr="00CC5603">
        <w:rPr>
          <w:rFonts w:eastAsia="仿宋_GB2312"/>
          <w:sz w:val="32"/>
          <w:szCs w:val="32"/>
        </w:rPr>
        <w:t>ITT</w:t>
      </w:r>
      <w:r w:rsidRPr="00CC5603">
        <w:rPr>
          <w:rFonts w:eastAsia="仿宋_GB2312"/>
          <w:sz w:val="32"/>
          <w:szCs w:val="32"/>
        </w:rPr>
        <w:t>分析集）和最终完成试验的受试者（</w:t>
      </w:r>
      <w:r w:rsidRPr="00CC5603">
        <w:rPr>
          <w:rFonts w:eastAsia="仿宋_GB2312"/>
          <w:sz w:val="32"/>
          <w:szCs w:val="32"/>
        </w:rPr>
        <w:t>PP</w:t>
      </w:r>
      <w:r w:rsidRPr="00CC5603">
        <w:rPr>
          <w:rFonts w:eastAsia="仿宋_GB2312"/>
          <w:sz w:val="32"/>
          <w:szCs w:val="32"/>
        </w:rPr>
        <w:t>分析集）分别进行统计分析，以评</w:t>
      </w:r>
      <w:r w:rsidRPr="00CC5603">
        <w:rPr>
          <w:rFonts w:eastAsia="仿宋_GB2312"/>
          <w:sz w:val="32"/>
          <w:szCs w:val="32"/>
        </w:rPr>
        <w:lastRenderedPageBreak/>
        <w:t>价结果的一致性。疗效分析时，除点估计外，还应给出点估计的</w:t>
      </w:r>
      <w:r w:rsidRPr="00CC5603">
        <w:rPr>
          <w:rFonts w:eastAsia="仿宋_GB2312"/>
          <w:sz w:val="32"/>
          <w:szCs w:val="32"/>
        </w:rPr>
        <w:t>95%</w:t>
      </w:r>
      <w:r w:rsidRPr="00CC5603">
        <w:rPr>
          <w:rFonts w:eastAsia="仿宋_GB2312"/>
          <w:sz w:val="32"/>
          <w:szCs w:val="32"/>
        </w:rPr>
        <w:t>的置信区间估计；</w:t>
      </w:r>
    </w:p>
    <w:p w:rsidR="00124240" w:rsidRPr="00CC5603" w:rsidRDefault="00124240" w:rsidP="00124240">
      <w:pPr>
        <w:spacing w:line="520" w:lineRule="exact"/>
        <w:ind w:firstLineChars="200" w:firstLine="640"/>
        <w:rPr>
          <w:rFonts w:eastAsia="仿宋_GB2312"/>
          <w:sz w:val="32"/>
          <w:szCs w:val="32"/>
        </w:rPr>
      </w:pPr>
      <w:r w:rsidRPr="00CC5603">
        <w:rPr>
          <w:rFonts w:ascii="宋体" w:hAnsi="宋体" w:cs="宋体" w:hint="eastAsia"/>
          <w:sz w:val="32"/>
          <w:szCs w:val="32"/>
        </w:rPr>
        <w:t>④</w:t>
      </w:r>
      <w:r w:rsidRPr="00CC5603">
        <w:rPr>
          <w:rFonts w:eastAsia="仿宋_GB2312"/>
          <w:sz w:val="32"/>
          <w:szCs w:val="32"/>
        </w:rPr>
        <w:t>安全性评价时，应对所有入选的受试者进行分析（</w:t>
      </w:r>
      <w:r w:rsidRPr="00CC5603">
        <w:rPr>
          <w:rFonts w:eastAsia="仿宋_GB2312"/>
          <w:sz w:val="32"/>
          <w:szCs w:val="32"/>
        </w:rPr>
        <w:t>SS</w:t>
      </w:r>
      <w:r w:rsidRPr="00CC5603">
        <w:rPr>
          <w:rFonts w:eastAsia="仿宋_GB2312"/>
          <w:sz w:val="32"/>
          <w:szCs w:val="32"/>
        </w:rPr>
        <w:t>分析集），不能遗漏所有发生的任何不良事件，对所有发生的不良事件应评价其是否与所研究产品有关。</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7</w:t>
      </w:r>
      <w:r w:rsidRPr="00CC5603">
        <w:rPr>
          <w:rFonts w:eastAsia="仿宋_GB2312"/>
          <w:sz w:val="32"/>
          <w:szCs w:val="32"/>
        </w:rPr>
        <w:t>）临床试验报告</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临床试验报告应与临床试验方案保持一致，尤其注意明确以下内容：试验产品的名称；规格型号；修复体类型；修复体应用部位；各个病种的病例数；各病例的随访时间；试验产品的临床适应症、禁忌症与注意事项。</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临床试验报告中需明确所有病例是否全部完成随访，完成随访病例是否均纳入统计，失访病例需明确失访原因。</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临床试验报告中需提交参与疗效评价与安全性评价的统计过程中所涉及到的原始数据。</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临床试验报告中需报告所有不良反应和不良事件发生的时间、发生的原因、结果及与试验用产品的关系。对于所采取的措施需予以明确。</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临床试验报告应由研究单位根据统计分析报告，出具明确的临床试验结论。</w:t>
      </w:r>
    </w:p>
    <w:p w:rsidR="00124240" w:rsidRPr="00CC5603" w:rsidRDefault="00124240" w:rsidP="00124240">
      <w:pPr>
        <w:spacing w:line="520" w:lineRule="exact"/>
        <w:ind w:firstLineChars="200" w:firstLine="640"/>
        <w:rPr>
          <w:rFonts w:eastAsia="楷体_GB2312"/>
          <w:sz w:val="32"/>
          <w:szCs w:val="32"/>
        </w:rPr>
      </w:pPr>
      <w:r w:rsidRPr="00CC5603">
        <w:rPr>
          <w:rFonts w:eastAsia="楷体_GB2312"/>
          <w:sz w:val="32"/>
          <w:szCs w:val="32"/>
        </w:rPr>
        <w:t>（五）产品的风险分析资料</w:t>
      </w:r>
      <w:bookmarkEnd w:id="7"/>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按照</w:t>
      </w:r>
      <w:r w:rsidRPr="00CC5603">
        <w:rPr>
          <w:rFonts w:eastAsia="仿宋_GB2312"/>
          <w:sz w:val="32"/>
          <w:szCs w:val="32"/>
        </w:rPr>
        <w:t>YY/T 0316-2016</w:t>
      </w:r>
      <w:r w:rsidRPr="00CC5603">
        <w:rPr>
          <w:rFonts w:eastAsia="仿宋_GB2312"/>
          <w:sz w:val="32"/>
          <w:szCs w:val="32"/>
        </w:rPr>
        <w:t>《医疗器械风险管理对医疗器械的应用》标准的要求，对产品生命周期全过程实施风险管理。申请人在产品准备注册上市前，应对风险管理过程进行评审。评审应至少确保：产品的风险已被全面地分析；风险管理计划已被适当地实施；综合剩余风险是可接受的；已有适当方法获得相关生产和</w:t>
      </w:r>
      <w:r w:rsidRPr="00CC5603">
        <w:rPr>
          <w:rFonts w:eastAsia="仿宋_GB2312"/>
          <w:sz w:val="32"/>
          <w:szCs w:val="32"/>
        </w:rPr>
        <w:lastRenderedPageBreak/>
        <w:t>生产后信息。评审结果应形成风险管理报告。风险管理资料应至少包括以下信息：</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1.</w:t>
      </w:r>
      <w:r w:rsidRPr="00CC5603">
        <w:rPr>
          <w:rFonts w:eastAsia="仿宋_GB2312"/>
          <w:sz w:val="32"/>
          <w:szCs w:val="32"/>
        </w:rPr>
        <w:t>可能影响产品安全性的特征问题清单</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申请人应参考</w:t>
      </w:r>
      <w:r w:rsidRPr="00CC5603">
        <w:rPr>
          <w:rFonts w:eastAsia="仿宋_GB2312"/>
          <w:sz w:val="32"/>
          <w:szCs w:val="32"/>
        </w:rPr>
        <w:t>YY/T 0316</w:t>
      </w:r>
      <w:r w:rsidRPr="00CC5603">
        <w:rPr>
          <w:rFonts w:eastAsia="仿宋_GB2312"/>
          <w:sz w:val="32"/>
          <w:szCs w:val="32"/>
        </w:rPr>
        <w:t>附录</w:t>
      </w:r>
      <w:r w:rsidRPr="00CC5603">
        <w:rPr>
          <w:rFonts w:eastAsia="仿宋_GB2312"/>
          <w:sz w:val="32"/>
          <w:szCs w:val="32"/>
        </w:rPr>
        <w:t>C</w:t>
      </w:r>
      <w:r w:rsidRPr="00CC5603">
        <w:rPr>
          <w:rFonts w:eastAsia="仿宋_GB2312"/>
          <w:sz w:val="32"/>
          <w:szCs w:val="32"/>
        </w:rPr>
        <w:t>的要求判定医疗器械与安全性有关特征的问题，但识别风险的来源并不局限于此。申请人应对该类产品进行充分的风险识别，风险识别的信息来源需要具体列出，可包括但不局限于以下途径：类似产品的投诉</w:t>
      </w:r>
      <w:r w:rsidRPr="00CC5603">
        <w:rPr>
          <w:rFonts w:eastAsia="仿宋_GB2312"/>
          <w:sz w:val="32"/>
          <w:szCs w:val="32"/>
        </w:rPr>
        <w:t>/</w:t>
      </w:r>
      <w:r w:rsidRPr="00CC5603">
        <w:rPr>
          <w:rFonts w:eastAsia="仿宋_GB2312"/>
          <w:sz w:val="32"/>
          <w:szCs w:val="32"/>
        </w:rPr>
        <w:t>抱怨数据、医学文献、实验室检测、产品标签标识、专家观点等。对于风险识别信息的来源企业应具体说明，并提交有关支持文件或文献。</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2.</w:t>
      </w:r>
      <w:r w:rsidRPr="00CC5603">
        <w:rPr>
          <w:rFonts w:eastAsia="仿宋_GB2312"/>
          <w:sz w:val="32"/>
          <w:szCs w:val="32"/>
        </w:rPr>
        <w:t>产品有关危害的清单</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申请人应详细列出与产品有关的已知和可预见危害的清单，以及对每个危害如何造成损害的分析（包括可预见的事件序列、危害处境和可能发生的损害）。</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申请人应指出拟申报产品所特有的任何额外风险，说明风险分析的方法。已识别的风险应至少包括但不局限于以下方面：</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1</w:t>
      </w:r>
      <w:r w:rsidRPr="00CC5603">
        <w:rPr>
          <w:rFonts w:eastAsia="仿宋_GB2312"/>
          <w:sz w:val="32"/>
          <w:szCs w:val="32"/>
        </w:rPr>
        <w:t>）材料的生物学和化学危害：</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材料的化学结构及来源</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材料的生物相容性</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2</w:t>
      </w:r>
      <w:r w:rsidRPr="00CC5603">
        <w:rPr>
          <w:rFonts w:eastAsia="仿宋_GB2312"/>
          <w:sz w:val="32"/>
          <w:szCs w:val="32"/>
        </w:rPr>
        <w:t>）生产加工过程可能产生的危害：</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污染</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添加剂（助剂）的残留</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生产环境洁净度</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3</w:t>
      </w:r>
      <w:r w:rsidRPr="00CC5603">
        <w:rPr>
          <w:rFonts w:eastAsia="仿宋_GB2312"/>
          <w:sz w:val="32"/>
          <w:szCs w:val="32"/>
        </w:rPr>
        <w:t>）产品使用风险因素：</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刺激性、致敏性、功能失效</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lastRenderedPageBreak/>
        <w:t>（</w:t>
      </w:r>
      <w:r w:rsidRPr="00CC5603">
        <w:rPr>
          <w:rFonts w:eastAsia="仿宋_GB2312"/>
          <w:sz w:val="32"/>
          <w:szCs w:val="32"/>
        </w:rPr>
        <w:t>4</w:t>
      </w:r>
      <w:r w:rsidRPr="00CC5603">
        <w:rPr>
          <w:rFonts w:eastAsia="仿宋_GB2312"/>
          <w:sz w:val="32"/>
          <w:szCs w:val="32"/>
        </w:rPr>
        <w:t>）不正确使用产生的危害：</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使用产品时未按照说明书中操作方法操作</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忽视说明书中适用范围及禁忌症、警示信息内容</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5</w:t>
      </w:r>
      <w:r w:rsidRPr="00CC5603">
        <w:rPr>
          <w:rFonts w:eastAsia="仿宋_GB2312"/>
          <w:sz w:val="32"/>
          <w:szCs w:val="32"/>
        </w:rPr>
        <w:t>）产品包装可能产生的危害：</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包装破损</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标识不清</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与贮存和运输过程不适宜</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申请人应对所识别的风险提出具体的降低风险的措施。降低所申报产品的风险应依据</w:t>
      </w:r>
      <w:r w:rsidRPr="00CC5603">
        <w:rPr>
          <w:rFonts w:eastAsia="仿宋_GB2312"/>
          <w:sz w:val="32"/>
          <w:szCs w:val="32"/>
        </w:rPr>
        <w:t>YY/T 0316</w:t>
      </w:r>
      <w:r w:rsidRPr="00CC5603">
        <w:rPr>
          <w:rFonts w:eastAsia="仿宋_GB2312"/>
          <w:sz w:val="32"/>
          <w:szCs w:val="32"/>
        </w:rPr>
        <w:t>要求依次从设计、保护、说明书进行考虑。</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申请人应在产品生命全周期中对风险进行管理控制，以使剩余风险在可接受范围内。可通过产品设计控制、产品原材料选择、产品技术性能指标的制定、临床试验、正确的标签标识、生产和检验控制、产品说明书等多项措施以降低风险至可接受水平，但不局限于以上所述。</w:t>
      </w:r>
      <w:bookmarkStart w:id="8" w:name="_Toc470865604"/>
    </w:p>
    <w:p w:rsidR="00124240" w:rsidRPr="00CC5603" w:rsidRDefault="00124240" w:rsidP="00124240">
      <w:pPr>
        <w:spacing w:line="520" w:lineRule="exact"/>
        <w:ind w:firstLineChars="200" w:firstLine="640"/>
        <w:rPr>
          <w:rFonts w:eastAsia="楷体_GB2312"/>
          <w:sz w:val="32"/>
          <w:szCs w:val="32"/>
        </w:rPr>
      </w:pPr>
      <w:r w:rsidRPr="00CC5603">
        <w:rPr>
          <w:rFonts w:eastAsia="楷体_GB2312"/>
          <w:sz w:val="32"/>
          <w:szCs w:val="32"/>
        </w:rPr>
        <w:t>（六）产品技术要求</w:t>
      </w:r>
      <w:bookmarkEnd w:id="8"/>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申请人应结合产品的技术特征和临床产品特点，参照现行有效的国家标准、行业标准或《中华人民共和国药典》（以下简称《中国药典》）来确定产品安全有效、质量可控的性能指标与检验方法。产品技术要求中应明确规格型号及其划分的说明、产品描述的一般信息（原材料、组成成分及百分含量、尺寸结构等）、产品性能指标及试验方法。对产品技术要求中所有的试验项目（包括理化性能和生物学评价等）所采用的试验方法进行简要描述。若采用公认标准中的试验方法，可直接引用该方法，标明相应标准的编号、年号及《中国药典》的版本号。若对公认标准中</w:t>
      </w:r>
      <w:r w:rsidRPr="00CC5603">
        <w:rPr>
          <w:rFonts w:eastAsia="仿宋_GB2312"/>
          <w:sz w:val="32"/>
          <w:szCs w:val="32"/>
        </w:rPr>
        <w:lastRenderedPageBreak/>
        <w:t>的试验方法有所修改，还应说明修改的内容及原因。对每一个试验项目，可用诸如表格的形式清晰简洁地将试验结果进行表述，包括描述试验结果的接受标准。</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制定牙科纤维桩技术要求的常用参考标准如下：</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YY/T 0517-2009</w:t>
      </w:r>
      <w:r w:rsidRPr="00CC5603">
        <w:rPr>
          <w:rFonts w:eastAsia="仿宋_GB2312"/>
          <w:sz w:val="32"/>
          <w:szCs w:val="32"/>
        </w:rPr>
        <w:t>《牙科预成根管桩》</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产品技术要求中的性能指标应不低于</w:t>
      </w:r>
      <w:r w:rsidRPr="00CC5603">
        <w:rPr>
          <w:rFonts w:eastAsia="仿宋_GB2312"/>
          <w:sz w:val="32"/>
          <w:szCs w:val="32"/>
        </w:rPr>
        <w:t>YY/T 0517</w:t>
      </w:r>
      <w:r w:rsidRPr="00CC5603">
        <w:rPr>
          <w:rFonts w:eastAsia="仿宋_GB2312"/>
          <w:sz w:val="32"/>
          <w:szCs w:val="32"/>
        </w:rPr>
        <w:t>中的相关要求，检验方法应采用行业标准中的方法，若采用其他方法则应选择经验证的方法并说明原因。</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本指导原则给出了牙科纤维桩的性能指标要求，建议考虑但不限于以下内容：</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外观</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尺寸</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锥度</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弯曲强度</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弹性模量</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表面硬度</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X</w:t>
      </w:r>
      <w:r w:rsidRPr="00CC5603">
        <w:rPr>
          <w:rFonts w:eastAsia="仿宋_GB2312"/>
          <w:sz w:val="32"/>
          <w:szCs w:val="32"/>
        </w:rPr>
        <w:t>线阻射性能</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透光性或可见光传导性</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吸水值和溶解值</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内部孔隙</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疲劳性能</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纤维桩与粘结剂的粘接界面状况</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微生物限量值</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工作时间：适用于半预成纤维桩材料</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硬化时间：适用于半预成纤维桩材料</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lastRenderedPageBreak/>
        <w:t>固化时间：适用于半预成纤维桩材料</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固化深度：适用于半预成纤维桩光固化材料。</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如有不适用的项目，应予以说明。本章仅提供了常规产品的基本性能要求，给予参考。对于</w:t>
      </w:r>
      <w:r w:rsidRPr="00CC5603">
        <w:rPr>
          <w:rFonts w:eastAsia="仿宋_GB2312"/>
          <w:sz w:val="32"/>
          <w:szCs w:val="32"/>
        </w:rPr>
        <w:t>CAD/CAM</w:t>
      </w:r>
      <w:r w:rsidRPr="00CC5603">
        <w:rPr>
          <w:rFonts w:eastAsia="仿宋_GB2312"/>
          <w:sz w:val="32"/>
          <w:szCs w:val="32"/>
        </w:rPr>
        <w:t>工艺的纤维桩、半预成纤维桩等产品应根据产品自身特点制定相应的性能指标。对于使用新材料、新技术、新设计或具有新作用机理、新功能的产品所具有其他性能及厂家声称的其他性能要求，应在技术要求中明确。</w:t>
      </w:r>
      <w:bookmarkStart w:id="9" w:name="_Toc433187264"/>
      <w:bookmarkStart w:id="10" w:name="_Toc470865605"/>
    </w:p>
    <w:p w:rsidR="00124240" w:rsidRPr="00CC5603" w:rsidRDefault="00124240" w:rsidP="00124240">
      <w:pPr>
        <w:spacing w:line="520" w:lineRule="exact"/>
        <w:ind w:firstLineChars="200" w:firstLine="640"/>
        <w:rPr>
          <w:rFonts w:eastAsia="楷体_GB2312"/>
          <w:sz w:val="32"/>
          <w:szCs w:val="32"/>
        </w:rPr>
      </w:pPr>
      <w:r w:rsidRPr="00CC5603">
        <w:rPr>
          <w:rFonts w:eastAsia="楷体_GB2312"/>
          <w:sz w:val="32"/>
          <w:szCs w:val="32"/>
        </w:rPr>
        <w:t>（七）产品注册检验报告</w:t>
      </w:r>
      <w:bookmarkEnd w:id="9"/>
      <w:bookmarkEnd w:id="10"/>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产品的注册检测应在具有医疗器械检验资质的检验机构进行，产品应在检验机构承检范围内。申请人应提供医疗器械检验机构出具的注册检验报告和预评价意见。此外，还应提供检验样品规格型号的选择依据。所检验型号产品应当是本注册单元内能够代表申报的其他型号产品安全性和有效性的典型产品。</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牙科纤维桩产品的典型性选择应考虑技术指标及性能不改变、功能可以达到最齐全、结构最复杂、风险最高的产品。通常需要综合考虑相关因素，既考虑产品结构特征、生产加工工艺、技术性能要求、配合使用产品、交付状态等产品的固有特性，也要考虑产品的生物受力环境及检测的具体试验项目。建议侧重考虑产品力学性能弯曲强度最差情况，如需要可利用有限元模拟分析，确定产品的典型性。若型号间的差异对产品性能和技术特征产生影响，应分别选取典型样品进行全性能检验；也可根据差异情形选择典型型号进行全性能检验，选择其他型号进行差异性检验。</w:t>
      </w:r>
      <w:bookmarkStart w:id="11" w:name="_Toc470865607"/>
    </w:p>
    <w:p w:rsidR="00124240" w:rsidRPr="00CC5603" w:rsidRDefault="00124240" w:rsidP="00124240">
      <w:pPr>
        <w:spacing w:line="520" w:lineRule="exact"/>
        <w:ind w:firstLineChars="200" w:firstLine="640"/>
        <w:rPr>
          <w:rFonts w:eastAsia="楷体_GB2312"/>
          <w:sz w:val="32"/>
          <w:szCs w:val="32"/>
        </w:rPr>
      </w:pPr>
      <w:r w:rsidRPr="00CC5603">
        <w:rPr>
          <w:rFonts w:eastAsia="楷体_GB2312"/>
          <w:sz w:val="32"/>
          <w:szCs w:val="32"/>
        </w:rPr>
        <w:t>（八）说明书和标签样稿</w:t>
      </w:r>
      <w:bookmarkEnd w:id="11"/>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lastRenderedPageBreak/>
        <w:t>产品说明书和标签的编写应符合《医疗器械说明书和标签管理规定》（国家食品药品监督管理总局令第</w:t>
      </w:r>
      <w:r w:rsidRPr="00CC5603">
        <w:rPr>
          <w:rFonts w:eastAsia="仿宋_GB2312"/>
          <w:sz w:val="32"/>
          <w:szCs w:val="32"/>
        </w:rPr>
        <w:t>6</w:t>
      </w:r>
      <w:r w:rsidRPr="00CC5603">
        <w:rPr>
          <w:rFonts w:eastAsia="仿宋_GB2312"/>
          <w:sz w:val="32"/>
          <w:szCs w:val="32"/>
        </w:rPr>
        <w:t>号）的要求。所提交的文本和标签样图应内容清晰、完整。说明书中所描述的适用范围、应用技术、禁忌症等应与产品的临床评价保持一致。产品的描述、结构组成、货架有效期等应与综述资料和研究资料中所描述及验证的内容一致。</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说明书不应宣称没有依据和夸大了的产品性能指标，应实事求是地介绍产品的特点。凡宣称产品性能和特点的，应有产品技术要求或提交的注册技术资料依据。不使用</w:t>
      </w:r>
      <w:r w:rsidRPr="00CC5603">
        <w:rPr>
          <w:rFonts w:eastAsia="仿宋_GB2312"/>
          <w:sz w:val="32"/>
          <w:szCs w:val="32"/>
        </w:rPr>
        <w:t>“</w:t>
      </w:r>
      <w:r w:rsidRPr="00CC5603">
        <w:rPr>
          <w:rFonts w:eastAsia="仿宋_GB2312"/>
          <w:sz w:val="32"/>
          <w:szCs w:val="32"/>
        </w:rPr>
        <w:t>系列</w:t>
      </w:r>
      <w:r w:rsidRPr="00CC5603">
        <w:rPr>
          <w:rFonts w:eastAsia="仿宋_GB2312"/>
          <w:sz w:val="32"/>
          <w:szCs w:val="32"/>
        </w:rPr>
        <w:t>”</w:t>
      </w:r>
      <w:r w:rsidRPr="00CC5603">
        <w:rPr>
          <w:rFonts w:eastAsia="仿宋_GB2312"/>
          <w:sz w:val="32"/>
          <w:szCs w:val="32"/>
        </w:rPr>
        <w:t>、</w:t>
      </w:r>
      <w:r w:rsidRPr="00CC5603">
        <w:rPr>
          <w:rFonts w:eastAsia="仿宋_GB2312"/>
          <w:sz w:val="32"/>
          <w:szCs w:val="32"/>
        </w:rPr>
        <w:t>“</w:t>
      </w:r>
      <w:r w:rsidRPr="00CC5603">
        <w:rPr>
          <w:rFonts w:eastAsia="仿宋_GB2312"/>
          <w:sz w:val="32"/>
          <w:szCs w:val="32"/>
        </w:rPr>
        <w:t>等</w:t>
      </w:r>
      <w:r w:rsidRPr="00CC5603">
        <w:rPr>
          <w:rFonts w:eastAsia="仿宋_GB2312"/>
          <w:sz w:val="32"/>
          <w:szCs w:val="32"/>
        </w:rPr>
        <w:t>”</w:t>
      </w:r>
      <w:r w:rsidRPr="00CC5603">
        <w:rPr>
          <w:rFonts w:eastAsia="仿宋_GB2312"/>
          <w:sz w:val="32"/>
          <w:szCs w:val="32"/>
        </w:rPr>
        <w:t>、</w:t>
      </w:r>
      <w:r w:rsidRPr="00CC5603">
        <w:rPr>
          <w:rFonts w:eastAsia="仿宋_GB2312"/>
          <w:sz w:val="32"/>
          <w:szCs w:val="32"/>
        </w:rPr>
        <w:t>“</w:t>
      </w:r>
      <w:r w:rsidRPr="00CC5603">
        <w:rPr>
          <w:rFonts w:eastAsia="仿宋_GB2312"/>
          <w:sz w:val="32"/>
          <w:szCs w:val="32"/>
        </w:rPr>
        <w:t>无毒</w:t>
      </w:r>
      <w:r w:rsidRPr="00CC5603">
        <w:rPr>
          <w:rFonts w:eastAsia="仿宋_GB2312"/>
          <w:sz w:val="32"/>
          <w:szCs w:val="32"/>
        </w:rPr>
        <w:t>”</w:t>
      </w:r>
      <w:r w:rsidRPr="00CC5603">
        <w:rPr>
          <w:rFonts w:eastAsia="仿宋_GB2312"/>
          <w:sz w:val="32"/>
          <w:szCs w:val="32"/>
        </w:rPr>
        <w:t>、</w:t>
      </w:r>
      <w:r w:rsidRPr="00CC5603">
        <w:rPr>
          <w:rFonts w:eastAsia="仿宋_GB2312"/>
          <w:sz w:val="32"/>
          <w:szCs w:val="32"/>
        </w:rPr>
        <w:t>“</w:t>
      </w:r>
      <w:r w:rsidRPr="00CC5603">
        <w:rPr>
          <w:rFonts w:eastAsia="仿宋_GB2312"/>
          <w:sz w:val="32"/>
          <w:szCs w:val="32"/>
        </w:rPr>
        <w:t>对人体无害</w:t>
      </w:r>
      <w:r w:rsidRPr="00CC5603">
        <w:rPr>
          <w:rFonts w:eastAsia="仿宋_GB2312"/>
          <w:sz w:val="32"/>
          <w:szCs w:val="32"/>
        </w:rPr>
        <w:t>”</w:t>
      </w:r>
      <w:r w:rsidRPr="00CC5603">
        <w:rPr>
          <w:rFonts w:eastAsia="仿宋_GB2312"/>
          <w:sz w:val="32"/>
          <w:szCs w:val="32"/>
        </w:rPr>
        <w:t>等含混和绝对性用词。</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此外，还应包含以下内容的适用项：</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1.</w:t>
      </w:r>
      <w:r w:rsidRPr="00CC5603">
        <w:rPr>
          <w:rFonts w:eastAsia="仿宋_GB2312"/>
          <w:sz w:val="32"/>
          <w:szCs w:val="32"/>
        </w:rPr>
        <w:t>纤维根管桩的主要成分；</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2.</w:t>
      </w:r>
      <w:r w:rsidRPr="00CC5603">
        <w:rPr>
          <w:rFonts w:eastAsia="仿宋_GB2312"/>
          <w:sz w:val="32"/>
          <w:szCs w:val="32"/>
        </w:rPr>
        <w:t>产品结构及重要部位的尺寸；</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3.</w:t>
      </w:r>
      <w:r w:rsidRPr="00CC5603">
        <w:rPr>
          <w:rFonts w:eastAsia="仿宋_GB2312"/>
          <w:sz w:val="32"/>
          <w:szCs w:val="32"/>
        </w:rPr>
        <w:t>纤维根管桩的弯曲强度和弯曲弹性模量；</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4.</w:t>
      </w:r>
      <w:r w:rsidRPr="00CC5603">
        <w:rPr>
          <w:rFonts w:eastAsia="仿宋_GB2312"/>
          <w:sz w:val="32"/>
          <w:szCs w:val="32"/>
        </w:rPr>
        <w:t>建议使用的树脂粘接材料和使用方法；</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5.</w:t>
      </w:r>
      <w:r w:rsidRPr="00CC5603">
        <w:rPr>
          <w:rFonts w:eastAsia="仿宋_GB2312"/>
          <w:sz w:val="32"/>
          <w:szCs w:val="32"/>
        </w:rPr>
        <w:t>提供与产品配套的根管扩大成型钻的相关尺寸信息；</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6.</w:t>
      </w:r>
      <w:r w:rsidRPr="00CC5603">
        <w:rPr>
          <w:rFonts w:eastAsia="仿宋_GB2312"/>
          <w:sz w:val="32"/>
          <w:szCs w:val="32"/>
        </w:rPr>
        <w:t>使用过程中的注意事项；</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7.</w:t>
      </w:r>
      <w:r w:rsidRPr="00CC5603">
        <w:rPr>
          <w:rFonts w:eastAsia="仿宋_GB2312"/>
          <w:sz w:val="32"/>
          <w:szCs w:val="32"/>
        </w:rPr>
        <w:t>不同尺寸纤维根管桩应有明确的区分标识；</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8.</w:t>
      </w:r>
      <w:r w:rsidRPr="00CC5603">
        <w:rPr>
          <w:rFonts w:eastAsia="仿宋_GB2312"/>
          <w:sz w:val="32"/>
          <w:szCs w:val="32"/>
        </w:rPr>
        <w:t>明确推荐的清洁或消毒方法；</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9.</w:t>
      </w:r>
      <w:r w:rsidRPr="00CC5603">
        <w:rPr>
          <w:rFonts w:eastAsia="仿宋_GB2312"/>
          <w:sz w:val="32"/>
          <w:szCs w:val="32"/>
        </w:rPr>
        <w:t>警示信息，列出使用注意事项和其他应该说明的问题，明确产品禁忌症、毒副作用和与其他物质的交互作用等。</w:t>
      </w:r>
      <w:bookmarkStart w:id="12" w:name="_Toc470865608"/>
    </w:p>
    <w:p w:rsidR="00124240" w:rsidRPr="00CC5603" w:rsidRDefault="00124240" w:rsidP="00124240">
      <w:pPr>
        <w:spacing w:line="520" w:lineRule="exact"/>
        <w:ind w:firstLineChars="200" w:firstLine="640"/>
        <w:rPr>
          <w:rFonts w:ascii="黑体" w:eastAsia="黑体" w:hAnsi="黑体"/>
          <w:sz w:val="32"/>
          <w:szCs w:val="32"/>
        </w:rPr>
      </w:pPr>
      <w:r w:rsidRPr="00CC5603">
        <w:rPr>
          <w:rFonts w:ascii="黑体" w:eastAsia="黑体" w:hAnsi="黑体"/>
          <w:sz w:val="32"/>
          <w:szCs w:val="32"/>
        </w:rPr>
        <w:t>四、参考文献</w:t>
      </w:r>
      <w:bookmarkEnd w:id="12"/>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1.</w:t>
      </w:r>
      <w:r w:rsidRPr="00CC5603">
        <w:rPr>
          <w:rFonts w:eastAsia="仿宋_GB2312"/>
          <w:sz w:val="32"/>
          <w:szCs w:val="32"/>
        </w:rPr>
        <w:t>《医疗器械监督管理条例》（国务院令第</w:t>
      </w:r>
      <w:r w:rsidRPr="00CC5603">
        <w:rPr>
          <w:rFonts w:eastAsia="仿宋_GB2312"/>
          <w:sz w:val="32"/>
          <w:szCs w:val="32"/>
        </w:rPr>
        <w:t>650</w:t>
      </w:r>
      <w:r w:rsidRPr="00CC5603">
        <w:rPr>
          <w:rFonts w:eastAsia="仿宋_GB2312"/>
          <w:sz w:val="32"/>
          <w:szCs w:val="32"/>
        </w:rPr>
        <w:t>号）</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2.</w:t>
      </w:r>
      <w:r w:rsidRPr="00CC5603">
        <w:rPr>
          <w:rFonts w:eastAsia="仿宋_GB2312"/>
          <w:sz w:val="32"/>
          <w:szCs w:val="32"/>
        </w:rPr>
        <w:t>《医疗器械注册管理办法》（国家食品药品监督管理总局令第</w:t>
      </w:r>
      <w:r w:rsidRPr="00CC5603">
        <w:rPr>
          <w:rFonts w:eastAsia="仿宋_GB2312"/>
          <w:sz w:val="32"/>
          <w:szCs w:val="32"/>
        </w:rPr>
        <w:t>4</w:t>
      </w:r>
      <w:r w:rsidRPr="00CC5603">
        <w:rPr>
          <w:rFonts w:eastAsia="仿宋_GB2312"/>
          <w:sz w:val="32"/>
          <w:szCs w:val="32"/>
        </w:rPr>
        <w:t>号）</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lastRenderedPageBreak/>
        <w:t>3.</w:t>
      </w:r>
      <w:r w:rsidRPr="00CC5603">
        <w:rPr>
          <w:rFonts w:eastAsia="仿宋_GB2312"/>
          <w:sz w:val="32"/>
          <w:szCs w:val="32"/>
        </w:rPr>
        <w:t>《医疗器械临床试验质量管理规范》（国家食品药品监督管理总局中华人民共和国国家卫生和计划生育委员会令第</w:t>
      </w:r>
      <w:r w:rsidRPr="00CC5603">
        <w:rPr>
          <w:rFonts w:eastAsia="仿宋_GB2312"/>
          <w:sz w:val="32"/>
          <w:szCs w:val="32"/>
        </w:rPr>
        <w:t>25</w:t>
      </w:r>
      <w:r w:rsidRPr="00CC5603">
        <w:rPr>
          <w:rFonts w:eastAsia="仿宋_GB2312"/>
          <w:sz w:val="32"/>
          <w:szCs w:val="32"/>
        </w:rPr>
        <w:t>号）</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4.</w:t>
      </w:r>
      <w:r w:rsidRPr="00CC5603">
        <w:rPr>
          <w:rFonts w:eastAsia="仿宋_GB2312"/>
          <w:sz w:val="32"/>
          <w:szCs w:val="32"/>
        </w:rPr>
        <w:t>《医疗器械说明书和标签管理规定》（国家食品药品监督管理总局令第</w:t>
      </w:r>
      <w:r w:rsidRPr="00CC5603">
        <w:rPr>
          <w:rFonts w:eastAsia="仿宋_GB2312"/>
          <w:sz w:val="32"/>
          <w:szCs w:val="32"/>
        </w:rPr>
        <w:t>6</w:t>
      </w:r>
      <w:r w:rsidRPr="00CC5603">
        <w:rPr>
          <w:rFonts w:eastAsia="仿宋_GB2312"/>
          <w:sz w:val="32"/>
          <w:szCs w:val="32"/>
        </w:rPr>
        <w:t>号）</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5.</w:t>
      </w:r>
      <w:r w:rsidRPr="00CC5603">
        <w:rPr>
          <w:rFonts w:eastAsia="仿宋_GB2312"/>
          <w:sz w:val="32"/>
          <w:szCs w:val="32"/>
        </w:rPr>
        <w:t>《医疗器械通用名称命名规则》（国家食品药品监督管理总局令第</w:t>
      </w:r>
      <w:r w:rsidRPr="00CC5603">
        <w:rPr>
          <w:rFonts w:eastAsia="仿宋_GB2312"/>
          <w:sz w:val="32"/>
          <w:szCs w:val="32"/>
        </w:rPr>
        <w:t>19</w:t>
      </w:r>
      <w:r w:rsidRPr="00CC5603">
        <w:rPr>
          <w:rFonts w:eastAsia="仿宋_GB2312"/>
          <w:sz w:val="32"/>
          <w:szCs w:val="32"/>
        </w:rPr>
        <w:t>号）</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6.</w:t>
      </w:r>
      <w:r w:rsidRPr="00CC5603">
        <w:rPr>
          <w:rFonts w:eastAsia="仿宋_GB2312"/>
          <w:sz w:val="32"/>
          <w:szCs w:val="32"/>
        </w:rPr>
        <w:t>《关于发布医疗器械临床评价技术指导原则的通告》（国家食品药品监督管理总局</w:t>
      </w:r>
      <w:r>
        <w:rPr>
          <w:rFonts w:eastAsia="仿宋_GB2312" w:hint="eastAsia"/>
          <w:sz w:val="32"/>
          <w:szCs w:val="32"/>
        </w:rPr>
        <w:t>通告</w:t>
      </w:r>
      <w:r w:rsidRPr="00CC5603">
        <w:rPr>
          <w:rFonts w:eastAsia="仿宋_GB2312"/>
          <w:sz w:val="32"/>
          <w:szCs w:val="32"/>
        </w:rPr>
        <w:t>2015</w:t>
      </w:r>
      <w:r w:rsidRPr="00CC5603">
        <w:rPr>
          <w:rFonts w:eastAsia="仿宋_GB2312"/>
          <w:sz w:val="32"/>
          <w:szCs w:val="32"/>
        </w:rPr>
        <w:t>年第</w:t>
      </w:r>
      <w:r w:rsidRPr="00CC5603">
        <w:rPr>
          <w:rFonts w:eastAsia="仿宋_GB2312"/>
          <w:sz w:val="32"/>
          <w:szCs w:val="32"/>
        </w:rPr>
        <w:t>14</w:t>
      </w:r>
      <w:r w:rsidRPr="00CC5603">
        <w:rPr>
          <w:rFonts w:eastAsia="仿宋_GB2312"/>
          <w:sz w:val="32"/>
          <w:szCs w:val="32"/>
        </w:rPr>
        <w:t>号）</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7.</w:t>
      </w:r>
      <w:r w:rsidRPr="00CC5603">
        <w:rPr>
          <w:rFonts w:eastAsia="仿宋_GB2312"/>
          <w:sz w:val="32"/>
          <w:szCs w:val="32"/>
        </w:rPr>
        <w:t>《关于印发医疗器械生物学评价和审查指南的通知》（国食药监械〔</w:t>
      </w:r>
      <w:r w:rsidRPr="00CC5603">
        <w:rPr>
          <w:rFonts w:eastAsia="仿宋_GB2312"/>
          <w:sz w:val="32"/>
          <w:szCs w:val="32"/>
        </w:rPr>
        <w:t>2007</w:t>
      </w:r>
      <w:r w:rsidRPr="00CC5603">
        <w:rPr>
          <w:rFonts w:eastAsia="仿宋_GB2312"/>
          <w:sz w:val="32"/>
          <w:szCs w:val="32"/>
        </w:rPr>
        <w:t>〕</w:t>
      </w:r>
      <w:r w:rsidRPr="00CC5603">
        <w:rPr>
          <w:rFonts w:eastAsia="仿宋_GB2312"/>
          <w:sz w:val="32"/>
          <w:szCs w:val="32"/>
        </w:rPr>
        <w:t>345</w:t>
      </w:r>
      <w:r w:rsidRPr="00CC5603">
        <w:rPr>
          <w:rFonts w:eastAsia="仿宋_GB2312"/>
          <w:sz w:val="32"/>
          <w:szCs w:val="32"/>
        </w:rPr>
        <w:t>号）</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8.</w:t>
      </w:r>
      <w:r w:rsidRPr="00CC5603">
        <w:rPr>
          <w:rFonts w:eastAsia="仿宋_GB2312"/>
          <w:sz w:val="32"/>
          <w:szCs w:val="32"/>
        </w:rPr>
        <w:t>《关于发布免于进行临床试验的第三类医疗器械目录的通告》（国家食品药品监督管理总局通告</w:t>
      </w:r>
      <w:r w:rsidRPr="00CC5603">
        <w:rPr>
          <w:rFonts w:eastAsia="仿宋_GB2312"/>
          <w:sz w:val="32"/>
          <w:szCs w:val="32"/>
        </w:rPr>
        <w:t>2014</w:t>
      </w:r>
      <w:r w:rsidRPr="00CC5603">
        <w:rPr>
          <w:rFonts w:eastAsia="仿宋_GB2312"/>
          <w:sz w:val="32"/>
          <w:szCs w:val="32"/>
        </w:rPr>
        <w:t>年第</w:t>
      </w:r>
      <w:r w:rsidRPr="00CC5603">
        <w:rPr>
          <w:rFonts w:eastAsia="仿宋_GB2312"/>
          <w:sz w:val="32"/>
          <w:szCs w:val="32"/>
        </w:rPr>
        <w:t>13</w:t>
      </w:r>
      <w:r w:rsidRPr="00CC5603">
        <w:rPr>
          <w:rFonts w:eastAsia="仿宋_GB2312"/>
          <w:sz w:val="32"/>
          <w:szCs w:val="32"/>
        </w:rPr>
        <w:t>号）</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9.</w:t>
      </w:r>
      <w:r w:rsidRPr="00CC5603">
        <w:rPr>
          <w:rFonts w:eastAsia="仿宋_GB2312"/>
          <w:sz w:val="32"/>
          <w:szCs w:val="32"/>
        </w:rPr>
        <w:t>《纤维桩理论与实践》（人民卫生出版社）</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10.</w:t>
      </w:r>
      <w:r w:rsidRPr="00CC5603">
        <w:rPr>
          <w:rFonts w:eastAsia="仿宋_GB2312"/>
          <w:sz w:val="32"/>
          <w:szCs w:val="32"/>
        </w:rPr>
        <w:t>《口腔材料学》（人民卫生出版社第</w:t>
      </w:r>
      <w:r w:rsidRPr="00CC5603">
        <w:rPr>
          <w:rFonts w:eastAsia="仿宋_GB2312"/>
          <w:sz w:val="32"/>
          <w:szCs w:val="32"/>
        </w:rPr>
        <w:t>5</w:t>
      </w:r>
      <w:r w:rsidRPr="00CC5603">
        <w:rPr>
          <w:rFonts w:eastAsia="仿宋_GB2312"/>
          <w:sz w:val="32"/>
          <w:szCs w:val="32"/>
        </w:rPr>
        <w:t>版；北京大学医学出版社第</w:t>
      </w:r>
      <w:r w:rsidRPr="00CC5603">
        <w:rPr>
          <w:rFonts w:eastAsia="仿宋_GB2312"/>
          <w:sz w:val="32"/>
          <w:szCs w:val="32"/>
        </w:rPr>
        <w:t>2</w:t>
      </w:r>
      <w:r w:rsidRPr="00CC5603">
        <w:rPr>
          <w:rFonts w:eastAsia="仿宋_GB2312"/>
          <w:sz w:val="32"/>
          <w:szCs w:val="32"/>
        </w:rPr>
        <w:t>版；人民军医出版社第</w:t>
      </w:r>
      <w:r w:rsidRPr="00CC5603">
        <w:rPr>
          <w:rFonts w:eastAsia="仿宋_GB2312"/>
          <w:sz w:val="32"/>
          <w:szCs w:val="32"/>
        </w:rPr>
        <w:t>3</w:t>
      </w:r>
      <w:r w:rsidRPr="00CC5603">
        <w:rPr>
          <w:rFonts w:eastAsia="仿宋_GB2312"/>
          <w:sz w:val="32"/>
          <w:szCs w:val="32"/>
        </w:rPr>
        <w:t>版）</w:t>
      </w:r>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11.YY/T 0517-2009</w:t>
      </w:r>
      <w:r w:rsidRPr="00CC5603">
        <w:rPr>
          <w:rFonts w:eastAsia="仿宋_GB2312"/>
          <w:sz w:val="32"/>
          <w:szCs w:val="32"/>
        </w:rPr>
        <w:t>《牙科预成根管桩》</w:t>
      </w:r>
      <w:bookmarkStart w:id="13" w:name="_Toc470865609"/>
    </w:p>
    <w:p w:rsidR="00124240" w:rsidRPr="00AE38A3" w:rsidRDefault="00124240" w:rsidP="00124240">
      <w:pPr>
        <w:spacing w:line="520" w:lineRule="exact"/>
        <w:ind w:firstLineChars="200" w:firstLine="640"/>
        <w:rPr>
          <w:rFonts w:ascii="黑体" w:eastAsia="黑体" w:hAnsi="黑体"/>
          <w:sz w:val="32"/>
          <w:szCs w:val="32"/>
        </w:rPr>
      </w:pPr>
      <w:r w:rsidRPr="00AE38A3">
        <w:rPr>
          <w:rFonts w:ascii="黑体" w:eastAsia="黑体" w:hAnsi="黑体"/>
          <w:sz w:val="32"/>
          <w:szCs w:val="32"/>
        </w:rPr>
        <w:t>五、起草单位</w:t>
      </w:r>
      <w:bookmarkEnd w:id="13"/>
    </w:p>
    <w:p w:rsidR="00124240" w:rsidRPr="00CC5603" w:rsidRDefault="00124240" w:rsidP="00124240">
      <w:pPr>
        <w:spacing w:line="520" w:lineRule="exact"/>
        <w:ind w:firstLineChars="200" w:firstLine="640"/>
        <w:rPr>
          <w:rFonts w:eastAsia="仿宋_GB2312"/>
          <w:sz w:val="32"/>
          <w:szCs w:val="32"/>
        </w:rPr>
      </w:pPr>
      <w:r w:rsidRPr="00CC5603">
        <w:rPr>
          <w:rFonts w:eastAsia="仿宋_GB2312"/>
          <w:sz w:val="32"/>
          <w:szCs w:val="32"/>
        </w:rPr>
        <w:t>国家食品药品监督管理总局医疗器械技术审评中心。</w:t>
      </w:r>
    </w:p>
    <w:p w:rsidR="00570558" w:rsidRPr="00124240" w:rsidRDefault="00570558">
      <w:bookmarkStart w:id="14" w:name="_GoBack"/>
      <w:bookmarkEnd w:id="0"/>
      <w:bookmarkEnd w:id="14"/>
    </w:p>
    <w:sectPr w:rsidR="00570558" w:rsidRPr="00124240" w:rsidSect="00CC5603">
      <w:footerReference w:type="even" r:id="rId7"/>
      <w:footerReference w:type="default" r:id="rId8"/>
      <w:pgSz w:w="11906" w:h="16838"/>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A63" w:rsidRDefault="00F73A63" w:rsidP="00124240">
      <w:r>
        <w:separator/>
      </w:r>
    </w:p>
  </w:endnote>
  <w:endnote w:type="continuationSeparator" w:id="1">
    <w:p w:rsidR="00F73A63" w:rsidRDefault="00F73A63" w:rsidP="00124240">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3DC" w:rsidRPr="00CC5603" w:rsidRDefault="00673060">
    <w:pPr>
      <w:pStyle w:val="a4"/>
      <w:rPr>
        <w:sz w:val="28"/>
        <w:szCs w:val="28"/>
      </w:rPr>
    </w:pPr>
    <w:r w:rsidRPr="00CC5603">
      <w:rPr>
        <w:rFonts w:hint="eastAsia"/>
        <w:color w:val="FFFFFF"/>
        <w:sz w:val="28"/>
        <w:szCs w:val="28"/>
      </w:rPr>
      <w:t>—</w:t>
    </w:r>
    <w:r>
      <w:rPr>
        <w:rFonts w:hint="eastAsia"/>
        <w:sz w:val="28"/>
        <w:szCs w:val="28"/>
      </w:rPr>
      <w:t>—</w:t>
    </w:r>
    <w:r w:rsidR="00A61F14" w:rsidRPr="00CC5603">
      <w:rPr>
        <w:sz w:val="28"/>
        <w:szCs w:val="28"/>
      </w:rPr>
      <w:fldChar w:fldCharType="begin"/>
    </w:r>
    <w:r w:rsidRPr="00CC5603">
      <w:rPr>
        <w:sz w:val="28"/>
        <w:szCs w:val="28"/>
      </w:rPr>
      <w:instrText>PAGE   \* MERGEFORMAT</w:instrText>
    </w:r>
    <w:r w:rsidR="00A61F14" w:rsidRPr="00CC5603">
      <w:rPr>
        <w:sz w:val="28"/>
        <w:szCs w:val="28"/>
      </w:rPr>
      <w:fldChar w:fldCharType="separate"/>
    </w:r>
    <w:r w:rsidRPr="006B69A6">
      <w:rPr>
        <w:noProof/>
        <w:sz w:val="28"/>
        <w:szCs w:val="28"/>
        <w:lang w:val="zh-CN"/>
      </w:rPr>
      <w:t>4</w:t>
    </w:r>
    <w:r w:rsidR="00A61F14" w:rsidRPr="00CC5603">
      <w:rPr>
        <w:sz w:val="28"/>
        <w:szCs w:val="28"/>
      </w:rPr>
      <w:fldChar w:fldCharType="end"/>
    </w:r>
    <w:r>
      <w:rPr>
        <w:rFonts w:hint="eastAsia"/>
        <w:sz w:val="28"/>
        <w:szCs w:val="28"/>
      </w:rPr>
      <w:t>—</w:t>
    </w:r>
  </w:p>
  <w:p w:rsidR="00A73EB3" w:rsidRDefault="00F73A63" w:rsidP="00A73EB3">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3DC" w:rsidRPr="00CC5603" w:rsidRDefault="00673060" w:rsidP="00CC5603">
    <w:pPr>
      <w:pStyle w:val="a4"/>
      <w:wordWrap w:val="0"/>
      <w:jc w:val="right"/>
      <w:rPr>
        <w:sz w:val="28"/>
        <w:szCs w:val="28"/>
      </w:rPr>
    </w:pPr>
    <w:r>
      <w:rPr>
        <w:rFonts w:hint="eastAsia"/>
        <w:sz w:val="28"/>
        <w:szCs w:val="28"/>
      </w:rPr>
      <w:t>—</w:t>
    </w:r>
    <w:r w:rsidR="00A61F14" w:rsidRPr="00CC5603">
      <w:rPr>
        <w:sz w:val="28"/>
        <w:szCs w:val="28"/>
      </w:rPr>
      <w:fldChar w:fldCharType="begin"/>
    </w:r>
    <w:r w:rsidRPr="00CC5603">
      <w:rPr>
        <w:sz w:val="28"/>
        <w:szCs w:val="28"/>
      </w:rPr>
      <w:instrText>PAGE   \* MERGEFORMAT</w:instrText>
    </w:r>
    <w:r w:rsidR="00A61F14" w:rsidRPr="00CC5603">
      <w:rPr>
        <w:sz w:val="28"/>
        <w:szCs w:val="28"/>
      </w:rPr>
      <w:fldChar w:fldCharType="separate"/>
    </w:r>
    <w:r w:rsidR="00B95C93" w:rsidRPr="00B95C93">
      <w:rPr>
        <w:noProof/>
        <w:sz w:val="28"/>
        <w:szCs w:val="28"/>
        <w:lang w:val="zh-CN"/>
      </w:rPr>
      <w:t>2</w:t>
    </w:r>
    <w:r w:rsidR="00A61F14" w:rsidRPr="00CC5603">
      <w:rPr>
        <w:sz w:val="28"/>
        <w:szCs w:val="28"/>
      </w:rPr>
      <w:fldChar w:fldCharType="end"/>
    </w:r>
    <w:r>
      <w:rPr>
        <w:rFonts w:hint="eastAsia"/>
        <w:sz w:val="28"/>
        <w:szCs w:val="28"/>
      </w:rPr>
      <w:t>—</w:t>
    </w:r>
    <w:r w:rsidRPr="00CC5603">
      <w:rPr>
        <w:rFonts w:hint="eastAsia"/>
        <w:color w:val="FFFFFF"/>
        <w:sz w:val="28"/>
        <w:szCs w:val="28"/>
      </w:rPr>
      <w:t>—</w:t>
    </w:r>
  </w:p>
  <w:p w:rsidR="00A73EB3" w:rsidRDefault="00F73A63" w:rsidP="00A73EB3">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A63" w:rsidRDefault="00F73A63" w:rsidP="00124240">
      <w:r>
        <w:separator/>
      </w:r>
    </w:p>
  </w:footnote>
  <w:footnote w:type="continuationSeparator" w:id="1">
    <w:p w:rsidR="00F73A63" w:rsidRDefault="00F73A63" w:rsidP="001242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B19A1"/>
    <w:multiLevelType w:val="hybridMultilevel"/>
    <w:tmpl w:val="60D8C6CE"/>
    <w:lvl w:ilvl="0" w:tplc="C54CB124">
      <w:start w:val="4"/>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2A5C4C"/>
    <w:multiLevelType w:val="hybridMultilevel"/>
    <w:tmpl w:val="0E9A8078"/>
    <w:lvl w:ilvl="0" w:tplc="BBE6102E">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67B0"/>
    <w:rsid w:val="00124240"/>
    <w:rsid w:val="00206AD4"/>
    <w:rsid w:val="00570558"/>
    <w:rsid w:val="00673060"/>
    <w:rsid w:val="008A03AD"/>
    <w:rsid w:val="009251D0"/>
    <w:rsid w:val="00A61F14"/>
    <w:rsid w:val="00AE67B0"/>
    <w:rsid w:val="00B95C93"/>
    <w:rsid w:val="00F73A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240"/>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24240"/>
    <w:pPr>
      <w:keepNext/>
      <w:keepLines/>
      <w:spacing w:before="340" w:after="330" w:line="578" w:lineRule="auto"/>
      <w:outlineLvl w:val="0"/>
    </w:pPr>
    <w:rPr>
      <w:rFonts w:ascii="Calibri" w:hAnsi="Calibri" w:cs="Calibr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242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4240"/>
    <w:rPr>
      <w:sz w:val="18"/>
      <w:szCs w:val="18"/>
    </w:rPr>
  </w:style>
  <w:style w:type="paragraph" w:styleId="a4">
    <w:name w:val="footer"/>
    <w:basedOn w:val="a"/>
    <w:link w:val="Char0"/>
    <w:uiPriority w:val="99"/>
    <w:unhideWhenUsed/>
    <w:rsid w:val="00124240"/>
    <w:pPr>
      <w:tabs>
        <w:tab w:val="center" w:pos="4153"/>
        <w:tab w:val="right" w:pos="8306"/>
      </w:tabs>
      <w:snapToGrid w:val="0"/>
      <w:jc w:val="left"/>
    </w:pPr>
    <w:rPr>
      <w:sz w:val="18"/>
      <w:szCs w:val="18"/>
    </w:rPr>
  </w:style>
  <w:style w:type="character" w:customStyle="1" w:styleId="Char0">
    <w:name w:val="页脚 Char"/>
    <w:basedOn w:val="a0"/>
    <w:link w:val="a4"/>
    <w:uiPriority w:val="99"/>
    <w:rsid w:val="00124240"/>
    <w:rPr>
      <w:sz w:val="18"/>
      <w:szCs w:val="18"/>
    </w:rPr>
  </w:style>
  <w:style w:type="character" w:customStyle="1" w:styleId="1Char">
    <w:name w:val="标题 1 Char"/>
    <w:basedOn w:val="a0"/>
    <w:link w:val="1"/>
    <w:uiPriority w:val="9"/>
    <w:rsid w:val="00124240"/>
    <w:rPr>
      <w:rFonts w:ascii="Calibri" w:eastAsia="宋体" w:hAnsi="Calibri" w:cs="Calibri"/>
      <w:b/>
      <w:bCs/>
      <w:kern w:val="44"/>
      <w:sz w:val="44"/>
      <w:szCs w:val="44"/>
    </w:rPr>
  </w:style>
  <w:style w:type="paragraph" w:styleId="a5">
    <w:name w:val="Document Map"/>
    <w:basedOn w:val="a"/>
    <w:link w:val="Char1"/>
    <w:semiHidden/>
    <w:rsid w:val="00124240"/>
    <w:pPr>
      <w:shd w:val="clear" w:color="auto" w:fill="000080"/>
    </w:pPr>
  </w:style>
  <w:style w:type="character" w:customStyle="1" w:styleId="Char1">
    <w:name w:val="文档结构图 Char"/>
    <w:basedOn w:val="a0"/>
    <w:link w:val="a5"/>
    <w:semiHidden/>
    <w:rsid w:val="00124240"/>
    <w:rPr>
      <w:rFonts w:ascii="Times New Roman" w:eastAsia="宋体" w:hAnsi="Times New Roman" w:cs="Times New Roman"/>
      <w:szCs w:val="24"/>
      <w:shd w:val="clear" w:color="auto" w:fill="000080"/>
    </w:rPr>
  </w:style>
  <w:style w:type="character" w:styleId="a6">
    <w:name w:val="page number"/>
    <w:basedOn w:val="a0"/>
    <w:rsid w:val="00124240"/>
  </w:style>
  <w:style w:type="paragraph" w:styleId="a7">
    <w:name w:val="List Paragraph"/>
    <w:basedOn w:val="a"/>
    <w:uiPriority w:val="34"/>
    <w:qFormat/>
    <w:rsid w:val="00124240"/>
    <w:pPr>
      <w:widowControl/>
      <w:ind w:left="720"/>
      <w:contextualSpacing/>
      <w:jc w:val="left"/>
    </w:pPr>
    <w:rPr>
      <w:kern w:val="0"/>
      <w:sz w:val="24"/>
      <w:lang w:eastAsia="en-US"/>
    </w:rPr>
  </w:style>
  <w:style w:type="paragraph" w:styleId="a8">
    <w:name w:val="Title"/>
    <w:basedOn w:val="a"/>
    <w:next w:val="a"/>
    <w:link w:val="Char2"/>
    <w:uiPriority w:val="10"/>
    <w:qFormat/>
    <w:rsid w:val="00124240"/>
    <w:pPr>
      <w:spacing w:before="240" w:after="60"/>
      <w:jc w:val="center"/>
      <w:outlineLvl w:val="0"/>
    </w:pPr>
    <w:rPr>
      <w:rFonts w:ascii="Cambria" w:hAnsi="Cambria"/>
      <w:b/>
      <w:bCs/>
      <w:sz w:val="32"/>
      <w:szCs w:val="32"/>
    </w:rPr>
  </w:style>
  <w:style w:type="character" w:customStyle="1" w:styleId="Char2">
    <w:name w:val="标题 Char"/>
    <w:basedOn w:val="a0"/>
    <w:link w:val="a8"/>
    <w:uiPriority w:val="10"/>
    <w:rsid w:val="00124240"/>
    <w:rPr>
      <w:rFonts w:ascii="Cambria" w:eastAsia="宋体" w:hAnsi="Cambria" w:cs="Times New Roman"/>
      <w:b/>
      <w:bCs/>
      <w:sz w:val="32"/>
      <w:szCs w:val="32"/>
    </w:rPr>
  </w:style>
  <w:style w:type="paragraph" w:styleId="a9">
    <w:name w:val="Subtitle"/>
    <w:basedOn w:val="a"/>
    <w:next w:val="a"/>
    <w:link w:val="Char3"/>
    <w:uiPriority w:val="11"/>
    <w:qFormat/>
    <w:rsid w:val="00124240"/>
    <w:pPr>
      <w:spacing w:before="240" w:after="60" w:line="312" w:lineRule="auto"/>
      <w:jc w:val="center"/>
      <w:outlineLvl w:val="1"/>
    </w:pPr>
    <w:rPr>
      <w:rFonts w:ascii="Cambria" w:hAnsi="Cambria"/>
      <w:b/>
      <w:bCs/>
      <w:kern w:val="28"/>
      <w:sz w:val="32"/>
      <w:szCs w:val="32"/>
    </w:rPr>
  </w:style>
  <w:style w:type="character" w:customStyle="1" w:styleId="Char3">
    <w:name w:val="副标题 Char"/>
    <w:basedOn w:val="a0"/>
    <w:link w:val="a9"/>
    <w:uiPriority w:val="11"/>
    <w:rsid w:val="00124240"/>
    <w:rPr>
      <w:rFonts w:ascii="Cambria" w:eastAsia="宋体" w:hAnsi="Cambria" w:cs="Times New Roman"/>
      <w:b/>
      <w:bCs/>
      <w:kern w:val="28"/>
      <w:sz w:val="32"/>
      <w:szCs w:val="32"/>
    </w:rPr>
  </w:style>
  <w:style w:type="paragraph" w:styleId="aa">
    <w:name w:val="Plain Text"/>
    <w:basedOn w:val="a"/>
    <w:link w:val="Char4"/>
    <w:uiPriority w:val="99"/>
    <w:unhideWhenUsed/>
    <w:rsid w:val="00124240"/>
    <w:rPr>
      <w:rFonts w:ascii="宋体" w:hAnsi="Courier New"/>
      <w:kern w:val="0"/>
      <w:sz w:val="20"/>
      <w:szCs w:val="21"/>
    </w:rPr>
  </w:style>
  <w:style w:type="character" w:customStyle="1" w:styleId="Char4">
    <w:name w:val="纯文本 Char"/>
    <w:basedOn w:val="a0"/>
    <w:link w:val="aa"/>
    <w:uiPriority w:val="99"/>
    <w:rsid w:val="00124240"/>
    <w:rPr>
      <w:rFonts w:ascii="宋体" w:eastAsia="宋体" w:hAnsi="Courier New" w:cs="Times New Roman"/>
      <w:kern w:val="0"/>
      <w:sz w:val="20"/>
      <w:szCs w:val="21"/>
    </w:rPr>
  </w:style>
  <w:style w:type="paragraph" w:customStyle="1" w:styleId="Default">
    <w:name w:val="Default"/>
    <w:rsid w:val="00124240"/>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b">
    <w:name w:val="王奕改内文"/>
    <w:basedOn w:val="a"/>
    <w:link w:val="Char5"/>
    <w:rsid w:val="00124240"/>
    <w:pPr>
      <w:widowControl/>
      <w:spacing w:line="360" w:lineRule="auto"/>
      <w:ind w:firstLineChars="200" w:firstLine="200"/>
    </w:pPr>
    <w:rPr>
      <w:rFonts w:ascii="宋体" w:hAnsi="宋体" w:cs="MS Shell Dlg"/>
      <w:color w:val="000000"/>
      <w:spacing w:val="-4"/>
      <w:kern w:val="0"/>
      <w:sz w:val="24"/>
    </w:rPr>
  </w:style>
  <w:style w:type="character" w:customStyle="1" w:styleId="Char5">
    <w:name w:val="王奕改内文 Char"/>
    <w:link w:val="ab"/>
    <w:rsid w:val="00124240"/>
    <w:rPr>
      <w:rFonts w:ascii="宋体" w:eastAsia="宋体" w:hAnsi="宋体" w:cs="MS Shell Dlg"/>
      <w:color w:val="000000"/>
      <w:spacing w:val="-4"/>
      <w:kern w:val="0"/>
      <w:sz w:val="24"/>
      <w:szCs w:val="24"/>
    </w:rPr>
  </w:style>
  <w:style w:type="paragraph" w:customStyle="1" w:styleId="10">
    <w:name w:val="列出段落1"/>
    <w:basedOn w:val="a"/>
    <w:rsid w:val="00124240"/>
    <w:pPr>
      <w:ind w:firstLineChars="200" w:firstLine="420"/>
    </w:pPr>
    <w:rPr>
      <w:rFonts w:ascii="Calibri" w:hAnsi="Calibri"/>
      <w:szCs w:val="22"/>
    </w:rPr>
  </w:style>
  <w:style w:type="paragraph" w:styleId="ac">
    <w:name w:val="Balloon Text"/>
    <w:basedOn w:val="a"/>
    <w:link w:val="Char6"/>
    <w:rsid w:val="00124240"/>
    <w:rPr>
      <w:sz w:val="18"/>
      <w:szCs w:val="18"/>
    </w:rPr>
  </w:style>
  <w:style w:type="character" w:customStyle="1" w:styleId="Char6">
    <w:name w:val="批注框文本 Char"/>
    <w:basedOn w:val="a0"/>
    <w:link w:val="ac"/>
    <w:rsid w:val="0012424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240"/>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24240"/>
    <w:pPr>
      <w:keepNext/>
      <w:keepLines/>
      <w:spacing w:before="340" w:after="330" w:line="578" w:lineRule="auto"/>
      <w:outlineLvl w:val="0"/>
    </w:pPr>
    <w:rPr>
      <w:rFonts w:ascii="Calibri" w:hAnsi="Calibri" w:cs="Calibr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1242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4240"/>
    <w:rPr>
      <w:sz w:val="18"/>
      <w:szCs w:val="18"/>
    </w:rPr>
  </w:style>
  <w:style w:type="paragraph" w:styleId="a4">
    <w:name w:val="footer"/>
    <w:basedOn w:val="a"/>
    <w:link w:val="Char0"/>
    <w:uiPriority w:val="99"/>
    <w:unhideWhenUsed/>
    <w:rsid w:val="00124240"/>
    <w:pPr>
      <w:tabs>
        <w:tab w:val="center" w:pos="4153"/>
        <w:tab w:val="right" w:pos="8306"/>
      </w:tabs>
      <w:snapToGrid w:val="0"/>
      <w:jc w:val="left"/>
    </w:pPr>
    <w:rPr>
      <w:sz w:val="18"/>
      <w:szCs w:val="18"/>
    </w:rPr>
  </w:style>
  <w:style w:type="character" w:customStyle="1" w:styleId="Char0">
    <w:name w:val="页脚 Char"/>
    <w:basedOn w:val="a0"/>
    <w:link w:val="a4"/>
    <w:uiPriority w:val="99"/>
    <w:rsid w:val="00124240"/>
    <w:rPr>
      <w:sz w:val="18"/>
      <w:szCs w:val="18"/>
    </w:rPr>
  </w:style>
  <w:style w:type="character" w:customStyle="1" w:styleId="1Char">
    <w:name w:val="标题 1 Char"/>
    <w:basedOn w:val="a0"/>
    <w:link w:val="1"/>
    <w:uiPriority w:val="9"/>
    <w:rsid w:val="00124240"/>
    <w:rPr>
      <w:rFonts w:ascii="Calibri" w:eastAsia="宋体" w:hAnsi="Calibri" w:cs="Calibri"/>
      <w:b/>
      <w:bCs/>
      <w:kern w:val="44"/>
      <w:sz w:val="44"/>
      <w:szCs w:val="44"/>
    </w:rPr>
  </w:style>
  <w:style w:type="paragraph" w:styleId="a5">
    <w:name w:val="Document Map"/>
    <w:basedOn w:val="a"/>
    <w:link w:val="Char1"/>
    <w:semiHidden/>
    <w:rsid w:val="00124240"/>
    <w:pPr>
      <w:shd w:val="clear" w:color="auto" w:fill="000080"/>
    </w:pPr>
  </w:style>
  <w:style w:type="character" w:customStyle="1" w:styleId="Char1">
    <w:name w:val="文档结构图 Char"/>
    <w:basedOn w:val="a0"/>
    <w:link w:val="a5"/>
    <w:semiHidden/>
    <w:rsid w:val="00124240"/>
    <w:rPr>
      <w:rFonts w:ascii="Times New Roman" w:eastAsia="宋体" w:hAnsi="Times New Roman" w:cs="Times New Roman"/>
      <w:szCs w:val="24"/>
      <w:shd w:val="clear" w:color="auto" w:fill="000080"/>
    </w:rPr>
  </w:style>
  <w:style w:type="character" w:styleId="a6">
    <w:name w:val="page number"/>
    <w:basedOn w:val="a0"/>
    <w:rsid w:val="00124240"/>
  </w:style>
  <w:style w:type="paragraph" w:styleId="a7">
    <w:name w:val="List Paragraph"/>
    <w:basedOn w:val="a"/>
    <w:uiPriority w:val="34"/>
    <w:qFormat/>
    <w:rsid w:val="00124240"/>
    <w:pPr>
      <w:widowControl/>
      <w:ind w:left="720"/>
      <w:contextualSpacing/>
      <w:jc w:val="left"/>
    </w:pPr>
    <w:rPr>
      <w:kern w:val="0"/>
      <w:sz w:val="24"/>
      <w:lang w:eastAsia="en-US"/>
    </w:rPr>
  </w:style>
  <w:style w:type="paragraph" w:styleId="a8">
    <w:name w:val="Title"/>
    <w:basedOn w:val="a"/>
    <w:next w:val="a"/>
    <w:link w:val="Char2"/>
    <w:uiPriority w:val="10"/>
    <w:qFormat/>
    <w:rsid w:val="00124240"/>
    <w:pPr>
      <w:spacing w:before="240" w:after="60"/>
      <w:jc w:val="center"/>
      <w:outlineLvl w:val="0"/>
    </w:pPr>
    <w:rPr>
      <w:rFonts w:ascii="Cambria" w:hAnsi="Cambria"/>
      <w:b/>
      <w:bCs/>
      <w:sz w:val="32"/>
      <w:szCs w:val="32"/>
      <w:lang w:val="x-none" w:eastAsia="x-none"/>
    </w:rPr>
  </w:style>
  <w:style w:type="character" w:customStyle="1" w:styleId="Char2">
    <w:name w:val="标题 Char"/>
    <w:basedOn w:val="a0"/>
    <w:link w:val="a8"/>
    <w:uiPriority w:val="10"/>
    <w:rsid w:val="00124240"/>
    <w:rPr>
      <w:rFonts w:ascii="Cambria" w:eastAsia="宋体" w:hAnsi="Cambria" w:cs="Times New Roman"/>
      <w:b/>
      <w:bCs/>
      <w:sz w:val="32"/>
      <w:szCs w:val="32"/>
      <w:lang w:val="x-none" w:eastAsia="x-none"/>
    </w:rPr>
  </w:style>
  <w:style w:type="paragraph" w:styleId="a9">
    <w:name w:val="Subtitle"/>
    <w:basedOn w:val="a"/>
    <w:next w:val="a"/>
    <w:link w:val="Char3"/>
    <w:uiPriority w:val="11"/>
    <w:qFormat/>
    <w:rsid w:val="00124240"/>
    <w:pPr>
      <w:spacing w:before="240" w:after="60" w:line="312" w:lineRule="auto"/>
      <w:jc w:val="center"/>
      <w:outlineLvl w:val="1"/>
    </w:pPr>
    <w:rPr>
      <w:rFonts w:ascii="Cambria" w:hAnsi="Cambria"/>
      <w:b/>
      <w:bCs/>
      <w:kern w:val="28"/>
      <w:sz w:val="32"/>
      <w:szCs w:val="32"/>
      <w:lang w:val="x-none" w:eastAsia="x-none"/>
    </w:rPr>
  </w:style>
  <w:style w:type="character" w:customStyle="1" w:styleId="Char3">
    <w:name w:val="副标题 Char"/>
    <w:basedOn w:val="a0"/>
    <w:link w:val="a9"/>
    <w:uiPriority w:val="11"/>
    <w:rsid w:val="00124240"/>
    <w:rPr>
      <w:rFonts w:ascii="Cambria" w:eastAsia="宋体" w:hAnsi="Cambria" w:cs="Times New Roman"/>
      <w:b/>
      <w:bCs/>
      <w:kern w:val="28"/>
      <w:sz w:val="32"/>
      <w:szCs w:val="32"/>
      <w:lang w:val="x-none" w:eastAsia="x-none"/>
    </w:rPr>
  </w:style>
  <w:style w:type="paragraph" w:styleId="aa">
    <w:name w:val="Plain Text"/>
    <w:basedOn w:val="a"/>
    <w:link w:val="Char4"/>
    <w:uiPriority w:val="99"/>
    <w:unhideWhenUsed/>
    <w:rsid w:val="00124240"/>
    <w:rPr>
      <w:rFonts w:ascii="宋体" w:hAnsi="Courier New"/>
      <w:kern w:val="0"/>
      <w:sz w:val="20"/>
      <w:szCs w:val="21"/>
      <w:lang w:val="x-none" w:eastAsia="x-none"/>
    </w:rPr>
  </w:style>
  <w:style w:type="character" w:customStyle="1" w:styleId="Char4">
    <w:name w:val="纯文本 Char"/>
    <w:basedOn w:val="a0"/>
    <w:link w:val="aa"/>
    <w:uiPriority w:val="99"/>
    <w:rsid w:val="00124240"/>
    <w:rPr>
      <w:rFonts w:ascii="宋体" w:eastAsia="宋体" w:hAnsi="Courier New" w:cs="Times New Roman"/>
      <w:kern w:val="0"/>
      <w:sz w:val="20"/>
      <w:szCs w:val="21"/>
      <w:lang w:val="x-none" w:eastAsia="x-none"/>
    </w:rPr>
  </w:style>
  <w:style w:type="paragraph" w:customStyle="1" w:styleId="Default">
    <w:name w:val="Default"/>
    <w:rsid w:val="00124240"/>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b">
    <w:name w:val="王奕改内文"/>
    <w:basedOn w:val="a"/>
    <w:link w:val="Char5"/>
    <w:rsid w:val="00124240"/>
    <w:pPr>
      <w:widowControl/>
      <w:spacing w:line="360" w:lineRule="auto"/>
      <w:ind w:firstLineChars="200" w:firstLine="200"/>
    </w:pPr>
    <w:rPr>
      <w:rFonts w:ascii="宋体" w:hAnsi="宋体" w:cs="MS Shell Dlg"/>
      <w:color w:val="000000"/>
      <w:spacing w:val="-4"/>
      <w:kern w:val="0"/>
      <w:sz w:val="24"/>
    </w:rPr>
  </w:style>
  <w:style w:type="character" w:customStyle="1" w:styleId="Char5">
    <w:name w:val="王奕改内文 Char"/>
    <w:link w:val="ab"/>
    <w:rsid w:val="00124240"/>
    <w:rPr>
      <w:rFonts w:ascii="宋体" w:eastAsia="宋体" w:hAnsi="宋体" w:cs="MS Shell Dlg"/>
      <w:color w:val="000000"/>
      <w:spacing w:val="-4"/>
      <w:kern w:val="0"/>
      <w:sz w:val="24"/>
      <w:szCs w:val="24"/>
    </w:rPr>
  </w:style>
  <w:style w:type="paragraph" w:customStyle="1" w:styleId="10">
    <w:name w:val="列出段落1"/>
    <w:basedOn w:val="a"/>
    <w:rsid w:val="00124240"/>
    <w:pPr>
      <w:ind w:firstLineChars="200" w:firstLine="420"/>
    </w:pPr>
    <w:rPr>
      <w:rFonts w:ascii="Calibri" w:hAnsi="Calibri"/>
      <w:szCs w:val="22"/>
    </w:rPr>
  </w:style>
  <w:style w:type="paragraph" w:styleId="ac">
    <w:name w:val="Balloon Text"/>
    <w:basedOn w:val="a"/>
    <w:link w:val="Char6"/>
    <w:rsid w:val="00124240"/>
    <w:rPr>
      <w:sz w:val="18"/>
      <w:szCs w:val="18"/>
    </w:rPr>
  </w:style>
  <w:style w:type="character" w:customStyle="1" w:styleId="Char6">
    <w:name w:val="批注框文本 Char"/>
    <w:basedOn w:val="a0"/>
    <w:link w:val="ac"/>
    <w:rsid w:val="00124240"/>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1792</Words>
  <Characters>10218</Characters>
  <Application>Microsoft Office Word</Application>
  <DocSecurity>0</DocSecurity>
  <Lines>85</Lines>
  <Paragraphs>23</Paragraphs>
  <ScaleCrop>false</ScaleCrop>
  <Company>CFDA</Company>
  <LinksUpToDate>false</LinksUpToDate>
  <CharactersWithSpaces>11987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王兴龙</dc:creator>
  <cp:lastModifiedBy>wxl</cp:lastModifiedBy>
  <cp:revision>2</cp:revision>
  <dcterms:created xsi:type="dcterms:W3CDTF">2017-03-22T08:33:00Z</dcterms:created>
  <dcterms:modified xsi:type="dcterms:W3CDTF">2017-03-22T08:33:00Z</dcterms:modified>
</cp:coreProperties>
</file>