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73" w:rsidRPr="00FD1F93" w:rsidRDefault="00605A7A">
      <w:pPr>
        <w:spacing w:line="600" w:lineRule="exact"/>
        <w:jc w:val="left"/>
        <w:rPr>
          <w:rFonts w:ascii="黑体" w:eastAsia="黑体" w:hAnsi="黑体"/>
          <w:bCs/>
          <w:sz w:val="30"/>
          <w:szCs w:val="30"/>
        </w:rPr>
      </w:pPr>
      <w:r w:rsidRPr="00FD1F93">
        <w:rPr>
          <w:rFonts w:ascii="黑体" w:eastAsia="黑体" w:hAnsi="黑体" w:hint="eastAsia"/>
          <w:bCs/>
          <w:sz w:val="30"/>
          <w:szCs w:val="30"/>
        </w:rPr>
        <w:t>附件</w:t>
      </w:r>
      <w:r w:rsidRPr="00FD1F93">
        <w:rPr>
          <w:rFonts w:ascii="黑体" w:eastAsia="黑体" w:hAnsi="黑体" w:hint="eastAsia"/>
          <w:bCs/>
          <w:sz w:val="30"/>
          <w:szCs w:val="30"/>
        </w:rPr>
        <w:t>2</w:t>
      </w:r>
      <w:bookmarkStart w:id="0" w:name="_GoBack"/>
      <w:bookmarkEnd w:id="0"/>
    </w:p>
    <w:p w:rsidR="00601573" w:rsidRPr="00FD1F93" w:rsidRDefault="00605A7A" w:rsidP="00FD1F93">
      <w:pPr>
        <w:jc w:val="center"/>
        <w:rPr>
          <w:rFonts w:ascii="方正小标宋_GBK" w:eastAsia="方正小标宋_GBK" w:hint="eastAsia"/>
          <w:bCs/>
          <w:sz w:val="40"/>
          <w:szCs w:val="32"/>
        </w:rPr>
      </w:pPr>
      <w:r w:rsidRPr="00FD1F93">
        <w:rPr>
          <w:rFonts w:ascii="方正小标宋_GBK" w:eastAsia="方正小标宋_GBK" w:hAnsi="宋体" w:hint="eastAsia"/>
          <w:bCs/>
          <w:sz w:val="44"/>
          <w:szCs w:val="36"/>
        </w:rPr>
        <w:t>《</w:t>
      </w:r>
      <w:r w:rsidRPr="00FD1F93">
        <w:rPr>
          <w:rFonts w:ascii="方正小标宋_GBK" w:eastAsia="方正小标宋_GBK" w:hAnsi="宋体" w:hint="eastAsia"/>
          <w:bCs/>
          <w:sz w:val="44"/>
          <w:szCs w:val="36"/>
        </w:rPr>
        <w:t>移动</w:t>
      </w:r>
      <w:r w:rsidRPr="00FD1F93">
        <w:rPr>
          <w:rFonts w:ascii="方正小标宋_GBK" w:eastAsia="方正小标宋_GBK" w:hAnsi="宋体" w:hint="eastAsia"/>
          <w:bCs/>
          <w:sz w:val="44"/>
          <w:szCs w:val="36"/>
        </w:rPr>
        <w:t>医疗器械</w:t>
      </w:r>
      <w:r w:rsidRPr="00FD1F93">
        <w:rPr>
          <w:rFonts w:ascii="方正小标宋_GBK" w:eastAsia="方正小标宋_GBK" w:hAnsi="宋体" w:hint="eastAsia"/>
          <w:bCs/>
          <w:sz w:val="44"/>
          <w:szCs w:val="36"/>
        </w:rPr>
        <w:t>注册</w:t>
      </w:r>
      <w:r w:rsidRPr="00FD1F93">
        <w:rPr>
          <w:rFonts w:ascii="方正小标宋_GBK" w:eastAsia="方正小标宋_GBK" w:hAnsi="宋体" w:hint="eastAsia"/>
          <w:bCs/>
          <w:sz w:val="44"/>
          <w:szCs w:val="36"/>
        </w:rPr>
        <w:t>技术</w:t>
      </w:r>
      <w:r w:rsidRPr="00FD1F93">
        <w:rPr>
          <w:rFonts w:ascii="方正小标宋_GBK" w:eastAsia="方正小标宋_GBK" w:hAnsi="宋体" w:hint="eastAsia"/>
          <w:bCs/>
          <w:sz w:val="44"/>
          <w:szCs w:val="36"/>
        </w:rPr>
        <w:t>指导原则</w:t>
      </w:r>
      <w:r w:rsidRPr="00FD1F93">
        <w:rPr>
          <w:rFonts w:ascii="方正小标宋_GBK" w:eastAsia="方正小标宋_GBK" w:hAnsi="宋体" w:hint="eastAsia"/>
          <w:bCs/>
          <w:sz w:val="44"/>
          <w:szCs w:val="36"/>
        </w:rPr>
        <w:t>》</w:t>
      </w:r>
      <w:r w:rsidRPr="00FD1F93">
        <w:rPr>
          <w:rFonts w:ascii="方正小标宋_GBK" w:eastAsia="方正小标宋_GBK" w:hAnsi="宋体" w:hint="eastAsia"/>
          <w:bCs/>
          <w:sz w:val="44"/>
          <w:szCs w:val="36"/>
        </w:rPr>
        <w:t>编制说明</w:t>
      </w:r>
    </w:p>
    <w:p w:rsidR="00FD1F93" w:rsidRDefault="00FD1F93" w:rsidP="00FD1F93">
      <w:pPr>
        <w:ind w:firstLineChars="200" w:firstLine="640"/>
        <w:rPr>
          <w:rFonts w:eastAsia="黑体" w:hint="eastAsia"/>
          <w:sz w:val="32"/>
          <w:szCs w:val="32"/>
        </w:rPr>
      </w:pPr>
    </w:p>
    <w:p w:rsidR="00601573" w:rsidRDefault="00605A7A">
      <w:pPr>
        <w:spacing w:line="600" w:lineRule="exact"/>
        <w:ind w:firstLineChars="200" w:firstLine="640"/>
        <w:rPr>
          <w:rFonts w:eastAsia="黑体"/>
          <w:sz w:val="32"/>
          <w:szCs w:val="32"/>
        </w:rPr>
      </w:pPr>
      <w:r>
        <w:rPr>
          <w:rFonts w:eastAsia="黑体"/>
          <w:sz w:val="32"/>
          <w:szCs w:val="32"/>
        </w:rPr>
        <w:t>一、</w:t>
      </w:r>
      <w:r>
        <w:rPr>
          <w:rFonts w:eastAsia="黑体" w:hint="eastAsia"/>
          <w:sz w:val="32"/>
          <w:szCs w:val="32"/>
        </w:rPr>
        <w:t>编制背景</w:t>
      </w:r>
    </w:p>
    <w:p w:rsidR="00601573" w:rsidRDefault="00605A7A">
      <w:pPr>
        <w:pStyle w:val="Default"/>
        <w:adjustRightInd/>
        <w:spacing w:line="600" w:lineRule="exact"/>
        <w:ind w:firstLineChars="200" w:firstLine="640"/>
        <w:jc w:val="both"/>
        <w:rPr>
          <w:rFonts w:ascii="Times New Roman" w:eastAsia="仿宋_GB2312" w:cs="Times New Roman"/>
          <w:color w:val="auto"/>
          <w:kern w:val="2"/>
          <w:sz w:val="32"/>
          <w:szCs w:val="32"/>
        </w:rPr>
      </w:pPr>
      <w:r>
        <w:rPr>
          <w:rFonts w:ascii="Times New Roman" w:eastAsia="仿宋_GB2312" w:cs="Times New Roman" w:hint="eastAsia"/>
          <w:color w:val="auto"/>
          <w:kern w:val="2"/>
          <w:sz w:val="32"/>
          <w:szCs w:val="32"/>
        </w:rPr>
        <w:t>移动医疗器械</w:t>
      </w:r>
      <w:r>
        <w:rPr>
          <w:rFonts w:ascii="Times New Roman" w:eastAsia="仿宋_GB2312" w:cs="Times New Roman" w:hint="eastAsia"/>
          <w:color w:val="auto"/>
          <w:kern w:val="2"/>
          <w:sz w:val="32"/>
          <w:szCs w:val="32"/>
        </w:rPr>
        <w:t>作为</w:t>
      </w:r>
      <w:r>
        <w:rPr>
          <w:rFonts w:ascii="Times New Roman" w:eastAsia="仿宋_GB2312" w:cs="Times New Roman" w:hint="eastAsia"/>
          <w:color w:val="auto"/>
          <w:kern w:val="2"/>
          <w:sz w:val="32"/>
          <w:szCs w:val="32"/>
        </w:rPr>
        <w:t>移动计算技术</w:t>
      </w:r>
      <w:r>
        <w:rPr>
          <w:rFonts w:ascii="Times New Roman" w:eastAsia="仿宋_GB2312" w:cs="Times New Roman" w:hint="eastAsia"/>
          <w:color w:val="auto"/>
          <w:kern w:val="2"/>
          <w:sz w:val="32"/>
          <w:szCs w:val="32"/>
        </w:rPr>
        <w:t>与</w:t>
      </w:r>
      <w:r>
        <w:rPr>
          <w:rFonts w:ascii="Times New Roman" w:eastAsia="仿宋_GB2312" w:cs="Times New Roman" w:hint="eastAsia"/>
          <w:color w:val="auto"/>
          <w:kern w:val="2"/>
          <w:sz w:val="32"/>
          <w:szCs w:val="32"/>
        </w:rPr>
        <w:t>医疗器械的</w:t>
      </w:r>
      <w:r>
        <w:rPr>
          <w:rFonts w:ascii="Times New Roman" w:eastAsia="仿宋_GB2312" w:cs="Times New Roman" w:hint="eastAsia"/>
          <w:color w:val="auto"/>
          <w:kern w:val="2"/>
          <w:sz w:val="32"/>
          <w:szCs w:val="32"/>
        </w:rPr>
        <w:t>结合，</w:t>
      </w:r>
      <w:r>
        <w:rPr>
          <w:rFonts w:ascii="Times New Roman" w:eastAsia="仿宋_GB2312" w:cs="Times New Roman" w:hint="eastAsia"/>
          <w:color w:val="auto"/>
          <w:kern w:val="2"/>
          <w:sz w:val="32"/>
          <w:szCs w:val="32"/>
        </w:rPr>
        <w:t>是移动医疗的重要组成部分，涉及网络安全、云计算、大数据等技术领域</w:t>
      </w:r>
      <w:r>
        <w:rPr>
          <w:rFonts w:ascii="Times New Roman" w:eastAsia="仿宋_GB2312" w:cs="Times New Roman" w:hint="eastAsia"/>
          <w:color w:val="auto"/>
          <w:kern w:val="2"/>
          <w:sz w:val="32"/>
          <w:szCs w:val="32"/>
        </w:rPr>
        <w:t>，作为新兴的医疗器械类型</w:t>
      </w:r>
      <w:r>
        <w:rPr>
          <w:rFonts w:ascii="Times New Roman" w:eastAsia="仿宋_GB2312" w:cs="Times New Roman" w:hint="eastAsia"/>
          <w:color w:val="auto"/>
          <w:kern w:val="2"/>
          <w:sz w:val="32"/>
          <w:szCs w:val="32"/>
        </w:rPr>
        <w:t>通常可用于替代或部分替代传统医疗器械，</w:t>
      </w:r>
      <w:r>
        <w:rPr>
          <w:rFonts w:ascii="Times New Roman" w:eastAsia="仿宋_GB2312" w:cs="Times New Roman" w:hint="eastAsia"/>
          <w:color w:val="auto"/>
          <w:kern w:val="2"/>
          <w:sz w:val="32"/>
          <w:szCs w:val="32"/>
        </w:rPr>
        <w:t>其</w:t>
      </w:r>
      <w:r>
        <w:rPr>
          <w:rFonts w:ascii="Times New Roman" w:eastAsia="仿宋_GB2312" w:cs="Times New Roman" w:hint="eastAsia"/>
          <w:color w:val="auto"/>
          <w:kern w:val="2"/>
          <w:sz w:val="32"/>
          <w:szCs w:val="32"/>
        </w:rPr>
        <w:t>监管范围和要求需要予以明确。</w:t>
      </w:r>
    </w:p>
    <w:p w:rsidR="00601573" w:rsidRDefault="00605A7A">
      <w:pPr>
        <w:spacing w:line="600" w:lineRule="exact"/>
        <w:ind w:firstLine="645"/>
        <w:rPr>
          <w:rFonts w:eastAsia="黑体"/>
          <w:sz w:val="32"/>
          <w:szCs w:val="32"/>
        </w:rPr>
      </w:pPr>
      <w:r>
        <w:rPr>
          <w:rFonts w:eastAsia="仿宋_GB2312"/>
          <w:sz w:val="32"/>
          <w:szCs w:val="32"/>
        </w:rPr>
        <w:t>本指导原则旨在指导制造商提交</w:t>
      </w:r>
      <w:r>
        <w:rPr>
          <w:rFonts w:eastAsia="仿宋_GB2312" w:hint="eastAsia"/>
          <w:sz w:val="32"/>
          <w:szCs w:val="32"/>
        </w:rPr>
        <w:t>移动</w:t>
      </w:r>
      <w:r>
        <w:rPr>
          <w:rFonts w:eastAsia="仿宋_GB2312"/>
          <w:sz w:val="32"/>
          <w:szCs w:val="32"/>
        </w:rPr>
        <w:t>医疗器械注册申报资料，同时规范</w:t>
      </w:r>
      <w:r>
        <w:rPr>
          <w:rFonts w:eastAsia="仿宋_GB2312" w:hint="eastAsia"/>
          <w:sz w:val="32"/>
          <w:szCs w:val="32"/>
        </w:rPr>
        <w:t>移动</w:t>
      </w:r>
      <w:r>
        <w:rPr>
          <w:rFonts w:eastAsia="仿宋_GB2312"/>
          <w:sz w:val="32"/>
          <w:szCs w:val="32"/>
        </w:rPr>
        <w:t>医疗器械的技术审评要求。</w:t>
      </w:r>
    </w:p>
    <w:p w:rsidR="00601573" w:rsidRDefault="00605A7A">
      <w:pPr>
        <w:spacing w:line="600" w:lineRule="exact"/>
        <w:ind w:firstLineChars="200" w:firstLine="640"/>
        <w:rPr>
          <w:rFonts w:eastAsia="仿宋_GB2312"/>
          <w:sz w:val="32"/>
          <w:szCs w:val="32"/>
        </w:rPr>
      </w:pPr>
      <w:r>
        <w:rPr>
          <w:rFonts w:eastAsia="仿宋_GB2312"/>
          <w:sz w:val="32"/>
          <w:szCs w:val="32"/>
        </w:rPr>
        <w:t>本指导原则</w:t>
      </w:r>
      <w:r>
        <w:rPr>
          <w:rFonts w:eastAsia="仿宋_GB2312" w:hint="eastAsia"/>
          <w:sz w:val="32"/>
          <w:szCs w:val="32"/>
        </w:rPr>
        <w:t>编制任务源自</w:t>
      </w:r>
      <w:r>
        <w:rPr>
          <w:rFonts w:eastAsia="仿宋_GB2312"/>
          <w:sz w:val="32"/>
          <w:szCs w:val="32"/>
        </w:rPr>
        <w:t>国家食品药品监督管理总局医疗器械技术审评中心</w:t>
      </w:r>
      <w:r>
        <w:rPr>
          <w:rFonts w:eastAsia="仿宋_GB2312" w:hint="eastAsia"/>
          <w:sz w:val="32"/>
          <w:szCs w:val="32"/>
        </w:rPr>
        <w:t>2017</w:t>
      </w:r>
      <w:r>
        <w:rPr>
          <w:rFonts w:eastAsia="仿宋_GB2312" w:hint="eastAsia"/>
          <w:sz w:val="32"/>
          <w:szCs w:val="32"/>
        </w:rPr>
        <w:t>年度指导原则制修订工作计划。</w:t>
      </w:r>
    </w:p>
    <w:p w:rsidR="00601573" w:rsidRDefault="00605A7A">
      <w:pPr>
        <w:spacing w:line="600" w:lineRule="exact"/>
        <w:ind w:firstLineChars="200" w:firstLine="640"/>
        <w:rPr>
          <w:rFonts w:eastAsia="仿宋_GB2312"/>
          <w:sz w:val="32"/>
          <w:szCs w:val="32"/>
        </w:rPr>
      </w:pPr>
      <w:r>
        <w:rPr>
          <w:rFonts w:eastAsia="仿宋_GB2312" w:hint="eastAsia"/>
          <w:sz w:val="32"/>
          <w:szCs w:val="32"/>
        </w:rPr>
        <w:t>本指导原则主要依据《中国人民共和国网络安全法》、食药监总局相关法规、卫生计生委相关规定、医疗器械相关标准、信息安全相关标准（云计算、大数据、移动智能终端）的要求而编写的，同时参考借鉴了美国</w:t>
      </w:r>
      <w:r>
        <w:rPr>
          <w:rFonts w:eastAsia="仿宋_GB2312" w:hint="eastAsia"/>
          <w:sz w:val="32"/>
          <w:szCs w:val="32"/>
        </w:rPr>
        <w:t>FDA</w:t>
      </w:r>
      <w:r>
        <w:rPr>
          <w:rFonts w:eastAsia="仿宋_GB2312" w:hint="eastAsia"/>
          <w:sz w:val="32"/>
          <w:szCs w:val="32"/>
        </w:rPr>
        <w:t>指南、欧盟文件、</w:t>
      </w:r>
      <w:r>
        <w:rPr>
          <w:rFonts w:eastAsia="仿宋_GB2312" w:hint="eastAsia"/>
          <w:sz w:val="32"/>
          <w:szCs w:val="32"/>
        </w:rPr>
        <w:t>IMDRF</w:t>
      </w:r>
      <w:r>
        <w:rPr>
          <w:rFonts w:eastAsia="仿宋_GB2312" w:hint="eastAsia"/>
          <w:sz w:val="32"/>
          <w:szCs w:val="32"/>
        </w:rPr>
        <w:t>文件的相关要求。</w:t>
      </w:r>
    </w:p>
    <w:p w:rsidR="00601573" w:rsidRDefault="00605A7A">
      <w:pPr>
        <w:spacing w:line="600" w:lineRule="exact"/>
        <w:ind w:firstLineChars="200" w:firstLine="640"/>
        <w:rPr>
          <w:rFonts w:eastAsia="仿宋_GB2312"/>
          <w:sz w:val="32"/>
          <w:szCs w:val="32"/>
        </w:rPr>
      </w:pPr>
      <w:r>
        <w:rPr>
          <w:rFonts w:eastAsia="仿宋_GB2312" w:hint="eastAsia"/>
          <w:sz w:val="32"/>
          <w:szCs w:val="32"/>
        </w:rPr>
        <w:t>本指导原则应结合《医疗器械软件注册技术审查指导原则》</w:t>
      </w:r>
      <w:r>
        <w:rPr>
          <w:rFonts w:eastAsia="仿宋_GB2312" w:hint="eastAsia"/>
          <w:sz w:val="32"/>
          <w:szCs w:val="32"/>
        </w:rPr>
        <w:t>《</w:t>
      </w:r>
      <w:r>
        <w:rPr>
          <w:rFonts w:eastAsia="仿宋_GB2312" w:hint="eastAsia"/>
          <w:sz w:val="32"/>
          <w:szCs w:val="32"/>
        </w:rPr>
        <w:t>医疗器械网络安全注册技术审查指导原则</w:t>
      </w:r>
      <w:r>
        <w:rPr>
          <w:rFonts w:eastAsia="仿宋_GB2312" w:hint="eastAsia"/>
          <w:sz w:val="32"/>
          <w:szCs w:val="32"/>
        </w:rPr>
        <w:t>》</w:t>
      </w:r>
      <w:r>
        <w:rPr>
          <w:rFonts w:eastAsia="仿宋_GB2312" w:hint="eastAsia"/>
          <w:sz w:val="32"/>
          <w:szCs w:val="32"/>
        </w:rPr>
        <w:t>和相关医疗器械产品指导原则的</w:t>
      </w:r>
      <w:r>
        <w:rPr>
          <w:rFonts w:eastAsia="仿宋_GB2312" w:hint="eastAsia"/>
          <w:sz w:val="32"/>
          <w:szCs w:val="32"/>
        </w:rPr>
        <w:t>要求</w:t>
      </w:r>
      <w:r>
        <w:rPr>
          <w:rFonts w:eastAsia="仿宋_GB2312" w:hint="eastAsia"/>
          <w:sz w:val="32"/>
          <w:szCs w:val="32"/>
        </w:rPr>
        <w:t>进行</w:t>
      </w:r>
      <w:r>
        <w:rPr>
          <w:rFonts w:eastAsia="仿宋_GB2312" w:hint="eastAsia"/>
          <w:sz w:val="32"/>
          <w:szCs w:val="32"/>
        </w:rPr>
        <w:t>使用。</w:t>
      </w:r>
    </w:p>
    <w:p w:rsidR="00601573" w:rsidRDefault="00605A7A">
      <w:pPr>
        <w:spacing w:line="600" w:lineRule="exact"/>
        <w:ind w:firstLineChars="200" w:firstLine="640"/>
        <w:rPr>
          <w:rFonts w:eastAsia="黑体"/>
          <w:sz w:val="32"/>
          <w:szCs w:val="32"/>
        </w:rPr>
      </w:pPr>
      <w:r>
        <w:rPr>
          <w:rFonts w:eastAsia="黑体" w:hint="eastAsia"/>
          <w:sz w:val="32"/>
          <w:szCs w:val="32"/>
        </w:rPr>
        <w:t>二</w:t>
      </w:r>
      <w:r>
        <w:rPr>
          <w:rFonts w:eastAsia="黑体"/>
          <w:sz w:val="32"/>
          <w:szCs w:val="32"/>
        </w:rPr>
        <w:t>、</w:t>
      </w:r>
      <w:r>
        <w:rPr>
          <w:rFonts w:eastAsia="黑体" w:hint="eastAsia"/>
          <w:sz w:val="32"/>
          <w:szCs w:val="32"/>
        </w:rPr>
        <w:t>编制过程</w:t>
      </w:r>
    </w:p>
    <w:p w:rsidR="00601573" w:rsidRDefault="00605A7A">
      <w:pPr>
        <w:spacing w:line="600" w:lineRule="exact"/>
        <w:ind w:firstLineChars="200" w:firstLine="640"/>
        <w:rPr>
          <w:rFonts w:eastAsia="仿宋_GB2312"/>
          <w:sz w:val="32"/>
          <w:szCs w:val="32"/>
        </w:rPr>
      </w:pPr>
      <w:r>
        <w:rPr>
          <w:rFonts w:eastAsia="仿宋_GB2312" w:hint="eastAsia"/>
          <w:sz w:val="32"/>
          <w:szCs w:val="32"/>
        </w:rPr>
        <w:t>自</w:t>
      </w:r>
      <w:r>
        <w:rPr>
          <w:rFonts w:eastAsia="仿宋_GB2312" w:hint="eastAsia"/>
          <w:sz w:val="32"/>
          <w:szCs w:val="32"/>
        </w:rPr>
        <w:t>2013</w:t>
      </w:r>
      <w:r>
        <w:rPr>
          <w:rFonts w:eastAsia="仿宋_GB2312" w:hint="eastAsia"/>
          <w:sz w:val="32"/>
          <w:szCs w:val="32"/>
        </w:rPr>
        <w:t>年起持续进行美国、欧盟移动医疗器械监管的文献</w:t>
      </w:r>
      <w:r>
        <w:rPr>
          <w:rFonts w:eastAsia="仿宋_GB2312" w:hint="eastAsia"/>
          <w:sz w:val="32"/>
          <w:szCs w:val="32"/>
        </w:rPr>
        <w:lastRenderedPageBreak/>
        <w:t>调研，并结合审评经验总结移动医疗器械安全有效性评价要求。</w:t>
      </w:r>
      <w:r>
        <w:rPr>
          <w:rFonts w:eastAsia="仿宋_GB2312" w:hint="eastAsia"/>
          <w:sz w:val="32"/>
          <w:szCs w:val="32"/>
        </w:rPr>
        <w:t>2016</w:t>
      </w:r>
      <w:r>
        <w:rPr>
          <w:rFonts w:eastAsia="仿宋_GB2312" w:hint="eastAsia"/>
          <w:sz w:val="32"/>
          <w:szCs w:val="32"/>
        </w:rPr>
        <w:t>年开展了远程医疗继续教育活动，进一步探讨了移动医疗器械、云计算的技术要求。</w:t>
      </w:r>
    </w:p>
    <w:p w:rsidR="00601573" w:rsidRDefault="00605A7A">
      <w:pPr>
        <w:spacing w:line="600" w:lineRule="exact"/>
        <w:ind w:firstLineChars="200" w:firstLine="640"/>
        <w:rPr>
          <w:rFonts w:eastAsia="仿宋_GB2312"/>
          <w:sz w:val="32"/>
          <w:szCs w:val="32"/>
        </w:rPr>
      </w:pPr>
      <w:r>
        <w:rPr>
          <w:rFonts w:eastAsia="仿宋_GB2312" w:hint="eastAsia"/>
          <w:sz w:val="32"/>
          <w:szCs w:val="32"/>
        </w:rPr>
        <w:t>2017</w:t>
      </w:r>
      <w:r>
        <w:rPr>
          <w:rFonts w:eastAsia="仿宋_GB2312" w:hint="eastAsia"/>
          <w:sz w:val="32"/>
          <w:szCs w:val="32"/>
        </w:rPr>
        <w:t>年启动指导原则编写工作，</w:t>
      </w:r>
      <w:r>
        <w:rPr>
          <w:rFonts w:eastAsia="仿宋_GB2312" w:hint="eastAsia"/>
          <w:sz w:val="32"/>
          <w:szCs w:val="32"/>
        </w:rPr>
        <w:t>2017</w:t>
      </w:r>
      <w:r>
        <w:rPr>
          <w:rFonts w:eastAsia="仿宋_GB2312" w:hint="eastAsia"/>
          <w:sz w:val="32"/>
          <w:szCs w:val="32"/>
        </w:rPr>
        <w:t>年</w:t>
      </w:r>
      <w:r>
        <w:rPr>
          <w:rFonts w:eastAsia="仿宋_GB2312" w:hint="eastAsia"/>
          <w:sz w:val="32"/>
          <w:szCs w:val="32"/>
        </w:rPr>
        <w:t>7</w:t>
      </w:r>
      <w:r>
        <w:rPr>
          <w:rFonts w:eastAsia="仿宋_GB2312" w:hint="eastAsia"/>
          <w:sz w:val="32"/>
          <w:szCs w:val="32"/>
        </w:rPr>
        <w:t>月形成草稿并在中心内部（审评一部、二部、六部）征求意见，未收到反馈意见，再经二次修改形成讨论稿。</w:t>
      </w:r>
    </w:p>
    <w:p w:rsidR="00601573" w:rsidRDefault="00605A7A">
      <w:pPr>
        <w:spacing w:line="600" w:lineRule="exact"/>
        <w:ind w:firstLineChars="200" w:firstLine="640"/>
        <w:rPr>
          <w:rFonts w:eastAsia="仿宋_GB2312"/>
          <w:sz w:val="32"/>
          <w:szCs w:val="32"/>
        </w:rPr>
      </w:pPr>
      <w:r>
        <w:rPr>
          <w:rFonts w:eastAsia="仿宋_GB2312" w:hint="eastAsia"/>
          <w:sz w:val="32"/>
          <w:szCs w:val="32"/>
        </w:rPr>
        <w:t>2017</w:t>
      </w:r>
      <w:r>
        <w:rPr>
          <w:rFonts w:eastAsia="仿宋_GB2312" w:hint="eastAsia"/>
          <w:sz w:val="32"/>
          <w:szCs w:val="32"/>
        </w:rPr>
        <w:t>年</w:t>
      </w:r>
      <w:r>
        <w:rPr>
          <w:rFonts w:eastAsia="仿宋_GB2312" w:hint="eastAsia"/>
          <w:sz w:val="32"/>
          <w:szCs w:val="32"/>
        </w:rPr>
        <w:t>8</w:t>
      </w:r>
      <w:r>
        <w:rPr>
          <w:rFonts w:eastAsia="仿宋_GB2312" w:hint="eastAsia"/>
          <w:sz w:val="32"/>
          <w:szCs w:val="32"/>
        </w:rPr>
        <w:t>月</w:t>
      </w:r>
      <w:r>
        <w:rPr>
          <w:rFonts w:eastAsia="仿宋_GB2312" w:hint="eastAsia"/>
          <w:sz w:val="32"/>
          <w:szCs w:val="32"/>
        </w:rPr>
        <w:t>29</w:t>
      </w:r>
      <w:r>
        <w:rPr>
          <w:rFonts w:eastAsia="仿宋_GB2312" w:hint="eastAsia"/>
          <w:sz w:val="32"/>
          <w:szCs w:val="32"/>
        </w:rPr>
        <w:t>日召开专家研讨会，共邀请</w:t>
      </w:r>
      <w:r>
        <w:rPr>
          <w:rFonts w:eastAsia="仿宋_GB2312" w:hint="eastAsia"/>
          <w:sz w:val="32"/>
          <w:szCs w:val="32"/>
        </w:rPr>
        <w:t>16</w:t>
      </w:r>
      <w:r>
        <w:rPr>
          <w:rFonts w:eastAsia="仿宋_GB2312" w:hint="eastAsia"/>
          <w:sz w:val="32"/>
          <w:szCs w:val="32"/>
        </w:rPr>
        <w:t>位专家、</w:t>
      </w:r>
      <w:r>
        <w:rPr>
          <w:rFonts w:eastAsia="仿宋_GB2312" w:hint="eastAsia"/>
          <w:sz w:val="32"/>
          <w:szCs w:val="32"/>
        </w:rPr>
        <w:t>8</w:t>
      </w:r>
      <w:r>
        <w:rPr>
          <w:rFonts w:eastAsia="仿宋_GB2312" w:hint="eastAsia"/>
          <w:sz w:val="32"/>
          <w:szCs w:val="32"/>
        </w:rPr>
        <w:t>家企业、</w:t>
      </w:r>
      <w:r>
        <w:rPr>
          <w:rFonts w:eastAsia="仿宋_GB2312" w:hint="eastAsia"/>
          <w:sz w:val="32"/>
          <w:szCs w:val="32"/>
        </w:rPr>
        <w:t>3</w:t>
      </w:r>
      <w:r>
        <w:rPr>
          <w:rFonts w:eastAsia="仿宋_GB2312" w:hint="eastAsia"/>
          <w:sz w:val="32"/>
          <w:szCs w:val="32"/>
        </w:rPr>
        <w:t>家行业组织参会。会议主要意见和建议如下：建议明确移动计算终端的定义，移动计算终端建议删除自制终端，移动医疗器械</w:t>
      </w:r>
      <w:r>
        <w:rPr>
          <w:rFonts w:eastAsia="仿宋_GB2312" w:hint="eastAsia"/>
          <w:sz w:val="32"/>
          <w:szCs w:val="32"/>
        </w:rPr>
        <w:t>判定原则建议简化处理，建议考虑移动医疗器械使用环节的风险。征求意见稿修改情况如下：增加“移动计算终端”的定义，考虑到穿戴式产品多为自制终端故予以保留，移动医疗器械判定原则进行简化处理，补充患者使用的移动医疗器械需要考虑使用环节风险；同时将“移动计算终端”的使用形式改为“手持式、穿戴式和混合式”，“具备计算能力”改为“含有医疗器械软件”，移动独立软件明确商业现成移动计算终端包含外观改装，移动医疗附件两种类型分别命名为控制型和数据型以便阅读，技术考量将网络安全能力调至首位，技术要求予以细化。</w:t>
      </w:r>
    </w:p>
    <w:p w:rsidR="00601573" w:rsidRDefault="00605A7A">
      <w:pPr>
        <w:spacing w:line="600" w:lineRule="exact"/>
        <w:ind w:firstLineChars="200" w:firstLine="640"/>
        <w:rPr>
          <w:rFonts w:eastAsia="黑体"/>
          <w:sz w:val="32"/>
          <w:szCs w:val="32"/>
        </w:rPr>
      </w:pPr>
      <w:r>
        <w:rPr>
          <w:rFonts w:eastAsia="黑体" w:hint="eastAsia"/>
          <w:sz w:val="32"/>
          <w:szCs w:val="32"/>
        </w:rPr>
        <w:t>三、编制内容说明</w:t>
      </w:r>
    </w:p>
    <w:p w:rsidR="00601573" w:rsidRDefault="00605A7A">
      <w:pPr>
        <w:spacing w:line="600" w:lineRule="exact"/>
        <w:ind w:firstLineChars="200" w:firstLine="640"/>
        <w:rPr>
          <w:rFonts w:eastAsia="仿宋_GB2312"/>
          <w:sz w:val="32"/>
          <w:szCs w:val="32"/>
        </w:rPr>
      </w:pPr>
      <w:r>
        <w:rPr>
          <w:rFonts w:eastAsia="仿宋_GB2312" w:hint="eastAsia"/>
          <w:sz w:val="32"/>
          <w:szCs w:val="32"/>
        </w:rPr>
        <w:t>本指导原则共分为六个章节：适用范围、移动医疗器械、基本原则、技术考量、注册申报资料要求、参考文献，其中移动医疗器械明确了移动医疗器械的定义、类型和判定原则，基本原则明确了移动医疗器械的风险、制造商的责任与要求、注册申报资</w:t>
      </w:r>
      <w:r>
        <w:rPr>
          <w:rFonts w:eastAsia="仿宋_GB2312" w:hint="eastAsia"/>
          <w:sz w:val="32"/>
          <w:szCs w:val="32"/>
        </w:rPr>
        <w:lastRenderedPageBreak/>
        <w:t>料总体要求，技术考量明确了网络安全能力、显示屏、环境光、电池容量、云计算服务、穿戴计算技术六个方面的考量与要求，注册申报资料要求明确了移动医疗设备、移动独立软件、移动医疗附件的注册申报资料要求。</w:t>
      </w:r>
    </w:p>
    <w:p w:rsidR="00601573" w:rsidRDefault="00605A7A">
      <w:pPr>
        <w:spacing w:line="600" w:lineRule="exact"/>
        <w:ind w:firstLineChars="200" w:firstLine="640"/>
        <w:rPr>
          <w:rFonts w:eastAsia="仿宋_GB2312"/>
          <w:sz w:val="32"/>
          <w:szCs w:val="32"/>
        </w:rPr>
      </w:pPr>
      <w:r>
        <w:rPr>
          <w:rFonts w:eastAsia="仿宋_GB2312" w:hint="eastAsia"/>
          <w:sz w:val="32"/>
          <w:szCs w:val="32"/>
        </w:rPr>
        <w:t>本指导原则主要依据美国关于移动医疗应用的定义和</w:t>
      </w:r>
      <w:r>
        <w:rPr>
          <w:rFonts w:eastAsia="仿宋_GB2312" w:hint="eastAsia"/>
          <w:sz w:val="32"/>
          <w:szCs w:val="32"/>
        </w:rPr>
        <w:t>IMDRF</w:t>
      </w:r>
      <w:r>
        <w:rPr>
          <w:rFonts w:eastAsia="仿宋_GB2312" w:hint="eastAsia"/>
          <w:sz w:val="32"/>
          <w:szCs w:val="32"/>
        </w:rPr>
        <w:t>关于独立软件的定义，将移动医疗器械定义为</w:t>
      </w:r>
      <w:r>
        <w:rPr>
          <w:rFonts w:eastAsia="仿宋_GB2312" w:hint="eastAsia"/>
          <w:sz w:val="32"/>
          <w:szCs w:val="32"/>
        </w:rPr>
        <w:t>“采用无创移动计算终端实现一项或多项医疗用途的设备或软件，其中移动计算终端是指供个人使用的移动计算技术产品终端，包括商业现成（非医用）终端和自制（医用）终端，使用形式可分为手持式、穿戴式和混合式，明确移动医疗器械是移动计算技术与医疗器械的结合，与“移动式医疗器械”（参见</w:t>
      </w:r>
      <w:r>
        <w:rPr>
          <w:rFonts w:eastAsia="仿宋_GB2312" w:hint="eastAsia"/>
          <w:sz w:val="32"/>
          <w:szCs w:val="32"/>
        </w:rPr>
        <w:t>GB 9706.1-2007</w:t>
      </w:r>
      <w:r>
        <w:rPr>
          <w:rFonts w:eastAsia="仿宋_GB2312" w:hint="eastAsia"/>
          <w:sz w:val="32"/>
          <w:szCs w:val="32"/>
        </w:rPr>
        <w:t>定义）有所不同。</w:t>
      </w:r>
    </w:p>
    <w:p w:rsidR="00601573" w:rsidRDefault="00605A7A">
      <w:pPr>
        <w:spacing w:line="600" w:lineRule="exact"/>
        <w:ind w:firstLineChars="200" w:firstLine="640"/>
        <w:rPr>
          <w:rFonts w:eastAsia="仿宋_GB2312"/>
          <w:sz w:val="32"/>
          <w:szCs w:val="32"/>
        </w:rPr>
      </w:pPr>
      <w:r>
        <w:rPr>
          <w:rFonts w:eastAsia="仿宋_GB2312" w:hint="eastAsia"/>
          <w:sz w:val="32"/>
          <w:szCs w:val="32"/>
        </w:rPr>
        <w:t>美国移动医疗应用指南适用于采用手持式商业现成移动计算终端的产品，主要明确了移动医疗应用的监管范围。欧盟相关指南主要明确了移动独立软件的判定原则。本指导原则适用于采用手持式、穿戴式或混合式的商业现成</w:t>
      </w:r>
      <w:r>
        <w:rPr>
          <w:rFonts w:eastAsia="仿宋_GB2312" w:hint="eastAsia"/>
          <w:sz w:val="32"/>
          <w:szCs w:val="32"/>
        </w:rPr>
        <w:t>和自制移动计算终端的产品，明确了移动医疗器械的技术考量，与美国、欧盟相比，适用范围更广，技术要求也更为具体。</w:t>
      </w:r>
    </w:p>
    <w:p w:rsidR="00601573" w:rsidRDefault="00605A7A">
      <w:pPr>
        <w:spacing w:line="600" w:lineRule="exact"/>
        <w:ind w:firstLineChars="200" w:firstLine="640"/>
        <w:rPr>
          <w:rFonts w:eastAsia="仿宋_GB2312"/>
          <w:sz w:val="32"/>
          <w:szCs w:val="32"/>
        </w:rPr>
      </w:pPr>
      <w:r>
        <w:rPr>
          <w:rFonts w:eastAsia="仿宋_GB2312" w:hint="eastAsia"/>
          <w:sz w:val="32"/>
          <w:szCs w:val="32"/>
        </w:rPr>
        <w:t>移动医疗器械与移动健康电子产品不存在严格的划分界线，符合医疗器械定义的移动计算设备或软件属于移动医疗器械，但在工作实践中存在着难以操作的问题。本指导原则建议结合移动计算设备或软件的预期用途、目标人群和核心功能进行综合判定，必要时进行医疗器械分类界定。</w:t>
      </w:r>
    </w:p>
    <w:p w:rsidR="00601573" w:rsidRDefault="00605A7A">
      <w:pPr>
        <w:pStyle w:val="Default"/>
        <w:adjustRightInd/>
        <w:spacing w:line="600" w:lineRule="exact"/>
        <w:ind w:firstLineChars="200" w:firstLine="640"/>
        <w:jc w:val="both"/>
        <w:rPr>
          <w:rFonts w:eastAsia="仿宋_GB2312"/>
          <w:color w:val="auto"/>
          <w:sz w:val="32"/>
          <w:szCs w:val="32"/>
        </w:rPr>
      </w:pPr>
      <w:r>
        <w:rPr>
          <w:rFonts w:eastAsia="仿宋_GB2312" w:hint="eastAsia"/>
          <w:color w:val="auto"/>
          <w:sz w:val="32"/>
          <w:szCs w:val="32"/>
        </w:rPr>
        <w:lastRenderedPageBreak/>
        <w:t>移动医疗器械与云计算相结合使用的情况日益普遍，本指导原则从现成软件和供应商的角度明确了云计算服务的技术要求。同时，本指导原则要求制造商</w:t>
      </w:r>
      <w:r>
        <w:rPr>
          <w:rFonts w:eastAsia="仿宋_GB2312" w:hint="eastAsia"/>
          <w:color w:val="auto"/>
          <w:sz w:val="32"/>
          <w:szCs w:val="32"/>
        </w:rPr>
        <w:t>持续跟踪与网络安</w:t>
      </w:r>
      <w:r>
        <w:rPr>
          <w:rFonts w:eastAsia="仿宋_GB2312" w:hint="eastAsia"/>
          <w:color w:val="auto"/>
          <w:sz w:val="32"/>
          <w:szCs w:val="32"/>
        </w:rPr>
        <w:t>全</w:t>
      </w:r>
      <w:r>
        <w:rPr>
          <w:rFonts w:eastAsia="仿宋_GB2312" w:hint="eastAsia"/>
          <w:color w:val="auto"/>
          <w:sz w:val="32"/>
          <w:szCs w:val="32"/>
        </w:rPr>
        <w:t>、</w:t>
      </w:r>
      <w:r>
        <w:rPr>
          <w:rFonts w:eastAsia="仿宋_GB2312" w:hint="eastAsia"/>
          <w:color w:val="auto"/>
          <w:sz w:val="32"/>
          <w:szCs w:val="32"/>
        </w:rPr>
        <w:t>云计算、大数据</w:t>
      </w:r>
      <w:r>
        <w:rPr>
          <w:rFonts w:eastAsia="仿宋_GB2312" w:hint="eastAsia"/>
          <w:color w:val="auto"/>
          <w:sz w:val="32"/>
          <w:szCs w:val="32"/>
        </w:rPr>
        <w:t>相关的</w:t>
      </w:r>
      <w:r>
        <w:rPr>
          <w:rFonts w:eastAsia="仿宋_GB2312" w:hint="eastAsia"/>
          <w:color w:val="auto"/>
          <w:sz w:val="32"/>
          <w:szCs w:val="32"/>
        </w:rPr>
        <w:t>国家</w:t>
      </w:r>
      <w:r>
        <w:rPr>
          <w:rFonts w:eastAsia="仿宋_GB2312" w:hint="eastAsia"/>
          <w:color w:val="auto"/>
          <w:sz w:val="32"/>
          <w:szCs w:val="32"/>
        </w:rPr>
        <w:t>法律法规</w:t>
      </w:r>
      <w:r>
        <w:rPr>
          <w:rFonts w:eastAsia="仿宋_GB2312" w:hint="eastAsia"/>
          <w:color w:val="auto"/>
          <w:sz w:val="32"/>
          <w:szCs w:val="32"/>
        </w:rPr>
        <w:t>和部门规章的规定，保证移动医疗器械产品自身的网络安全，保护患者隐私。另外，云计算、大数据、移动智能终端相关国家标准正在陆续制订和发布当中，本指导原则参考文献列出了相应标准，以供制造商参考使用。</w:t>
      </w:r>
    </w:p>
    <w:p w:rsidR="00601573" w:rsidRDefault="00605A7A">
      <w:pPr>
        <w:pStyle w:val="Default"/>
        <w:adjustRightInd/>
        <w:spacing w:line="600" w:lineRule="exact"/>
        <w:ind w:firstLineChars="200" w:firstLine="640"/>
        <w:jc w:val="both"/>
        <w:rPr>
          <w:rFonts w:eastAsia="仿宋_GB2312"/>
          <w:color w:val="auto"/>
          <w:sz w:val="32"/>
          <w:szCs w:val="32"/>
        </w:rPr>
      </w:pPr>
      <w:r>
        <w:rPr>
          <w:rFonts w:eastAsia="仿宋_GB2312" w:hint="eastAsia"/>
          <w:color w:val="auto"/>
          <w:sz w:val="32"/>
          <w:szCs w:val="32"/>
        </w:rPr>
        <w:t>在计算机领域，移动计算技术和穿戴计算技术的关系尚无定论，一种观点认为穿戴计算技术是移动计算技术的重要分支，另一种观点认为穿戴计算技术是下一代移动计算技术。从监管角度出发，本指导原则所述移动计算技术包含穿戴计算技术。</w:t>
      </w:r>
    </w:p>
    <w:p w:rsidR="00601573" w:rsidRDefault="00605A7A">
      <w:pPr>
        <w:spacing w:line="600" w:lineRule="exact"/>
        <w:ind w:firstLineChars="200" w:firstLine="640"/>
        <w:rPr>
          <w:rFonts w:eastAsia="仿宋_GB2312"/>
          <w:sz w:val="32"/>
          <w:szCs w:val="32"/>
        </w:rPr>
      </w:pPr>
      <w:r>
        <w:rPr>
          <w:rFonts w:eastAsia="仿宋_GB2312" w:hint="eastAsia"/>
          <w:sz w:val="32"/>
          <w:szCs w:val="32"/>
        </w:rPr>
        <w:t>目前，穿戴式移动医疗器械主要是可戴式产品，可穿式产品较少，而采用柔</w:t>
      </w:r>
      <w:r>
        <w:rPr>
          <w:rFonts w:eastAsia="仿宋_GB2312" w:hint="eastAsia"/>
          <w:sz w:val="32"/>
          <w:szCs w:val="32"/>
        </w:rPr>
        <w:t>性计算技术的穿戴式移动医疗器械尚无产品上市。考虑到技术发展趋势，本指导原则明确采用柔性计算技术的移动医疗器械除通用要求外还应提供可用性和可靠性的验证资料，今后将结合产品情况和技术发展趋势进一步细化要求。</w:t>
      </w:r>
    </w:p>
    <w:p w:rsidR="00601573" w:rsidRDefault="00605A7A">
      <w:pPr>
        <w:spacing w:line="600" w:lineRule="exact"/>
        <w:ind w:firstLineChars="200" w:firstLine="640"/>
        <w:rPr>
          <w:rFonts w:eastAsia="仿宋_GB2312"/>
          <w:sz w:val="32"/>
          <w:szCs w:val="32"/>
        </w:rPr>
      </w:pPr>
      <w:r>
        <w:rPr>
          <w:rFonts w:eastAsia="仿宋_GB2312" w:hint="eastAsia"/>
          <w:sz w:val="32"/>
          <w:szCs w:val="32"/>
        </w:rPr>
        <w:t>鉴于移动医疗器械产品种类繁多，使用形式多样，临床要求和性能指标差异较大，难以统一注册申报资料要求。本指导原则要求制造商根据移动医疗器械的类型、所用移动计算终端的特点以及临床要求提交相应注册申报资料，证明产品的安全性和有效性。今后，本指导原则将综合考虑移动医疗器械的发展趋势和其对监管资源、能力的要求，在适当时</w:t>
      </w:r>
      <w:r>
        <w:rPr>
          <w:rFonts w:eastAsia="仿宋_GB2312" w:hint="eastAsia"/>
          <w:sz w:val="32"/>
          <w:szCs w:val="32"/>
        </w:rPr>
        <w:t>机下开展</w:t>
      </w:r>
      <w:r>
        <w:rPr>
          <w:rFonts w:eastAsia="仿宋_GB2312"/>
          <w:sz w:val="32"/>
          <w:szCs w:val="32"/>
        </w:rPr>
        <w:t>修订</w:t>
      </w:r>
      <w:r>
        <w:rPr>
          <w:rFonts w:eastAsia="仿宋_GB2312" w:hint="eastAsia"/>
          <w:sz w:val="32"/>
          <w:szCs w:val="32"/>
        </w:rPr>
        <w:t>工作。</w:t>
      </w:r>
    </w:p>
    <w:p w:rsidR="00601573" w:rsidRDefault="00605A7A">
      <w:pPr>
        <w:spacing w:line="600" w:lineRule="exact"/>
        <w:ind w:firstLineChars="200" w:firstLine="640"/>
        <w:rPr>
          <w:rFonts w:eastAsia="黑体"/>
          <w:sz w:val="32"/>
          <w:szCs w:val="32"/>
        </w:rPr>
      </w:pPr>
      <w:r>
        <w:rPr>
          <w:rFonts w:eastAsia="黑体" w:hint="eastAsia"/>
          <w:sz w:val="32"/>
          <w:szCs w:val="32"/>
        </w:rPr>
        <w:t>四、起草单位与人员</w:t>
      </w:r>
    </w:p>
    <w:p w:rsidR="00601573" w:rsidRDefault="00605A7A">
      <w:pPr>
        <w:spacing w:line="600" w:lineRule="exact"/>
        <w:ind w:firstLineChars="200" w:firstLine="640"/>
      </w:pPr>
      <w:r>
        <w:rPr>
          <w:rFonts w:eastAsia="仿宋_GB2312" w:hint="eastAsia"/>
          <w:sz w:val="32"/>
          <w:szCs w:val="32"/>
        </w:rPr>
        <w:lastRenderedPageBreak/>
        <w:t>本指导原则起草单位为</w:t>
      </w:r>
      <w:r>
        <w:rPr>
          <w:rFonts w:eastAsia="仿宋_GB2312"/>
          <w:sz w:val="32"/>
          <w:szCs w:val="32"/>
        </w:rPr>
        <w:t>国家食品药品监督管理总局医疗器械技术审评中心</w:t>
      </w:r>
      <w:r>
        <w:rPr>
          <w:rFonts w:eastAsia="仿宋_GB2312" w:hint="eastAsia"/>
          <w:sz w:val="32"/>
          <w:szCs w:val="32"/>
        </w:rPr>
        <w:t>，</w:t>
      </w:r>
      <w:r>
        <w:rPr>
          <w:rFonts w:eastAsia="仿宋_GB2312" w:hint="eastAsia"/>
          <w:sz w:val="32"/>
          <w:szCs w:val="32"/>
        </w:rPr>
        <w:t>起草人员为彭亮。</w:t>
      </w:r>
    </w:p>
    <w:sectPr w:rsidR="00601573" w:rsidSect="00601573">
      <w:footerReference w:type="default" r:id="rId7"/>
      <w:pgSz w:w="11906" w:h="16838"/>
      <w:pgMar w:top="1440" w:right="1474" w:bottom="1440"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A7A" w:rsidRDefault="00605A7A" w:rsidP="00601573">
      <w:r>
        <w:separator/>
      </w:r>
    </w:p>
  </w:endnote>
  <w:endnote w:type="continuationSeparator" w:id="0">
    <w:p w:rsidR="00605A7A" w:rsidRDefault="00605A7A" w:rsidP="006015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573" w:rsidRDefault="00601573">
    <w:pPr>
      <w:pStyle w:val="a3"/>
      <w:wordWrap w:val="0"/>
      <w:jc w:val="right"/>
      <w:rPr>
        <w:sz w:val="28"/>
        <w:szCs w:val="28"/>
      </w:rPr>
    </w:pPr>
    <w:r w:rsidRPr="00601573">
      <w:rPr>
        <w:sz w:val="28"/>
      </w:rPr>
      <w:pict>
        <v:shapetype id="_x0000_t202" coordsize="21600,21600" o:spt="202" path="m,l,21600r21600,l21600,xe">
          <v:stroke joinstyle="miter"/>
          <v:path gradientshapeok="t" o:connecttype="rect"/>
        </v:shapetype>
        <v:shape id="_x0000_s1026" type="#_x0000_t202" style="position:absolute;left:0;text-align:left;margin-left:104pt;margin-top:0;width:2in;height:2in;z-index:251661312;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filled="f" stroked="f">
          <v:textbox style="mso-fit-shape-to-text:t" inset="0,0,0,0">
            <w:txbxContent>
              <w:p w:rsidR="00601573" w:rsidRDefault="00605A7A">
                <w:pPr>
                  <w:pStyle w:val="a3"/>
                  <w:wordWrap w:val="0"/>
                  <w:jc w:val="right"/>
                </w:pPr>
                <w:r>
                  <w:rPr>
                    <w:rFonts w:hint="eastAsia"/>
                    <w:sz w:val="28"/>
                    <w:szCs w:val="28"/>
                  </w:rPr>
                  <w:t>—</w:t>
                </w:r>
                <w:r>
                  <w:rPr>
                    <w:rFonts w:hint="eastAsia"/>
                    <w:sz w:val="28"/>
                    <w:szCs w:val="28"/>
                  </w:rPr>
                  <w:t xml:space="preserve"> </w:t>
                </w:r>
                <w:r w:rsidR="00601573">
                  <w:rPr>
                    <w:sz w:val="28"/>
                    <w:szCs w:val="28"/>
                  </w:rPr>
                  <w:fldChar w:fldCharType="begin"/>
                </w:r>
                <w:r>
                  <w:rPr>
                    <w:sz w:val="28"/>
                    <w:szCs w:val="28"/>
                  </w:rPr>
                  <w:instrText>PAGE   \* MERGEFORMAT</w:instrText>
                </w:r>
                <w:r w:rsidR="00601573">
                  <w:rPr>
                    <w:sz w:val="28"/>
                    <w:szCs w:val="28"/>
                  </w:rPr>
                  <w:fldChar w:fldCharType="separate"/>
                </w:r>
                <w:r w:rsidR="00FD1F93" w:rsidRPr="00FD1F93">
                  <w:rPr>
                    <w:noProof/>
                    <w:sz w:val="28"/>
                    <w:szCs w:val="28"/>
                    <w:lang w:val="zh-CN"/>
                  </w:rPr>
                  <w:t>4</w:t>
                </w:r>
                <w:r w:rsidR="00601573">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txbxContent>
          </v:textbox>
          <w10:wrap anchorx="margin"/>
        </v:shape>
      </w:pict>
    </w:r>
  </w:p>
  <w:p w:rsidR="00601573" w:rsidRDefault="00601573">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A7A" w:rsidRDefault="00605A7A" w:rsidP="00601573">
      <w:r>
        <w:separator/>
      </w:r>
    </w:p>
  </w:footnote>
  <w:footnote w:type="continuationSeparator" w:id="0">
    <w:p w:rsidR="00605A7A" w:rsidRDefault="00605A7A" w:rsidP="006015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49768B"/>
    <w:rsid w:val="00601573"/>
    <w:rsid w:val="00605A7A"/>
    <w:rsid w:val="00FD1F93"/>
    <w:rsid w:val="011E0BA5"/>
    <w:rsid w:val="01F8031B"/>
    <w:rsid w:val="048937CC"/>
    <w:rsid w:val="04BC0B4D"/>
    <w:rsid w:val="04E43314"/>
    <w:rsid w:val="0543252C"/>
    <w:rsid w:val="05B8367A"/>
    <w:rsid w:val="06506A37"/>
    <w:rsid w:val="098817CA"/>
    <w:rsid w:val="0A6E0D52"/>
    <w:rsid w:val="0BA91DB0"/>
    <w:rsid w:val="0D5E1AD8"/>
    <w:rsid w:val="103C75D7"/>
    <w:rsid w:val="12620A94"/>
    <w:rsid w:val="1439054F"/>
    <w:rsid w:val="15137190"/>
    <w:rsid w:val="153A2357"/>
    <w:rsid w:val="154F44C2"/>
    <w:rsid w:val="15AD0ADD"/>
    <w:rsid w:val="16860942"/>
    <w:rsid w:val="189E7438"/>
    <w:rsid w:val="18BE1853"/>
    <w:rsid w:val="1B98125C"/>
    <w:rsid w:val="1BC24212"/>
    <w:rsid w:val="1C631670"/>
    <w:rsid w:val="1D0118C9"/>
    <w:rsid w:val="1D8E1C81"/>
    <w:rsid w:val="1E402EEB"/>
    <w:rsid w:val="210D48EF"/>
    <w:rsid w:val="21637718"/>
    <w:rsid w:val="221D14E6"/>
    <w:rsid w:val="266E30A6"/>
    <w:rsid w:val="26D162DA"/>
    <w:rsid w:val="27631344"/>
    <w:rsid w:val="28095A82"/>
    <w:rsid w:val="285811E5"/>
    <w:rsid w:val="295C2436"/>
    <w:rsid w:val="2A04149F"/>
    <w:rsid w:val="2A433838"/>
    <w:rsid w:val="2B687132"/>
    <w:rsid w:val="2D1B661D"/>
    <w:rsid w:val="2D570844"/>
    <w:rsid w:val="2D902761"/>
    <w:rsid w:val="2E947D85"/>
    <w:rsid w:val="34540EBB"/>
    <w:rsid w:val="35BC3CA1"/>
    <w:rsid w:val="37714CD0"/>
    <w:rsid w:val="37B837DF"/>
    <w:rsid w:val="39262463"/>
    <w:rsid w:val="394968EA"/>
    <w:rsid w:val="39AC040F"/>
    <w:rsid w:val="3A2E745E"/>
    <w:rsid w:val="3A734D20"/>
    <w:rsid w:val="3AED4A50"/>
    <w:rsid w:val="3CF274DB"/>
    <w:rsid w:val="3D083232"/>
    <w:rsid w:val="3DD274EA"/>
    <w:rsid w:val="41144223"/>
    <w:rsid w:val="427F4580"/>
    <w:rsid w:val="432C2695"/>
    <w:rsid w:val="44E31523"/>
    <w:rsid w:val="459350EE"/>
    <w:rsid w:val="45A12EA4"/>
    <w:rsid w:val="470D4BDD"/>
    <w:rsid w:val="47D137D8"/>
    <w:rsid w:val="483F7857"/>
    <w:rsid w:val="4867559D"/>
    <w:rsid w:val="487B76D0"/>
    <w:rsid w:val="49E45A4B"/>
    <w:rsid w:val="51312FA5"/>
    <w:rsid w:val="51FD36DE"/>
    <w:rsid w:val="52BC1060"/>
    <w:rsid w:val="52C51251"/>
    <w:rsid w:val="53362B91"/>
    <w:rsid w:val="5449768B"/>
    <w:rsid w:val="557D1952"/>
    <w:rsid w:val="5798797E"/>
    <w:rsid w:val="584C3A33"/>
    <w:rsid w:val="5AB77A6C"/>
    <w:rsid w:val="5BEB460F"/>
    <w:rsid w:val="5C2A4CE1"/>
    <w:rsid w:val="5C4D1DB1"/>
    <w:rsid w:val="5D680474"/>
    <w:rsid w:val="5DDB007C"/>
    <w:rsid w:val="5DF93ACD"/>
    <w:rsid w:val="5E320DEB"/>
    <w:rsid w:val="5E923F26"/>
    <w:rsid w:val="5E970C8E"/>
    <w:rsid w:val="5FAE0261"/>
    <w:rsid w:val="5FC94A39"/>
    <w:rsid w:val="61853BBA"/>
    <w:rsid w:val="639474A1"/>
    <w:rsid w:val="660B0F6E"/>
    <w:rsid w:val="66C145DD"/>
    <w:rsid w:val="66D8419E"/>
    <w:rsid w:val="66DA6A64"/>
    <w:rsid w:val="6750483F"/>
    <w:rsid w:val="67A52C48"/>
    <w:rsid w:val="68281DCC"/>
    <w:rsid w:val="687F5692"/>
    <w:rsid w:val="68C51F9E"/>
    <w:rsid w:val="6B9A6CEF"/>
    <w:rsid w:val="6D041EC8"/>
    <w:rsid w:val="734B6F21"/>
    <w:rsid w:val="73EE5598"/>
    <w:rsid w:val="749B6F3C"/>
    <w:rsid w:val="750577A9"/>
    <w:rsid w:val="761D6302"/>
    <w:rsid w:val="77724631"/>
    <w:rsid w:val="77CD6C6F"/>
    <w:rsid w:val="78930F2B"/>
    <w:rsid w:val="7AF61D05"/>
    <w:rsid w:val="7BA174DB"/>
    <w:rsid w:val="7BF851E0"/>
    <w:rsid w:val="7C6B3A37"/>
    <w:rsid w:val="7D2D5B1B"/>
    <w:rsid w:val="7D380370"/>
    <w:rsid w:val="7DE0608D"/>
    <w:rsid w:val="7EE71A77"/>
    <w:rsid w:val="7F7145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157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01573"/>
    <w:pPr>
      <w:tabs>
        <w:tab w:val="center" w:pos="4153"/>
        <w:tab w:val="right" w:pos="8306"/>
      </w:tabs>
      <w:snapToGrid w:val="0"/>
      <w:jc w:val="left"/>
    </w:pPr>
    <w:rPr>
      <w:rFonts w:ascii="Calibri" w:hAnsi="Calibri" w:cs="黑体"/>
      <w:sz w:val="18"/>
      <w:szCs w:val="18"/>
    </w:rPr>
  </w:style>
  <w:style w:type="paragraph" w:customStyle="1" w:styleId="Default">
    <w:name w:val="Default"/>
    <w:qFormat/>
    <w:rsid w:val="00601573"/>
    <w:pPr>
      <w:widowControl w:val="0"/>
      <w:autoSpaceDE w:val="0"/>
      <w:autoSpaceDN w:val="0"/>
      <w:adjustRightInd w:val="0"/>
    </w:pPr>
    <w:rPr>
      <w:rFonts w:ascii="黑体" w:eastAsia="黑体" w:hAnsi="Times New Roman" w:cs="黑体"/>
      <w:color w:val="000000"/>
      <w:sz w:val="24"/>
      <w:szCs w:val="24"/>
    </w:rPr>
  </w:style>
  <w:style w:type="paragraph" w:styleId="a4">
    <w:name w:val="header"/>
    <w:basedOn w:val="a"/>
    <w:link w:val="Char"/>
    <w:rsid w:val="00FD1F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D1F93"/>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X230I</dc:creator>
  <cp:lastModifiedBy>qhtf</cp:lastModifiedBy>
  <cp:revision>2</cp:revision>
  <cp:lastPrinted>2017-09-27T05:23:00Z</cp:lastPrinted>
  <dcterms:created xsi:type="dcterms:W3CDTF">2016-11-26T18:54:00Z</dcterms:created>
  <dcterms:modified xsi:type="dcterms:W3CDTF">2017-09-28T01:17:00Z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