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332B7" w:rsidRPr="0033395C" w:rsidRDefault="00C34255">
      <w:pPr>
        <w:spacing w:line="600" w:lineRule="atLeast"/>
        <w:rPr>
          <w:rFonts w:ascii="黑体" w:eastAsia="黑体" w:hAnsi="黑体"/>
          <w:bCs/>
          <w:sz w:val="32"/>
          <w:szCs w:val="30"/>
        </w:rPr>
      </w:pPr>
      <w:bookmarkStart w:id="0" w:name="适用范围"/>
      <w:bookmarkStart w:id="1" w:name="_Toc344475832"/>
      <w:bookmarkStart w:id="2" w:name="现成软件"/>
      <w:bookmarkStart w:id="3" w:name="_Toc344475834"/>
      <w:bookmarkStart w:id="4" w:name="参考文献"/>
      <w:r w:rsidRPr="0033395C">
        <w:rPr>
          <w:rFonts w:ascii="黑体" w:eastAsia="黑体" w:hAnsi="黑体" w:hint="eastAsia"/>
          <w:bCs/>
          <w:sz w:val="32"/>
          <w:szCs w:val="30"/>
        </w:rPr>
        <w:t>附件</w:t>
      </w:r>
      <w:r w:rsidRPr="0033395C">
        <w:rPr>
          <w:rFonts w:ascii="黑体" w:eastAsia="黑体" w:hAnsi="黑体" w:hint="eastAsia"/>
          <w:bCs/>
          <w:sz w:val="32"/>
          <w:szCs w:val="30"/>
        </w:rPr>
        <w:t>1</w:t>
      </w:r>
      <w:bookmarkStart w:id="5" w:name="_GoBack"/>
      <w:bookmarkEnd w:id="5"/>
    </w:p>
    <w:p w:rsidR="003332B7" w:rsidRPr="0033395C" w:rsidRDefault="00C34255">
      <w:pPr>
        <w:spacing w:line="600" w:lineRule="atLeast"/>
        <w:jc w:val="center"/>
        <w:rPr>
          <w:rFonts w:ascii="方正小标宋_GBK" w:eastAsia="方正小标宋_GBK" w:hAnsi="宋体" w:hint="eastAsia"/>
          <w:bCs/>
          <w:sz w:val="44"/>
          <w:szCs w:val="36"/>
        </w:rPr>
      </w:pPr>
      <w:r w:rsidRPr="0033395C">
        <w:rPr>
          <w:rFonts w:ascii="方正小标宋_GBK" w:eastAsia="方正小标宋_GBK" w:hAnsi="宋体" w:hint="eastAsia"/>
          <w:bCs/>
          <w:sz w:val="44"/>
          <w:szCs w:val="36"/>
        </w:rPr>
        <w:t>移动</w:t>
      </w:r>
      <w:r w:rsidRPr="0033395C">
        <w:rPr>
          <w:rFonts w:ascii="方正小标宋_GBK" w:eastAsia="方正小标宋_GBK" w:hAnsi="宋体" w:hint="eastAsia"/>
          <w:bCs/>
          <w:sz w:val="44"/>
          <w:szCs w:val="36"/>
        </w:rPr>
        <w:t>医疗器械</w:t>
      </w:r>
      <w:r w:rsidRPr="0033395C">
        <w:rPr>
          <w:rFonts w:ascii="方正小标宋_GBK" w:eastAsia="方正小标宋_GBK" w:hAnsi="宋体" w:hint="eastAsia"/>
          <w:bCs/>
          <w:sz w:val="44"/>
          <w:szCs w:val="36"/>
        </w:rPr>
        <w:t>注册技术</w:t>
      </w:r>
      <w:r w:rsidRPr="0033395C">
        <w:rPr>
          <w:rFonts w:ascii="方正小标宋_GBK" w:eastAsia="方正小标宋_GBK" w:hAnsi="宋体" w:hint="eastAsia"/>
          <w:bCs/>
          <w:sz w:val="44"/>
          <w:szCs w:val="36"/>
        </w:rPr>
        <w:t>审查</w:t>
      </w:r>
      <w:r w:rsidRPr="0033395C">
        <w:rPr>
          <w:rFonts w:ascii="方正小标宋_GBK" w:eastAsia="方正小标宋_GBK" w:hAnsi="宋体" w:hint="eastAsia"/>
          <w:bCs/>
          <w:sz w:val="44"/>
          <w:szCs w:val="36"/>
        </w:rPr>
        <w:t>指导原则</w:t>
      </w:r>
    </w:p>
    <w:p w:rsidR="003332B7" w:rsidRPr="0033395C" w:rsidRDefault="00C34255">
      <w:pPr>
        <w:spacing w:line="600" w:lineRule="atLeast"/>
        <w:jc w:val="center"/>
        <w:rPr>
          <w:rFonts w:ascii="楷体_GB2312" w:eastAsia="楷体_GB2312" w:hint="eastAsia"/>
          <w:bCs/>
          <w:sz w:val="28"/>
          <w:szCs w:val="32"/>
        </w:rPr>
      </w:pPr>
      <w:r w:rsidRPr="0033395C">
        <w:rPr>
          <w:rFonts w:ascii="楷体_GB2312" w:eastAsia="楷体_GB2312" w:hAnsi="宋体" w:hint="eastAsia"/>
          <w:bCs/>
          <w:sz w:val="32"/>
          <w:szCs w:val="36"/>
        </w:rPr>
        <w:t>（</w:t>
      </w:r>
      <w:r w:rsidRPr="0033395C">
        <w:rPr>
          <w:rFonts w:ascii="楷体_GB2312" w:eastAsia="楷体_GB2312" w:hAnsi="宋体" w:hint="eastAsia"/>
          <w:bCs/>
          <w:sz w:val="32"/>
          <w:szCs w:val="36"/>
        </w:rPr>
        <w:t>征求意见</w:t>
      </w:r>
      <w:r w:rsidRPr="0033395C">
        <w:rPr>
          <w:rFonts w:ascii="楷体_GB2312" w:eastAsia="楷体_GB2312" w:hAnsi="宋体" w:hint="eastAsia"/>
          <w:bCs/>
          <w:sz w:val="32"/>
          <w:szCs w:val="36"/>
        </w:rPr>
        <w:t>稿）</w:t>
      </w:r>
    </w:p>
    <w:p w:rsidR="0033395C" w:rsidRDefault="0033395C">
      <w:pPr>
        <w:pStyle w:val="Default"/>
        <w:adjustRightInd/>
        <w:spacing w:line="600" w:lineRule="atLeast"/>
        <w:ind w:firstLineChars="200" w:firstLine="640"/>
        <w:jc w:val="both"/>
        <w:rPr>
          <w:rFonts w:ascii="Times New Roman" w:eastAsia="仿宋_GB2312" w:cs="Times New Roman" w:hint="eastAsia"/>
          <w:bCs/>
          <w:color w:val="auto"/>
          <w:sz w:val="32"/>
          <w:szCs w:val="32"/>
        </w:rPr>
      </w:pPr>
    </w:p>
    <w:p w:rsidR="003332B7" w:rsidRDefault="00C34255">
      <w:pPr>
        <w:pStyle w:val="Default"/>
        <w:adjustRightInd/>
        <w:spacing w:line="600" w:lineRule="atLeas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本指导原则旨在指导</w:t>
      </w:r>
      <w:r>
        <w:rPr>
          <w:rFonts w:ascii="Times New Roman" w:eastAsia="仿宋_GB2312" w:cs="Times New Roman"/>
          <w:color w:val="auto"/>
          <w:sz w:val="32"/>
          <w:szCs w:val="32"/>
        </w:rPr>
        <w:t>制造商</w:t>
      </w:r>
      <w:r>
        <w:rPr>
          <w:rFonts w:ascii="Times New Roman" w:eastAsia="仿宋_GB2312" w:cs="Times New Roman" w:hint="eastAsia"/>
          <w:color w:val="auto"/>
          <w:sz w:val="32"/>
          <w:szCs w:val="32"/>
        </w:rPr>
        <w:t>准备移动</w:t>
      </w:r>
      <w:r>
        <w:rPr>
          <w:rFonts w:ascii="Times New Roman" w:eastAsia="仿宋_GB2312" w:cs="Times New Roman"/>
          <w:color w:val="auto"/>
          <w:sz w:val="32"/>
          <w:szCs w:val="32"/>
        </w:rPr>
        <w:t>医疗器械</w:t>
      </w:r>
      <w:r>
        <w:rPr>
          <w:rFonts w:ascii="Times New Roman" w:eastAsia="仿宋_GB2312" w:cs="Times New Roman" w:hint="eastAsia"/>
          <w:color w:val="auto"/>
          <w:sz w:val="32"/>
          <w:szCs w:val="32"/>
        </w:rPr>
        <w:t>的</w:t>
      </w:r>
      <w:r>
        <w:rPr>
          <w:rFonts w:ascii="Times New Roman" w:eastAsia="仿宋_GB2312" w:cs="Times New Roman"/>
          <w:color w:val="auto"/>
          <w:sz w:val="32"/>
          <w:szCs w:val="32"/>
        </w:rPr>
        <w:t>注册申报资料，同时</w:t>
      </w:r>
      <w:r>
        <w:rPr>
          <w:rFonts w:ascii="Times New Roman" w:eastAsia="仿宋_GB2312" w:cs="Times New Roman"/>
          <w:bCs/>
          <w:color w:val="auto"/>
          <w:sz w:val="32"/>
          <w:szCs w:val="32"/>
        </w:rPr>
        <w:t>规范</w:t>
      </w:r>
      <w:r>
        <w:rPr>
          <w:rFonts w:ascii="Times New Roman" w:eastAsia="仿宋_GB2312" w:cs="Times New Roman" w:hint="eastAsia"/>
          <w:bCs/>
          <w:color w:val="auto"/>
          <w:sz w:val="32"/>
          <w:szCs w:val="32"/>
        </w:rPr>
        <w:t>移动</w:t>
      </w:r>
      <w:r>
        <w:rPr>
          <w:rFonts w:ascii="Times New Roman" w:eastAsia="仿宋_GB2312" w:cs="Times New Roman"/>
          <w:bCs/>
          <w:color w:val="auto"/>
          <w:sz w:val="32"/>
          <w:szCs w:val="32"/>
        </w:rPr>
        <w:t>医疗器械的技术审评要求。</w:t>
      </w:r>
    </w:p>
    <w:p w:rsidR="003332B7" w:rsidRDefault="00C34255">
      <w:pPr>
        <w:pStyle w:val="Default"/>
        <w:adjustRightInd/>
        <w:spacing w:line="600" w:lineRule="atLeas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本指导原则是对</w:t>
      </w:r>
      <w:r>
        <w:rPr>
          <w:rFonts w:ascii="Times New Roman" w:eastAsia="仿宋_GB2312" w:cs="Times New Roman" w:hint="eastAsia"/>
          <w:bCs/>
          <w:color w:val="auto"/>
          <w:sz w:val="32"/>
          <w:szCs w:val="32"/>
        </w:rPr>
        <w:t>移动</w:t>
      </w:r>
      <w:r>
        <w:rPr>
          <w:rFonts w:ascii="Times New Roman" w:eastAsia="仿宋_GB2312" w:cs="Times New Roman"/>
          <w:bCs/>
          <w:color w:val="auto"/>
          <w:sz w:val="32"/>
          <w:szCs w:val="32"/>
        </w:rPr>
        <w:t>医疗器械的一般性要求，制造商应根据</w:t>
      </w:r>
      <w:r>
        <w:rPr>
          <w:rFonts w:ascii="Times New Roman" w:eastAsia="仿宋_GB2312" w:cs="Times New Roman" w:hint="eastAsia"/>
          <w:bCs/>
          <w:color w:val="auto"/>
          <w:sz w:val="32"/>
          <w:szCs w:val="32"/>
        </w:rPr>
        <w:t>移动</w:t>
      </w:r>
      <w:r>
        <w:rPr>
          <w:rFonts w:ascii="Times New Roman" w:eastAsia="仿宋_GB2312" w:cs="Times New Roman"/>
          <w:bCs/>
          <w:color w:val="auto"/>
          <w:sz w:val="32"/>
          <w:szCs w:val="32"/>
        </w:rPr>
        <w:t>医疗器械</w:t>
      </w:r>
      <w:r>
        <w:rPr>
          <w:rFonts w:ascii="Times New Roman" w:eastAsia="仿宋_GB2312" w:cs="Times New Roman" w:hint="eastAsia"/>
          <w:bCs/>
          <w:color w:val="auto"/>
          <w:sz w:val="32"/>
          <w:szCs w:val="32"/>
        </w:rPr>
        <w:t>的</w:t>
      </w:r>
      <w:r>
        <w:rPr>
          <w:rFonts w:ascii="Times New Roman" w:eastAsia="仿宋_GB2312" w:cs="Times New Roman" w:hint="eastAsia"/>
          <w:bCs/>
          <w:color w:val="auto"/>
          <w:sz w:val="32"/>
          <w:szCs w:val="32"/>
        </w:rPr>
        <w:t>产品</w:t>
      </w:r>
      <w:r>
        <w:rPr>
          <w:rFonts w:ascii="Times New Roman" w:eastAsia="仿宋_GB2312" w:cs="Times New Roman"/>
          <w:bCs/>
          <w:color w:val="auto"/>
          <w:sz w:val="32"/>
          <w:szCs w:val="32"/>
        </w:rPr>
        <w:t>特性提交</w:t>
      </w:r>
      <w:r>
        <w:rPr>
          <w:rFonts w:ascii="Times New Roman" w:eastAsia="仿宋_GB2312" w:cs="Times New Roman" w:hint="eastAsia"/>
          <w:bCs/>
          <w:color w:val="auto"/>
          <w:sz w:val="32"/>
          <w:szCs w:val="32"/>
        </w:rPr>
        <w:t>相应</w:t>
      </w:r>
      <w:r>
        <w:rPr>
          <w:rFonts w:ascii="Times New Roman" w:eastAsia="仿宋_GB2312" w:cs="Times New Roman"/>
          <w:bCs/>
          <w:color w:val="auto"/>
          <w:sz w:val="32"/>
          <w:szCs w:val="32"/>
        </w:rPr>
        <w:t>注册申报资料，判断指导原则中的具体内容是否适用，不适用内容</w:t>
      </w:r>
      <w:r>
        <w:rPr>
          <w:rFonts w:ascii="Times New Roman" w:eastAsia="仿宋_GB2312" w:cs="Times New Roman" w:hint="eastAsia"/>
          <w:bCs/>
          <w:color w:val="auto"/>
          <w:sz w:val="32"/>
          <w:szCs w:val="32"/>
        </w:rPr>
        <w:t>应</w:t>
      </w:r>
      <w:r>
        <w:rPr>
          <w:rFonts w:ascii="Times New Roman" w:eastAsia="仿宋_GB2312" w:cs="Times New Roman"/>
          <w:bCs/>
          <w:color w:val="auto"/>
          <w:sz w:val="32"/>
          <w:szCs w:val="32"/>
        </w:rPr>
        <w:t>详述理由。制造商也可采用其他满足法规要求的替代方法，但应提供详尽的研究资料和验证资料。</w:t>
      </w:r>
    </w:p>
    <w:p w:rsidR="003332B7" w:rsidRDefault="00C34255">
      <w:pPr>
        <w:spacing w:line="600" w:lineRule="atLeast"/>
        <w:ind w:firstLineChars="200" w:firstLine="640"/>
        <w:rPr>
          <w:rFonts w:eastAsia="仿宋_GB2312"/>
          <w:bCs/>
          <w:sz w:val="32"/>
          <w:szCs w:val="32"/>
        </w:rPr>
      </w:pPr>
      <w:r>
        <w:rPr>
          <w:rFonts w:eastAsia="仿宋_GB2312"/>
          <w:bCs/>
          <w:sz w:val="32"/>
          <w:szCs w:val="32"/>
        </w:rPr>
        <w:t>本指导原则是在现行法规和标准体系以及当前认知水平下、并参考了</w:t>
      </w:r>
      <w:r>
        <w:rPr>
          <w:rFonts w:eastAsia="仿宋_GB2312"/>
          <w:sz w:val="32"/>
          <w:szCs w:val="32"/>
        </w:rPr>
        <w:t>国外法规与指南、国际标准与技术报告制定的。</w:t>
      </w:r>
      <w:r>
        <w:rPr>
          <w:rFonts w:eastAsia="仿宋_GB2312"/>
          <w:bCs/>
          <w:sz w:val="32"/>
          <w:szCs w:val="32"/>
        </w:rPr>
        <w:t>随着法规和标准的不断完善，以及</w:t>
      </w:r>
      <w:r>
        <w:rPr>
          <w:rFonts w:eastAsia="仿宋_GB2312"/>
          <w:sz w:val="32"/>
          <w:szCs w:val="32"/>
        </w:rPr>
        <w:t>认知水平和技术能力的不断提高</w:t>
      </w:r>
      <w:r>
        <w:rPr>
          <w:rFonts w:eastAsia="仿宋_GB2312"/>
          <w:bCs/>
          <w:sz w:val="32"/>
          <w:szCs w:val="32"/>
        </w:rPr>
        <w:t>，相关内容也将</w:t>
      </w:r>
      <w:r>
        <w:rPr>
          <w:rFonts w:eastAsia="仿宋_GB2312"/>
          <w:sz w:val="32"/>
          <w:szCs w:val="32"/>
        </w:rPr>
        <w:t>适时进行修订</w:t>
      </w:r>
      <w:r>
        <w:rPr>
          <w:rFonts w:eastAsia="仿宋_GB2312"/>
          <w:bCs/>
          <w:sz w:val="32"/>
          <w:szCs w:val="32"/>
        </w:rPr>
        <w:t>。</w:t>
      </w:r>
    </w:p>
    <w:p w:rsidR="003332B7" w:rsidRDefault="00C34255">
      <w:pPr>
        <w:spacing w:line="600" w:lineRule="atLeast"/>
        <w:ind w:firstLineChars="200" w:firstLine="640"/>
        <w:rPr>
          <w:rFonts w:eastAsia="仿宋_GB2312"/>
          <w:bCs/>
          <w:sz w:val="32"/>
          <w:szCs w:val="32"/>
        </w:rPr>
      </w:pPr>
      <w:r>
        <w:rPr>
          <w:rFonts w:eastAsia="仿宋_GB2312"/>
          <w:bCs/>
          <w:sz w:val="32"/>
          <w:szCs w:val="32"/>
        </w:rPr>
        <w:t>本指导原则是对制造商和</w:t>
      </w:r>
      <w:r>
        <w:rPr>
          <w:rFonts w:eastAsia="仿宋_GB2312" w:hint="eastAsia"/>
          <w:bCs/>
          <w:sz w:val="32"/>
          <w:szCs w:val="32"/>
        </w:rPr>
        <w:t>审评</w:t>
      </w:r>
      <w:r>
        <w:rPr>
          <w:rFonts w:eastAsia="仿宋_GB2312"/>
          <w:bCs/>
          <w:sz w:val="32"/>
          <w:szCs w:val="32"/>
        </w:rPr>
        <w:t>人员的指导性文件，</w:t>
      </w:r>
      <w:r>
        <w:rPr>
          <w:rFonts w:eastAsia="仿宋_GB2312"/>
          <w:sz w:val="32"/>
          <w:szCs w:val="32"/>
        </w:rPr>
        <w:t>不包括</w:t>
      </w:r>
      <w:proofErr w:type="gramStart"/>
      <w:r>
        <w:rPr>
          <w:rFonts w:eastAsia="仿宋_GB2312"/>
          <w:sz w:val="32"/>
          <w:szCs w:val="32"/>
        </w:rPr>
        <w:t>审评审批</w:t>
      </w:r>
      <w:proofErr w:type="gramEnd"/>
      <w:r>
        <w:rPr>
          <w:rFonts w:eastAsia="仿宋_GB2312"/>
          <w:sz w:val="32"/>
          <w:szCs w:val="32"/>
        </w:rPr>
        <w:t>所涉及的行政事项，</w:t>
      </w:r>
      <w:r>
        <w:rPr>
          <w:rFonts w:eastAsia="仿宋_GB2312"/>
          <w:bCs/>
          <w:sz w:val="32"/>
          <w:szCs w:val="32"/>
        </w:rPr>
        <w:t>亦</w:t>
      </w:r>
      <w:r>
        <w:rPr>
          <w:rFonts w:eastAsia="仿宋_GB2312"/>
          <w:sz w:val="32"/>
          <w:szCs w:val="32"/>
        </w:rPr>
        <w:t>不作为法规强制执行，</w:t>
      </w:r>
      <w:r>
        <w:rPr>
          <w:rFonts w:eastAsia="仿宋_GB2312"/>
          <w:bCs/>
          <w:sz w:val="32"/>
          <w:szCs w:val="32"/>
        </w:rPr>
        <w:t>应在遵循相关法规的前提下使用本指导原则。</w:t>
      </w:r>
    </w:p>
    <w:p w:rsidR="003332B7" w:rsidRDefault="00C34255">
      <w:pPr>
        <w:spacing w:line="600" w:lineRule="atLeast"/>
        <w:ind w:firstLineChars="200" w:firstLine="640"/>
        <w:rPr>
          <w:rFonts w:eastAsia="仿宋_GB2312"/>
          <w:bCs/>
          <w:sz w:val="32"/>
          <w:szCs w:val="32"/>
        </w:rPr>
      </w:pPr>
      <w:r>
        <w:rPr>
          <w:rFonts w:eastAsia="仿宋_GB2312" w:hint="eastAsia"/>
          <w:bCs/>
          <w:sz w:val="32"/>
          <w:szCs w:val="32"/>
        </w:rPr>
        <w:t>本指导原则应结合《医疗器械软件注册技术审查指导原则》</w:t>
      </w:r>
      <w:r>
        <w:rPr>
          <w:rFonts w:eastAsia="仿宋_GB2312" w:hint="eastAsia"/>
          <w:bCs/>
          <w:sz w:val="32"/>
          <w:szCs w:val="32"/>
        </w:rPr>
        <w:t>（</w:t>
      </w:r>
      <w:r>
        <w:rPr>
          <w:rFonts w:eastAsia="仿宋_GB2312" w:hint="eastAsia"/>
          <w:bCs/>
          <w:sz w:val="32"/>
          <w:szCs w:val="32"/>
        </w:rPr>
        <w:t>以下简称“软件指导原则”</w:t>
      </w:r>
      <w:r>
        <w:rPr>
          <w:rFonts w:eastAsia="仿宋_GB2312" w:hint="eastAsia"/>
          <w:bCs/>
          <w:sz w:val="32"/>
          <w:szCs w:val="32"/>
        </w:rPr>
        <w:t>）、《</w:t>
      </w:r>
      <w:r>
        <w:rPr>
          <w:rFonts w:eastAsia="仿宋_GB2312" w:hint="eastAsia"/>
          <w:bCs/>
          <w:sz w:val="32"/>
          <w:szCs w:val="32"/>
        </w:rPr>
        <w:t>医疗器械网络安全注册技术审查指导原则</w:t>
      </w:r>
      <w:r>
        <w:rPr>
          <w:rFonts w:eastAsia="仿宋_GB2312" w:hint="eastAsia"/>
          <w:bCs/>
          <w:sz w:val="32"/>
          <w:szCs w:val="32"/>
        </w:rPr>
        <w:t>》（</w:t>
      </w:r>
      <w:r>
        <w:rPr>
          <w:rFonts w:eastAsia="仿宋_GB2312" w:hint="eastAsia"/>
          <w:bCs/>
          <w:sz w:val="32"/>
          <w:szCs w:val="32"/>
        </w:rPr>
        <w:t>以下简称“网络安全指导原则”</w:t>
      </w:r>
      <w:r>
        <w:rPr>
          <w:rFonts w:eastAsia="仿宋_GB2312" w:hint="eastAsia"/>
          <w:bCs/>
          <w:sz w:val="32"/>
          <w:szCs w:val="32"/>
        </w:rPr>
        <w:t>）</w:t>
      </w:r>
      <w:r>
        <w:rPr>
          <w:rFonts w:eastAsia="仿宋_GB2312" w:hint="eastAsia"/>
          <w:bCs/>
          <w:sz w:val="32"/>
          <w:szCs w:val="32"/>
        </w:rPr>
        <w:t>和相关医疗</w:t>
      </w:r>
      <w:r>
        <w:rPr>
          <w:rFonts w:eastAsia="仿宋_GB2312" w:hint="eastAsia"/>
          <w:bCs/>
          <w:sz w:val="32"/>
          <w:szCs w:val="32"/>
        </w:rPr>
        <w:lastRenderedPageBreak/>
        <w:t>器械产品指导原则的</w:t>
      </w:r>
      <w:r>
        <w:rPr>
          <w:rFonts w:eastAsia="仿宋_GB2312" w:hint="eastAsia"/>
          <w:bCs/>
          <w:sz w:val="32"/>
          <w:szCs w:val="32"/>
        </w:rPr>
        <w:t>要求进行使用。</w:t>
      </w:r>
      <w:r>
        <w:rPr>
          <w:rFonts w:eastAsia="仿宋_GB2312"/>
          <w:bCs/>
          <w:sz w:val="32"/>
          <w:szCs w:val="32"/>
        </w:rPr>
        <w:t>本指导原则是</w:t>
      </w:r>
      <w:r>
        <w:rPr>
          <w:rFonts w:eastAsia="仿宋_GB2312" w:hint="eastAsia"/>
          <w:bCs/>
          <w:sz w:val="32"/>
          <w:szCs w:val="32"/>
        </w:rPr>
        <w:t>移动</w:t>
      </w:r>
      <w:r>
        <w:rPr>
          <w:rFonts w:eastAsia="仿宋_GB2312"/>
          <w:bCs/>
          <w:sz w:val="32"/>
          <w:szCs w:val="32"/>
        </w:rPr>
        <w:t>医疗器械的通用指导原则，其他涉及</w:t>
      </w:r>
      <w:r>
        <w:rPr>
          <w:rFonts w:eastAsia="仿宋_GB2312" w:hint="eastAsia"/>
          <w:bCs/>
          <w:sz w:val="32"/>
          <w:szCs w:val="32"/>
        </w:rPr>
        <w:t>移动</w:t>
      </w:r>
      <w:r>
        <w:rPr>
          <w:rFonts w:eastAsia="仿宋_GB2312"/>
          <w:bCs/>
          <w:sz w:val="32"/>
          <w:szCs w:val="32"/>
        </w:rPr>
        <w:t>医疗器械</w:t>
      </w:r>
      <w:r>
        <w:rPr>
          <w:rFonts w:eastAsia="仿宋_GB2312" w:hint="eastAsia"/>
          <w:bCs/>
          <w:sz w:val="32"/>
          <w:szCs w:val="32"/>
        </w:rPr>
        <w:t>的</w:t>
      </w:r>
      <w:r>
        <w:rPr>
          <w:rFonts w:eastAsia="仿宋_GB2312"/>
          <w:bCs/>
          <w:sz w:val="32"/>
          <w:szCs w:val="32"/>
        </w:rPr>
        <w:t>指导原则可在本指导原则基础上进行有针对性的调整、修改和完善。</w:t>
      </w:r>
    </w:p>
    <w:p w:rsidR="003332B7" w:rsidRDefault="00C34255">
      <w:pPr>
        <w:spacing w:line="600" w:lineRule="atLeast"/>
        <w:ind w:firstLineChars="200" w:firstLine="640"/>
        <w:rPr>
          <w:rFonts w:eastAsia="黑体"/>
          <w:bCs/>
          <w:sz w:val="32"/>
          <w:szCs w:val="32"/>
        </w:rPr>
      </w:pPr>
      <w:r>
        <w:rPr>
          <w:rFonts w:eastAsia="黑体"/>
          <w:bCs/>
          <w:sz w:val="32"/>
          <w:szCs w:val="32"/>
        </w:rPr>
        <w:t>一、</w:t>
      </w:r>
      <w:r>
        <w:rPr>
          <w:rFonts w:eastAsia="黑体" w:hint="eastAsia"/>
          <w:bCs/>
          <w:sz w:val="32"/>
          <w:szCs w:val="32"/>
        </w:rPr>
        <w:t>适用</w:t>
      </w:r>
      <w:r>
        <w:rPr>
          <w:rFonts w:eastAsia="黑体"/>
          <w:bCs/>
          <w:sz w:val="32"/>
          <w:szCs w:val="32"/>
        </w:rPr>
        <w:t>范围</w:t>
      </w:r>
      <w:bookmarkEnd w:id="0"/>
      <w:bookmarkEnd w:id="1"/>
    </w:p>
    <w:p w:rsidR="003332B7" w:rsidRDefault="00C34255">
      <w:pPr>
        <w:spacing w:line="600" w:lineRule="atLeast"/>
        <w:ind w:firstLineChars="200" w:firstLine="640"/>
        <w:rPr>
          <w:rFonts w:eastAsia="仿宋_GB2312"/>
          <w:sz w:val="32"/>
          <w:szCs w:val="32"/>
        </w:rPr>
      </w:pPr>
      <w:r>
        <w:rPr>
          <w:rFonts w:eastAsia="仿宋_GB2312"/>
          <w:bCs/>
          <w:sz w:val="32"/>
          <w:szCs w:val="32"/>
        </w:rPr>
        <w:t>本指导原</w:t>
      </w:r>
      <w:r>
        <w:rPr>
          <w:rFonts w:eastAsia="仿宋_GB2312"/>
          <w:sz w:val="32"/>
          <w:szCs w:val="32"/>
        </w:rPr>
        <w:t>则</w:t>
      </w:r>
      <w:r>
        <w:rPr>
          <w:rFonts w:eastAsia="仿宋_GB2312" w:hint="eastAsia"/>
          <w:sz w:val="32"/>
          <w:szCs w:val="32"/>
        </w:rPr>
        <w:t>适用于</w:t>
      </w:r>
      <w:r>
        <w:rPr>
          <w:rFonts w:eastAsia="仿宋_GB2312" w:hint="eastAsia"/>
          <w:sz w:val="32"/>
          <w:szCs w:val="32"/>
        </w:rPr>
        <w:t>移动</w:t>
      </w:r>
      <w:r>
        <w:rPr>
          <w:rFonts w:eastAsia="仿宋_GB2312" w:hint="eastAsia"/>
          <w:sz w:val="32"/>
          <w:szCs w:val="32"/>
        </w:rPr>
        <w:t>医疗器械的注册申报</w:t>
      </w:r>
      <w:r>
        <w:rPr>
          <w:rFonts w:eastAsia="仿宋_GB2312" w:hint="eastAsia"/>
          <w:sz w:val="32"/>
          <w:szCs w:val="32"/>
        </w:rPr>
        <w:t>，</w:t>
      </w:r>
      <w:r>
        <w:rPr>
          <w:rFonts w:eastAsia="仿宋_GB2312" w:hint="eastAsia"/>
          <w:sz w:val="32"/>
          <w:szCs w:val="32"/>
        </w:rPr>
        <w:t>包括第二类、第三类医疗器械产品</w:t>
      </w:r>
      <w:r>
        <w:rPr>
          <w:rFonts w:eastAsia="仿宋_GB2312" w:hint="eastAsia"/>
          <w:sz w:val="32"/>
          <w:szCs w:val="32"/>
        </w:rPr>
        <w:t>。</w:t>
      </w:r>
    </w:p>
    <w:p w:rsidR="003332B7" w:rsidRDefault="00C34255">
      <w:pPr>
        <w:spacing w:line="600" w:lineRule="atLeast"/>
        <w:ind w:firstLineChars="200" w:firstLine="640"/>
        <w:rPr>
          <w:rFonts w:eastAsia="仿宋_GB2312"/>
          <w:sz w:val="32"/>
          <w:szCs w:val="32"/>
        </w:rPr>
      </w:pPr>
      <w:r>
        <w:rPr>
          <w:rFonts w:eastAsia="黑体" w:hint="eastAsia"/>
          <w:sz w:val="32"/>
          <w:szCs w:val="32"/>
        </w:rPr>
        <w:t>二</w:t>
      </w:r>
      <w:r>
        <w:rPr>
          <w:rFonts w:eastAsia="黑体"/>
          <w:sz w:val="32"/>
          <w:szCs w:val="32"/>
        </w:rPr>
        <w:t>、</w:t>
      </w:r>
      <w:r>
        <w:rPr>
          <w:rFonts w:eastAsia="黑体" w:hint="eastAsia"/>
          <w:sz w:val="32"/>
          <w:szCs w:val="32"/>
        </w:rPr>
        <w:t>移动医疗器械</w:t>
      </w:r>
    </w:p>
    <w:p w:rsidR="003332B7" w:rsidRDefault="00C34255">
      <w:pPr>
        <w:spacing w:line="600" w:lineRule="atLeast"/>
        <w:ind w:firstLineChars="200" w:firstLine="640"/>
        <w:rPr>
          <w:rFonts w:eastAsia="楷体_GB2312"/>
          <w:sz w:val="32"/>
          <w:szCs w:val="32"/>
        </w:rPr>
      </w:pPr>
      <w:r>
        <w:rPr>
          <w:rFonts w:eastAsia="楷体_GB2312" w:hint="eastAsia"/>
          <w:sz w:val="32"/>
          <w:szCs w:val="32"/>
        </w:rPr>
        <w:t>（一）移动医疗器械定义</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本指导原则所定义的“移动医疗器械”是指采用无创“移动计算终端”实现一项或多项医疗用途的设备和</w:t>
      </w:r>
      <w:r>
        <w:rPr>
          <w:rFonts w:eastAsia="仿宋_GB2312" w:hint="eastAsia"/>
          <w:sz w:val="32"/>
          <w:szCs w:val="32"/>
        </w:rPr>
        <w:t>/</w:t>
      </w:r>
      <w:r>
        <w:rPr>
          <w:rFonts w:eastAsia="仿宋_GB2312" w:hint="eastAsia"/>
          <w:sz w:val="32"/>
          <w:szCs w:val="32"/>
        </w:rPr>
        <w:t>或软件。其中“移动计算终端”是指供个人使用的移动计算技术产品终端，包括商业现成（非医用）终端和自制（医用）终端，使用形式可分为手持式（如平板计算机、便携式计算机、智能手机等）、穿戴式（如智能眼镜、智能手表等）和混合式（手持式与</w:t>
      </w:r>
      <w:proofErr w:type="gramStart"/>
      <w:r>
        <w:rPr>
          <w:rFonts w:eastAsia="仿宋_GB2312" w:hint="eastAsia"/>
          <w:sz w:val="32"/>
          <w:szCs w:val="32"/>
        </w:rPr>
        <w:t>穿戴式相结合</w:t>
      </w:r>
      <w:proofErr w:type="gramEnd"/>
      <w:r>
        <w:rPr>
          <w:rFonts w:eastAsia="仿宋_GB2312" w:hint="eastAsia"/>
          <w:sz w:val="32"/>
          <w:szCs w:val="32"/>
        </w:rPr>
        <w:t>）。</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移动医疗器械含有医疗器械软件，不含医疗器械软件的可移动、可穿戴医疗器械不属于移动医疗器械。</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移动医疗器械属于无创医疗器械，植入和侵入医疗器械具有特殊性不纳入移动医疗器械范畴，</w:t>
      </w:r>
      <w:r>
        <w:rPr>
          <w:rFonts w:eastAsia="仿宋_GB2312" w:hint="eastAsia"/>
          <w:sz w:val="32"/>
          <w:szCs w:val="32"/>
        </w:rPr>
        <w:t>但若使用“移动计算终端”应当考虑本指导原则的适用要求。</w:t>
      </w:r>
    </w:p>
    <w:p w:rsidR="003332B7" w:rsidRDefault="00C34255">
      <w:pPr>
        <w:spacing w:line="600" w:lineRule="atLeast"/>
        <w:ind w:firstLineChars="200" w:firstLine="640"/>
        <w:rPr>
          <w:rFonts w:eastAsia="楷体_GB2312"/>
          <w:sz w:val="32"/>
          <w:szCs w:val="32"/>
        </w:rPr>
      </w:pPr>
      <w:r>
        <w:rPr>
          <w:rFonts w:eastAsia="楷体_GB2312" w:hint="eastAsia"/>
          <w:sz w:val="32"/>
          <w:szCs w:val="32"/>
        </w:rPr>
        <w:t>（二）移动医疗器械类型</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移动医疗设备</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移动医疗设备是指采用商业现成或自制的移动计算终端实</w:t>
      </w:r>
      <w:r>
        <w:rPr>
          <w:rFonts w:eastAsia="仿宋_GB2312" w:hint="eastAsia"/>
          <w:sz w:val="32"/>
          <w:szCs w:val="32"/>
        </w:rPr>
        <w:lastRenderedPageBreak/>
        <w:t>现一项或多项医疗用途的设备。此类产品利用移动计算终端自带或外接的传感器、显示屏等部件实现预期用途，通常可用于替代或部分替代等效传统医疗器械。</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移动独立软件</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移动独立软件是指采用商业现成移动计算终端（含外观改装）实现一项或多项医疗用途的独立软件。此类产品与传统独立软件相比预期用途相同，主要差异在于软件运行环境不同。</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3.</w:t>
      </w:r>
      <w:r>
        <w:rPr>
          <w:rFonts w:eastAsia="仿宋_GB2312" w:hint="eastAsia"/>
          <w:sz w:val="32"/>
          <w:szCs w:val="32"/>
        </w:rPr>
        <w:t>移动医疗附件</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移动医疗附件是指采用商业现成或自制的移动计算终端控制医疗器械运行（即控制型）或与医疗器械进行电子数据交换（即数据型）的设备或软件。控制型移动医疗附件作为医疗器械产品的组成部分不能单独实现预期用途，需要随同医疗器械产品进行整体注册；数据型移动医疗附件可随同医疗器械产品进行整体注册，也可单独注册，此时视为移动医疗设备或移动独立软件。</w:t>
      </w:r>
    </w:p>
    <w:p w:rsidR="003332B7" w:rsidRDefault="00C34255">
      <w:pPr>
        <w:spacing w:line="600" w:lineRule="atLeast"/>
        <w:ind w:firstLineChars="200" w:firstLine="640"/>
        <w:rPr>
          <w:rFonts w:eastAsia="楷体_GB2312"/>
          <w:sz w:val="32"/>
          <w:szCs w:val="32"/>
        </w:rPr>
      </w:pPr>
      <w:r>
        <w:rPr>
          <w:rFonts w:eastAsia="楷体_GB2312" w:hint="eastAsia"/>
          <w:sz w:val="32"/>
          <w:szCs w:val="32"/>
        </w:rPr>
        <w:t>（三）移动医疗器械判定原则</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移动医疗器械与移动健康电子产品不存在严格的划分界线，应依据其预期用途判定其是否符合医疗器械定义，凡符合医疗器械定义的移动计算设备或软件属于移动医疗器械。</w:t>
      </w:r>
      <w:r>
        <w:rPr>
          <w:rFonts w:eastAsia="仿宋_GB2312" w:hint="eastAsia"/>
          <w:sz w:val="32"/>
          <w:szCs w:val="32"/>
        </w:rPr>
        <w:t>必要时应当进行医疗器械分类界定。</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一般情况下，预期用于健康管理的、目标人群为健康人群的、记录统计健康信息的移动计算设备或软件不具有医疗目的，不属于移动医疗器械；而预期用于疾病管理的、目标人群为医护人员</w:t>
      </w:r>
      <w:r>
        <w:rPr>
          <w:rFonts w:eastAsia="仿宋_GB2312" w:hint="eastAsia"/>
          <w:sz w:val="32"/>
          <w:szCs w:val="32"/>
        </w:rPr>
        <w:lastRenderedPageBreak/>
        <w:t>和患者的、控制驱动医疗器械的、处理分析监测医疗数据</w:t>
      </w:r>
      <w:r>
        <w:rPr>
          <w:rFonts w:eastAsia="仿宋_GB2312" w:hint="eastAsia"/>
          <w:sz w:val="32"/>
          <w:szCs w:val="32"/>
        </w:rPr>
        <w:t>/</w:t>
      </w:r>
      <w:r>
        <w:rPr>
          <w:rFonts w:eastAsia="仿宋_GB2312" w:hint="eastAsia"/>
          <w:sz w:val="32"/>
          <w:szCs w:val="32"/>
        </w:rPr>
        <w:t>图像的移动计算设备或软件具有医疗目的，属于移动医疗器械。</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例如，预期用于辅助医生进行疾病诊断、治疗等移动计算设备或软件属于移动医疗器械，预期用于患者康复训练、肥胖症治疗、自闭症治疗等移动计算设备或软件属于移动医疗器械，而预期用于健康人群锻炼健身、体重控制、生活</w:t>
      </w:r>
      <w:r>
        <w:rPr>
          <w:rFonts w:eastAsia="仿宋_GB2312" w:hint="eastAsia"/>
          <w:sz w:val="32"/>
          <w:szCs w:val="32"/>
        </w:rPr>
        <w:t>方式记录等移动计算设备或软件不属于移动医疗器械。</w:t>
      </w:r>
    </w:p>
    <w:p w:rsidR="003332B7" w:rsidRDefault="00C34255">
      <w:pPr>
        <w:spacing w:line="600" w:lineRule="atLeast"/>
        <w:ind w:firstLineChars="200" w:firstLine="640"/>
        <w:rPr>
          <w:rFonts w:eastAsia="黑体"/>
          <w:sz w:val="32"/>
          <w:szCs w:val="32"/>
        </w:rPr>
      </w:pPr>
      <w:bookmarkStart w:id="6" w:name="软件描述文档"/>
      <w:r>
        <w:rPr>
          <w:rFonts w:eastAsia="黑体"/>
          <w:sz w:val="32"/>
          <w:szCs w:val="32"/>
        </w:rPr>
        <w:t>三、</w:t>
      </w:r>
      <w:r>
        <w:rPr>
          <w:rFonts w:eastAsia="黑体" w:hint="eastAsia"/>
          <w:sz w:val="32"/>
          <w:szCs w:val="32"/>
        </w:rPr>
        <w:t>基本原则</w:t>
      </w:r>
    </w:p>
    <w:p w:rsidR="003332B7" w:rsidRDefault="00C34255">
      <w:pPr>
        <w:pStyle w:val="Default"/>
        <w:adjustRightInd/>
        <w:spacing w:line="600" w:lineRule="atLeast"/>
        <w:ind w:firstLineChars="200" w:firstLine="640"/>
        <w:jc w:val="both"/>
        <w:rPr>
          <w:rFonts w:ascii="Times New Roman" w:eastAsia="仿宋_GB2312" w:cs="Times New Roman"/>
          <w:bCs/>
          <w:color w:val="auto"/>
          <w:sz w:val="32"/>
          <w:szCs w:val="32"/>
        </w:rPr>
      </w:pPr>
      <w:r>
        <w:rPr>
          <w:rFonts w:ascii="Times New Roman" w:eastAsia="仿宋_GB2312" w:cs="Times New Roman" w:hint="eastAsia"/>
          <w:bCs/>
          <w:color w:val="auto"/>
          <w:sz w:val="32"/>
          <w:szCs w:val="32"/>
        </w:rPr>
        <w:t>移动医疗器械作为移动计算技术与医疗器械的结合，是移动医疗的重要组成部分，其监管要求除考虑传统医疗器械的要求之外还需综合考虑移动计算技术的特点和风险。</w:t>
      </w:r>
    </w:p>
    <w:p w:rsidR="003332B7" w:rsidRDefault="00C34255">
      <w:pPr>
        <w:pStyle w:val="Default"/>
        <w:adjustRightInd/>
        <w:spacing w:line="600" w:lineRule="atLeast"/>
        <w:ind w:firstLineChars="200" w:firstLine="640"/>
        <w:jc w:val="both"/>
        <w:rPr>
          <w:rFonts w:ascii="Times New Roman" w:eastAsia="仿宋_GB2312" w:cs="Times New Roman"/>
          <w:bCs/>
          <w:color w:val="auto"/>
          <w:sz w:val="32"/>
          <w:szCs w:val="32"/>
        </w:rPr>
      </w:pPr>
      <w:r>
        <w:rPr>
          <w:rFonts w:ascii="Times New Roman" w:eastAsia="仿宋_GB2312" w:cs="Times New Roman" w:hint="eastAsia"/>
          <w:bCs/>
          <w:color w:val="auto"/>
          <w:sz w:val="32"/>
          <w:szCs w:val="32"/>
        </w:rPr>
        <w:t>制造商应当根据移动医疗器械的类型、预期用途、</w:t>
      </w:r>
      <w:r>
        <w:rPr>
          <w:rFonts w:ascii="Times New Roman" w:eastAsia="仿宋_GB2312" w:cs="Times New Roman"/>
          <w:bCs/>
          <w:color w:val="auto"/>
          <w:sz w:val="32"/>
          <w:szCs w:val="32"/>
        </w:rPr>
        <w:t>使用环境</w:t>
      </w:r>
      <w:r>
        <w:rPr>
          <w:rFonts w:ascii="Times New Roman" w:eastAsia="仿宋_GB2312" w:cs="Times New Roman" w:hint="eastAsia"/>
          <w:bCs/>
          <w:color w:val="auto"/>
          <w:sz w:val="32"/>
          <w:szCs w:val="32"/>
        </w:rPr>
        <w:t>和</w:t>
      </w:r>
      <w:r>
        <w:rPr>
          <w:rFonts w:ascii="Times New Roman" w:eastAsia="仿宋_GB2312" w:cs="Times New Roman"/>
          <w:bCs/>
          <w:color w:val="auto"/>
          <w:sz w:val="32"/>
          <w:szCs w:val="32"/>
        </w:rPr>
        <w:t>核心功能</w:t>
      </w:r>
      <w:r>
        <w:rPr>
          <w:rFonts w:ascii="Times New Roman" w:eastAsia="仿宋_GB2312" w:cs="Times New Roman" w:hint="eastAsia"/>
          <w:bCs/>
          <w:color w:val="auto"/>
          <w:sz w:val="32"/>
          <w:szCs w:val="32"/>
        </w:rPr>
        <w:t>以及所用移动计算终端的类型和特点进行风险管理，保证移动医疗器械的安全性和有效性。</w:t>
      </w:r>
    </w:p>
    <w:p w:rsidR="003332B7" w:rsidRDefault="00C34255">
      <w:pPr>
        <w:pStyle w:val="Default"/>
        <w:adjustRightInd/>
        <w:spacing w:line="600" w:lineRule="atLeast"/>
        <w:ind w:firstLineChars="200" w:firstLine="640"/>
        <w:jc w:val="both"/>
        <w:rPr>
          <w:rFonts w:eastAsia="仿宋_GB2312"/>
          <w:color w:val="auto"/>
          <w:sz w:val="32"/>
          <w:szCs w:val="32"/>
        </w:rPr>
      </w:pPr>
      <w:r>
        <w:rPr>
          <w:rFonts w:eastAsia="仿宋_GB2312" w:hint="eastAsia"/>
          <w:color w:val="auto"/>
          <w:sz w:val="32"/>
          <w:szCs w:val="32"/>
        </w:rPr>
        <w:t>移动医疗设备的风险管理应当综合考虑其等效的传统医疗器械的风险（如电气安全、生物相容性等）以及所用移动计算终端的风险，移动独立软件的风险管理应当综合考虑传统独立软件的风险以及所用移动计算终端的风险，控制型移动医疗附件的风险管理应当结合医疗器械产品进行整体考虑，数据型移动医疗附件的风险管理应当参照移动医疗设备或移动独立软件的情况。患者使用（特别是在家庭环境使用）的移动医疗器械还应考虑使用环节的风险。</w:t>
      </w:r>
    </w:p>
    <w:p w:rsidR="003332B7" w:rsidRDefault="00C34255">
      <w:pPr>
        <w:pStyle w:val="Default"/>
        <w:adjustRightInd/>
        <w:spacing w:line="600" w:lineRule="atLeast"/>
        <w:ind w:firstLineChars="200" w:firstLine="640"/>
        <w:jc w:val="both"/>
        <w:rPr>
          <w:rFonts w:eastAsia="仿宋_GB2312"/>
          <w:color w:val="auto"/>
          <w:sz w:val="32"/>
          <w:szCs w:val="32"/>
        </w:rPr>
      </w:pPr>
      <w:r>
        <w:rPr>
          <w:rFonts w:eastAsia="仿宋_GB2312" w:hint="eastAsia"/>
          <w:color w:val="auto"/>
          <w:sz w:val="32"/>
          <w:szCs w:val="32"/>
        </w:rPr>
        <w:lastRenderedPageBreak/>
        <w:t>移动计算终端的风险主要表现为显示屏尺寸小、分辨率低、亮度低，受环境光影响大，电池容量小，数据传输失真等，未必能够</w:t>
      </w:r>
      <w:r>
        <w:rPr>
          <w:rFonts w:eastAsia="仿宋_GB2312" w:hint="eastAsia"/>
          <w:color w:val="auto"/>
          <w:sz w:val="32"/>
          <w:szCs w:val="32"/>
        </w:rPr>
        <w:t>满足全部临床要求。同时，商业现成终端与自制终端相比设计用途并非用于医疗目的，性能指标未必能够满足全部临床要求，使用风险相对较高。因此，制造商应当选取合适的移动计算终端，并保证所用移动计算终端能够满足全部临床要求。</w:t>
      </w:r>
    </w:p>
    <w:p w:rsidR="003332B7" w:rsidRDefault="00C34255">
      <w:pPr>
        <w:pStyle w:val="Default"/>
        <w:adjustRightInd/>
        <w:spacing w:line="600" w:lineRule="atLeast"/>
        <w:ind w:firstLineChars="200" w:firstLine="640"/>
        <w:jc w:val="both"/>
        <w:rPr>
          <w:rFonts w:eastAsia="仿宋_GB2312"/>
          <w:color w:val="auto"/>
          <w:sz w:val="32"/>
          <w:szCs w:val="32"/>
        </w:rPr>
      </w:pPr>
      <w:r>
        <w:rPr>
          <w:rFonts w:eastAsia="仿宋_GB2312" w:hint="eastAsia"/>
          <w:color w:val="auto"/>
          <w:sz w:val="32"/>
          <w:szCs w:val="32"/>
        </w:rPr>
        <w:t>移动医疗器械通常</w:t>
      </w:r>
      <w:r>
        <w:rPr>
          <w:rFonts w:eastAsia="仿宋_GB2312" w:hint="eastAsia"/>
          <w:color w:val="auto"/>
          <w:sz w:val="32"/>
          <w:szCs w:val="32"/>
        </w:rPr>
        <w:t>具有网络连接功能以进行电子数据交换或远程控制</w:t>
      </w:r>
      <w:r>
        <w:rPr>
          <w:rFonts w:eastAsia="仿宋_GB2312" w:hint="eastAsia"/>
          <w:color w:val="auto"/>
          <w:sz w:val="32"/>
          <w:szCs w:val="32"/>
        </w:rPr>
        <w:t>，</w:t>
      </w:r>
      <w:r>
        <w:rPr>
          <w:rFonts w:eastAsia="仿宋_GB2312" w:hint="eastAsia"/>
          <w:color w:val="auto"/>
          <w:sz w:val="32"/>
          <w:szCs w:val="32"/>
        </w:rPr>
        <w:t>同时与云计算、大数据相结合使用的情况日益普遍。因此，制造商</w:t>
      </w:r>
      <w:r>
        <w:rPr>
          <w:rFonts w:eastAsia="仿宋_GB2312" w:hint="eastAsia"/>
          <w:color w:val="auto"/>
          <w:sz w:val="32"/>
          <w:szCs w:val="32"/>
        </w:rPr>
        <w:t>应当持续跟踪与网络安全</w:t>
      </w:r>
      <w:r>
        <w:rPr>
          <w:rFonts w:eastAsia="仿宋_GB2312" w:hint="eastAsia"/>
          <w:color w:val="auto"/>
          <w:sz w:val="32"/>
          <w:szCs w:val="32"/>
        </w:rPr>
        <w:t>、</w:t>
      </w:r>
      <w:r>
        <w:rPr>
          <w:rFonts w:eastAsia="仿宋_GB2312" w:hint="eastAsia"/>
          <w:color w:val="auto"/>
          <w:sz w:val="32"/>
          <w:szCs w:val="32"/>
        </w:rPr>
        <w:t>云计算、大数据</w:t>
      </w:r>
      <w:r>
        <w:rPr>
          <w:rFonts w:eastAsia="仿宋_GB2312" w:hint="eastAsia"/>
          <w:color w:val="auto"/>
          <w:sz w:val="32"/>
          <w:szCs w:val="32"/>
        </w:rPr>
        <w:t>相关的</w:t>
      </w:r>
      <w:r>
        <w:rPr>
          <w:rFonts w:ascii="Times New Roman" w:eastAsia="仿宋_GB2312" w:cs="Times New Roman" w:hint="eastAsia"/>
          <w:bCs/>
          <w:color w:val="auto"/>
          <w:kern w:val="2"/>
          <w:sz w:val="32"/>
          <w:szCs w:val="32"/>
        </w:rPr>
        <w:t>国家法律法规和部门规章的规定，以及国家标准、行业标准的要求，</w:t>
      </w:r>
      <w:r>
        <w:rPr>
          <w:rFonts w:eastAsia="仿宋_GB2312" w:hint="eastAsia"/>
          <w:color w:val="auto"/>
          <w:sz w:val="32"/>
          <w:szCs w:val="32"/>
        </w:rPr>
        <w:t>保证移动医疗器械产品自身的网络安全</w:t>
      </w:r>
      <w:bookmarkEnd w:id="2"/>
      <w:bookmarkEnd w:id="6"/>
      <w:r>
        <w:rPr>
          <w:rFonts w:eastAsia="仿宋_GB2312" w:hint="eastAsia"/>
          <w:color w:val="auto"/>
          <w:sz w:val="32"/>
          <w:szCs w:val="32"/>
        </w:rPr>
        <w:t>，保护患者隐私。</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移动医疗器械产品种类繁</w:t>
      </w:r>
      <w:r>
        <w:rPr>
          <w:rFonts w:eastAsia="仿宋_GB2312" w:hint="eastAsia"/>
          <w:sz w:val="32"/>
          <w:szCs w:val="32"/>
        </w:rPr>
        <w:t>多，使用形式多样，临床要求和性能指标差异较大，难以统一注册申报资料要求。制造商应当根据移动医疗器械的类型、所用移动计算终端的特点以及临床要求提交相应注册申报资料，证明产品的安全性和有效性。</w:t>
      </w:r>
    </w:p>
    <w:p w:rsidR="003332B7" w:rsidRDefault="00C34255">
      <w:pPr>
        <w:spacing w:line="600" w:lineRule="atLeast"/>
        <w:ind w:firstLineChars="200" w:firstLine="640"/>
        <w:rPr>
          <w:rFonts w:eastAsia="黑体"/>
          <w:sz w:val="32"/>
          <w:szCs w:val="32"/>
        </w:rPr>
      </w:pPr>
      <w:r>
        <w:rPr>
          <w:rFonts w:eastAsia="黑体" w:hint="eastAsia"/>
          <w:sz w:val="32"/>
          <w:szCs w:val="32"/>
        </w:rPr>
        <w:t>四</w:t>
      </w:r>
      <w:r>
        <w:rPr>
          <w:rFonts w:eastAsia="黑体"/>
          <w:sz w:val="32"/>
          <w:szCs w:val="32"/>
        </w:rPr>
        <w:t>、</w:t>
      </w:r>
      <w:r>
        <w:rPr>
          <w:rFonts w:eastAsia="黑体" w:hint="eastAsia"/>
          <w:sz w:val="32"/>
          <w:szCs w:val="32"/>
        </w:rPr>
        <w:t>技术</w:t>
      </w:r>
      <w:proofErr w:type="gramStart"/>
      <w:r>
        <w:rPr>
          <w:rFonts w:eastAsia="黑体" w:hint="eastAsia"/>
          <w:sz w:val="32"/>
          <w:szCs w:val="32"/>
        </w:rPr>
        <w:t>考量</w:t>
      </w:r>
      <w:proofErr w:type="gramEnd"/>
    </w:p>
    <w:p w:rsidR="003332B7" w:rsidRDefault="00C34255">
      <w:pPr>
        <w:spacing w:line="600" w:lineRule="atLeast"/>
        <w:ind w:firstLineChars="200" w:firstLine="640"/>
        <w:rPr>
          <w:rFonts w:eastAsia="楷体_GB2312"/>
          <w:sz w:val="32"/>
          <w:szCs w:val="32"/>
        </w:rPr>
      </w:pPr>
      <w:r>
        <w:rPr>
          <w:rFonts w:ascii="黑体" w:eastAsia="仿宋_GB2312" w:cs="黑体" w:hint="eastAsia"/>
          <w:kern w:val="0"/>
          <w:sz w:val="32"/>
          <w:szCs w:val="32"/>
        </w:rPr>
        <w:t>移动医疗器械通常</w:t>
      </w:r>
      <w:r>
        <w:rPr>
          <w:rFonts w:ascii="黑体" w:eastAsia="仿宋_GB2312" w:cs="黑体" w:hint="eastAsia"/>
          <w:kern w:val="0"/>
          <w:sz w:val="32"/>
          <w:szCs w:val="32"/>
        </w:rPr>
        <w:t>可</w:t>
      </w:r>
      <w:r>
        <w:rPr>
          <w:rFonts w:ascii="黑体" w:eastAsia="仿宋_GB2312" w:cs="黑体" w:hint="eastAsia"/>
          <w:kern w:val="0"/>
          <w:sz w:val="32"/>
          <w:szCs w:val="32"/>
        </w:rPr>
        <w:t>用于替代或部分替代传统医疗器械，因此其性能指标可参照等效传统医疗器械的相关要求</w:t>
      </w:r>
      <w:r>
        <w:rPr>
          <w:rFonts w:ascii="黑体" w:eastAsia="仿宋_GB2312" w:cs="黑体" w:hint="eastAsia"/>
          <w:kern w:val="0"/>
          <w:sz w:val="32"/>
          <w:szCs w:val="32"/>
        </w:rPr>
        <w:t>，并应</w:t>
      </w:r>
      <w:r>
        <w:rPr>
          <w:rFonts w:eastAsia="仿宋_GB2312" w:hint="eastAsia"/>
          <w:sz w:val="32"/>
          <w:szCs w:val="32"/>
        </w:rPr>
        <w:t>与其</w:t>
      </w:r>
      <w:r>
        <w:rPr>
          <w:rFonts w:eastAsia="仿宋_GB2312" w:hint="eastAsia"/>
          <w:bCs/>
          <w:sz w:val="32"/>
          <w:szCs w:val="32"/>
        </w:rPr>
        <w:t>预期用途、</w:t>
      </w:r>
      <w:r>
        <w:rPr>
          <w:rFonts w:eastAsia="仿宋_GB2312"/>
          <w:bCs/>
          <w:sz w:val="32"/>
          <w:szCs w:val="32"/>
        </w:rPr>
        <w:t>使用环境</w:t>
      </w:r>
      <w:r>
        <w:rPr>
          <w:rFonts w:eastAsia="仿宋_GB2312" w:hint="eastAsia"/>
          <w:bCs/>
          <w:sz w:val="32"/>
          <w:szCs w:val="32"/>
        </w:rPr>
        <w:t>和</w:t>
      </w:r>
      <w:r>
        <w:rPr>
          <w:rFonts w:eastAsia="仿宋_GB2312"/>
          <w:bCs/>
          <w:sz w:val="32"/>
          <w:szCs w:val="32"/>
        </w:rPr>
        <w:t>核心功能</w:t>
      </w:r>
      <w:r>
        <w:rPr>
          <w:rFonts w:eastAsia="仿宋_GB2312" w:hint="eastAsia"/>
          <w:bCs/>
          <w:sz w:val="32"/>
          <w:szCs w:val="32"/>
        </w:rPr>
        <w:t>相匹配，满足临床要求。常见的共性技术问题包括但不限于：</w:t>
      </w:r>
    </w:p>
    <w:p w:rsidR="003332B7" w:rsidRDefault="00C34255">
      <w:pPr>
        <w:spacing w:line="600" w:lineRule="atLeast"/>
        <w:ind w:firstLineChars="200" w:firstLine="640"/>
        <w:rPr>
          <w:rFonts w:eastAsia="楷体_GB2312"/>
          <w:sz w:val="32"/>
          <w:szCs w:val="32"/>
        </w:rPr>
      </w:pPr>
      <w:r>
        <w:rPr>
          <w:rFonts w:eastAsia="楷体_GB2312" w:hint="eastAsia"/>
          <w:sz w:val="32"/>
          <w:szCs w:val="32"/>
        </w:rPr>
        <w:t>（</w:t>
      </w:r>
      <w:r>
        <w:rPr>
          <w:rFonts w:eastAsia="楷体_GB2312" w:hint="eastAsia"/>
          <w:sz w:val="32"/>
          <w:szCs w:val="32"/>
        </w:rPr>
        <w:t>一</w:t>
      </w:r>
      <w:r>
        <w:rPr>
          <w:rFonts w:eastAsia="楷体_GB2312" w:hint="eastAsia"/>
          <w:sz w:val="32"/>
          <w:szCs w:val="32"/>
        </w:rPr>
        <w:t>）</w:t>
      </w:r>
      <w:r>
        <w:rPr>
          <w:rFonts w:eastAsia="楷体_GB2312" w:hint="eastAsia"/>
          <w:sz w:val="32"/>
          <w:szCs w:val="32"/>
        </w:rPr>
        <w:t>网络安全能力</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移动</w:t>
      </w:r>
      <w:r>
        <w:rPr>
          <w:rFonts w:eastAsia="仿宋_GB2312" w:hint="eastAsia"/>
          <w:sz w:val="32"/>
          <w:szCs w:val="32"/>
        </w:rPr>
        <w:t>医疗器械</w:t>
      </w:r>
      <w:r>
        <w:rPr>
          <w:rFonts w:eastAsia="仿宋_GB2312" w:hint="eastAsia"/>
          <w:sz w:val="32"/>
          <w:szCs w:val="32"/>
        </w:rPr>
        <w:t>通常</w:t>
      </w:r>
      <w:r>
        <w:rPr>
          <w:rFonts w:eastAsia="仿宋_GB2312" w:hint="eastAsia"/>
          <w:sz w:val="32"/>
          <w:szCs w:val="32"/>
        </w:rPr>
        <w:t>具有网络连接功能以进行电子数据交换</w:t>
      </w:r>
      <w:r>
        <w:rPr>
          <w:rFonts w:eastAsia="仿宋_GB2312" w:hint="eastAsia"/>
          <w:sz w:val="32"/>
          <w:szCs w:val="32"/>
        </w:rPr>
        <w:lastRenderedPageBreak/>
        <w:t>或远程控制</w:t>
      </w:r>
      <w:r>
        <w:rPr>
          <w:rFonts w:eastAsia="仿宋_GB2312" w:hint="eastAsia"/>
          <w:sz w:val="32"/>
          <w:szCs w:val="32"/>
        </w:rPr>
        <w:t>，</w:t>
      </w:r>
      <w:r>
        <w:rPr>
          <w:rFonts w:eastAsia="仿宋_GB2312" w:hint="eastAsia"/>
          <w:sz w:val="32"/>
          <w:szCs w:val="32"/>
        </w:rPr>
        <w:t>存在网络安全风险</w:t>
      </w:r>
      <w:r>
        <w:rPr>
          <w:rFonts w:eastAsia="仿宋_GB2312" w:hint="eastAsia"/>
          <w:sz w:val="32"/>
          <w:szCs w:val="32"/>
        </w:rPr>
        <w:t>。</w:t>
      </w:r>
      <w:r>
        <w:rPr>
          <w:rFonts w:eastAsia="仿宋_GB2312" w:hint="eastAsia"/>
          <w:sz w:val="32"/>
          <w:szCs w:val="32"/>
        </w:rPr>
        <w:t>移动医疗器械的种类不同，对网络安全能力的要求也不同。因此，制造商应当根据网络安全指导原则明确产品关于网络安全能力的要求，并提供验证资料。</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例如，预期用于诊断的移动图像处理软件应当具有健康数据自动清除的功能，即软件在医护人员退出登录后能够自动清除下载至本地的健康数据，验证资料应当包括相应性能验证资料。</w:t>
      </w:r>
    </w:p>
    <w:p w:rsidR="003332B7" w:rsidRDefault="00C34255">
      <w:pPr>
        <w:spacing w:line="600" w:lineRule="atLeast"/>
        <w:ind w:firstLineChars="200" w:firstLine="640"/>
        <w:rPr>
          <w:rFonts w:eastAsia="楷体_GB2312"/>
          <w:sz w:val="32"/>
          <w:szCs w:val="32"/>
        </w:rPr>
      </w:pPr>
      <w:r>
        <w:rPr>
          <w:rFonts w:eastAsia="楷体_GB2312" w:hint="eastAsia"/>
          <w:sz w:val="32"/>
          <w:szCs w:val="32"/>
        </w:rPr>
        <w:t>（</w:t>
      </w:r>
      <w:r>
        <w:rPr>
          <w:rFonts w:eastAsia="楷体_GB2312" w:hint="eastAsia"/>
          <w:sz w:val="32"/>
          <w:szCs w:val="32"/>
        </w:rPr>
        <w:t>二</w:t>
      </w:r>
      <w:r>
        <w:rPr>
          <w:rFonts w:eastAsia="楷体_GB2312" w:hint="eastAsia"/>
          <w:sz w:val="32"/>
          <w:szCs w:val="32"/>
        </w:rPr>
        <w:t>）</w:t>
      </w:r>
      <w:r>
        <w:rPr>
          <w:rFonts w:eastAsia="楷体_GB2312" w:hint="eastAsia"/>
          <w:sz w:val="32"/>
          <w:szCs w:val="32"/>
        </w:rPr>
        <w:t>显示屏限制</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移动医疗器械的种类不同，临床要求也不同，对显示屏的要求亦不同，有些产品的显示屏仅用于向患者提供参考信息，而有些产品的显示屏则用于向医护人员提供诊断、监护信息。因此，制造商应当根据移动医疗器械产</w:t>
      </w:r>
      <w:r>
        <w:rPr>
          <w:rFonts w:eastAsia="仿宋_GB2312" w:hint="eastAsia"/>
          <w:sz w:val="32"/>
          <w:szCs w:val="32"/>
        </w:rPr>
        <w:t>品的类型、预期用途、使用环境和核心功能确定产品所用显示屏的技术要求（如屏幕尺寸、分辨率和亮度等）及确定依据，并提供验证资料（必要时含临床评价资料）。</w:t>
      </w:r>
    </w:p>
    <w:p w:rsidR="003332B7" w:rsidRDefault="00C34255">
      <w:pPr>
        <w:pStyle w:val="Default"/>
        <w:adjustRightInd/>
        <w:spacing w:line="600" w:lineRule="atLeast"/>
        <w:ind w:firstLineChars="200" w:firstLine="640"/>
        <w:jc w:val="both"/>
        <w:rPr>
          <w:rFonts w:eastAsia="仿宋_GB2312"/>
          <w:color w:val="auto"/>
          <w:sz w:val="32"/>
          <w:szCs w:val="32"/>
        </w:rPr>
      </w:pPr>
      <w:r>
        <w:rPr>
          <w:rFonts w:eastAsia="仿宋_GB2312" w:hint="eastAsia"/>
          <w:color w:val="auto"/>
          <w:sz w:val="32"/>
          <w:szCs w:val="32"/>
        </w:rPr>
        <w:t>移动医疗设备、控制型移动医疗附件关于显示屏的技术要求可以参考等效的传统医疗器械的相应要求，如标准、指导原则等。移动独立软件、数据型移动医疗附件关于显示屏的技术要求可以参考传统独立软件的要求。</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例如，预期用于诊断的移动图像处理软件应当明确移动计算终端所用显示屏的最小尺寸、最低分辨率和最低亮度以及确定依据，由于目前业内尚未形成共识，也无相应标准出台，验证资料应当包</w:t>
      </w:r>
      <w:r>
        <w:rPr>
          <w:rFonts w:eastAsia="仿宋_GB2312" w:hint="eastAsia"/>
          <w:sz w:val="32"/>
          <w:szCs w:val="32"/>
        </w:rPr>
        <w:t>括性能验证资料、临床评价资料。</w:t>
      </w:r>
    </w:p>
    <w:p w:rsidR="003332B7" w:rsidRDefault="00C34255">
      <w:pPr>
        <w:spacing w:line="600" w:lineRule="atLeast"/>
        <w:ind w:firstLineChars="200" w:firstLine="640"/>
        <w:rPr>
          <w:rFonts w:eastAsia="楷体_GB2312"/>
          <w:sz w:val="32"/>
          <w:szCs w:val="32"/>
        </w:rPr>
      </w:pPr>
      <w:r>
        <w:rPr>
          <w:rFonts w:eastAsia="楷体_GB2312" w:hint="eastAsia"/>
          <w:sz w:val="32"/>
          <w:szCs w:val="32"/>
        </w:rPr>
        <w:lastRenderedPageBreak/>
        <w:t>（</w:t>
      </w:r>
      <w:r>
        <w:rPr>
          <w:rFonts w:eastAsia="楷体_GB2312" w:hint="eastAsia"/>
          <w:sz w:val="32"/>
          <w:szCs w:val="32"/>
        </w:rPr>
        <w:t>三</w:t>
      </w:r>
      <w:r>
        <w:rPr>
          <w:rFonts w:eastAsia="楷体_GB2312" w:hint="eastAsia"/>
          <w:sz w:val="32"/>
          <w:szCs w:val="32"/>
        </w:rPr>
        <w:t>）</w:t>
      </w:r>
      <w:r>
        <w:rPr>
          <w:rFonts w:eastAsia="楷体_GB2312" w:hint="eastAsia"/>
          <w:sz w:val="32"/>
          <w:szCs w:val="32"/>
        </w:rPr>
        <w:t>环境光影响</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移动医疗器械的使用环境易发生变化，环境光的变化可能会导致医护人员误诊误判，产生相应风险。移动医疗器械的种类不同，对环境光抗干扰能力的要求也不同。因此，制造商应当根据移动医疗器械产品的类型、预期用途、使用环境和核心功能明确产品对环境光抗干扰能力的方法（如具有环境光检测功能、显示屏亮度矫正功能等），并提供验证资料（必要时含临床评价资料）。</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例如，预期用于诊断的移动图像处理软件应当具有环境光检测功能、显示屏亮度矫正功能，验证资料应当包括性能验证资料以及产品在不同典</w:t>
      </w:r>
      <w:r>
        <w:rPr>
          <w:rFonts w:eastAsia="仿宋_GB2312" w:hint="eastAsia"/>
          <w:sz w:val="32"/>
          <w:szCs w:val="32"/>
        </w:rPr>
        <w:t>型使用环境下的临床评价资料。</w:t>
      </w:r>
    </w:p>
    <w:p w:rsidR="003332B7" w:rsidRDefault="00C34255">
      <w:pPr>
        <w:spacing w:line="600" w:lineRule="atLeast"/>
        <w:ind w:firstLineChars="200" w:firstLine="640"/>
        <w:rPr>
          <w:rFonts w:eastAsia="楷体_GB2312"/>
          <w:sz w:val="32"/>
          <w:szCs w:val="32"/>
        </w:rPr>
      </w:pPr>
      <w:r>
        <w:rPr>
          <w:rFonts w:eastAsia="楷体_GB2312" w:hint="eastAsia"/>
          <w:sz w:val="32"/>
          <w:szCs w:val="32"/>
        </w:rPr>
        <w:t>（</w:t>
      </w:r>
      <w:r>
        <w:rPr>
          <w:rFonts w:eastAsia="楷体_GB2312" w:hint="eastAsia"/>
          <w:sz w:val="32"/>
          <w:szCs w:val="32"/>
        </w:rPr>
        <w:t>四</w:t>
      </w:r>
      <w:r>
        <w:rPr>
          <w:rFonts w:eastAsia="楷体_GB2312" w:hint="eastAsia"/>
          <w:sz w:val="32"/>
          <w:szCs w:val="32"/>
        </w:rPr>
        <w:t>）</w:t>
      </w:r>
      <w:r>
        <w:rPr>
          <w:rFonts w:eastAsia="楷体_GB2312" w:hint="eastAsia"/>
          <w:sz w:val="32"/>
          <w:szCs w:val="32"/>
        </w:rPr>
        <w:t>电池容量限制</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移动医疗器械体积小、重量轻，电池容量有限，电池续航时间可能无法满足临床要求，产生相应风险。移动医疗器械的种类不同，对电池续航能力的要求也不同。因此，制造商应当根据移动医疗器械产品的类型、预期用途、使用环境和核心功能明确产品对电池续航能力的要求（如容量、续航时间、剩余电量提示等），并提供验证资料以证明电池续航能力可以满足临床要求。</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例如，穿戴式动态心电记录仪应当明确电池的容量、续航时间，验证资料应当包括相应性能验证资料。</w:t>
      </w:r>
    </w:p>
    <w:p w:rsidR="003332B7" w:rsidRDefault="00C34255">
      <w:pPr>
        <w:spacing w:line="600" w:lineRule="atLeast"/>
        <w:ind w:firstLineChars="200" w:firstLine="640"/>
        <w:rPr>
          <w:rFonts w:eastAsia="楷体_GB2312"/>
          <w:sz w:val="32"/>
          <w:szCs w:val="32"/>
        </w:rPr>
      </w:pPr>
      <w:r>
        <w:rPr>
          <w:rFonts w:eastAsia="楷体_GB2312" w:hint="eastAsia"/>
          <w:sz w:val="32"/>
          <w:szCs w:val="32"/>
        </w:rPr>
        <w:t>（</w:t>
      </w:r>
      <w:r>
        <w:rPr>
          <w:rFonts w:eastAsia="楷体_GB2312" w:hint="eastAsia"/>
          <w:sz w:val="32"/>
          <w:szCs w:val="32"/>
        </w:rPr>
        <w:t>五</w:t>
      </w:r>
      <w:r>
        <w:rPr>
          <w:rFonts w:eastAsia="楷体_GB2312" w:hint="eastAsia"/>
          <w:sz w:val="32"/>
          <w:szCs w:val="32"/>
        </w:rPr>
        <w:t>）</w:t>
      </w:r>
      <w:proofErr w:type="gramStart"/>
      <w:r>
        <w:rPr>
          <w:rFonts w:eastAsia="楷体_GB2312" w:hint="eastAsia"/>
          <w:sz w:val="32"/>
          <w:szCs w:val="32"/>
        </w:rPr>
        <w:t>云计算</w:t>
      </w:r>
      <w:proofErr w:type="gramEnd"/>
      <w:r>
        <w:rPr>
          <w:rFonts w:eastAsia="楷体_GB2312" w:hint="eastAsia"/>
          <w:sz w:val="32"/>
          <w:szCs w:val="32"/>
        </w:rPr>
        <w:t>服务</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移动医疗器械与</w:t>
      </w:r>
      <w:proofErr w:type="gramStart"/>
      <w:r>
        <w:rPr>
          <w:rFonts w:eastAsia="仿宋_GB2312" w:hint="eastAsia"/>
          <w:sz w:val="32"/>
          <w:szCs w:val="32"/>
        </w:rPr>
        <w:t>云计算</w:t>
      </w:r>
      <w:proofErr w:type="gramEnd"/>
      <w:r>
        <w:rPr>
          <w:rFonts w:eastAsia="仿宋_GB2312" w:hint="eastAsia"/>
          <w:sz w:val="32"/>
          <w:szCs w:val="32"/>
        </w:rPr>
        <w:t>相结合使用的</w:t>
      </w:r>
      <w:r>
        <w:rPr>
          <w:rFonts w:eastAsia="仿宋_GB2312" w:hint="eastAsia"/>
          <w:sz w:val="32"/>
          <w:szCs w:val="32"/>
        </w:rPr>
        <w:t>情况日益普遍</w:t>
      </w:r>
      <w:r>
        <w:rPr>
          <w:rFonts w:eastAsia="仿宋_GB2312" w:hint="eastAsia"/>
          <w:sz w:val="32"/>
          <w:szCs w:val="32"/>
        </w:rPr>
        <w:t>，</w:t>
      </w:r>
      <w:proofErr w:type="gramStart"/>
      <w:r>
        <w:rPr>
          <w:rFonts w:eastAsia="仿宋_GB2312" w:hint="eastAsia"/>
          <w:sz w:val="32"/>
          <w:szCs w:val="32"/>
        </w:rPr>
        <w:t>云计算</w:t>
      </w:r>
      <w:proofErr w:type="gramEnd"/>
      <w:r>
        <w:rPr>
          <w:rFonts w:eastAsia="仿宋_GB2312" w:hint="eastAsia"/>
          <w:sz w:val="32"/>
          <w:szCs w:val="32"/>
        </w:rPr>
        <w:t>具有降低信息化成本、减少重复建设、提高资源利用率、增加业</w:t>
      </w:r>
      <w:r>
        <w:rPr>
          <w:rFonts w:eastAsia="仿宋_GB2312" w:hint="eastAsia"/>
          <w:sz w:val="32"/>
          <w:szCs w:val="32"/>
        </w:rPr>
        <w:lastRenderedPageBreak/>
        <w:t>务灵活性、提升服务专业性等优势，但也存在着用户对数据控制能力减弱、数据所有权面临挑战、数据保护困难、数据残留难以处理、用户与</w:t>
      </w:r>
      <w:proofErr w:type="gramStart"/>
      <w:r>
        <w:rPr>
          <w:rFonts w:eastAsia="仿宋_GB2312" w:hint="eastAsia"/>
          <w:sz w:val="32"/>
          <w:szCs w:val="32"/>
        </w:rPr>
        <w:t>云服务</w:t>
      </w:r>
      <w:proofErr w:type="gramEnd"/>
      <w:r>
        <w:rPr>
          <w:rFonts w:eastAsia="仿宋_GB2312" w:hint="eastAsia"/>
          <w:sz w:val="32"/>
          <w:szCs w:val="32"/>
        </w:rPr>
        <w:t>商责任不清、产生司法管辖权问题等风险，因此制造商应当权衡采用</w:t>
      </w:r>
      <w:proofErr w:type="gramStart"/>
      <w:r>
        <w:rPr>
          <w:rFonts w:eastAsia="仿宋_GB2312" w:hint="eastAsia"/>
          <w:sz w:val="32"/>
          <w:szCs w:val="32"/>
        </w:rPr>
        <w:t>云计算</w:t>
      </w:r>
      <w:proofErr w:type="gramEnd"/>
      <w:r>
        <w:rPr>
          <w:rFonts w:eastAsia="仿宋_GB2312" w:hint="eastAsia"/>
          <w:sz w:val="32"/>
          <w:szCs w:val="32"/>
        </w:rPr>
        <w:t>服务的收益和风险，遵守相关国家法律法规和部门规章的规定，在</w:t>
      </w:r>
      <w:proofErr w:type="gramStart"/>
      <w:r>
        <w:rPr>
          <w:rFonts w:eastAsia="仿宋_GB2312" w:hint="eastAsia"/>
          <w:sz w:val="32"/>
          <w:szCs w:val="32"/>
        </w:rPr>
        <w:t>云计算</w:t>
      </w:r>
      <w:proofErr w:type="gramEnd"/>
      <w:r>
        <w:rPr>
          <w:rFonts w:eastAsia="仿宋_GB2312" w:hint="eastAsia"/>
          <w:sz w:val="32"/>
          <w:szCs w:val="32"/>
        </w:rPr>
        <w:t>服务生存周期中保证产品的安全性和有效性。</w:t>
      </w:r>
    </w:p>
    <w:p w:rsidR="003332B7" w:rsidRDefault="00C34255">
      <w:pPr>
        <w:spacing w:line="600" w:lineRule="atLeast"/>
        <w:ind w:firstLineChars="200" w:firstLine="640"/>
        <w:rPr>
          <w:rFonts w:eastAsia="仿宋_GB2312"/>
          <w:sz w:val="32"/>
          <w:szCs w:val="32"/>
        </w:rPr>
      </w:pPr>
      <w:proofErr w:type="gramStart"/>
      <w:r>
        <w:rPr>
          <w:rFonts w:eastAsia="仿宋_GB2312" w:hint="eastAsia"/>
          <w:sz w:val="32"/>
          <w:szCs w:val="32"/>
        </w:rPr>
        <w:t>云计算</w:t>
      </w:r>
      <w:proofErr w:type="gramEnd"/>
      <w:r>
        <w:rPr>
          <w:rFonts w:eastAsia="仿宋_GB2312" w:hint="eastAsia"/>
          <w:sz w:val="32"/>
          <w:szCs w:val="32"/>
        </w:rPr>
        <w:t>服务模式主要分为三种：软件即服务（</w:t>
      </w:r>
      <w:proofErr w:type="spellStart"/>
      <w:r>
        <w:rPr>
          <w:rFonts w:eastAsia="仿宋_GB2312" w:hint="eastAsia"/>
          <w:sz w:val="32"/>
          <w:szCs w:val="32"/>
        </w:rPr>
        <w:t>SaaS</w:t>
      </w:r>
      <w:proofErr w:type="spellEnd"/>
      <w:r>
        <w:rPr>
          <w:rFonts w:eastAsia="仿宋_GB2312" w:hint="eastAsia"/>
          <w:sz w:val="32"/>
          <w:szCs w:val="32"/>
        </w:rPr>
        <w:t>）、平台即服务（</w:t>
      </w:r>
      <w:proofErr w:type="spellStart"/>
      <w:r>
        <w:rPr>
          <w:rFonts w:eastAsia="仿宋_GB2312" w:hint="eastAsia"/>
          <w:sz w:val="32"/>
          <w:szCs w:val="32"/>
        </w:rPr>
        <w:t>PaaS</w:t>
      </w:r>
      <w:proofErr w:type="spellEnd"/>
      <w:r>
        <w:rPr>
          <w:rFonts w:eastAsia="仿宋_GB2312" w:hint="eastAsia"/>
          <w:sz w:val="32"/>
          <w:szCs w:val="32"/>
        </w:rPr>
        <w:t>）和基础设施即服务（</w:t>
      </w:r>
      <w:proofErr w:type="spellStart"/>
      <w:r>
        <w:rPr>
          <w:rFonts w:eastAsia="仿宋_GB2312" w:hint="eastAsia"/>
          <w:sz w:val="32"/>
          <w:szCs w:val="32"/>
        </w:rPr>
        <w:t>IaaS</w:t>
      </w:r>
      <w:proofErr w:type="spellEnd"/>
      <w:r>
        <w:rPr>
          <w:rFonts w:eastAsia="仿宋_GB2312" w:hint="eastAsia"/>
          <w:sz w:val="32"/>
          <w:szCs w:val="32"/>
        </w:rPr>
        <w:t>）</w:t>
      </w:r>
      <w:r>
        <w:rPr>
          <w:rFonts w:eastAsia="仿宋_GB2312" w:hint="eastAsia"/>
          <w:sz w:val="32"/>
          <w:szCs w:val="32"/>
        </w:rPr>
        <w:t>，部署模式主要分为四种：私有云、公有云、社区云和混合云（定义详见</w:t>
      </w:r>
      <w:r>
        <w:rPr>
          <w:rFonts w:eastAsia="仿宋_GB2312" w:hint="eastAsia"/>
          <w:sz w:val="32"/>
          <w:szCs w:val="32"/>
        </w:rPr>
        <w:t>GB/T 31167-2014</w:t>
      </w:r>
      <w:r>
        <w:rPr>
          <w:rFonts w:eastAsia="仿宋_GB2312" w:hint="eastAsia"/>
          <w:sz w:val="32"/>
          <w:szCs w:val="32"/>
        </w:rPr>
        <w:t>《信息安全技术</w:t>
      </w:r>
      <w:r>
        <w:rPr>
          <w:rFonts w:eastAsia="仿宋_GB2312" w:hint="eastAsia"/>
          <w:sz w:val="32"/>
          <w:szCs w:val="32"/>
        </w:rPr>
        <w:t xml:space="preserve"> </w:t>
      </w:r>
      <w:r>
        <w:rPr>
          <w:rFonts w:eastAsia="仿宋_GB2312" w:hint="eastAsia"/>
          <w:sz w:val="32"/>
          <w:szCs w:val="32"/>
        </w:rPr>
        <w:t>云计算服务安全指南》）。</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制造商应当综合考虑移动医疗器械使用</w:t>
      </w:r>
      <w:proofErr w:type="gramStart"/>
      <w:r>
        <w:rPr>
          <w:rFonts w:eastAsia="仿宋_GB2312" w:hint="eastAsia"/>
          <w:sz w:val="32"/>
          <w:szCs w:val="32"/>
        </w:rPr>
        <w:t>云计算</w:t>
      </w:r>
      <w:proofErr w:type="gramEnd"/>
      <w:r>
        <w:rPr>
          <w:rFonts w:eastAsia="仿宋_GB2312" w:hint="eastAsia"/>
          <w:sz w:val="32"/>
          <w:szCs w:val="32"/>
        </w:rPr>
        <w:t>服务的风险和技术要求，明确所用</w:t>
      </w:r>
      <w:proofErr w:type="gramStart"/>
      <w:r>
        <w:rPr>
          <w:rFonts w:eastAsia="仿宋_GB2312" w:hint="eastAsia"/>
          <w:sz w:val="32"/>
          <w:szCs w:val="32"/>
        </w:rPr>
        <w:t>云计算</w:t>
      </w:r>
      <w:proofErr w:type="gramEnd"/>
      <w:r>
        <w:rPr>
          <w:rFonts w:eastAsia="仿宋_GB2312" w:hint="eastAsia"/>
          <w:sz w:val="32"/>
          <w:szCs w:val="32"/>
        </w:rPr>
        <w:t>服务的服务模式、部署模式、核心功能（如数据</w:t>
      </w:r>
      <w:r>
        <w:rPr>
          <w:rFonts w:eastAsia="仿宋_GB2312" w:hint="eastAsia"/>
          <w:bCs/>
          <w:sz w:val="32"/>
          <w:szCs w:val="32"/>
        </w:rPr>
        <w:t>存储、分析处理、数据挖掘等）、数据接口（如网络协议、数据格式等）和网络安全能力（</w:t>
      </w:r>
      <w:r>
        <w:rPr>
          <w:rFonts w:eastAsia="仿宋_GB2312" w:hint="eastAsia"/>
          <w:bCs/>
          <w:sz w:val="32"/>
          <w:szCs w:val="32"/>
        </w:rPr>
        <w:t>明确</w:t>
      </w:r>
      <w:r>
        <w:rPr>
          <w:rFonts w:eastAsia="仿宋_GB2312" w:hint="eastAsia"/>
          <w:sz w:val="32"/>
          <w:szCs w:val="32"/>
        </w:rPr>
        <w:t>保密性、完整性、可得性要求，如数据加密、数据匿名、数据传输校验等）。</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对于移动医疗器械而言，</w:t>
      </w:r>
      <w:proofErr w:type="gramStart"/>
      <w:r>
        <w:rPr>
          <w:rFonts w:eastAsia="仿宋_GB2312" w:hint="eastAsia"/>
          <w:sz w:val="32"/>
          <w:szCs w:val="32"/>
        </w:rPr>
        <w:t>云计算</w:t>
      </w:r>
      <w:proofErr w:type="gramEnd"/>
      <w:r>
        <w:rPr>
          <w:rFonts w:eastAsia="仿宋_GB2312" w:hint="eastAsia"/>
          <w:sz w:val="32"/>
          <w:szCs w:val="32"/>
        </w:rPr>
        <w:t>服务可视为现成软件，</w:t>
      </w:r>
      <w:proofErr w:type="gramStart"/>
      <w:r>
        <w:rPr>
          <w:rFonts w:eastAsia="仿宋_GB2312" w:hint="eastAsia"/>
          <w:sz w:val="32"/>
          <w:szCs w:val="32"/>
        </w:rPr>
        <w:t>云服务</w:t>
      </w:r>
      <w:proofErr w:type="gramEnd"/>
      <w:r>
        <w:rPr>
          <w:rFonts w:eastAsia="仿宋_GB2312" w:hint="eastAsia"/>
          <w:sz w:val="32"/>
          <w:szCs w:val="32"/>
        </w:rPr>
        <w:t>商可视为供应商而非医疗器械制造商，因此制造商可以参考现成软件和供应商的相关要求确定</w:t>
      </w:r>
      <w:proofErr w:type="gramStart"/>
      <w:r>
        <w:rPr>
          <w:rFonts w:eastAsia="仿宋_GB2312" w:hint="eastAsia"/>
          <w:sz w:val="32"/>
          <w:szCs w:val="32"/>
        </w:rPr>
        <w:t>云计算</w:t>
      </w:r>
      <w:proofErr w:type="gramEnd"/>
      <w:r>
        <w:rPr>
          <w:rFonts w:eastAsia="仿宋_GB2312" w:hint="eastAsia"/>
          <w:sz w:val="32"/>
          <w:szCs w:val="32"/>
        </w:rPr>
        <w:t>服务的要求。</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对于采用</w:t>
      </w:r>
      <w:proofErr w:type="gramStart"/>
      <w:r>
        <w:rPr>
          <w:rFonts w:eastAsia="仿宋_GB2312" w:hint="eastAsia"/>
          <w:sz w:val="32"/>
          <w:szCs w:val="32"/>
        </w:rPr>
        <w:t>云计算</w:t>
      </w:r>
      <w:proofErr w:type="gramEnd"/>
      <w:r>
        <w:rPr>
          <w:rFonts w:eastAsia="仿宋_GB2312" w:hint="eastAsia"/>
          <w:sz w:val="32"/>
          <w:szCs w:val="32"/>
        </w:rPr>
        <w:t>服务的情况，制造商应当提供相应注册申报资料，内容包括：基本信息（</w:t>
      </w:r>
      <w:proofErr w:type="gramStart"/>
      <w:r>
        <w:rPr>
          <w:rFonts w:eastAsia="仿宋_GB2312" w:hint="eastAsia"/>
          <w:sz w:val="32"/>
          <w:szCs w:val="32"/>
        </w:rPr>
        <w:t>云计算</w:t>
      </w:r>
      <w:proofErr w:type="gramEnd"/>
      <w:r>
        <w:rPr>
          <w:rFonts w:eastAsia="仿宋_GB2312" w:hint="eastAsia"/>
          <w:sz w:val="32"/>
          <w:szCs w:val="32"/>
        </w:rPr>
        <w:t>的名称和配置，</w:t>
      </w:r>
      <w:proofErr w:type="gramStart"/>
      <w:r>
        <w:rPr>
          <w:rFonts w:eastAsia="仿宋_GB2312" w:hint="eastAsia"/>
          <w:sz w:val="32"/>
          <w:szCs w:val="32"/>
        </w:rPr>
        <w:t>云服务</w:t>
      </w:r>
      <w:proofErr w:type="gramEnd"/>
      <w:r>
        <w:rPr>
          <w:rFonts w:eastAsia="仿宋_GB2312" w:hint="eastAsia"/>
          <w:sz w:val="32"/>
          <w:szCs w:val="32"/>
        </w:rPr>
        <w:t>商的名称、住所和资质）、技术要求（服务模式、部署模式、核心功能、数据接口、网络安全能力）、风险管理、验证与确认、维护</w:t>
      </w:r>
      <w:r>
        <w:rPr>
          <w:rFonts w:eastAsia="仿宋_GB2312" w:hint="eastAsia"/>
          <w:sz w:val="32"/>
          <w:szCs w:val="32"/>
        </w:rPr>
        <w:lastRenderedPageBreak/>
        <w:t>计划（</w:t>
      </w:r>
      <w:proofErr w:type="gramStart"/>
      <w:r>
        <w:rPr>
          <w:rFonts w:eastAsia="仿宋_GB2312" w:hint="eastAsia"/>
          <w:sz w:val="32"/>
          <w:szCs w:val="32"/>
        </w:rPr>
        <w:t>明确云计算</w:t>
      </w:r>
      <w:proofErr w:type="gramEnd"/>
      <w:r>
        <w:rPr>
          <w:rFonts w:eastAsia="仿宋_GB2312" w:hint="eastAsia"/>
          <w:sz w:val="32"/>
          <w:szCs w:val="32"/>
        </w:rPr>
        <w:t>服务更新的维护流程）、与</w:t>
      </w:r>
      <w:proofErr w:type="gramStart"/>
      <w:r>
        <w:rPr>
          <w:rFonts w:eastAsia="仿宋_GB2312" w:hint="eastAsia"/>
          <w:sz w:val="32"/>
          <w:szCs w:val="32"/>
        </w:rPr>
        <w:t>云服务</w:t>
      </w:r>
      <w:proofErr w:type="gramEnd"/>
      <w:r>
        <w:rPr>
          <w:rFonts w:eastAsia="仿宋_GB2312" w:hint="eastAsia"/>
          <w:sz w:val="32"/>
          <w:szCs w:val="32"/>
        </w:rPr>
        <w:t>商签订的质量协议（</w:t>
      </w:r>
      <w:proofErr w:type="gramStart"/>
      <w:r>
        <w:rPr>
          <w:rFonts w:eastAsia="仿宋_GB2312" w:hint="eastAsia"/>
          <w:sz w:val="32"/>
          <w:szCs w:val="32"/>
        </w:rPr>
        <w:t>明确云计算</w:t>
      </w:r>
      <w:proofErr w:type="gramEnd"/>
      <w:r>
        <w:rPr>
          <w:rFonts w:eastAsia="仿宋_GB2312" w:hint="eastAsia"/>
          <w:sz w:val="32"/>
          <w:szCs w:val="32"/>
        </w:rPr>
        <w:t>服务的技术要求、质量要求和双方所承担的质量责任，如数据保护方法</w:t>
      </w:r>
      <w:r>
        <w:rPr>
          <w:rFonts w:eastAsia="仿宋_GB2312" w:hint="eastAsia"/>
          <w:sz w:val="32"/>
          <w:szCs w:val="32"/>
        </w:rPr>
        <w:t>、数据残留处理等）。</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对于制造商自建</w:t>
      </w:r>
      <w:proofErr w:type="gramStart"/>
      <w:r>
        <w:rPr>
          <w:rFonts w:eastAsia="仿宋_GB2312" w:hint="eastAsia"/>
          <w:sz w:val="32"/>
          <w:szCs w:val="32"/>
        </w:rPr>
        <w:t>云计算</w:t>
      </w:r>
      <w:proofErr w:type="gramEnd"/>
      <w:r>
        <w:rPr>
          <w:rFonts w:eastAsia="仿宋_GB2312" w:hint="eastAsia"/>
          <w:sz w:val="32"/>
          <w:szCs w:val="32"/>
        </w:rPr>
        <w:t>平台的情况，制造商应当遵循</w:t>
      </w:r>
      <w:proofErr w:type="gramStart"/>
      <w:r>
        <w:rPr>
          <w:rFonts w:eastAsia="仿宋_GB2312" w:hint="eastAsia"/>
          <w:sz w:val="32"/>
          <w:szCs w:val="32"/>
        </w:rPr>
        <w:t>云服务</w:t>
      </w:r>
      <w:proofErr w:type="gramEnd"/>
      <w:r>
        <w:rPr>
          <w:rFonts w:eastAsia="仿宋_GB2312" w:hint="eastAsia"/>
          <w:sz w:val="32"/>
          <w:szCs w:val="32"/>
        </w:rPr>
        <w:t>商的相关规定，自建</w:t>
      </w:r>
      <w:proofErr w:type="gramStart"/>
      <w:r>
        <w:rPr>
          <w:rFonts w:eastAsia="仿宋_GB2312" w:hint="eastAsia"/>
          <w:sz w:val="32"/>
          <w:szCs w:val="32"/>
        </w:rPr>
        <w:t>云计算</w:t>
      </w:r>
      <w:proofErr w:type="gramEnd"/>
      <w:r>
        <w:rPr>
          <w:rFonts w:eastAsia="仿宋_GB2312" w:hint="eastAsia"/>
          <w:sz w:val="32"/>
          <w:szCs w:val="32"/>
        </w:rPr>
        <w:t>平台的注册申报资料应当在自主开发独立软件注册申报资料的基础上参照</w:t>
      </w:r>
      <w:proofErr w:type="gramStart"/>
      <w:r>
        <w:rPr>
          <w:rFonts w:eastAsia="仿宋_GB2312" w:hint="eastAsia"/>
          <w:sz w:val="32"/>
          <w:szCs w:val="32"/>
        </w:rPr>
        <w:t>云计算</w:t>
      </w:r>
      <w:proofErr w:type="gramEnd"/>
      <w:r>
        <w:rPr>
          <w:rFonts w:eastAsia="仿宋_GB2312" w:hint="eastAsia"/>
          <w:sz w:val="32"/>
          <w:szCs w:val="32"/>
        </w:rPr>
        <w:t>服务的适用要求。</w:t>
      </w:r>
    </w:p>
    <w:p w:rsidR="003332B7" w:rsidRDefault="00C34255">
      <w:pPr>
        <w:spacing w:line="600" w:lineRule="atLeast"/>
        <w:ind w:firstLineChars="200" w:firstLine="640"/>
        <w:rPr>
          <w:rFonts w:eastAsia="楷体_GB2312"/>
          <w:sz w:val="32"/>
          <w:szCs w:val="32"/>
        </w:rPr>
      </w:pPr>
      <w:r>
        <w:rPr>
          <w:rFonts w:eastAsia="楷体_GB2312" w:hint="eastAsia"/>
          <w:sz w:val="32"/>
          <w:szCs w:val="32"/>
        </w:rPr>
        <w:t>（</w:t>
      </w:r>
      <w:r>
        <w:rPr>
          <w:rFonts w:eastAsia="楷体_GB2312" w:hint="eastAsia"/>
          <w:sz w:val="32"/>
          <w:szCs w:val="32"/>
        </w:rPr>
        <w:t>六</w:t>
      </w:r>
      <w:r>
        <w:rPr>
          <w:rFonts w:eastAsia="楷体_GB2312" w:hint="eastAsia"/>
          <w:sz w:val="32"/>
          <w:szCs w:val="32"/>
        </w:rPr>
        <w:t>）</w:t>
      </w:r>
      <w:r>
        <w:rPr>
          <w:rFonts w:eastAsia="楷体_GB2312" w:hint="eastAsia"/>
          <w:sz w:val="32"/>
          <w:szCs w:val="32"/>
        </w:rPr>
        <w:t>穿戴式计算技术</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采用穿戴式计算技术（如柔性计算技术）的移动</w:t>
      </w:r>
      <w:r>
        <w:rPr>
          <w:rFonts w:eastAsia="仿宋_GB2312" w:hint="eastAsia"/>
          <w:sz w:val="32"/>
          <w:szCs w:val="32"/>
        </w:rPr>
        <w:t>医疗器械</w:t>
      </w:r>
      <w:r>
        <w:rPr>
          <w:rFonts w:eastAsia="仿宋_GB2312" w:hint="eastAsia"/>
          <w:sz w:val="32"/>
          <w:szCs w:val="32"/>
        </w:rPr>
        <w:t>除考虑上述技术因素之外，还应明确可用性（人机工效学或人因工程）和可靠性的要求，并提供验证资料。</w:t>
      </w:r>
    </w:p>
    <w:p w:rsidR="003332B7" w:rsidRDefault="00C34255">
      <w:pPr>
        <w:spacing w:line="600" w:lineRule="atLeast"/>
        <w:ind w:firstLineChars="200" w:firstLine="640"/>
        <w:rPr>
          <w:rFonts w:eastAsia="黑体"/>
          <w:sz w:val="32"/>
          <w:szCs w:val="32"/>
        </w:rPr>
      </w:pPr>
      <w:r>
        <w:rPr>
          <w:rFonts w:eastAsia="黑体" w:hint="eastAsia"/>
          <w:sz w:val="32"/>
          <w:szCs w:val="32"/>
        </w:rPr>
        <w:t>五、</w:t>
      </w:r>
      <w:r>
        <w:rPr>
          <w:rFonts w:eastAsia="黑体"/>
          <w:sz w:val="32"/>
          <w:szCs w:val="32"/>
        </w:rPr>
        <w:t>注册申报</w:t>
      </w:r>
      <w:r>
        <w:rPr>
          <w:rFonts w:eastAsia="黑体" w:hint="eastAsia"/>
          <w:sz w:val="32"/>
          <w:szCs w:val="32"/>
        </w:rPr>
        <w:t>资料</w:t>
      </w:r>
      <w:r>
        <w:rPr>
          <w:rFonts w:eastAsia="黑体"/>
          <w:sz w:val="32"/>
          <w:szCs w:val="32"/>
        </w:rPr>
        <w:t>要求</w:t>
      </w:r>
    </w:p>
    <w:p w:rsidR="003332B7" w:rsidRDefault="00C34255">
      <w:pPr>
        <w:spacing w:line="600" w:lineRule="atLeast"/>
        <w:ind w:firstLineChars="200" w:firstLine="640"/>
        <w:rPr>
          <w:rFonts w:eastAsia="楷体_GB2312"/>
          <w:bCs/>
          <w:sz w:val="32"/>
          <w:szCs w:val="32"/>
        </w:rPr>
      </w:pPr>
      <w:bookmarkStart w:id="7" w:name="产品注册"/>
      <w:bookmarkStart w:id="8" w:name="OLE_LINK12"/>
      <w:r>
        <w:rPr>
          <w:rFonts w:eastAsia="楷体_GB2312"/>
          <w:bCs/>
          <w:sz w:val="32"/>
          <w:szCs w:val="32"/>
        </w:rPr>
        <w:t>（一）</w:t>
      </w:r>
      <w:bookmarkEnd w:id="7"/>
      <w:r>
        <w:rPr>
          <w:rFonts w:eastAsia="楷体_GB2312" w:hint="eastAsia"/>
          <w:bCs/>
          <w:sz w:val="32"/>
          <w:szCs w:val="32"/>
        </w:rPr>
        <w:t>移动医疗设备</w:t>
      </w:r>
    </w:p>
    <w:p w:rsidR="003332B7" w:rsidRDefault="00C34255">
      <w:pPr>
        <w:spacing w:line="600" w:lineRule="atLeast"/>
        <w:ind w:firstLineChars="200" w:firstLine="640"/>
        <w:rPr>
          <w:rFonts w:eastAsia="仿宋_GB2312"/>
          <w:sz w:val="32"/>
          <w:szCs w:val="32"/>
        </w:rPr>
      </w:pPr>
      <w:bookmarkStart w:id="9" w:name="_Toc322935369"/>
      <w:bookmarkStart w:id="10" w:name="_Toc322935367"/>
      <w:bookmarkEnd w:id="8"/>
      <w:r>
        <w:rPr>
          <w:rFonts w:eastAsia="仿宋_GB2312" w:hint="eastAsia"/>
          <w:sz w:val="32"/>
          <w:szCs w:val="32"/>
        </w:rPr>
        <w:t>移动医疗设备通常可用于替代或部分替代等效的传统医疗器械，因此制造商应当结合本指导原则、等效传统医疗器械指导原则（如有）、软件指导原则、网络安全指导原则的要求提交相应注册申报资料。</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风险管理应当综合考虑等效传统医疗器械的风险以及移动计算终端的风险。</w:t>
      </w:r>
    </w:p>
    <w:p w:rsidR="003332B7" w:rsidRDefault="00C34255">
      <w:pPr>
        <w:spacing w:line="600" w:lineRule="atLeast"/>
        <w:ind w:firstLineChars="200" w:firstLine="640"/>
        <w:rPr>
          <w:rFonts w:eastAsia="仿宋_GB2312"/>
          <w:bCs/>
          <w:sz w:val="32"/>
          <w:szCs w:val="32"/>
        </w:rPr>
      </w:pPr>
      <w:r>
        <w:rPr>
          <w:rFonts w:eastAsia="仿宋_GB2312" w:hint="eastAsia"/>
          <w:bCs/>
          <w:sz w:val="32"/>
          <w:szCs w:val="32"/>
        </w:rPr>
        <w:t>产品技术要求</w:t>
      </w:r>
      <w:r>
        <w:rPr>
          <w:rFonts w:eastAsia="仿宋_GB2312" w:hint="eastAsia"/>
          <w:bCs/>
          <w:sz w:val="32"/>
          <w:szCs w:val="32"/>
        </w:rPr>
        <w:t>应当包含</w:t>
      </w:r>
      <w:r>
        <w:rPr>
          <w:rFonts w:eastAsia="仿宋_GB2312" w:hint="eastAsia"/>
          <w:sz w:val="32"/>
          <w:szCs w:val="32"/>
        </w:rPr>
        <w:t>等效传统医疗器械适用的性能指标以及移动计算终端的性能指标</w:t>
      </w:r>
      <w:r>
        <w:rPr>
          <w:rFonts w:eastAsia="仿宋_GB2312" w:hint="eastAsia"/>
          <w:bCs/>
          <w:sz w:val="32"/>
          <w:szCs w:val="32"/>
        </w:rPr>
        <w:t>（如软件功能、软件运行环境等）。</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临床评价可以选取等效传统医疗器械进行实质等同对比，并满足《医疗器械临床评价技术指导原则》的要求。</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lastRenderedPageBreak/>
        <w:t>说明书应当明确移动计算终端的性能指标和使用方法，特别是对</w:t>
      </w:r>
      <w:r>
        <w:rPr>
          <w:rFonts w:eastAsia="仿宋_GB2312" w:hint="eastAsia"/>
          <w:sz w:val="32"/>
          <w:szCs w:val="32"/>
        </w:rPr>
        <w:t>由患者使用、在家庭环境使用的产品。</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若采用</w:t>
      </w:r>
      <w:proofErr w:type="gramStart"/>
      <w:r>
        <w:rPr>
          <w:rFonts w:eastAsia="仿宋_GB2312" w:hint="eastAsia"/>
          <w:sz w:val="32"/>
          <w:szCs w:val="32"/>
        </w:rPr>
        <w:t>云计算</w:t>
      </w:r>
      <w:proofErr w:type="gramEnd"/>
      <w:r>
        <w:rPr>
          <w:rFonts w:eastAsia="仿宋_GB2312" w:hint="eastAsia"/>
          <w:sz w:val="32"/>
          <w:szCs w:val="32"/>
        </w:rPr>
        <w:t>服务，制造商应当根据本指导原则的要求提交</w:t>
      </w:r>
      <w:proofErr w:type="gramStart"/>
      <w:r>
        <w:rPr>
          <w:rFonts w:eastAsia="仿宋_GB2312" w:hint="eastAsia"/>
          <w:sz w:val="32"/>
          <w:szCs w:val="32"/>
        </w:rPr>
        <w:t>云计算</w:t>
      </w:r>
      <w:proofErr w:type="gramEnd"/>
      <w:r>
        <w:rPr>
          <w:rFonts w:eastAsia="仿宋_GB2312" w:hint="eastAsia"/>
          <w:sz w:val="32"/>
          <w:szCs w:val="32"/>
        </w:rPr>
        <w:t>服务的注册申报资料。</w:t>
      </w:r>
    </w:p>
    <w:p w:rsidR="003332B7" w:rsidRDefault="00C34255">
      <w:pPr>
        <w:spacing w:line="600" w:lineRule="atLeast"/>
        <w:ind w:firstLineChars="200" w:firstLine="640"/>
        <w:rPr>
          <w:rFonts w:eastAsia="楷体_GB2312"/>
          <w:bCs/>
          <w:sz w:val="32"/>
          <w:szCs w:val="32"/>
        </w:rPr>
      </w:pPr>
      <w:bookmarkStart w:id="11" w:name="注册变更"/>
      <w:bookmarkEnd w:id="9"/>
      <w:bookmarkEnd w:id="10"/>
      <w:r>
        <w:rPr>
          <w:rFonts w:eastAsia="楷体_GB2312"/>
          <w:bCs/>
          <w:sz w:val="32"/>
          <w:szCs w:val="32"/>
        </w:rPr>
        <w:t>（</w:t>
      </w:r>
      <w:r>
        <w:rPr>
          <w:rFonts w:eastAsia="楷体_GB2312" w:hint="eastAsia"/>
          <w:bCs/>
          <w:sz w:val="32"/>
          <w:szCs w:val="32"/>
        </w:rPr>
        <w:t>二</w:t>
      </w:r>
      <w:r>
        <w:rPr>
          <w:rFonts w:eastAsia="楷体_GB2312"/>
          <w:bCs/>
          <w:sz w:val="32"/>
          <w:szCs w:val="32"/>
        </w:rPr>
        <w:t>）</w:t>
      </w:r>
      <w:r>
        <w:rPr>
          <w:rFonts w:eastAsia="楷体_GB2312" w:hint="eastAsia"/>
          <w:bCs/>
          <w:sz w:val="32"/>
          <w:szCs w:val="32"/>
        </w:rPr>
        <w:t>移动独立软件</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移动独立软件与传统独立软件相比主要差异在于移动独立软件运行于商业现成移动计算终端（含外观改装）。因此制造商应当结合本指导原则、传统独立软件指导原则（如有）、软件指导原则、网络安全指导原则的要求提交相应注册申报资料。</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若采用</w:t>
      </w:r>
      <w:proofErr w:type="gramStart"/>
      <w:r>
        <w:rPr>
          <w:rFonts w:eastAsia="仿宋_GB2312" w:hint="eastAsia"/>
          <w:sz w:val="32"/>
          <w:szCs w:val="32"/>
        </w:rPr>
        <w:t>云计算</w:t>
      </w:r>
      <w:proofErr w:type="gramEnd"/>
      <w:r>
        <w:rPr>
          <w:rFonts w:eastAsia="仿宋_GB2312" w:hint="eastAsia"/>
          <w:sz w:val="32"/>
          <w:szCs w:val="32"/>
        </w:rPr>
        <w:t>服务，制造商应当根据本指导原则的要求提交</w:t>
      </w:r>
      <w:proofErr w:type="gramStart"/>
      <w:r>
        <w:rPr>
          <w:rFonts w:eastAsia="仿宋_GB2312" w:hint="eastAsia"/>
          <w:sz w:val="32"/>
          <w:szCs w:val="32"/>
        </w:rPr>
        <w:t>云计算</w:t>
      </w:r>
      <w:proofErr w:type="gramEnd"/>
      <w:r>
        <w:rPr>
          <w:rFonts w:eastAsia="仿宋_GB2312" w:hint="eastAsia"/>
          <w:sz w:val="32"/>
          <w:szCs w:val="32"/>
        </w:rPr>
        <w:t>服务的注册申报资料。</w:t>
      </w:r>
    </w:p>
    <w:p w:rsidR="003332B7" w:rsidRDefault="00C34255">
      <w:pPr>
        <w:spacing w:line="600" w:lineRule="atLeast"/>
        <w:ind w:firstLineChars="200" w:firstLine="640"/>
        <w:rPr>
          <w:rFonts w:eastAsia="楷体_GB2312"/>
          <w:bCs/>
          <w:sz w:val="32"/>
          <w:szCs w:val="32"/>
        </w:rPr>
      </w:pPr>
      <w:r>
        <w:rPr>
          <w:rFonts w:eastAsia="楷体_GB2312"/>
          <w:bCs/>
          <w:sz w:val="32"/>
          <w:szCs w:val="32"/>
        </w:rPr>
        <w:t>（</w:t>
      </w:r>
      <w:r>
        <w:rPr>
          <w:rFonts w:eastAsia="楷体_GB2312" w:hint="eastAsia"/>
          <w:bCs/>
          <w:sz w:val="32"/>
          <w:szCs w:val="32"/>
        </w:rPr>
        <w:t>三</w:t>
      </w:r>
      <w:r>
        <w:rPr>
          <w:rFonts w:eastAsia="楷体_GB2312"/>
          <w:bCs/>
          <w:sz w:val="32"/>
          <w:szCs w:val="32"/>
        </w:rPr>
        <w:t>）</w:t>
      </w:r>
      <w:r>
        <w:rPr>
          <w:rFonts w:eastAsia="楷体_GB2312" w:hint="eastAsia"/>
          <w:bCs/>
          <w:sz w:val="32"/>
          <w:szCs w:val="32"/>
        </w:rPr>
        <w:t>移动医疗附件</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控制型移动医疗附件应当随同医疗器械产品进行整体注册，制造商应</w:t>
      </w:r>
      <w:r>
        <w:rPr>
          <w:rFonts w:eastAsia="仿宋_GB2312" w:hint="eastAsia"/>
          <w:sz w:val="32"/>
          <w:szCs w:val="32"/>
        </w:rPr>
        <w:t>当在医疗器械产品注册申报资料中根据本指导原则的适用要求，补充控制型移动医疗附件的技术要求并提供相应验证资料。</w:t>
      </w:r>
    </w:p>
    <w:p w:rsidR="003332B7" w:rsidRDefault="00C34255">
      <w:pPr>
        <w:spacing w:line="600" w:lineRule="atLeast"/>
        <w:ind w:firstLineChars="200" w:firstLine="640"/>
        <w:rPr>
          <w:rFonts w:eastAsia="仿宋_GB2312"/>
          <w:sz w:val="32"/>
          <w:szCs w:val="32"/>
        </w:rPr>
      </w:pPr>
      <w:r>
        <w:rPr>
          <w:rFonts w:eastAsia="仿宋_GB2312" w:hint="eastAsia"/>
          <w:sz w:val="32"/>
          <w:szCs w:val="32"/>
        </w:rPr>
        <w:t>数据型移动医疗附件若随同医疗器械产品进行整体注册则参照控制型移动医疗附件的注册申报资料要求，若单独注册则参照移动医疗设备或移动独立软件的注册申报资料要求。</w:t>
      </w:r>
    </w:p>
    <w:bookmarkEnd w:id="11"/>
    <w:p w:rsidR="003332B7" w:rsidRDefault="00C34255">
      <w:pPr>
        <w:spacing w:line="600" w:lineRule="atLeast"/>
        <w:ind w:firstLineChars="200" w:firstLine="640"/>
        <w:rPr>
          <w:rFonts w:eastAsia="仿宋_GB2312"/>
          <w:kern w:val="0"/>
          <w:sz w:val="32"/>
          <w:szCs w:val="32"/>
        </w:rPr>
      </w:pPr>
      <w:r>
        <w:rPr>
          <w:rFonts w:eastAsia="黑体" w:hint="eastAsia"/>
          <w:bCs/>
          <w:sz w:val="32"/>
          <w:szCs w:val="32"/>
        </w:rPr>
        <w:t>六</w:t>
      </w:r>
      <w:r>
        <w:rPr>
          <w:rFonts w:eastAsia="黑体"/>
          <w:bCs/>
          <w:sz w:val="32"/>
          <w:szCs w:val="32"/>
        </w:rPr>
        <w:t>、参考文献</w:t>
      </w:r>
      <w:bookmarkEnd w:id="3"/>
      <w:bookmarkEnd w:id="4"/>
    </w:p>
    <w:p w:rsidR="003332B7" w:rsidRDefault="00C34255">
      <w:pPr>
        <w:widowControl/>
        <w:spacing w:line="600" w:lineRule="atLeast"/>
        <w:ind w:firstLineChars="200" w:firstLine="640"/>
        <w:rPr>
          <w:rFonts w:eastAsia="仿宋_GB2312"/>
          <w:kern w:val="0"/>
          <w:sz w:val="32"/>
          <w:szCs w:val="32"/>
        </w:rPr>
      </w:pPr>
      <w:r>
        <w:rPr>
          <w:rFonts w:eastAsia="仿宋_GB2312" w:hint="eastAsia"/>
          <w:kern w:val="0"/>
          <w:sz w:val="32"/>
          <w:szCs w:val="32"/>
        </w:rPr>
        <w:t>[</w:t>
      </w:r>
      <w:r>
        <w:rPr>
          <w:rFonts w:eastAsia="仿宋_GB2312" w:hint="eastAsia"/>
          <w:kern w:val="0"/>
          <w:sz w:val="32"/>
          <w:szCs w:val="32"/>
        </w:rPr>
        <w:t>1</w:t>
      </w:r>
      <w:r>
        <w:rPr>
          <w:rFonts w:eastAsia="仿宋_GB2312" w:hint="eastAsia"/>
          <w:kern w:val="0"/>
          <w:sz w:val="32"/>
          <w:szCs w:val="32"/>
        </w:rPr>
        <w:t>]</w:t>
      </w:r>
      <w:r>
        <w:rPr>
          <w:rFonts w:eastAsia="仿宋_GB2312"/>
          <w:kern w:val="0"/>
          <w:sz w:val="32"/>
          <w:szCs w:val="32"/>
        </w:rPr>
        <w:t>《</w:t>
      </w:r>
      <w:bookmarkStart w:id="12" w:name="OLE_LINK17"/>
      <w:r>
        <w:rPr>
          <w:rFonts w:eastAsia="仿宋_GB2312"/>
          <w:kern w:val="0"/>
          <w:sz w:val="32"/>
          <w:szCs w:val="32"/>
        </w:rPr>
        <w:t>中华人民共和国网络安全法</w:t>
      </w:r>
      <w:bookmarkEnd w:id="12"/>
      <w:r>
        <w:rPr>
          <w:rFonts w:eastAsia="仿宋_GB2312"/>
          <w:kern w:val="0"/>
          <w:sz w:val="32"/>
          <w:szCs w:val="32"/>
        </w:rPr>
        <w:t>》（中华人民共和国主席令第五十三号）</w:t>
      </w:r>
    </w:p>
    <w:p w:rsidR="003332B7" w:rsidRDefault="00C34255">
      <w:pPr>
        <w:widowControl/>
        <w:spacing w:line="600" w:lineRule="atLeast"/>
        <w:ind w:firstLineChars="200" w:firstLine="640"/>
        <w:rPr>
          <w:rFonts w:eastAsia="仿宋_GB2312"/>
          <w:kern w:val="0"/>
          <w:sz w:val="32"/>
          <w:szCs w:val="32"/>
        </w:rPr>
      </w:pPr>
      <w:r>
        <w:rPr>
          <w:rFonts w:eastAsia="仿宋_GB2312" w:hint="eastAsia"/>
          <w:kern w:val="0"/>
          <w:sz w:val="32"/>
          <w:szCs w:val="32"/>
        </w:rPr>
        <w:lastRenderedPageBreak/>
        <w:t>[</w:t>
      </w:r>
      <w:r>
        <w:rPr>
          <w:rFonts w:eastAsia="仿宋_GB2312" w:hint="eastAsia"/>
          <w:kern w:val="0"/>
          <w:sz w:val="32"/>
          <w:szCs w:val="32"/>
        </w:rPr>
        <w:t>2</w:t>
      </w:r>
      <w:r>
        <w:rPr>
          <w:rFonts w:eastAsia="仿宋_GB2312" w:hint="eastAsia"/>
          <w:kern w:val="0"/>
          <w:sz w:val="32"/>
          <w:szCs w:val="32"/>
        </w:rPr>
        <w:t>]</w:t>
      </w:r>
      <w:r>
        <w:rPr>
          <w:rFonts w:eastAsia="仿宋_GB2312" w:hint="eastAsia"/>
          <w:kern w:val="0"/>
          <w:sz w:val="32"/>
          <w:szCs w:val="32"/>
        </w:rPr>
        <w:t xml:space="preserve"> </w:t>
      </w:r>
      <w:r>
        <w:rPr>
          <w:rFonts w:eastAsia="仿宋_GB2312" w:hint="eastAsia"/>
          <w:kern w:val="0"/>
          <w:sz w:val="32"/>
          <w:szCs w:val="32"/>
        </w:rPr>
        <w:t>国务院办公厅关于促进和规范健康</w:t>
      </w:r>
      <w:proofErr w:type="gramStart"/>
      <w:r>
        <w:rPr>
          <w:rFonts w:eastAsia="仿宋_GB2312" w:hint="eastAsia"/>
          <w:kern w:val="0"/>
          <w:sz w:val="32"/>
          <w:szCs w:val="32"/>
        </w:rPr>
        <w:t>医疗大</w:t>
      </w:r>
      <w:proofErr w:type="gramEnd"/>
      <w:r>
        <w:rPr>
          <w:rFonts w:eastAsia="仿宋_GB2312" w:hint="eastAsia"/>
          <w:kern w:val="0"/>
          <w:sz w:val="32"/>
          <w:szCs w:val="32"/>
        </w:rPr>
        <w:t>数据应用发展的指导意见（国办发〔</w:t>
      </w:r>
      <w:r>
        <w:rPr>
          <w:rFonts w:eastAsia="仿宋_GB2312" w:hint="eastAsia"/>
          <w:kern w:val="0"/>
          <w:sz w:val="32"/>
          <w:szCs w:val="32"/>
        </w:rPr>
        <w:t>2016</w:t>
      </w:r>
      <w:r>
        <w:rPr>
          <w:rFonts w:eastAsia="仿宋_GB2312" w:hint="eastAsia"/>
          <w:kern w:val="0"/>
          <w:sz w:val="32"/>
          <w:szCs w:val="32"/>
        </w:rPr>
        <w:t>〕</w:t>
      </w:r>
      <w:r>
        <w:rPr>
          <w:rFonts w:eastAsia="仿宋_GB2312" w:hint="eastAsia"/>
          <w:kern w:val="0"/>
          <w:sz w:val="32"/>
          <w:szCs w:val="32"/>
        </w:rPr>
        <w:t>47</w:t>
      </w:r>
      <w:r>
        <w:rPr>
          <w:rFonts w:eastAsia="仿宋_GB2312" w:hint="eastAsia"/>
          <w:kern w:val="0"/>
          <w:sz w:val="32"/>
          <w:szCs w:val="32"/>
        </w:rPr>
        <w:t>号）</w:t>
      </w:r>
    </w:p>
    <w:p w:rsidR="003332B7" w:rsidRDefault="00C34255">
      <w:pPr>
        <w:widowControl/>
        <w:spacing w:line="600" w:lineRule="atLeast"/>
        <w:ind w:firstLineChars="200" w:firstLine="640"/>
        <w:rPr>
          <w:rFonts w:eastAsia="仿宋_GB2312"/>
          <w:kern w:val="0"/>
          <w:sz w:val="32"/>
          <w:szCs w:val="32"/>
        </w:rPr>
      </w:pPr>
      <w:r>
        <w:rPr>
          <w:rFonts w:eastAsia="仿宋_GB2312" w:hint="eastAsia"/>
          <w:kern w:val="0"/>
          <w:sz w:val="32"/>
          <w:szCs w:val="32"/>
        </w:rPr>
        <w:t>[</w:t>
      </w:r>
      <w:r>
        <w:rPr>
          <w:rFonts w:eastAsia="仿宋_GB2312" w:hint="eastAsia"/>
          <w:kern w:val="0"/>
          <w:sz w:val="32"/>
          <w:szCs w:val="32"/>
        </w:rPr>
        <w:t>3</w:t>
      </w:r>
      <w:r>
        <w:rPr>
          <w:rFonts w:eastAsia="仿宋_GB2312" w:hint="eastAsia"/>
          <w:kern w:val="0"/>
          <w:sz w:val="32"/>
          <w:szCs w:val="32"/>
        </w:rPr>
        <w:t>]</w:t>
      </w:r>
      <w:r>
        <w:rPr>
          <w:rFonts w:eastAsia="仿宋_GB2312" w:hint="eastAsia"/>
          <w:kern w:val="0"/>
          <w:sz w:val="32"/>
          <w:szCs w:val="32"/>
        </w:rPr>
        <w:t xml:space="preserve"> </w:t>
      </w:r>
      <w:r>
        <w:rPr>
          <w:rFonts w:eastAsia="仿宋_GB2312" w:hint="eastAsia"/>
          <w:kern w:val="0"/>
          <w:sz w:val="32"/>
          <w:szCs w:val="32"/>
        </w:rPr>
        <w:t>《个人信息和重要数据出境安全评估办法（征求意见稿）》</w:t>
      </w:r>
      <w:r>
        <w:rPr>
          <w:rFonts w:eastAsia="仿宋_GB2312" w:hint="eastAsia"/>
          <w:kern w:val="0"/>
          <w:sz w:val="32"/>
          <w:szCs w:val="32"/>
        </w:rPr>
        <w:t>（</w:t>
      </w:r>
      <w:r>
        <w:rPr>
          <w:rFonts w:eastAsia="仿宋_GB2312" w:hint="eastAsia"/>
          <w:kern w:val="0"/>
          <w:sz w:val="32"/>
          <w:szCs w:val="32"/>
        </w:rPr>
        <w:t>国家互联网信息办公室</w:t>
      </w:r>
      <w:r>
        <w:rPr>
          <w:rFonts w:eastAsia="仿宋_GB2312" w:hint="eastAsia"/>
          <w:kern w:val="0"/>
          <w:sz w:val="32"/>
          <w:szCs w:val="32"/>
        </w:rPr>
        <w:t>，</w:t>
      </w:r>
      <w:r>
        <w:rPr>
          <w:rFonts w:eastAsia="仿宋_GB2312" w:hint="eastAsia"/>
          <w:kern w:val="0"/>
          <w:sz w:val="32"/>
          <w:szCs w:val="32"/>
        </w:rPr>
        <w:t>2017.4</w:t>
      </w:r>
      <w:r>
        <w:rPr>
          <w:rFonts w:eastAsia="仿宋_GB2312" w:hint="eastAsia"/>
          <w:kern w:val="0"/>
          <w:sz w:val="32"/>
          <w:szCs w:val="32"/>
        </w:rPr>
        <w:t>）</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4</w:t>
      </w:r>
      <w:r>
        <w:rPr>
          <w:rFonts w:eastAsia="仿宋_GB2312"/>
          <w:kern w:val="0"/>
          <w:sz w:val="32"/>
          <w:szCs w:val="32"/>
        </w:rPr>
        <w:t>]</w:t>
      </w:r>
      <w:r>
        <w:rPr>
          <w:rFonts w:eastAsia="仿宋_GB2312"/>
          <w:kern w:val="0"/>
          <w:sz w:val="32"/>
          <w:szCs w:val="32"/>
        </w:rPr>
        <w:t>《医疗器械注册管理办法》（国家食品药品监督管理总局令第</w:t>
      </w:r>
      <w:r>
        <w:rPr>
          <w:rFonts w:eastAsia="仿宋_GB2312"/>
          <w:kern w:val="0"/>
          <w:sz w:val="32"/>
          <w:szCs w:val="32"/>
        </w:rPr>
        <w:t>4</w:t>
      </w:r>
      <w:r>
        <w:rPr>
          <w:rFonts w:eastAsia="仿宋_GB2312"/>
          <w:kern w:val="0"/>
          <w:sz w:val="32"/>
          <w:szCs w:val="32"/>
        </w:rPr>
        <w:t>号）</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5</w:t>
      </w:r>
      <w:r>
        <w:rPr>
          <w:rFonts w:eastAsia="仿宋_GB2312"/>
          <w:kern w:val="0"/>
          <w:sz w:val="32"/>
          <w:szCs w:val="32"/>
        </w:rPr>
        <w:t>]</w:t>
      </w:r>
      <w:r>
        <w:rPr>
          <w:rFonts w:eastAsia="仿宋_GB2312"/>
          <w:kern w:val="0"/>
          <w:sz w:val="32"/>
          <w:szCs w:val="32"/>
        </w:rPr>
        <w:t>《医疗器械说明书和标签管理规定》（国家食品药品监督管理总局令第</w:t>
      </w:r>
      <w:r>
        <w:rPr>
          <w:rFonts w:eastAsia="仿宋_GB2312"/>
          <w:kern w:val="0"/>
          <w:sz w:val="32"/>
          <w:szCs w:val="32"/>
        </w:rPr>
        <w:t>6</w:t>
      </w:r>
      <w:r>
        <w:rPr>
          <w:rFonts w:eastAsia="仿宋_GB2312"/>
          <w:kern w:val="0"/>
          <w:sz w:val="32"/>
          <w:szCs w:val="32"/>
        </w:rPr>
        <w:t>号）</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6</w:t>
      </w:r>
      <w:r>
        <w:rPr>
          <w:rFonts w:eastAsia="仿宋_GB2312"/>
          <w:kern w:val="0"/>
          <w:sz w:val="32"/>
          <w:szCs w:val="32"/>
        </w:rPr>
        <w:t>]</w:t>
      </w:r>
      <w:r>
        <w:rPr>
          <w:rFonts w:eastAsia="仿宋_GB2312"/>
          <w:kern w:val="0"/>
          <w:sz w:val="32"/>
          <w:szCs w:val="32"/>
        </w:rPr>
        <w:t>《医疗器械</w:t>
      </w:r>
      <w:r>
        <w:rPr>
          <w:rFonts w:eastAsia="仿宋_GB2312" w:hint="eastAsia"/>
          <w:kern w:val="0"/>
          <w:sz w:val="32"/>
          <w:szCs w:val="32"/>
        </w:rPr>
        <w:t>分类规则</w:t>
      </w:r>
      <w:r>
        <w:rPr>
          <w:rFonts w:eastAsia="仿宋_GB2312"/>
          <w:kern w:val="0"/>
          <w:sz w:val="32"/>
          <w:szCs w:val="32"/>
        </w:rPr>
        <w:t>》（国家食品药品监督管理总局令第</w:t>
      </w:r>
      <w:r>
        <w:rPr>
          <w:rFonts w:eastAsia="仿宋_GB2312" w:hint="eastAsia"/>
          <w:kern w:val="0"/>
          <w:sz w:val="32"/>
          <w:szCs w:val="32"/>
        </w:rPr>
        <w:t>15</w:t>
      </w:r>
      <w:r>
        <w:rPr>
          <w:rFonts w:eastAsia="仿宋_GB2312"/>
          <w:kern w:val="0"/>
          <w:sz w:val="32"/>
          <w:szCs w:val="32"/>
        </w:rPr>
        <w:t>号）</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7</w:t>
      </w:r>
      <w:r>
        <w:rPr>
          <w:rFonts w:eastAsia="仿宋_GB2312"/>
          <w:kern w:val="0"/>
          <w:sz w:val="32"/>
          <w:szCs w:val="32"/>
        </w:rPr>
        <w:t>]</w:t>
      </w:r>
      <w:r>
        <w:rPr>
          <w:rFonts w:eastAsia="仿宋_GB2312" w:hint="eastAsia"/>
          <w:kern w:val="0"/>
          <w:sz w:val="32"/>
          <w:szCs w:val="32"/>
        </w:rPr>
        <w:t xml:space="preserve"> </w:t>
      </w:r>
      <w:r>
        <w:rPr>
          <w:rFonts w:eastAsia="仿宋_GB2312" w:hint="eastAsia"/>
          <w:kern w:val="0"/>
          <w:sz w:val="32"/>
          <w:szCs w:val="32"/>
        </w:rPr>
        <w:t>《</w:t>
      </w:r>
      <w:r>
        <w:rPr>
          <w:rFonts w:eastAsia="仿宋_GB2312"/>
          <w:kern w:val="0"/>
          <w:sz w:val="32"/>
          <w:szCs w:val="32"/>
        </w:rPr>
        <w:t>医疗器械注册申报资料要求和批准证明文件格式</w:t>
      </w:r>
      <w:r>
        <w:rPr>
          <w:rFonts w:eastAsia="仿宋_GB2312" w:hint="eastAsia"/>
          <w:kern w:val="0"/>
          <w:sz w:val="32"/>
          <w:szCs w:val="32"/>
        </w:rPr>
        <w:t>》</w:t>
      </w:r>
      <w:r>
        <w:rPr>
          <w:rFonts w:eastAsia="仿宋_GB2312"/>
          <w:kern w:val="0"/>
          <w:sz w:val="32"/>
          <w:szCs w:val="32"/>
        </w:rPr>
        <w:t>（国家食品药品监督管理总局</w:t>
      </w:r>
      <w:r>
        <w:rPr>
          <w:rFonts w:eastAsia="仿宋_GB2312" w:hint="eastAsia"/>
          <w:kern w:val="0"/>
          <w:sz w:val="32"/>
          <w:szCs w:val="32"/>
        </w:rPr>
        <w:t>公告</w:t>
      </w:r>
      <w:r>
        <w:rPr>
          <w:rFonts w:eastAsia="仿宋_GB2312"/>
          <w:kern w:val="0"/>
          <w:sz w:val="32"/>
          <w:szCs w:val="32"/>
        </w:rPr>
        <w:t>2014</w:t>
      </w:r>
      <w:r>
        <w:rPr>
          <w:rFonts w:eastAsia="仿宋_GB2312"/>
          <w:kern w:val="0"/>
          <w:sz w:val="32"/>
          <w:szCs w:val="32"/>
        </w:rPr>
        <w:t>年第</w:t>
      </w:r>
      <w:r>
        <w:rPr>
          <w:rFonts w:eastAsia="仿宋_GB2312"/>
          <w:kern w:val="0"/>
          <w:sz w:val="32"/>
          <w:szCs w:val="32"/>
        </w:rPr>
        <w:t>43</w:t>
      </w:r>
      <w:r>
        <w:rPr>
          <w:rFonts w:eastAsia="仿宋_GB2312"/>
          <w:kern w:val="0"/>
          <w:sz w:val="32"/>
          <w:szCs w:val="32"/>
        </w:rPr>
        <w:t>号）</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8</w:t>
      </w:r>
      <w:r>
        <w:rPr>
          <w:rFonts w:eastAsia="仿宋_GB2312"/>
          <w:kern w:val="0"/>
          <w:sz w:val="32"/>
          <w:szCs w:val="32"/>
        </w:rPr>
        <w:t>]</w:t>
      </w:r>
      <w:r>
        <w:rPr>
          <w:rFonts w:eastAsia="仿宋_GB2312" w:hint="eastAsia"/>
          <w:kern w:val="0"/>
          <w:sz w:val="32"/>
          <w:szCs w:val="32"/>
        </w:rPr>
        <w:t xml:space="preserve"> </w:t>
      </w:r>
      <w:r>
        <w:rPr>
          <w:rFonts w:eastAsia="仿宋_GB2312" w:hint="eastAsia"/>
          <w:kern w:val="0"/>
          <w:sz w:val="32"/>
          <w:szCs w:val="32"/>
        </w:rPr>
        <w:t>《</w:t>
      </w:r>
      <w:r>
        <w:rPr>
          <w:rFonts w:eastAsia="仿宋_GB2312"/>
          <w:kern w:val="0"/>
          <w:sz w:val="32"/>
          <w:szCs w:val="32"/>
        </w:rPr>
        <w:t>医疗器械生产企业供应商审核指南</w:t>
      </w:r>
      <w:r>
        <w:rPr>
          <w:rFonts w:eastAsia="仿宋_GB2312" w:hint="eastAsia"/>
          <w:kern w:val="0"/>
          <w:sz w:val="32"/>
          <w:szCs w:val="32"/>
        </w:rPr>
        <w:t>》</w:t>
      </w:r>
      <w:r>
        <w:rPr>
          <w:rFonts w:eastAsia="仿宋_GB2312" w:hint="eastAsia"/>
          <w:kern w:val="0"/>
          <w:sz w:val="32"/>
          <w:szCs w:val="32"/>
        </w:rPr>
        <w:t>（</w:t>
      </w:r>
      <w:r>
        <w:rPr>
          <w:rFonts w:eastAsia="仿宋_GB2312"/>
          <w:kern w:val="0"/>
          <w:sz w:val="32"/>
          <w:szCs w:val="32"/>
        </w:rPr>
        <w:t>国家食品药品监督管理</w:t>
      </w:r>
      <w:r>
        <w:rPr>
          <w:rFonts w:eastAsia="仿宋_GB2312" w:hint="eastAsia"/>
          <w:kern w:val="0"/>
          <w:sz w:val="32"/>
          <w:szCs w:val="32"/>
        </w:rPr>
        <w:t>总局通告</w:t>
      </w:r>
      <w:r>
        <w:rPr>
          <w:rFonts w:eastAsia="仿宋_GB2312" w:hint="eastAsia"/>
          <w:kern w:val="0"/>
          <w:sz w:val="32"/>
          <w:szCs w:val="32"/>
        </w:rPr>
        <w:t>2015</w:t>
      </w:r>
      <w:r>
        <w:rPr>
          <w:rFonts w:eastAsia="仿宋_GB2312" w:hint="eastAsia"/>
          <w:kern w:val="0"/>
          <w:sz w:val="32"/>
          <w:szCs w:val="32"/>
        </w:rPr>
        <w:t>年第</w:t>
      </w:r>
      <w:r>
        <w:rPr>
          <w:rFonts w:eastAsia="仿宋_GB2312" w:hint="eastAsia"/>
          <w:kern w:val="0"/>
          <w:sz w:val="32"/>
          <w:szCs w:val="32"/>
        </w:rPr>
        <w:t>1</w:t>
      </w:r>
      <w:r>
        <w:rPr>
          <w:rFonts w:eastAsia="仿宋_GB2312" w:hint="eastAsia"/>
          <w:kern w:val="0"/>
          <w:sz w:val="32"/>
          <w:szCs w:val="32"/>
        </w:rPr>
        <w:t>号</w:t>
      </w:r>
      <w:r>
        <w:rPr>
          <w:rFonts w:eastAsia="仿宋_GB2312" w:hint="eastAsia"/>
          <w:kern w:val="0"/>
          <w:sz w:val="32"/>
          <w:szCs w:val="32"/>
        </w:rPr>
        <w:t>）</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9</w:t>
      </w:r>
      <w:r>
        <w:rPr>
          <w:rFonts w:eastAsia="仿宋_GB2312"/>
          <w:kern w:val="0"/>
          <w:sz w:val="32"/>
          <w:szCs w:val="32"/>
        </w:rPr>
        <w:t xml:space="preserve">] </w:t>
      </w:r>
      <w:r>
        <w:rPr>
          <w:rFonts w:eastAsia="仿宋_GB2312" w:hint="eastAsia"/>
          <w:kern w:val="0"/>
          <w:sz w:val="32"/>
          <w:szCs w:val="32"/>
        </w:rPr>
        <w:t>《</w:t>
      </w:r>
      <w:r>
        <w:rPr>
          <w:rFonts w:eastAsia="仿宋_GB2312"/>
          <w:kern w:val="0"/>
          <w:sz w:val="32"/>
          <w:szCs w:val="32"/>
        </w:rPr>
        <w:t>医疗器械临床评价技术指导原则</w:t>
      </w:r>
      <w:r>
        <w:rPr>
          <w:rFonts w:eastAsia="仿宋_GB2312" w:hint="eastAsia"/>
          <w:kern w:val="0"/>
          <w:sz w:val="32"/>
          <w:szCs w:val="32"/>
        </w:rPr>
        <w:t>》</w:t>
      </w:r>
      <w:r>
        <w:rPr>
          <w:rFonts w:eastAsia="仿宋_GB2312"/>
          <w:kern w:val="0"/>
          <w:sz w:val="32"/>
          <w:szCs w:val="32"/>
        </w:rPr>
        <w:t>（国家食品药品监督管理总局通告</w:t>
      </w:r>
      <w:r>
        <w:rPr>
          <w:rFonts w:eastAsia="仿宋_GB2312"/>
          <w:kern w:val="0"/>
          <w:sz w:val="32"/>
          <w:szCs w:val="32"/>
        </w:rPr>
        <w:t>2015</w:t>
      </w:r>
      <w:r>
        <w:rPr>
          <w:rFonts w:eastAsia="仿宋_GB2312"/>
          <w:kern w:val="0"/>
          <w:sz w:val="32"/>
          <w:szCs w:val="32"/>
        </w:rPr>
        <w:t>年第</w:t>
      </w:r>
      <w:r>
        <w:rPr>
          <w:rFonts w:eastAsia="仿宋_GB2312"/>
          <w:kern w:val="0"/>
          <w:sz w:val="32"/>
          <w:szCs w:val="32"/>
        </w:rPr>
        <w:t>14</w:t>
      </w:r>
      <w:r>
        <w:rPr>
          <w:rFonts w:eastAsia="仿宋_GB2312"/>
          <w:kern w:val="0"/>
          <w:sz w:val="32"/>
          <w:szCs w:val="32"/>
        </w:rPr>
        <w:t>号）</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10</w:t>
      </w:r>
      <w:r>
        <w:rPr>
          <w:rFonts w:eastAsia="仿宋_GB2312"/>
          <w:kern w:val="0"/>
          <w:sz w:val="32"/>
          <w:szCs w:val="32"/>
        </w:rPr>
        <w:t>]</w:t>
      </w:r>
      <w:r>
        <w:rPr>
          <w:rFonts w:eastAsia="仿宋_GB2312" w:hint="eastAsia"/>
          <w:kern w:val="0"/>
          <w:sz w:val="32"/>
          <w:szCs w:val="32"/>
        </w:rPr>
        <w:t xml:space="preserve"> </w:t>
      </w:r>
      <w:r>
        <w:rPr>
          <w:rFonts w:eastAsia="仿宋_GB2312" w:hint="eastAsia"/>
          <w:kern w:val="0"/>
          <w:sz w:val="32"/>
          <w:szCs w:val="32"/>
        </w:rPr>
        <w:t>《</w:t>
      </w:r>
      <w:r>
        <w:rPr>
          <w:rFonts w:eastAsia="仿宋_GB2312"/>
          <w:kern w:val="0"/>
          <w:sz w:val="32"/>
          <w:szCs w:val="32"/>
        </w:rPr>
        <w:t>医疗器械软件注册技术审查指导原则</w:t>
      </w:r>
      <w:r>
        <w:rPr>
          <w:rFonts w:eastAsia="仿宋_GB2312" w:hint="eastAsia"/>
          <w:kern w:val="0"/>
          <w:sz w:val="32"/>
          <w:szCs w:val="32"/>
        </w:rPr>
        <w:t>》</w:t>
      </w:r>
      <w:r>
        <w:rPr>
          <w:rFonts w:eastAsia="仿宋_GB2312"/>
          <w:kern w:val="0"/>
          <w:sz w:val="32"/>
          <w:szCs w:val="32"/>
        </w:rPr>
        <w:t>（国家食品药品监督管理</w:t>
      </w:r>
      <w:r>
        <w:rPr>
          <w:rFonts w:eastAsia="仿宋_GB2312" w:hint="eastAsia"/>
          <w:kern w:val="0"/>
          <w:sz w:val="32"/>
          <w:szCs w:val="32"/>
        </w:rPr>
        <w:t>总局通告</w:t>
      </w:r>
      <w:r>
        <w:rPr>
          <w:rFonts w:eastAsia="仿宋_GB2312"/>
          <w:kern w:val="0"/>
          <w:sz w:val="32"/>
          <w:szCs w:val="32"/>
        </w:rPr>
        <w:t>2015</w:t>
      </w:r>
      <w:r>
        <w:rPr>
          <w:rFonts w:eastAsia="仿宋_GB2312"/>
          <w:kern w:val="0"/>
          <w:sz w:val="32"/>
          <w:szCs w:val="32"/>
        </w:rPr>
        <w:t>年第</w:t>
      </w:r>
      <w:r>
        <w:rPr>
          <w:rFonts w:eastAsia="仿宋_GB2312"/>
          <w:kern w:val="0"/>
          <w:sz w:val="32"/>
          <w:szCs w:val="32"/>
        </w:rPr>
        <w:t>50</w:t>
      </w:r>
      <w:r>
        <w:rPr>
          <w:rFonts w:eastAsia="仿宋_GB2312"/>
          <w:kern w:val="0"/>
          <w:sz w:val="32"/>
          <w:szCs w:val="32"/>
        </w:rPr>
        <w:t>号）</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11</w:t>
      </w:r>
      <w:r>
        <w:rPr>
          <w:rFonts w:eastAsia="仿宋_GB2312"/>
          <w:kern w:val="0"/>
          <w:sz w:val="32"/>
          <w:szCs w:val="32"/>
        </w:rPr>
        <w:t>]</w:t>
      </w:r>
      <w:r>
        <w:rPr>
          <w:rFonts w:eastAsia="仿宋_GB2312" w:hint="eastAsia"/>
          <w:kern w:val="0"/>
          <w:sz w:val="32"/>
          <w:szCs w:val="32"/>
        </w:rPr>
        <w:t xml:space="preserve"> </w:t>
      </w:r>
      <w:r>
        <w:rPr>
          <w:rFonts w:eastAsia="仿宋_GB2312" w:hint="eastAsia"/>
          <w:kern w:val="0"/>
          <w:sz w:val="32"/>
          <w:szCs w:val="32"/>
        </w:rPr>
        <w:t>《</w:t>
      </w:r>
      <w:r>
        <w:rPr>
          <w:rFonts w:eastAsia="仿宋_GB2312" w:hint="eastAsia"/>
          <w:kern w:val="0"/>
          <w:sz w:val="32"/>
          <w:szCs w:val="32"/>
        </w:rPr>
        <w:t>医疗器械</w:t>
      </w:r>
      <w:r>
        <w:rPr>
          <w:rFonts w:eastAsia="仿宋_GB2312" w:hint="eastAsia"/>
          <w:kern w:val="0"/>
          <w:sz w:val="32"/>
          <w:szCs w:val="32"/>
        </w:rPr>
        <w:t>网络安全</w:t>
      </w:r>
      <w:r>
        <w:rPr>
          <w:rFonts w:eastAsia="仿宋_GB2312" w:hint="eastAsia"/>
          <w:kern w:val="0"/>
          <w:sz w:val="32"/>
          <w:szCs w:val="32"/>
        </w:rPr>
        <w:t>注册技术审查指导原则</w:t>
      </w:r>
      <w:r>
        <w:rPr>
          <w:rFonts w:eastAsia="仿宋_GB2312" w:hint="eastAsia"/>
          <w:kern w:val="0"/>
          <w:sz w:val="32"/>
          <w:szCs w:val="32"/>
        </w:rPr>
        <w:t>》</w:t>
      </w:r>
      <w:r>
        <w:rPr>
          <w:rFonts w:eastAsia="仿宋_GB2312" w:hint="eastAsia"/>
          <w:kern w:val="0"/>
          <w:sz w:val="32"/>
          <w:szCs w:val="32"/>
        </w:rPr>
        <w:t>（</w:t>
      </w:r>
      <w:r>
        <w:rPr>
          <w:rFonts w:eastAsia="仿宋_GB2312"/>
          <w:kern w:val="0"/>
          <w:sz w:val="32"/>
          <w:szCs w:val="32"/>
        </w:rPr>
        <w:t>国家食品药品监督管理</w:t>
      </w:r>
      <w:r>
        <w:rPr>
          <w:rFonts w:eastAsia="仿宋_GB2312" w:hint="eastAsia"/>
          <w:kern w:val="0"/>
          <w:sz w:val="32"/>
          <w:szCs w:val="32"/>
        </w:rPr>
        <w:t>总局通告</w:t>
      </w:r>
      <w:r>
        <w:rPr>
          <w:rFonts w:eastAsia="仿宋_GB2312" w:hint="eastAsia"/>
          <w:kern w:val="0"/>
          <w:sz w:val="32"/>
          <w:szCs w:val="32"/>
        </w:rPr>
        <w:t>201</w:t>
      </w:r>
      <w:r>
        <w:rPr>
          <w:rFonts w:eastAsia="仿宋_GB2312" w:hint="eastAsia"/>
          <w:kern w:val="0"/>
          <w:sz w:val="32"/>
          <w:szCs w:val="32"/>
        </w:rPr>
        <w:t>7</w:t>
      </w:r>
      <w:r>
        <w:rPr>
          <w:rFonts w:eastAsia="仿宋_GB2312" w:hint="eastAsia"/>
          <w:kern w:val="0"/>
          <w:sz w:val="32"/>
          <w:szCs w:val="32"/>
        </w:rPr>
        <w:t>年第</w:t>
      </w:r>
      <w:r>
        <w:rPr>
          <w:rFonts w:eastAsia="仿宋_GB2312" w:hint="eastAsia"/>
          <w:kern w:val="0"/>
          <w:sz w:val="32"/>
          <w:szCs w:val="32"/>
        </w:rPr>
        <w:t>13</w:t>
      </w:r>
      <w:r>
        <w:rPr>
          <w:rFonts w:eastAsia="仿宋_GB2312" w:hint="eastAsia"/>
          <w:kern w:val="0"/>
          <w:sz w:val="32"/>
          <w:szCs w:val="32"/>
        </w:rPr>
        <w:t>号）</w:t>
      </w:r>
    </w:p>
    <w:p w:rsidR="003332B7" w:rsidRDefault="00C34255">
      <w:pPr>
        <w:widowControl/>
        <w:spacing w:line="600" w:lineRule="atLeast"/>
        <w:ind w:firstLineChars="200" w:firstLine="640"/>
        <w:rPr>
          <w:rFonts w:eastAsia="仿宋_GB2312"/>
          <w:kern w:val="0"/>
          <w:sz w:val="32"/>
          <w:szCs w:val="32"/>
        </w:rPr>
      </w:pPr>
      <w:r>
        <w:rPr>
          <w:rFonts w:eastAsia="仿宋_GB2312" w:hint="eastAsia"/>
          <w:kern w:val="0"/>
          <w:sz w:val="32"/>
          <w:szCs w:val="32"/>
        </w:rPr>
        <w:t xml:space="preserve">[12] </w:t>
      </w:r>
      <w:r>
        <w:rPr>
          <w:rFonts w:eastAsia="仿宋_GB2312" w:hint="eastAsia"/>
          <w:kern w:val="0"/>
          <w:sz w:val="32"/>
          <w:szCs w:val="32"/>
        </w:rPr>
        <w:t>《</w:t>
      </w:r>
      <w:r>
        <w:rPr>
          <w:rFonts w:eastAsia="仿宋_GB2312" w:hint="eastAsia"/>
          <w:kern w:val="0"/>
          <w:sz w:val="32"/>
          <w:szCs w:val="32"/>
        </w:rPr>
        <w:t>医学图像存储传输软件（</w:t>
      </w:r>
      <w:r>
        <w:rPr>
          <w:rFonts w:eastAsia="仿宋_GB2312" w:hint="eastAsia"/>
          <w:kern w:val="0"/>
          <w:sz w:val="32"/>
          <w:szCs w:val="32"/>
        </w:rPr>
        <w:t>PACS</w:t>
      </w:r>
      <w:r>
        <w:rPr>
          <w:rFonts w:eastAsia="仿宋_GB2312" w:hint="eastAsia"/>
          <w:kern w:val="0"/>
          <w:sz w:val="32"/>
          <w:szCs w:val="32"/>
        </w:rPr>
        <w:t>）注册技术审查指导原则</w:t>
      </w:r>
      <w:r>
        <w:rPr>
          <w:rFonts w:eastAsia="仿宋_GB2312" w:hint="eastAsia"/>
          <w:kern w:val="0"/>
          <w:sz w:val="32"/>
          <w:szCs w:val="32"/>
        </w:rPr>
        <w:t>》</w:t>
      </w:r>
      <w:r>
        <w:rPr>
          <w:rFonts w:eastAsia="仿宋_GB2312" w:hint="eastAsia"/>
          <w:kern w:val="0"/>
          <w:sz w:val="32"/>
          <w:szCs w:val="32"/>
        </w:rPr>
        <w:t>（</w:t>
      </w:r>
      <w:r>
        <w:rPr>
          <w:rFonts w:eastAsia="仿宋_GB2312"/>
          <w:kern w:val="0"/>
          <w:sz w:val="32"/>
          <w:szCs w:val="32"/>
        </w:rPr>
        <w:t>国家食品药品监督管理</w:t>
      </w:r>
      <w:r>
        <w:rPr>
          <w:rFonts w:eastAsia="仿宋_GB2312" w:hint="eastAsia"/>
          <w:kern w:val="0"/>
          <w:sz w:val="32"/>
          <w:szCs w:val="32"/>
        </w:rPr>
        <w:t>总局通告</w:t>
      </w:r>
      <w:r>
        <w:rPr>
          <w:rFonts w:eastAsia="仿宋_GB2312" w:hint="eastAsia"/>
          <w:kern w:val="0"/>
          <w:sz w:val="32"/>
          <w:szCs w:val="32"/>
        </w:rPr>
        <w:t>201</w:t>
      </w:r>
      <w:r>
        <w:rPr>
          <w:rFonts w:eastAsia="仿宋_GB2312" w:hint="eastAsia"/>
          <w:kern w:val="0"/>
          <w:sz w:val="32"/>
          <w:szCs w:val="32"/>
        </w:rPr>
        <w:t>6</w:t>
      </w:r>
      <w:r>
        <w:rPr>
          <w:rFonts w:eastAsia="仿宋_GB2312" w:hint="eastAsia"/>
          <w:kern w:val="0"/>
          <w:sz w:val="32"/>
          <w:szCs w:val="32"/>
        </w:rPr>
        <w:t>年第</w:t>
      </w:r>
      <w:r>
        <w:rPr>
          <w:rFonts w:eastAsia="仿宋_GB2312" w:hint="eastAsia"/>
          <w:kern w:val="0"/>
          <w:sz w:val="32"/>
          <w:szCs w:val="32"/>
        </w:rPr>
        <w:t>27</w:t>
      </w:r>
      <w:r>
        <w:rPr>
          <w:rFonts w:eastAsia="仿宋_GB2312" w:hint="eastAsia"/>
          <w:kern w:val="0"/>
          <w:sz w:val="32"/>
          <w:szCs w:val="32"/>
        </w:rPr>
        <w:t>号）</w:t>
      </w:r>
    </w:p>
    <w:p w:rsidR="003332B7" w:rsidRDefault="00C34255">
      <w:pPr>
        <w:widowControl/>
        <w:spacing w:line="600" w:lineRule="atLeast"/>
        <w:ind w:firstLineChars="200" w:firstLine="640"/>
        <w:rPr>
          <w:rFonts w:eastAsia="仿宋_GB2312"/>
          <w:kern w:val="0"/>
          <w:sz w:val="32"/>
          <w:szCs w:val="32"/>
        </w:rPr>
      </w:pPr>
      <w:bookmarkStart w:id="13" w:name="OLE_LINK14"/>
      <w:r>
        <w:rPr>
          <w:rFonts w:eastAsia="仿宋_GB2312"/>
          <w:kern w:val="0"/>
          <w:sz w:val="32"/>
          <w:szCs w:val="32"/>
        </w:rPr>
        <w:lastRenderedPageBreak/>
        <w:t>[</w:t>
      </w:r>
      <w:r>
        <w:rPr>
          <w:rFonts w:eastAsia="仿宋_GB2312" w:hint="eastAsia"/>
          <w:kern w:val="0"/>
          <w:sz w:val="32"/>
          <w:szCs w:val="32"/>
        </w:rPr>
        <w:t>13</w:t>
      </w:r>
      <w:r>
        <w:rPr>
          <w:rFonts w:eastAsia="仿宋_GB2312"/>
          <w:kern w:val="0"/>
          <w:sz w:val="32"/>
          <w:szCs w:val="32"/>
        </w:rPr>
        <w:t>]</w:t>
      </w:r>
      <w:r>
        <w:rPr>
          <w:rFonts w:eastAsia="仿宋_GB2312"/>
          <w:kern w:val="0"/>
          <w:sz w:val="32"/>
          <w:szCs w:val="32"/>
        </w:rPr>
        <w:t>《人口健康信息管理办法（试行）》</w:t>
      </w:r>
      <w:r>
        <w:rPr>
          <w:rFonts w:eastAsia="仿宋_GB2312" w:hint="eastAsia"/>
          <w:kern w:val="0"/>
          <w:sz w:val="32"/>
          <w:szCs w:val="32"/>
        </w:rPr>
        <w:t>（</w:t>
      </w:r>
      <w:r>
        <w:rPr>
          <w:rFonts w:eastAsia="仿宋_GB2312"/>
          <w:kern w:val="0"/>
          <w:sz w:val="32"/>
          <w:szCs w:val="32"/>
        </w:rPr>
        <w:t>国</w:t>
      </w:r>
      <w:proofErr w:type="gramStart"/>
      <w:r>
        <w:rPr>
          <w:rFonts w:eastAsia="仿宋_GB2312"/>
          <w:kern w:val="0"/>
          <w:sz w:val="32"/>
          <w:szCs w:val="32"/>
        </w:rPr>
        <w:t>卫规划发</w:t>
      </w:r>
      <w:proofErr w:type="gramEnd"/>
      <w:r>
        <w:rPr>
          <w:rFonts w:eastAsia="仿宋_GB2312"/>
          <w:kern w:val="0"/>
          <w:sz w:val="32"/>
          <w:szCs w:val="32"/>
        </w:rPr>
        <w:t>〔</w:t>
      </w:r>
      <w:r>
        <w:rPr>
          <w:rFonts w:eastAsia="仿宋_GB2312"/>
          <w:kern w:val="0"/>
          <w:sz w:val="32"/>
          <w:szCs w:val="32"/>
        </w:rPr>
        <w:t>2014</w:t>
      </w:r>
      <w:r>
        <w:rPr>
          <w:rFonts w:eastAsia="仿宋_GB2312"/>
          <w:kern w:val="0"/>
          <w:sz w:val="32"/>
          <w:szCs w:val="32"/>
        </w:rPr>
        <w:t>〕</w:t>
      </w:r>
      <w:r>
        <w:rPr>
          <w:rFonts w:eastAsia="仿宋_GB2312"/>
          <w:kern w:val="0"/>
          <w:sz w:val="32"/>
          <w:szCs w:val="32"/>
        </w:rPr>
        <w:t>24</w:t>
      </w:r>
      <w:r>
        <w:rPr>
          <w:rFonts w:eastAsia="仿宋_GB2312"/>
          <w:kern w:val="0"/>
          <w:sz w:val="32"/>
          <w:szCs w:val="32"/>
        </w:rPr>
        <w:t>号</w:t>
      </w:r>
      <w:r>
        <w:rPr>
          <w:rFonts w:eastAsia="仿宋_GB2312" w:hint="eastAsia"/>
          <w:kern w:val="0"/>
          <w:sz w:val="32"/>
          <w:szCs w:val="32"/>
        </w:rPr>
        <w:t>）</w:t>
      </w:r>
      <w:bookmarkEnd w:id="13"/>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14</w:t>
      </w:r>
      <w:r>
        <w:rPr>
          <w:rFonts w:eastAsia="仿宋_GB2312"/>
          <w:kern w:val="0"/>
          <w:sz w:val="32"/>
          <w:szCs w:val="32"/>
        </w:rPr>
        <w:t>]</w:t>
      </w:r>
      <w:r>
        <w:rPr>
          <w:rFonts w:eastAsia="仿宋_GB2312" w:hint="eastAsia"/>
          <w:kern w:val="0"/>
          <w:sz w:val="32"/>
          <w:szCs w:val="32"/>
        </w:rPr>
        <w:t xml:space="preserve"> </w:t>
      </w:r>
      <w:r>
        <w:rPr>
          <w:rFonts w:eastAsia="仿宋_GB2312" w:hint="eastAsia"/>
          <w:kern w:val="0"/>
          <w:sz w:val="32"/>
          <w:szCs w:val="32"/>
        </w:rPr>
        <w:t>国家卫生计生委关于推进医疗机构远程医疗服务的意见（</w:t>
      </w:r>
      <w:r>
        <w:rPr>
          <w:rFonts w:eastAsia="仿宋_GB2312"/>
          <w:kern w:val="0"/>
          <w:sz w:val="32"/>
          <w:szCs w:val="32"/>
        </w:rPr>
        <w:t>国卫</w:t>
      </w:r>
      <w:proofErr w:type="gramStart"/>
      <w:r>
        <w:rPr>
          <w:rFonts w:eastAsia="仿宋_GB2312"/>
          <w:kern w:val="0"/>
          <w:sz w:val="32"/>
          <w:szCs w:val="32"/>
        </w:rPr>
        <w:t>医</w:t>
      </w:r>
      <w:proofErr w:type="gramEnd"/>
      <w:r>
        <w:rPr>
          <w:rFonts w:eastAsia="仿宋_GB2312"/>
          <w:kern w:val="0"/>
          <w:sz w:val="32"/>
          <w:szCs w:val="32"/>
        </w:rPr>
        <w:t>发</w:t>
      </w:r>
      <w:r>
        <w:rPr>
          <w:rFonts w:eastAsia="仿宋_GB2312"/>
          <w:kern w:val="0"/>
          <w:sz w:val="32"/>
          <w:szCs w:val="32"/>
        </w:rPr>
        <w:t>〔</w:t>
      </w:r>
      <w:r>
        <w:rPr>
          <w:rFonts w:eastAsia="仿宋_GB2312"/>
          <w:kern w:val="0"/>
          <w:sz w:val="32"/>
          <w:szCs w:val="32"/>
        </w:rPr>
        <w:t>2014</w:t>
      </w:r>
      <w:r>
        <w:rPr>
          <w:rFonts w:eastAsia="仿宋_GB2312"/>
          <w:kern w:val="0"/>
          <w:sz w:val="32"/>
          <w:szCs w:val="32"/>
        </w:rPr>
        <w:t>〕</w:t>
      </w:r>
      <w:r>
        <w:rPr>
          <w:rFonts w:eastAsia="仿宋_GB2312"/>
          <w:kern w:val="0"/>
          <w:sz w:val="32"/>
          <w:szCs w:val="32"/>
        </w:rPr>
        <w:t>51</w:t>
      </w:r>
      <w:r>
        <w:rPr>
          <w:rFonts w:eastAsia="仿宋_GB2312"/>
          <w:kern w:val="0"/>
          <w:sz w:val="32"/>
          <w:szCs w:val="32"/>
        </w:rPr>
        <w:t>号</w:t>
      </w:r>
      <w:r>
        <w:rPr>
          <w:rFonts w:eastAsia="仿宋_GB2312" w:hint="eastAsia"/>
          <w:kern w:val="0"/>
          <w:sz w:val="32"/>
          <w:szCs w:val="32"/>
        </w:rPr>
        <w:t>）</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15</w:t>
      </w:r>
      <w:r>
        <w:rPr>
          <w:rFonts w:eastAsia="仿宋_GB2312"/>
          <w:kern w:val="0"/>
          <w:sz w:val="32"/>
          <w:szCs w:val="32"/>
        </w:rPr>
        <w:t>]</w:t>
      </w:r>
      <w:r>
        <w:rPr>
          <w:rFonts w:eastAsia="仿宋_GB2312" w:hint="eastAsia"/>
          <w:kern w:val="0"/>
          <w:sz w:val="32"/>
          <w:szCs w:val="32"/>
        </w:rPr>
        <w:t>《大数据安全标准化白皮书（</w:t>
      </w:r>
      <w:r>
        <w:rPr>
          <w:rFonts w:eastAsia="仿宋_GB2312" w:hint="eastAsia"/>
          <w:kern w:val="0"/>
          <w:sz w:val="32"/>
          <w:szCs w:val="32"/>
        </w:rPr>
        <w:t>2017</w:t>
      </w:r>
      <w:r>
        <w:rPr>
          <w:rFonts w:eastAsia="仿宋_GB2312" w:hint="eastAsia"/>
          <w:kern w:val="0"/>
          <w:sz w:val="32"/>
          <w:szCs w:val="32"/>
        </w:rPr>
        <w:t>）》（全国信息安全标准化技术委员会，</w:t>
      </w:r>
      <w:r>
        <w:rPr>
          <w:rFonts w:eastAsia="仿宋_GB2312" w:hint="eastAsia"/>
          <w:kern w:val="0"/>
          <w:sz w:val="32"/>
          <w:szCs w:val="32"/>
        </w:rPr>
        <w:t>2017.4</w:t>
      </w:r>
      <w:r>
        <w:rPr>
          <w:rFonts w:eastAsia="仿宋_GB2312" w:hint="eastAsia"/>
          <w:kern w:val="0"/>
          <w:sz w:val="32"/>
          <w:szCs w:val="32"/>
        </w:rPr>
        <w:t>）</w:t>
      </w:r>
    </w:p>
    <w:p w:rsidR="003332B7" w:rsidRDefault="00C34255">
      <w:pPr>
        <w:widowControl/>
        <w:spacing w:line="600" w:lineRule="atLeast"/>
        <w:ind w:firstLineChars="200" w:firstLine="640"/>
        <w:rPr>
          <w:rFonts w:eastAsia="仿宋_GB2312"/>
          <w:kern w:val="0"/>
          <w:sz w:val="32"/>
          <w:szCs w:val="32"/>
        </w:rPr>
      </w:pPr>
      <w:r>
        <w:rPr>
          <w:rFonts w:eastAsia="仿宋_GB2312" w:hint="eastAsia"/>
          <w:kern w:val="0"/>
          <w:sz w:val="32"/>
          <w:szCs w:val="32"/>
        </w:rPr>
        <w:t>[16] GB/T 32400-2015</w:t>
      </w:r>
      <w:r>
        <w:rPr>
          <w:rFonts w:eastAsia="仿宋_GB2312" w:hint="eastAsia"/>
          <w:kern w:val="0"/>
          <w:sz w:val="32"/>
          <w:szCs w:val="32"/>
        </w:rPr>
        <w:t>《信息技术</w:t>
      </w:r>
      <w:r>
        <w:rPr>
          <w:rFonts w:eastAsia="仿宋_GB2312" w:hint="eastAsia"/>
          <w:kern w:val="0"/>
          <w:sz w:val="32"/>
          <w:szCs w:val="32"/>
        </w:rPr>
        <w:t xml:space="preserve"> </w:t>
      </w:r>
      <w:r>
        <w:rPr>
          <w:rFonts w:eastAsia="仿宋_GB2312" w:hint="eastAsia"/>
          <w:kern w:val="0"/>
          <w:sz w:val="32"/>
          <w:szCs w:val="32"/>
        </w:rPr>
        <w:t>云计算</w:t>
      </w:r>
      <w:r>
        <w:rPr>
          <w:rFonts w:eastAsia="仿宋_GB2312" w:hint="eastAsia"/>
          <w:kern w:val="0"/>
          <w:sz w:val="32"/>
          <w:szCs w:val="32"/>
        </w:rPr>
        <w:t xml:space="preserve"> </w:t>
      </w:r>
      <w:r>
        <w:rPr>
          <w:rFonts w:eastAsia="仿宋_GB2312" w:hint="eastAsia"/>
          <w:kern w:val="0"/>
          <w:sz w:val="32"/>
          <w:szCs w:val="32"/>
        </w:rPr>
        <w:t>概览与词汇》</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1</w:t>
      </w:r>
      <w:r>
        <w:rPr>
          <w:rFonts w:eastAsia="仿宋_GB2312" w:hint="eastAsia"/>
          <w:kern w:val="0"/>
          <w:sz w:val="32"/>
          <w:szCs w:val="32"/>
        </w:rPr>
        <w:t>7</w:t>
      </w:r>
      <w:r>
        <w:rPr>
          <w:rFonts w:eastAsia="仿宋_GB2312"/>
          <w:kern w:val="0"/>
          <w:sz w:val="32"/>
          <w:szCs w:val="32"/>
        </w:rPr>
        <w:t>]</w:t>
      </w:r>
      <w:r>
        <w:rPr>
          <w:rFonts w:eastAsia="仿宋_GB2312" w:hint="eastAsia"/>
          <w:kern w:val="0"/>
          <w:sz w:val="32"/>
          <w:szCs w:val="32"/>
        </w:rPr>
        <w:t xml:space="preserve"> </w:t>
      </w:r>
      <w:r>
        <w:rPr>
          <w:rFonts w:eastAsia="仿宋_GB2312" w:hint="eastAsia"/>
          <w:sz w:val="32"/>
          <w:szCs w:val="32"/>
        </w:rPr>
        <w:t>GB/T 31167-2014</w:t>
      </w:r>
      <w:r>
        <w:rPr>
          <w:rFonts w:eastAsia="仿宋_GB2312" w:hint="eastAsia"/>
          <w:sz w:val="32"/>
          <w:szCs w:val="32"/>
        </w:rPr>
        <w:t>《信息安全技术</w:t>
      </w:r>
      <w:r>
        <w:rPr>
          <w:rFonts w:eastAsia="仿宋_GB2312" w:hint="eastAsia"/>
          <w:sz w:val="32"/>
          <w:szCs w:val="32"/>
        </w:rPr>
        <w:t xml:space="preserve"> </w:t>
      </w:r>
      <w:r>
        <w:rPr>
          <w:rFonts w:eastAsia="仿宋_GB2312" w:hint="eastAsia"/>
          <w:sz w:val="32"/>
          <w:szCs w:val="32"/>
        </w:rPr>
        <w:t>云计算服务安全指南》</w:t>
      </w:r>
    </w:p>
    <w:p w:rsidR="003332B7" w:rsidRDefault="00C34255">
      <w:pPr>
        <w:widowControl/>
        <w:spacing w:line="600" w:lineRule="atLeast"/>
        <w:ind w:firstLineChars="200" w:firstLine="640"/>
        <w:rPr>
          <w:rFonts w:eastAsia="仿宋_GB2312"/>
          <w:sz w:val="32"/>
          <w:szCs w:val="32"/>
        </w:rPr>
      </w:pPr>
      <w:r>
        <w:rPr>
          <w:rFonts w:eastAsia="仿宋_GB2312"/>
          <w:kern w:val="0"/>
          <w:sz w:val="32"/>
          <w:szCs w:val="32"/>
        </w:rPr>
        <w:t>[</w:t>
      </w:r>
      <w:r>
        <w:rPr>
          <w:rFonts w:eastAsia="仿宋_GB2312" w:hint="eastAsia"/>
          <w:kern w:val="0"/>
          <w:sz w:val="32"/>
          <w:szCs w:val="32"/>
        </w:rPr>
        <w:t>1</w:t>
      </w:r>
      <w:r>
        <w:rPr>
          <w:rFonts w:eastAsia="仿宋_GB2312" w:hint="eastAsia"/>
          <w:kern w:val="0"/>
          <w:sz w:val="32"/>
          <w:szCs w:val="32"/>
        </w:rPr>
        <w:t>8</w:t>
      </w:r>
      <w:r>
        <w:rPr>
          <w:rFonts w:eastAsia="仿宋_GB2312"/>
          <w:kern w:val="0"/>
          <w:sz w:val="32"/>
          <w:szCs w:val="32"/>
        </w:rPr>
        <w:t xml:space="preserve">] </w:t>
      </w:r>
      <w:r>
        <w:rPr>
          <w:rFonts w:eastAsia="仿宋_GB2312" w:hint="eastAsia"/>
          <w:sz w:val="32"/>
          <w:szCs w:val="32"/>
        </w:rPr>
        <w:t>GB/T 31168-2014</w:t>
      </w:r>
      <w:r>
        <w:rPr>
          <w:rFonts w:eastAsia="仿宋_GB2312" w:hint="eastAsia"/>
          <w:sz w:val="32"/>
          <w:szCs w:val="32"/>
        </w:rPr>
        <w:t>《信息安全技术</w:t>
      </w:r>
      <w:r>
        <w:rPr>
          <w:rFonts w:eastAsia="仿宋_GB2312" w:hint="eastAsia"/>
          <w:sz w:val="32"/>
          <w:szCs w:val="32"/>
        </w:rPr>
        <w:t xml:space="preserve"> </w:t>
      </w:r>
      <w:r>
        <w:rPr>
          <w:rFonts w:eastAsia="仿宋_GB2312" w:hint="eastAsia"/>
          <w:sz w:val="32"/>
          <w:szCs w:val="32"/>
        </w:rPr>
        <w:t>云计算服务安全能力要求》</w:t>
      </w:r>
    </w:p>
    <w:p w:rsidR="003332B7" w:rsidRDefault="00C34255">
      <w:pPr>
        <w:widowControl/>
        <w:spacing w:line="600" w:lineRule="atLeast"/>
        <w:ind w:firstLineChars="200" w:firstLine="640"/>
        <w:rPr>
          <w:rFonts w:eastAsia="仿宋_GB2312"/>
          <w:sz w:val="32"/>
          <w:szCs w:val="32"/>
        </w:rPr>
      </w:pPr>
      <w:r>
        <w:rPr>
          <w:rFonts w:eastAsia="仿宋_GB2312"/>
          <w:kern w:val="0"/>
          <w:sz w:val="32"/>
          <w:szCs w:val="32"/>
        </w:rPr>
        <w:t>[</w:t>
      </w:r>
      <w:r>
        <w:rPr>
          <w:rFonts w:eastAsia="仿宋_GB2312" w:hint="eastAsia"/>
          <w:kern w:val="0"/>
          <w:sz w:val="32"/>
          <w:szCs w:val="32"/>
        </w:rPr>
        <w:t>19</w:t>
      </w:r>
      <w:r>
        <w:rPr>
          <w:rFonts w:eastAsia="仿宋_GB2312"/>
          <w:kern w:val="0"/>
          <w:sz w:val="32"/>
          <w:szCs w:val="32"/>
        </w:rPr>
        <w:t xml:space="preserve">] </w:t>
      </w:r>
      <w:r>
        <w:rPr>
          <w:rFonts w:eastAsia="仿宋_GB2312" w:hint="eastAsia"/>
          <w:kern w:val="0"/>
          <w:sz w:val="32"/>
          <w:szCs w:val="32"/>
        </w:rPr>
        <w:t>国家标准</w:t>
      </w:r>
      <w:r>
        <w:rPr>
          <w:rFonts w:eastAsia="仿宋_GB2312" w:hint="eastAsia"/>
          <w:kern w:val="0"/>
          <w:sz w:val="32"/>
          <w:szCs w:val="32"/>
        </w:rPr>
        <w:t>《信息安全技术</w:t>
      </w:r>
      <w:r>
        <w:rPr>
          <w:rFonts w:eastAsia="仿宋_GB2312" w:hint="eastAsia"/>
          <w:kern w:val="0"/>
          <w:sz w:val="32"/>
          <w:szCs w:val="32"/>
        </w:rPr>
        <w:t xml:space="preserve"> </w:t>
      </w:r>
      <w:r>
        <w:rPr>
          <w:rFonts w:eastAsia="仿宋_GB2312" w:hint="eastAsia"/>
          <w:kern w:val="0"/>
          <w:sz w:val="32"/>
          <w:szCs w:val="32"/>
        </w:rPr>
        <w:t>云计算服务运行监管框架》征求意见稿</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20</w:t>
      </w:r>
      <w:r>
        <w:rPr>
          <w:rFonts w:eastAsia="仿宋_GB2312"/>
          <w:kern w:val="0"/>
          <w:sz w:val="32"/>
          <w:szCs w:val="32"/>
        </w:rPr>
        <w:t xml:space="preserve">] </w:t>
      </w:r>
      <w:r>
        <w:rPr>
          <w:rFonts w:eastAsia="仿宋_GB2312" w:hint="eastAsia"/>
          <w:kern w:val="0"/>
          <w:sz w:val="32"/>
          <w:szCs w:val="32"/>
        </w:rPr>
        <w:t>国家标准</w:t>
      </w:r>
      <w:r>
        <w:rPr>
          <w:rFonts w:eastAsia="仿宋_GB2312" w:hint="eastAsia"/>
          <w:kern w:val="0"/>
          <w:sz w:val="32"/>
          <w:szCs w:val="32"/>
        </w:rPr>
        <w:t>《信息安全技术</w:t>
      </w:r>
      <w:r>
        <w:rPr>
          <w:rFonts w:eastAsia="仿宋_GB2312" w:hint="eastAsia"/>
          <w:kern w:val="0"/>
          <w:sz w:val="32"/>
          <w:szCs w:val="32"/>
        </w:rPr>
        <w:t xml:space="preserve"> </w:t>
      </w:r>
      <w:r>
        <w:rPr>
          <w:rFonts w:eastAsia="仿宋_GB2312" w:hint="eastAsia"/>
          <w:kern w:val="0"/>
          <w:sz w:val="32"/>
          <w:szCs w:val="32"/>
        </w:rPr>
        <w:t>云计算安全参考架构》征求意见稿</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21</w:t>
      </w:r>
      <w:r>
        <w:rPr>
          <w:rFonts w:eastAsia="仿宋_GB2312"/>
          <w:kern w:val="0"/>
          <w:sz w:val="32"/>
          <w:szCs w:val="32"/>
        </w:rPr>
        <w:t xml:space="preserve">] </w:t>
      </w:r>
      <w:r>
        <w:rPr>
          <w:rFonts w:eastAsia="仿宋_GB2312" w:hint="eastAsia"/>
          <w:kern w:val="0"/>
          <w:sz w:val="32"/>
          <w:szCs w:val="32"/>
        </w:rPr>
        <w:t>国家标准《信息安全技术</w:t>
      </w:r>
      <w:r>
        <w:rPr>
          <w:rFonts w:eastAsia="仿宋_GB2312" w:hint="eastAsia"/>
          <w:kern w:val="0"/>
          <w:sz w:val="32"/>
          <w:szCs w:val="32"/>
        </w:rPr>
        <w:t xml:space="preserve"> </w:t>
      </w:r>
      <w:r>
        <w:rPr>
          <w:rFonts w:eastAsia="仿宋_GB2312" w:hint="eastAsia"/>
          <w:kern w:val="0"/>
          <w:sz w:val="32"/>
          <w:szCs w:val="32"/>
        </w:rPr>
        <w:t>云计算服务安全能力评估方法》征求意见稿</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22</w:t>
      </w:r>
      <w:r>
        <w:rPr>
          <w:rFonts w:eastAsia="仿宋_GB2312"/>
          <w:kern w:val="0"/>
          <w:sz w:val="32"/>
          <w:szCs w:val="32"/>
        </w:rPr>
        <w:t xml:space="preserve">] </w:t>
      </w:r>
      <w:r>
        <w:rPr>
          <w:rFonts w:eastAsia="仿宋_GB2312" w:hint="eastAsia"/>
          <w:kern w:val="0"/>
          <w:sz w:val="32"/>
          <w:szCs w:val="32"/>
        </w:rPr>
        <w:t>国家标准</w:t>
      </w:r>
      <w:r>
        <w:rPr>
          <w:rFonts w:eastAsia="仿宋_GB2312" w:hint="eastAsia"/>
          <w:kern w:val="0"/>
          <w:sz w:val="32"/>
          <w:szCs w:val="32"/>
        </w:rPr>
        <w:t>《信息安全技术</w:t>
      </w:r>
      <w:r>
        <w:rPr>
          <w:rFonts w:eastAsia="仿宋_GB2312" w:hint="eastAsia"/>
          <w:kern w:val="0"/>
          <w:sz w:val="32"/>
          <w:szCs w:val="32"/>
        </w:rPr>
        <w:t xml:space="preserve"> </w:t>
      </w:r>
      <w:r>
        <w:rPr>
          <w:rFonts w:eastAsia="仿宋_GB2312" w:hint="eastAsia"/>
          <w:kern w:val="0"/>
          <w:sz w:val="32"/>
          <w:szCs w:val="32"/>
        </w:rPr>
        <w:t>大数据安全管理指南》征求意见稿</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23</w:t>
      </w:r>
      <w:r>
        <w:rPr>
          <w:rFonts w:eastAsia="仿宋_GB2312"/>
          <w:kern w:val="0"/>
          <w:sz w:val="32"/>
          <w:szCs w:val="32"/>
        </w:rPr>
        <w:t xml:space="preserve">] </w:t>
      </w:r>
      <w:r>
        <w:rPr>
          <w:rFonts w:eastAsia="仿宋_GB2312" w:hint="eastAsia"/>
          <w:kern w:val="0"/>
          <w:sz w:val="32"/>
          <w:szCs w:val="32"/>
        </w:rPr>
        <w:t>国家标准</w:t>
      </w:r>
      <w:r>
        <w:rPr>
          <w:rFonts w:eastAsia="仿宋_GB2312" w:hint="eastAsia"/>
          <w:kern w:val="0"/>
          <w:sz w:val="32"/>
          <w:szCs w:val="32"/>
        </w:rPr>
        <w:t>《信息安全技术</w:t>
      </w:r>
      <w:r>
        <w:rPr>
          <w:rFonts w:eastAsia="仿宋_GB2312" w:hint="eastAsia"/>
          <w:kern w:val="0"/>
          <w:sz w:val="32"/>
          <w:szCs w:val="32"/>
        </w:rPr>
        <w:t xml:space="preserve"> </w:t>
      </w:r>
      <w:r>
        <w:rPr>
          <w:rFonts w:eastAsia="仿宋_GB2312" w:hint="eastAsia"/>
          <w:kern w:val="0"/>
          <w:sz w:val="32"/>
          <w:szCs w:val="32"/>
        </w:rPr>
        <w:t>大数据服务安全能力要求》征求意见稿</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lastRenderedPageBreak/>
        <w:t>[</w:t>
      </w:r>
      <w:r>
        <w:rPr>
          <w:rFonts w:eastAsia="仿宋_GB2312" w:hint="eastAsia"/>
          <w:kern w:val="0"/>
          <w:sz w:val="32"/>
          <w:szCs w:val="32"/>
        </w:rPr>
        <w:t>24</w:t>
      </w:r>
      <w:r>
        <w:rPr>
          <w:rFonts w:eastAsia="仿宋_GB2312"/>
          <w:kern w:val="0"/>
          <w:sz w:val="32"/>
          <w:szCs w:val="32"/>
        </w:rPr>
        <w:t xml:space="preserve">] </w:t>
      </w:r>
      <w:r>
        <w:rPr>
          <w:rFonts w:eastAsia="仿宋_GB2312" w:hint="eastAsia"/>
          <w:kern w:val="0"/>
          <w:sz w:val="32"/>
          <w:szCs w:val="32"/>
        </w:rPr>
        <w:t>国家标准</w:t>
      </w:r>
      <w:r>
        <w:rPr>
          <w:rFonts w:eastAsia="仿宋_GB2312" w:hint="eastAsia"/>
          <w:kern w:val="0"/>
          <w:sz w:val="32"/>
          <w:szCs w:val="32"/>
        </w:rPr>
        <w:t>《信息安全技术</w:t>
      </w:r>
      <w:r>
        <w:rPr>
          <w:rFonts w:eastAsia="仿宋_GB2312" w:hint="eastAsia"/>
          <w:kern w:val="0"/>
          <w:sz w:val="32"/>
          <w:szCs w:val="32"/>
        </w:rPr>
        <w:t xml:space="preserve"> </w:t>
      </w:r>
      <w:r>
        <w:rPr>
          <w:rFonts w:eastAsia="仿宋_GB2312" w:hint="eastAsia"/>
          <w:kern w:val="0"/>
          <w:sz w:val="32"/>
          <w:szCs w:val="32"/>
        </w:rPr>
        <w:t>个人信息安全规范》征求意见稿</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25</w:t>
      </w:r>
      <w:r>
        <w:rPr>
          <w:rFonts w:eastAsia="仿宋_GB2312"/>
          <w:kern w:val="0"/>
          <w:sz w:val="32"/>
          <w:szCs w:val="32"/>
        </w:rPr>
        <w:t xml:space="preserve">] </w:t>
      </w:r>
      <w:r>
        <w:rPr>
          <w:rFonts w:eastAsia="仿宋_GB2312" w:hint="eastAsia"/>
          <w:kern w:val="0"/>
          <w:sz w:val="32"/>
          <w:szCs w:val="32"/>
        </w:rPr>
        <w:t>国家标准</w:t>
      </w:r>
      <w:r>
        <w:rPr>
          <w:rFonts w:eastAsia="仿宋_GB2312" w:hint="eastAsia"/>
          <w:kern w:val="0"/>
          <w:sz w:val="32"/>
          <w:szCs w:val="32"/>
        </w:rPr>
        <w:t>《信息安全技术</w:t>
      </w:r>
      <w:r>
        <w:rPr>
          <w:rFonts w:eastAsia="仿宋_GB2312" w:hint="eastAsia"/>
          <w:kern w:val="0"/>
          <w:sz w:val="32"/>
          <w:szCs w:val="32"/>
        </w:rPr>
        <w:t xml:space="preserve"> </w:t>
      </w:r>
      <w:r>
        <w:rPr>
          <w:rFonts w:eastAsia="仿宋_GB2312" w:hint="eastAsia"/>
          <w:kern w:val="0"/>
          <w:sz w:val="32"/>
          <w:szCs w:val="32"/>
        </w:rPr>
        <w:t>移动智能终端个人信息保护技术要求》征求意见稿</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26</w:t>
      </w:r>
      <w:r>
        <w:rPr>
          <w:rFonts w:eastAsia="仿宋_GB2312"/>
          <w:kern w:val="0"/>
          <w:sz w:val="32"/>
          <w:szCs w:val="32"/>
        </w:rPr>
        <w:t xml:space="preserve">] </w:t>
      </w:r>
      <w:r>
        <w:rPr>
          <w:rFonts w:eastAsia="仿宋_GB2312" w:hint="eastAsia"/>
          <w:kern w:val="0"/>
          <w:sz w:val="32"/>
          <w:szCs w:val="32"/>
        </w:rPr>
        <w:t>国家标准</w:t>
      </w:r>
      <w:r>
        <w:rPr>
          <w:rFonts w:eastAsia="仿宋_GB2312" w:hint="eastAsia"/>
          <w:kern w:val="0"/>
          <w:sz w:val="32"/>
          <w:szCs w:val="32"/>
        </w:rPr>
        <w:t>《信息安全技术</w:t>
      </w:r>
      <w:r>
        <w:rPr>
          <w:rFonts w:eastAsia="仿宋_GB2312" w:hint="eastAsia"/>
          <w:kern w:val="0"/>
          <w:sz w:val="32"/>
          <w:szCs w:val="32"/>
        </w:rPr>
        <w:t xml:space="preserve"> </w:t>
      </w:r>
      <w:r>
        <w:rPr>
          <w:rFonts w:eastAsia="仿宋_GB2312" w:hint="eastAsia"/>
          <w:kern w:val="0"/>
          <w:sz w:val="32"/>
          <w:szCs w:val="32"/>
        </w:rPr>
        <w:t>移动应用网络安全评价规范》征求意见稿</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27</w:t>
      </w:r>
      <w:r>
        <w:rPr>
          <w:rFonts w:eastAsia="仿宋_GB2312"/>
          <w:kern w:val="0"/>
          <w:sz w:val="32"/>
          <w:szCs w:val="32"/>
        </w:rPr>
        <w:t xml:space="preserve">] </w:t>
      </w:r>
      <w:r>
        <w:rPr>
          <w:rFonts w:eastAsia="仿宋_GB2312" w:hint="eastAsia"/>
          <w:kern w:val="0"/>
          <w:sz w:val="32"/>
          <w:szCs w:val="32"/>
        </w:rPr>
        <w:t>国家标准</w:t>
      </w:r>
      <w:r>
        <w:rPr>
          <w:rFonts w:eastAsia="仿宋_GB2312" w:hint="eastAsia"/>
          <w:kern w:val="0"/>
          <w:sz w:val="32"/>
          <w:szCs w:val="32"/>
        </w:rPr>
        <w:t>《信息安全技术</w:t>
      </w:r>
      <w:r>
        <w:rPr>
          <w:rFonts w:eastAsia="仿宋_GB2312" w:hint="eastAsia"/>
          <w:kern w:val="0"/>
          <w:sz w:val="32"/>
          <w:szCs w:val="32"/>
        </w:rPr>
        <w:t xml:space="preserve"> </w:t>
      </w:r>
      <w:r>
        <w:rPr>
          <w:rFonts w:eastAsia="仿宋_GB2312" w:hint="eastAsia"/>
          <w:kern w:val="0"/>
          <w:sz w:val="32"/>
          <w:szCs w:val="32"/>
        </w:rPr>
        <w:t>移动终端安全保护技术要求》征求意见稿</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28</w:t>
      </w:r>
      <w:r>
        <w:rPr>
          <w:rFonts w:eastAsia="仿宋_GB2312"/>
          <w:kern w:val="0"/>
          <w:sz w:val="32"/>
          <w:szCs w:val="32"/>
        </w:rPr>
        <w:t xml:space="preserve">] </w:t>
      </w:r>
      <w:r>
        <w:rPr>
          <w:rFonts w:eastAsia="仿宋_GB2312" w:hint="eastAsia"/>
          <w:kern w:val="0"/>
          <w:sz w:val="32"/>
          <w:szCs w:val="32"/>
        </w:rPr>
        <w:t>国家标准</w:t>
      </w:r>
      <w:r>
        <w:rPr>
          <w:rFonts w:eastAsia="仿宋_GB2312" w:hint="eastAsia"/>
          <w:kern w:val="0"/>
          <w:sz w:val="32"/>
          <w:szCs w:val="32"/>
        </w:rPr>
        <w:t>《信息安全技术</w:t>
      </w:r>
      <w:r>
        <w:rPr>
          <w:rFonts w:eastAsia="仿宋_GB2312" w:hint="eastAsia"/>
          <w:kern w:val="0"/>
          <w:sz w:val="32"/>
          <w:szCs w:val="32"/>
        </w:rPr>
        <w:t xml:space="preserve"> </w:t>
      </w:r>
      <w:r>
        <w:rPr>
          <w:rFonts w:eastAsia="仿宋_GB2312" w:hint="eastAsia"/>
          <w:kern w:val="0"/>
          <w:sz w:val="32"/>
          <w:szCs w:val="32"/>
        </w:rPr>
        <w:t>移动终端安全管理平台技术要求》征求意见稿</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29</w:t>
      </w:r>
      <w:r>
        <w:rPr>
          <w:rFonts w:eastAsia="仿宋_GB2312"/>
          <w:kern w:val="0"/>
          <w:sz w:val="32"/>
          <w:szCs w:val="32"/>
        </w:rPr>
        <w:t xml:space="preserve">] </w:t>
      </w:r>
      <w:r>
        <w:rPr>
          <w:rFonts w:eastAsia="仿宋_GB2312" w:hint="eastAsia"/>
          <w:kern w:val="0"/>
          <w:sz w:val="32"/>
          <w:szCs w:val="32"/>
        </w:rPr>
        <w:t>国家标准</w:t>
      </w:r>
      <w:r>
        <w:rPr>
          <w:rFonts w:eastAsia="仿宋_GB2312" w:hint="eastAsia"/>
          <w:kern w:val="0"/>
          <w:sz w:val="32"/>
          <w:szCs w:val="32"/>
        </w:rPr>
        <w:t>《信息安全技术</w:t>
      </w:r>
      <w:r>
        <w:rPr>
          <w:rFonts w:eastAsia="仿宋_GB2312" w:hint="eastAsia"/>
          <w:kern w:val="0"/>
          <w:sz w:val="32"/>
          <w:szCs w:val="32"/>
        </w:rPr>
        <w:t xml:space="preserve"> </w:t>
      </w:r>
      <w:r>
        <w:rPr>
          <w:rFonts w:eastAsia="仿宋_GB2312" w:hint="eastAsia"/>
          <w:kern w:val="0"/>
          <w:sz w:val="32"/>
          <w:szCs w:val="32"/>
        </w:rPr>
        <w:t>移动智能终端应用软件安全技术要求和测试评价方法》征求意见稿</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30</w:t>
      </w:r>
      <w:r>
        <w:rPr>
          <w:rFonts w:eastAsia="仿宋_GB2312"/>
          <w:kern w:val="0"/>
          <w:sz w:val="32"/>
          <w:szCs w:val="32"/>
        </w:rPr>
        <w:t xml:space="preserve">] </w:t>
      </w:r>
      <w:r>
        <w:rPr>
          <w:rFonts w:eastAsia="仿宋_GB2312" w:hint="eastAsia"/>
          <w:kern w:val="0"/>
          <w:sz w:val="32"/>
          <w:szCs w:val="32"/>
        </w:rPr>
        <w:t>国家标准《信息安全技术</w:t>
      </w:r>
      <w:r>
        <w:rPr>
          <w:rFonts w:eastAsia="仿宋_GB2312" w:hint="eastAsia"/>
          <w:kern w:val="0"/>
          <w:sz w:val="32"/>
          <w:szCs w:val="32"/>
        </w:rPr>
        <w:t xml:space="preserve"> </w:t>
      </w:r>
      <w:r>
        <w:rPr>
          <w:rFonts w:eastAsia="仿宋_GB2312" w:hint="eastAsia"/>
          <w:kern w:val="0"/>
          <w:sz w:val="32"/>
          <w:szCs w:val="32"/>
        </w:rPr>
        <w:t>移动智能终端操作系统安全测试评价方法》征求意见稿</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31</w:t>
      </w:r>
      <w:r>
        <w:rPr>
          <w:rFonts w:eastAsia="仿宋_GB2312"/>
          <w:kern w:val="0"/>
          <w:sz w:val="32"/>
          <w:szCs w:val="32"/>
        </w:rPr>
        <w:t xml:space="preserve">] </w:t>
      </w:r>
      <w:r>
        <w:rPr>
          <w:rFonts w:eastAsia="仿宋_GB2312" w:hint="eastAsia"/>
          <w:kern w:val="0"/>
          <w:sz w:val="32"/>
          <w:szCs w:val="32"/>
        </w:rPr>
        <w:t>国家标准</w:t>
      </w:r>
      <w:r>
        <w:rPr>
          <w:rFonts w:eastAsia="仿宋_GB2312" w:hint="eastAsia"/>
          <w:kern w:val="0"/>
          <w:sz w:val="32"/>
          <w:szCs w:val="32"/>
        </w:rPr>
        <w:t>《信息安全技术</w:t>
      </w:r>
      <w:r>
        <w:rPr>
          <w:rFonts w:eastAsia="仿宋_GB2312" w:hint="eastAsia"/>
          <w:kern w:val="0"/>
          <w:sz w:val="32"/>
          <w:szCs w:val="32"/>
        </w:rPr>
        <w:t xml:space="preserve"> </w:t>
      </w:r>
      <w:r>
        <w:rPr>
          <w:rFonts w:eastAsia="仿宋_GB2312" w:hint="eastAsia"/>
          <w:kern w:val="0"/>
          <w:sz w:val="32"/>
          <w:szCs w:val="32"/>
        </w:rPr>
        <w:t>移动智能终端数据存储安全技术要求和测试评价方法》征求意见稿</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32</w:t>
      </w:r>
      <w:r>
        <w:rPr>
          <w:rFonts w:eastAsia="仿宋_GB2312"/>
          <w:kern w:val="0"/>
          <w:sz w:val="32"/>
          <w:szCs w:val="32"/>
        </w:rPr>
        <w:t>]</w:t>
      </w:r>
      <w:r>
        <w:rPr>
          <w:rFonts w:eastAsia="仿宋_GB2312" w:hint="eastAsia"/>
          <w:kern w:val="0"/>
          <w:sz w:val="32"/>
          <w:szCs w:val="32"/>
        </w:rPr>
        <w:t xml:space="preserve"> </w:t>
      </w:r>
      <w:r>
        <w:rPr>
          <w:rFonts w:eastAsia="仿宋_GB2312" w:hint="eastAsia"/>
          <w:kern w:val="0"/>
          <w:sz w:val="32"/>
          <w:szCs w:val="32"/>
        </w:rPr>
        <w:t>国家标准《信息安全技术</w:t>
      </w:r>
      <w:r>
        <w:rPr>
          <w:rFonts w:eastAsia="仿宋_GB2312" w:hint="eastAsia"/>
          <w:kern w:val="0"/>
          <w:sz w:val="32"/>
          <w:szCs w:val="32"/>
        </w:rPr>
        <w:t xml:space="preserve"> </w:t>
      </w:r>
      <w:r>
        <w:rPr>
          <w:rFonts w:eastAsia="仿宋_GB2312" w:hint="eastAsia"/>
          <w:kern w:val="0"/>
          <w:sz w:val="32"/>
          <w:szCs w:val="32"/>
        </w:rPr>
        <w:t>移动智能终端安全架构》征求意见稿</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33</w:t>
      </w:r>
      <w:r>
        <w:rPr>
          <w:rFonts w:eastAsia="仿宋_GB2312"/>
          <w:kern w:val="0"/>
          <w:sz w:val="32"/>
          <w:szCs w:val="32"/>
        </w:rPr>
        <w:t xml:space="preserve">] </w:t>
      </w:r>
      <w:bookmarkStart w:id="14" w:name="OLE_LINK11"/>
      <w:r>
        <w:rPr>
          <w:rFonts w:eastAsia="仿宋_GB2312"/>
          <w:kern w:val="0"/>
          <w:sz w:val="32"/>
          <w:szCs w:val="32"/>
        </w:rPr>
        <w:t>YY/T 0287-20</w:t>
      </w:r>
      <w:bookmarkEnd w:id="14"/>
      <w:r>
        <w:rPr>
          <w:rFonts w:eastAsia="仿宋_GB2312" w:hint="eastAsia"/>
          <w:kern w:val="0"/>
          <w:sz w:val="32"/>
          <w:szCs w:val="32"/>
        </w:rPr>
        <w:t>17</w:t>
      </w:r>
      <w:r>
        <w:rPr>
          <w:rFonts w:eastAsia="仿宋_GB2312"/>
          <w:kern w:val="0"/>
          <w:sz w:val="32"/>
          <w:szCs w:val="32"/>
        </w:rPr>
        <w:t>《医疗器械</w:t>
      </w:r>
      <w:r>
        <w:rPr>
          <w:rFonts w:eastAsia="仿宋_GB2312"/>
          <w:kern w:val="0"/>
          <w:sz w:val="32"/>
          <w:szCs w:val="32"/>
        </w:rPr>
        <w:t xml:space="preserve"> </w:t>
      </w:r>
      <w:r>
        <w:rPr>
          <w:rFonts w:eastAsia="仿宋_GB2312"/>
          <w:kern w:val="0"/>
          <w:sz w:val="32"/>
          <w:szCs w:val="32"/>
        </w:rPr>
        <w:t>质量管理体系</w:t>
      </w:r>
      <w:r>
        <w:rPr>
          <w:rFonts w:eastAsia="仿宋_GB2312" w:hint="eastAsia"/>
          <w:kern w:val="0"/>
          <w:sz w:val="32"/>
          <w:szCs w:val="32"/>
        </w:rPr>
        <w:t xml:space="preserve"> </w:t>
      </w:r>
      <w:r>
        <w:rPr>
          <w:rFonts w:eastAsia="仿宋_GB2312" w:hint="eastAsia"/>
          <w:kern w:val="0"/>
          <w:sz w:val="32"/>
          <w:szCs w:val="32"/>
        </w:rPr>
        <w:t>用于</w:t>
      </w:r>
      <w:r>
        <w:rPr>
          <w:rFonts w:eastAsia="仿宋_GB2312"/>
          <w:kern w:val="0"/>
          <w:sz w:val="32"/>
          <w:szCs w:val="32"/>
        </w:rPr>
        <w:t>法规</w:t>
      </w:r>
      <w:r>
        <w:rPr>
          <w:rFonts w:eastAsia="仿宋_GB2312" w:hint="eastAsia"/>
          <w:kern w:val="0"/>
          <w:sz w:val="32"/>
          <w:szCs w:val="32"/>
        </w:rPr>
        <w:t>的</w:t>
      </w:r>
      <w:r>
        <w:rPr>
          <w:rFonts w:eastAsia="仿宋_GB2312"/>
          <w:kern w:val="0"/>
          <w:sz w:val="32"/>
          <w:szCs w:val="32"/>
        </w:rPr>
        <w:t>要求》</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34</w:t>
      </w:r>
      <w:r>
        <w:rPr>
          <w:rFonts w:eastAsia="仿宋_GB2312"/>
          <w:kern w:val="0"/>
          <w:sz w:val="32"/>
          <w:szCs w:val="32"/>
        </w:rPr>
        <w:t xml:space="preserve">] YY/T </w:t>
      </w:r>
      <w:r>
        <w:rPr>
          <w:rFonts w:eastAsia="仿宋_GB2312"/>
          <w:kern w:val="0"/>
          <w:sz w:val="32"/>
          <w:szCs w:val="32"/>
        </w:rPr>
        <w:t>0316-20</w:t>
      </w:r>
      <w:r>
        <w:rPr>
          <w:rFonts w:eastAsia="仿宋_GB2312" w:hint="eastAsia"/>
          <w:kern w:val="0"/>
          <w:sz w:val="32"/>
          <w:szCs w:val="32"/>
        </w:rPr>
        <w:t>16</w:t>
      </w:r>
      <w:r>
        <w:rPr>
          <w:rFonts w:eastAsia="仿宋_GB2312"/>
          <w:kern w:val="0"/>
          <w:sz w:val="32"/>
          <w:szCs w:val="32"/>
        </w:rPr>
        <w:t>《医疗器械</w:t>
      </w:r>
      <w:r>
        <w:rPr>
          <w:rFonts w:eastAsia="仿宋_GB2312"/>
          <w:kern w:val="0"/>
          <w:sz w:val="32"/>
          <w:szCs w:val="32"/>
        </w:rPr>
        <w:t xml:space="preserve"> </w:t>
      </w:r>
      <w:r>
        <w:rPr>
          <w:rFonts w:eastAsia="仿宋_GB2312"/>
          <w:kern w:val="0"/>
          <w:sz w:val="32"/>
          <w:szCs w:val="32"/>
        </w:rPr>
        <w:t>风险管理对医疗器械的应用》</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lastRenderedPageBreak/>
        <w:t>[</w:t>
      </w:r>
      <w:r>
        <w:rPr>
          <w:rFonts w:eastAsia="仿宋_GB2312" w:hint="eastAsia"/>
          <w:kern w:val="0"/>
          <w:sz w:val="32"/>
          <w:szCs w:val="32"/>
        </w:rPr>
        <w:t>35</w:t>
      </w:r>
      <w:r>
        <w:rPr>
          <w:rFonts w:eastAsia="仿宋_GB2312"/>
          <w:kern w:val="0"/>
          <w:sz w:val="32"/>
          <w:szCs w:val="32"/>
        </w:rPr>
        <w:t>] YY/T 0664-2008</w:t>
      </w:r>
      <w:r>
        <w:rPr>
          <w:rFonts w:eastAsia="仿宋_GB2312"/>
          <w:kern w:val="0"/>
          <w:sz w:val="32"/>
          <w:szCs w:val="32"/>
        </w:rPr>
        <w:t>《医疗器械软件</w:t>
      </w:r>
      <w:r>
        <w:rPr>
          <w:rFonts w:eastAsia="仿宋_GB2312"/>
          <w:kern w:val="0"/>
          <w:sz w:val="32"/>
          <w:szCs w:val="32"/>
        </w:rPr>
        <w:t xml:space="preserve"> </w:t>
      </w:r>
      <w:r>
        <w:rPr>
          <w:rFonts w:eastAsia="仿宋_GB2312"/>
          <w:kern w:val="0"/>
          <w:sz w:val="32"/>
          <w:szCs w:val="32"/>
        </w:rPr>
        <w:t>软件生存周期过程》</w:t>
      </w:r>
    </w:p>
    <w:p w:rsidR="003332B7" w:rsidRDefault="00C34255">
      <w:pPr>
        <w:widowControl/>
        <w:spacing w:line="600" w:lineRule="atLeast"/>
        <w:ind w:firstLineChars="200" w:firstLine="640"/>
        <w:rPr>
          <w:rFonts w:eastAsia="仿宋_GB2312"/>
          <w:kern w:val="0"/>
          <w:sz w:val="32"/>
          <w:szCs w:val="32"/>
        </w:rPr>
      </w:pPr>
      <w:r>
        <w:rPr>
          <w:rFonts w:eastAsia="仿宋_GB2312" w:hint="eastAsia"/>
          <w:kern w:val="0"/>
          <w:sz w:val="32"/>
          <w:szCs w:val="32"/>
        </w:rPr>
        <w:t xml:space="preserve">[36] YY/T 1474-2016 </w:t>
      </w:r>
      <w:r>
        <w:rPr>
          <w:rFonts w:eastAsia="仿宋_GB2312" w:hint="eastAsia"/>
          <w:kern w:val="0"/>
          <w:sz w:val="32"/>
          <w:szCs w:val="32"/>
        </w:rPr>
        <w:t>《医疗器械可用性工程对医疗器械的应用》</w:t>
      </w:r>
    </w:p>
    <w:p w:rsidR="003332B7" w:rsidRDefault="00C34255">
      <w:pPr>
        <w:widowControl/>
        <w:spacing w:line="600" w:lineRule="atLeast"/>
        <w:ind w:firstLineChars="200" w:firstLine="640"/>
        <w:rPr>
          <w:rFonts w:eastAsia="仿宋_GB2312"/>
          <w:kern w:val="0"/>
          <w:sz w:val="32"/>
          <w:szCs w:val="32"/>
        </w:rPr>
      </w:pPr>
      <w:r>
        <w:rPr>
          <w:rFonts w:eastAsia="仿宋_GB2312" w:hint="eastAsia"/>
          <w:kern w:val="0"/>
          <w:sz w:val="32"/>
          <w:szCs w:val="32"/>
        </w:rPr>
        <w:t xml:space="preserve">[37] IEC 60601-1-6:2013 </w:t>
      </w:r>
      <w:r>
        <w:rPr>
          <w:rFonts w:eastAsia="仿宋_GB2312"/>
          <w:kern w:val="0"/>
          <w:sz w:val="32"/>
          <w:szCs w:val="32"/>
        </w:rPr>
        <w:t>Medical electrical equipment</w:t>
      </w:r>
      <w:r>
        <w:rPr>
          <w:rFonts w:eastAsia="仿宋_GB2312" w:hint="eastAsia"/>
          <w:kern w:val="0"/>
          <w:sz w:val="32"/>
          <w:szCs w:val="32"/>
        </w:rPr>
        <w:t xml:space="preserve"> </w:t>
      </w:r>
      <w:r>
        <w:rPr>
          <w:rFonts w:eastAsia="仿宋_GB2312"/>
          <w:kern w:val="0"/>
          <w:sz w:val="32"/>
          <w:szCs w:val="32"/>
        </w:rPr>
        <w:t>-</w:t>
      </w:r>
      <w:r>
        <w:rPr>
          <w:rFonts w:eastAsia="仿宋_GB2312" w:hint="eastAsia"/>
          <w:kern w:val="0"/>
          <w:sz w:val="32"/>
          <w:szCs w:val="32"/>
        </w:rPr>
        <w:t xml:space="preserve"> </w:t>
      </w:r>
      <w:r>
        <w:rPr>
          <w:rFonts w:eastAsia="仿宋_GB2312"/>
          <w:kern w:val="0"/>
          <w:sz w:val="32"/>
          <w:szCs w:val="32"/>
        </w:rPr>
        <w:t>Part 1-6: General requirements for basic safety and essential performance</w:t>
      </w:r>
      <w:r>
        <w:rPr>
          <w:rFonts w:eastAsia="仿宋_GB2312" w:hint="eastAsia"/>
          <w:kern w:val="0"/>
          <w:sz w:val="32"/>
          <w:szCs w:val="32"/>
        </w:rPr>
        <w:t xml:space="preserve"> </w:t>
      </w:r>
      <w:r>
        <w:rPr>
          <w:rFonts w:eastAsia="仿宋_GB2312"/>
          <w:kern w:val="0"/>
          <w:sz w:val="32"/>
          <w:szCs w:val="32"/>
        </w:rPr>
        <w:t>-</w:t>
      </w:r>
      <w:r>
        <w:rPr>
          <w:rFonts w:eastAsia="仿宋_GB2312" w:hint="eastAsia"/>
          <w:kern w:val="0"/>
          <w:sz w:val="32"/>
          <w:szCs w:val="32"/>
        </w:rPr>
        <w:t xml:space="preserve"> </w:t>
      </w:r>
      <w:r>
        <w:rPr>
          <w:rFonts w:eastAsia="仿宋_GB2312"/>
          <w:kern w:val="0"/>
          <w:sz w:val="32"/>
          <w:szCs w:val="32"/>
        </w:rPr>
        <w:t>Collateral standard</w:t>
      </w:r>
      <w:r>
        <w:rPr>
          <w:rFonts w:eastAsia="仿宋_GB2312"/>
          <w:kern w:val="0"/>
          <w:sz w:val="32"/>
          <w:szCs w:val="32"/>
        </w:rPr>
        <w:t>: Usability</w:t>
      </w:r>
    </w:p>
    <w:p w:rsidR="003332B7" w:rsidRDefault="00C34255">
      <w:pPr>
        <w:widowControl/>
        <w:spacing w:line="600" w:lineRule="atLeast"/>
        <w:ind w:firstLineChars="200" w:firstLine="640"/>
        <w:rPr>
          <w:rFonts w:eastAsia="仿宋_GB2312"/>
          <w:kern w:val="0"/>
          <w:sz w:val="32"/>
          <w:szCs w:val="32"/>
        </w:rPr>
      </w:pPr>
      <w:r>
        <w:rPr>
          <w:rFonts w:eastAsia="仿宋_GB2312" w:hint="eastAsia"/>
          <w:kern w:val="0"/>
          <w:sz w:val="32"/>
          <w:szCs w:val="32"/>
        </w:rPr>
        <w:t>[38] IEC 62366-1:2015 Medical devices - Part 1: Application of usability engineering to medical devices</w:t>
      </w:r>
    </w:p>
    <w:p w:rsidR="003332B7" w:rsidRDefault="00C34255">
      <w:pPr>
        <w:widowControl/>
        <w:spacing w:line="600" w:lineRule="atLeast"/>
        <w:ind w:firstLineChars="200" w:firstLine="640"/>
        <w:rPr>
          <w:rFonts w:eastAsia="仿宋_GB2312"/>
          <w:kern w:val="0"/>
          <w:sz w:val="32"/>
          <w:szCs w:val="32"/>
        </w:rPr>
      </w:pPr>
      <w:r>
        <w:rPr>
          <w:rFonts w:eastAsia="仿宋_GB2312" w:hint="eastAsia"/>
          <w:kern w:val="0"/>
          <w:sz w:val="32"/>
          <w:szCs w:val="32"/>
        </w:rPr>
        <w:t xml:space="preserve">[39] </w:t>
      </w:r>
      <w:hyperlink r:id="rId7" w:tgtFrame="http://www.iec.ch/dyn/www/_blank" w:history="1">
        <w:r>
          <w:rPr>
            <w:rFonts w:eastAsia="仿宋_GB2312" w:hint="eastAsia"/>
            <w:kern w:val="0"/>
            <w:sz w:val="32"/>
            <w:szCs w:val="32"/>
          </w:rPr>
          <w:t>IEC TR 62366-2:2016</w:t>
        </w:r>
      </w:hyperlink>
      <w:r>
        <w:rPr>
          <w:rFonts w:eastAsia="仿宋_GB2312" w:hint="eastAsia"/>
          <w:kern w:val="0"/>
          <w:sz w:val="32"/>
          <w:szCs w:val="32"/>
        </w:rPr>
        <w:t xml:space="preserve"> Medical devices - Part 2: Guidance on the application of usability engineering to medical devices </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40</w:t>
      </w:r>
      <w:r>
        <w:rPr>
          <w:rFonts w:eastAsia="仿宋_GB2312"/>
          <w:kern w:val="0"/>
          <w:sz w:val="32"/>
          <w:szCs w:val="32"/>
        </w:rPr>
        <w:t>]</w:t>
      </w:r>
      <w:r>
        <w:rPr>
          <w:rFonts w:eastAsia="仿宋_GB2312" w:hint="eastAsia"/>
          <w:kern w:val="0"/>
          <w:sz w:val="32"/>
          <w:szCs w:val="32"/>
        </w:rPr>
        <w:t xml:space="preserve"> ANSI HE74:2009 Human factors design process for medical devices</w:t>
      </w:r>
    </w:p>
    <w:p w:rsidR="003332B7" w:rsidRDefault="00C34255">
      <w:pPr>
        <w:widowControl/>
        <w:spacing w:line="600" w:lineRule="atLeast"/>
        <w:ind w:firstLineChars="200" w:firstLine="640"/>
        <w:rPr>
          <w:rFonts w:eastAsia="仿宋_GB2312"/>
          <w:kern w:val="0"/>
          <w:sz w:val="32"/>
          <w:szCs w:val="32"/>
        </w:rPr>
      </w:pPr>
      <w:r>
        <w:rPr>
          <w:rFonts w:eastAsia="仿宋_GB2312" w:hint="eastAsia"/>
          <w:kern w:val="0"/>
          <w:sz w:val="32"/>
          <w:szCs w:val="32"/>
        </w:rPr>
        <w:t xml:space="preserve">[41] ANSI HE75:2013 Human factors engineering - </w:t>
      </w:r>
      <w:r>
        <w:rPr>
          <w:rFonts w:eastAsia="仿宋_GB2312"/>
          <w:kern w:val="0"/>
          <w:sz w:val="32"/>
          <w:szCs w:val="32"/>
        </w:rPr>
        <w:t>Design of medical devices</w:t>
      </w:r>
    </w:p>
    <w:p w:rsidR="003332B7" w:rsidRDefault="00C34255">
      <w:pPr>
        <w:widowControl/>
        <w:spacing w:line="600" w:lineRule="atLeast"/>
        <w:ind w:firstLineChars="200" w:firstLine="640"/>
        <w:rPr>
          <w:rFonts w:eastAsia="仿宋_GB2312"/>
          <w:kern w:val="0"/>
          <w:sz w:val="32"/>
          <w:szCs w:val="32"/>
        </w:rPr>
      </w:pPr>
      <w:r>
        <w:rPr>
          <w:rFonts w:eastAsia="仿宋_GB2312" w:hint="eastAsia"/>
          <w:kern w:val="0"/>
          <w:sz w:val="32"/>
          <w:szCs w:val="32"/>
        </w:rPr>
        <w:t>[42] FDA, Mob</w:t>
      </w:r>
      <w:r>
        <w:rPr>
          <w:rFonts w:eastAsia="仿宋_GB2312" w:hint="eastAsia"/>
          <w:kern w:val="0"/>
          <w:sz w:val="32"/>
          <w:szCs w:val="32"/>
        </w:rPr>
        <w:t xml:space="preserve">ile Medical Applications </w:t>
      </w:r>
      <w:r>
        <w:rPr>
          <w:rFonts w:eastAsia="仿宋_GB2312" w:hint="eastAsia"/>
          <w:kern w:val="0"/>
          <w:sz w:val="32"/>
          <w:szCs w:val="32"/>
        </w:rPr>
        <w:t>–</w:t>
      </w:r>
      <w:r>
        <w:rPr>
          <w:rFonts w:eastAsia="仿宋_GB2312" w:hint="eastAsia"/>
          <w:kern w:val="0"/>
          <w:sz w:val="32"/>
          <w:szCs w:val="32"/>
        </w:rPr>
        <w:t xml:space="preserve"> Guidance for </w:t>
      </w:r>
      <w:r>
        <w:rPr>
          <w:rFonts w:eastAsia="仿宋_GB2312"/>
          <w:kern w:val="0"/>
          <w:sz w:val="32"/>
          <w:szCs w:val="32"/>
        </w:rPr>
        <w:t>Industry and Food and Drug Administration Staff</w:t>
      </w:r>
      <w:r>
        <w:rPr>
          <w:rFonts w:eastAsia="仿宋_GB2312" w:hint="eastAsia"/>
          <w:kern w:val="0"/>
          <w:sz w:val="32"/>
          <w:szCs w:val="32"/>
        </w:rPr>
        <w:t xml:space="preserve">, </w:t>
      </w:r>
      <w:r>
        <w:rPr>
          <w:rFonts w:eastAsia="仿宋_GB2312"/>
          <w:kern w:val="0"/>
          <w:sz w:val="32"/>
          <w:szCs w:val="32"/>
        </w:rPr>
        <w:t>2015</w:t>
      </w:r>
      <w:r>
        <w:rPr>
          <w:rFonts w:eastAsia="仿宋_GB2312" w:hint="eastAsia"/>
          <w:kern w:val="0"/>
          <w:sz w:val="32"/>
          <w:szCs w:val="32"/>
        </w:rPr>
        <w:t>.2.9</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43</w:t>
      </w:r>
      <w:r>
        <w:rPr>
          <w:rFonts w:eastAsia="仿宋_GB2312"/>
          <w:kern w:val="0"/>
          <w:sz w:val="32"/>
          <w:szCs w:val="32"/>
        </w:rPr>
        <w:t>] FDA</w:t>
      </w:r>
      <w:r>
        <w:rPr>
          <w:rFonts w:eastAsia="仿宋_GB2312" w:hint="eastAsia"/>
          <w:kern w:val="0"/>
          <w:sz w:val="32"/>
          <w:szCs w:val="32"/>
        </w:rPr>
        <w:t xml:space="preserve">, </w:t>
      </w:r>
      <w:r>
        <w:rPr>
          <w:rFonts w:eastAsia="仿宋_GB2312"/>
          <w:kern w:val="0"/>
          <w:sz w:val="32"/>
          <w:szCs w:val="32"/>
        </w:rPr>
        <w:t>General Wellness: Policy for Low Risk Devices</w:t>
      </w:r>
      <w:r>
        <w:rPr>
          <w:rFonts w:eastAsia="仿宋_GB2312" w:hint="eastAsia"/>
          <w:kern w:val="0"/>
          <w:sz w:val="32"/>
          <w:szCs w:val="32"/>
        </w:rPr>
        <w:t xml:space="preserve"> </w:t>
      </w:r>
      <w:r>
        <w:rPr>
          <w:kern w:val="0"/>
          <w:sz w:val="32"/>
          <w:szCs w:val="32"/>
        </w:rPr>
        <w:t>–</w:t>
      </w:r>
      <w:r>
        <w:rPr>
          <w:rFonts w:eastAsia="仿宋_GB2312"/>
          <w:kern w:val="0"/>
          <w:sz w:val="32"/>
          <w:szCs w:val="32"/>
        </w:rPr>
        <w:t xml:space="preserve"> Guidance for Industry and Food and Drug Administration Staff, 201</w:t>
      </w:r>
      <w:r>
        <w:rPr>
          <w:rFonts w:eastAsia="仿宋_GB2312" w:hint="eastAsia"/>
          <w:kern w:val="0"/>
          <w:sz w:val="32"/>
          <w:szCs w:val="32"/>
        </w:rPr>
        <w:t>6.7.29</w:t>
      </w:r>
    </w:p>
    <w:p w:rsidR="003332B7" w:rsidRDefault="00C34255">
      <w:pPr>
        <w:widowControl/>
        <w:spacing w:line="600" w:lineRule="atLeast"/>
        <w:ind w:firstLineChars="200" w:firstLine="640"/>
        <w:rPr>
          <w:rFonts w:eastAsia="仿宋_GB2312"/>
          <w:kern w:val="0"/>
          <w:sz w:val="32"/>
          <w:szCs w:val="32"/>
        </w:rPr>
      </w:pPr>
      <w:r>
        <w:rPr>
          <w:rFonts w:eastAsia="仿宋_GB2312" w:hint="eastAsia"/>
          <w:kern w:val="0"/>
          <w:sz w:val="32"/>
          <w:szCs w:val="32"/>
        </w:rPr>
        <w:t>[44] FDA, Applying Human Fac</w:t>
      </w:r>
      <w:r>
        <w:rPr>
          <w:rFonts w:eastAsia="仿宋_GB2312" w:hint="eastAsia"/>
          <w:kern w:val="0"/>
          <w:sz w:val="32"/>
          <w:szCs w:val="32"/>
        </w:rPr>
        <w:t>tors and Usability Engineering to Medical Devices - Guidance for Industry and Food and Drug Administration Staff, 2016.2.3</w:t>
      </w:r>
    </w:p>
    <w:p w:rsidR="003332B7" w:rsidRDefault="00C34255">
      <w:pPr>
        <w:widowControl/>
        <w:spacing w:line="600" w:lineRule="atLeast"/>
        <w:ind w:firstLineChars="200" w:firstLine="640"/>
        <w:rPr>
          <w:rFonts w:eastAsia="仿宋_GB2312"/>
          <w:kern w:val="0"/>
          <w:sz w:val="32"/>
          <w:szCs w:val="32"/>
        </w:rPr>
      </w:pPr>
      <w:r>
        <w:rPr>
          <w:rFonts w:eastAsia="仿宋_GB2312" w:hint="eastAsia"/>
          <w:kern w:val="0"/>
          <w:sz w:val="32"/>
          <w:szCs w:val="32"/>
        </w:rPr>
        <w:lastRenderedPageBreak/>
        <w:t xml:space="preserve">[45] FDA, List of Highest Priority Devices for </w:t>
      </w:r>
      <w:r>
        <w:rPr>
          <w:rFonts w:eastAsia="仿宋_GB2312"/>
          <w:kern w:val="0"/>
          <w:sz w:val="32"/>
          <w:szCs w:val="32"/>
        </w:rPr>
        <w:t>Human Factors Review</w:t>
      </w:r>
      <w:r>
        <w:rPr>
          <w:rFonts w:eastAsia="仿宋_GB2312" w:hint="eastAsia"/>
          <w:kern w:val="0"/>
          <w:sz w:val="32"/>
          <w:szCs w:val="32"/>
        </w:rPr>
        <w:t xml:space="preserve"> - </w:t>
      </w:r>
      <w:r>
        <w:rPr>
          <w:rFonts w:eastAsia="仿宋_GB2312"/>
          <w:kern w:val="0"/>
          <w:sz w:val="32"/>
          <w:szCs w:val="32"/>
        </w:rPr>
        <w:t>Draft Guidance for Industry and</w:t>
      </w:r>
      <w:r>
        <w:rPr>
          <w:rFonts w:eastAsia="仿宋_GB2312" w:hint="eastAsia"/>
          <w:kern w:val="0"/>
          <w:sz w:val="32"/>
          <w:szCs w:val="32"/>
        </w:rPr>
        <w:t xml:space="preserve"> </w:t>
      </w:r>
      <w:r>
        <w:rPr>
          <w:rFonts w:eastAsia="仿宋_GB2312"/>
          <w:kern w:val="0"/>
          <w:sz w:val="32"/>
          <w:szCs w:val="32"/>
        </w:rPr>
        <w:t>Food and Drug Administration St</w:t>
      </w:r>
      <w:r>
        <w:rPr>
          <w:rFonts w:eastAsia="仿宋_GB2312"/>
          <w:kern w:val="0"/>
          <w:sz w:val="32"/>
          <w:szCs w:val="32"/>
        </w:rPr>
        <w:t>aff</w:t>
      </w:r>
      <w:r>
        <w:rPr>
          <w:rFonts w:eastAsia="仿宋_GB2312" w:hint="eastAsia"/>
          <w:kern w:val="0"/>
          <w:sz w:val="32"/>
          <w:szCs w:val="32"/>
        </w:rPr>
        <w:t>, 2016.2.3</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46</w:t>
      </w:r>
      <w:r>
        <w:rPr>
          <w:rFonts w:eastAsia="仿宋_GB2312"/>
          <w:kern w:val="0"/>
          <w:sz w:val="32"/>
          <w:szCs w:val="32"/>
        </w:rPr>
        <w:t>] MEDDEV 2.1/6</w:t>
      </w:r>
      <w:r>
        <w:rPr>
          <w:rFonts w:eastAsia="仿宋_GB2312" w:hint="eastAsia"/>
          <w:kern w:val="0"/>
          <w:sz w:val="32"/>
          <w:szCs w:val="32"/>
        </w:rPr>
        <w:t xml:space="preserve">, </w:t>
      </w:r>
      <w:r>
        <w:rPr>
          <w:rFonts w:eastAsia="仿宋_GB2312"/>
          <w:kern w:val="0"/>
          <w:sz w:val="32"/>
          <w:szCs w:val="32"/>
        </w:rPr>
        <w:t xml:space="preserve">Qualification and Classification of </w:t>
      </w:r>
      <w:r>
        <w:rPr>
          <w:rFonts w:eastAsia="仿宋_GB2312" w:hint="eastAsia"/>
          <w:kern w:val="0"/>
          <w:sz w:val="32"/>
          <w:szCs w:val="32"/>
        </w:rPr>
        <w:t>S</w:t>
      </w:r>
      <w:r>
        <w:rPr>
          <w:rFonts w:eastAsia="仿宋_GB2312"/>
          <w:kern w:val="0"/>
          <w:sz w:val="32"/>
          <w:szCs w:val="32"/>
        </w:rPr>
        <w:t xml:space="preserve">tandalone </w:t>
      </w:r>
      <w:r>
        <w:rPr>
          <w:rFonts w:eastAsia="仿宋_GB2312" w:hint="eastAsia"/>
          <w:kern w:val="0"/>
          <w:sz w:val="32"/>
          <w:szCs w:val="32"/>
        </w:rPr>
        <w:t>S</w:t>
      </w:r>
      <w:r>
        <w:rPr>
          <w:rFonts w:eastAsia="仿宋_GB2312"/>
          <w:kern w:val="0"/>
          <w:sz w:val="32"/>
          <w:szCs w:val="32"/>
        </w:rPr>
        <w:t>oftware</w:t>
      </w:r>
      <w:r>
        <w:rPr>
          <w:rFonts w:eastAsia="仿宋_GB2312" w:hint="eastAsia"/>
          <w:kern w:val="0"/>
          <w:sz w:val="32"/>
          <w:szCs w:val="32"/>
        </w:rPr>
        <w:t xml:space="preserve">, </w:t>
      </w:r>
      <w:r>
        <w:rPr>
          <w:rFonts w:eastAsia="仿宋_GB2312"/>
          <w:kern w:val="0"/>
          <w:sz w:val="32"/>
          <w:szCs w:val="32"/>
        </w:rPr>
        <w:t>201</w:t>
      </w:r>
      <w:r>
        <w:rPr>
          <w:rFonts w:eastAsia="仿宋_GB2312" w:hint="eastAsia"/>
          <w:kern w:val="0"/>
          <w:sz w:val="32"/>
          <w:szCs w:val="32"/>
        </w:rPr>
        <w:t>6</w:t>
      </w:r>
      <w:bookmarkStart w:id="15" w:name="maincontent"/>
      <w:bookmarkEnd w:id="15"/>
      <w:r>
        <w:rPr>
          <w:rFonts w:eastAsia="仿宋_GB2312" w:hint="eastAsia"/>
          <w:kern w:val="0"/>
          <w:sz w:val="32"/>
          <w:szCs w:val="32"/>
        </w:rPr>
        <w:t>.7</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47</w:t>
      </w:r>
      <w:r>
        <w:rPr>
          <w:rFonts w:eastAsia="仿宋_GB2312"/>
          <w:kern w:val="0"/>
          <w:sz w:val="32"/>
          <w:szCs w:val="32"/>
        </w:rPr>
        <w:t>]</w:t>
      </w:r>
      <w:r>
        <w:rPr>
          <w:rFonts w:eastAsia="仿宋_GB2312" w:hint="eastAsia"/>
          <w:kern w:val="0"/>
          <w:sz w:val="32"/>
          <w:szCs w:val="32"/>
        </w:rPr>
        <w:t xml:space="preserve"> MHRA, </w:t>
      </w:r>
      <w:r>
        <w:rPr>
          <w:rFonts w:eastAsia="仿宋_GB2312"/>
          <w:kern w:val="0"/>
          <w:sz w:val="32"/>
          <w:szCs w:val="32"/>
        </w:rPr>
        <w:t>Guidance</w:t>
      </w:r>
      <w:r>
        <w:rPr>
          <w:rFonts w:eastAsia="仿宋_GB2312" w:hint="eastAsia"/>
          <w:kern w:val="0"/>
          <w:sz w:val="32"/>
          <w:szCs w:val="32"/>
        </w:rPr>
        <w:t>: Medical Device Stand-alone Software including Apps, 2017.4.21</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48</w:t>
      </w:r>
      <w:r>
        <w:rPr>
          <w:rFonts w:eastAsia="仿宋_GB2312"/>
          <w:kern w:val="0"/>
          <w:sz w:val="32"/>
          <w:szCs w:val="32"/>
        </w:rPr>
        <w:t>] IMDRF/</w:t>
      </w:r>
      <w:proofErr w:type="spellStart"/>
      <w:r>
        <w:rPr>
          <w:rFonts w:eastAsia="仿宋_GB2312"/>
          <w:kern w:val="0"/>
          <w:sz w:val="32"/>
          <w:szCs w:val="32"/>
        </w:rPr>
        <w:t>SaMD</w:t>
      </w:r>
      <w:proofErr w:type="spellEnd"/>
      <w:r>
        <w:rPr>
          <w:rFonts w:eastAsia="仿宋_GB2312"/>
          <w:kern w:val="0"/>
          <w:sz w:val="32"/>
          <w:szCs w:val="32"/>
        </w:rPr>
        <w:t xml:space="preserve"> WG/N10</w:t>
      </w:r>
      <w:r>
        <w:rPr>
          <w:rFonts w:eastAsia="仿宋_GB2312" w:hint="eastAsia"/>
          <w:kern w:val="0"/>
          <w:sz w:val="32"/>
          <w:szCs w:val="32"/>
        </w:rPr>
        <w:t xml:space="preserve"> </w:t>
      </w:r>
      <w:r>
        <w:rPr>
          <w:rFonts w:eastAsia="仿宋_GB2312"/>
          <w:kern w:val="0"/>
          <w:sz w:val="32"/>
          <w:szCs w:val="32"/>
        </w:rPr>
        <w:t>FINAL</w:t>
      </w:r>
      <w:proofErr w:type="gramStart"/>
      <w:r>
        <w:rPr>
          <w:rFonts w:eastAsia="仿宋_GB2312"/>
          <w:kern w:val="0"/>
          <w:sz w:val="32"/>
          <w:szCs w:val="32"/>
        </w:rPr>
        <w:t>:2013</w:t>
      </w:r>
      <w:proofErr w:type="gramEnd"/>
      <w:r>
        <w:rPr>
          <w:rFonts w:eastAsia="仿宋_GB2312" w:hint="eastAsia"/>
          <w:kern w:val="0"/>
          <w:sz w:val="32"/>
          <w:szCs w:val="32"/>
        </w:rPr>
        <w:t xml:space="preserve">, </w:t>
      </w:r>
      <w:r>
        <w:rPr>
          <w:rFonts w:eastAsia="仿宋_GB2312"/>
          <w:kern w:val="0"/>
          <w:sz w:val="32"/>
          <w:szCs w:val="32"/>
        </w:rPr>
        <w:t>Software as a Medical Device</w:t>
      </w:r>
      <w:r>
        <w:rPr>
          <w:rFonts w:eastAsia="仿宋_GB2312" w:hint="eastAsia"/>
          <w:kern w:val="0"/>
          <w:sz w:val="32"/>
          <w:szCs w:val="32"/>
        </w:rPr>
        <w:t>(</w:t>
      </w:r>
      <w:proofErr w:type="spellStart"/>
      <w:r>
        <w:rPr>
          <w:rFonts w:eastAsia="仿宋_GB2312" w:hint="eastAsia"/>
          <w:kern w:val="0"/>
          <w:sz w:val="32"/>
          <w:szCs w:val="32"/>
        </w:rPr>
        <w:t>SaMD</w:t>
      </w:r>
      <w:proofErr w:type="spellEnd"/>
      <w:r>
        <w:rPr>
          <w:rFonts w:eastAsia="仿宋_GB2312" w:hint="eastAsia"/>
          <w:kern w:val="0"/>
          <w:sz w:val="32"/>
          <w:szCs w:val="32"/>
        </w:rPr>
        <w:t>)</w:t>
      </w:r>
      <w:r>
        <w:rPr>
          <w:rFonts w:eastAsia="仿宋_GB2312"/>
          <w:kern w:val="0"/>
          <w:sz w:val="32"/>
          <w:szCs w:val="32"/>
        </w:rPr>
        <w:t xml:space="preserve">: Key </w:t>
      </w:r>
      <w:r>
        <w:rPr>
          <w:rFonts w:eastAsia="仿宋_GB2312"/>
          <w:kern w:val="0"/>
          <w:sz w:val="32"/>
          <w:szCs w:val="32"/>
        </w:rPr>
        <w:t>Definitions</w:t>
      </w:r>
      <w:r>
        <w:rPr>
          <w:rFonts w:eastAsia="仿宋_GB2312" w:hint="eastAsia"/>
          <w:kern w:val="0"/>
          <w:sz w:val="32"/>
          <w:szCs w:val="32"/>
        </w:rPr>
        <w:t xml:space="preserve">, </w:t>
      </w:r>
      <w:r>
        <w:rPr>
          <w:rFonts w:eastAsia="仿宋_GB2312"/>
          <w:kern w:val="0"/>
          <w:sz w:val="32"/>
          <w:szCs w:val="32"/>
        </w:rPr>
        <w:t>2013</w:t>
      </w:r>
      <w:r>
        <w:rPr>
          <w:rFonts w:eastAsia="仿宋_GB2312" w:hint="eastAsia"/>
          <w:kern w:val="0"/>
          <w:sz w:val="32"/>
          <w:szCs w:val="32"/>
        </w:rPr>
        <w:t>.12.18</w:t>
      </w:r>
    </w:p>
    <w:p w:rsidR="003332B7" w:rsidRDefault="00C34255">
      <w:pPr>
        <w:widowControl/>
        <w:spacing w:line="600" w:lineRule="atLeast"/>
        <w:ind w:firstLineChars="200" w:firstLine="640"/>
        <w:rPr>
          <w:rFonts w:eastAsia="仿宋_GB2312"/>
          <w:kern w:val="0"/>
          <w:sz w:val="32"/>
          <w:szCs w:val="32"/>
        </w:rPr>
      </w:pPr>
      <w:bookmarkStart w:id="16" w:name="OLE_LINK9"/>
      <w:bookmarkStart w:id="17" w:name="OLE_LINK10"/>
      <w:r>
        <w:rPr>
          <w:rFonts w:eastAsia="仿宋_GB2312"/>
          <w:kern w:val="0"/>
          <w:sz w:val="32"/>
          <w:szCs w:val="32"/>
        </w:rPr>
        <w:t>[</w:t>
      </w:r>
      <w:r>
        <w:rPr>
          <w:rFonts w:eastAsia="仿宋_GB2312" w:hint="eastAsia"/>
          <w:kern w:val="0"/>
          <w:sz w:val="32"/>
          <w:szCs w:val="32"/>
        </w:rPr>
        <w:t>49</w:t>
      </w:r>
      <w:r>
        <w:rPr>
          <w:rFonts w:eastAsia="仿宋_GB2312"/>
          <w:kern w:val="0"/>
          <w:sz w:val="32"/>
          <w:szCs w:val="32"/>
        </w:rPr>
        <w:t>]</w:t>
      </w:r>
      <w:bookmarkEnd w:id="16"/>
      <w:r>
        <w:rPr>
          <w:rFonts w:eastAsia="仿宋_GB2312"/>
          <w:kern w:val="0"/>
          <w:sz w:val="32"/>
          <w:szCs w:val="32"/>
        </w:rPr>
        <w:t xml:space="preserve"> </w:t>
      </w:r>
      <w:bookmarkEnd w:id="17"/>
      <w:r>
        <w:rPr>
          <w:rFonts w:eastAsia="仿宋_GB2312"/>
          <w:kern w:val="0"/>
          <w:sz w:val="32"/>
          <w:szCs w:val="32"/>
        </w:rPr>
        <w:t>IMDRF/</w:t>
      </w:r>
      <w:proofErr w:type="spellStart"/>
      <w:r>
        <w:rPr>
          <w:rFonts w:eastAsia="仿宋_GB2312"/>
          <w:kern w:val="0"/>
          <w:sz w:val="32"/>
          <w:szCs w:val="32"/>
        </w:rPr>
        <w:t>SaMD</w:t>
      </w:r>
      <w:proofErr w:type="spellEnd"/>
      <w:r>
        <w:rPr>
          <w:rFonts w:eastAsia="仿宋_GB2312"/>
          <w:kern w:val="0"/>
          <w:sz w:val="32"/>
          <w:szCs w:val="32"/>
        </w:rPr>
        <w:t xml:space="preserve"> WG/N12</w:t>
      </w:r>
      <w:r>
        <w:rPr>
          <w:rFonts w:eastAsia="仿宋_GB2312" w:hint="eastAsia"/>
          <w:kern w:val="0"/>
          <w:sz w:val="32"/>
          <w:szCs w:val="32"/>
        </w:rPr>
        <w:t xml:space="preserve"> </w:t>
      </w:r>
      <w:r>
        <w:rPr>
          <w:rFonts w:eastAsia="仿宋_GB2312"/>
          <w:kern w:val="0"/>
          <w:sz w:val="32"/>
          <w:szCs w:val="32"/>
        </w:rPr>
        <w:t>FINAL</w:t>
      </w:r>
      <w:proofErr w:type="gramStart"/>
      <w:r>
        <w:rPr>
          <w:rFonts w:eastAsia="仿宋_GB2312"/>
          <w:kern w:val="0"/>
          <w:sz w:val="32"/>
          <w:szCs w:val="32"/>
        </w:rPr>
        <w:t>:2014</w:t>
      </w:r>
      <w:proofErr w:type="gramEnd"/>
      <w:r>
        <w:rPr>
          <w:rFonts w:eastAsia="仿宋_GB2312" w:hint="eastAsia"/>
          <w:kern w:val="0"/>
          <w:sz w:val="32"/>
          <w:szCs w:val="32"/>
        </w:rPr>
        <w:t xml:space="preserve">, </w:t>
      </w:r>
      <w:r>
        <w:rPr>
          <w:rFonts w:eastAsia="仿宋_GB2312"/>
          <w:kern w:val="0"/>
          <w:sz w:val="32"/>
          <w:szCs w:val="32"/>
        </w:rPr>
        <w:t>Software as a Medical Device</w:t>
      </w:r>
      <w:r>
        <w:rPr>
          <w:rFonts w:eastAsia="仿宋_GB2312" w:hint="eastAsia"/>
          <w:kern w:val="0"/>
          <w:sz w:val="32"/>
          <w:szCs w:val="32"/>
        </w:rPr>
        <w:t>(</w:t>
      </w:r>
      <w:proofErr w:type="spellStart"/>
      <w:r>
        <w:rPr>
          <w:rFonts w:eastAsia="仿宋_GB2312" w:hint="eastAsia"/>
          <w:kern w:val="0"/>
          <w:sz w:val="32"/>
          <w:szCs w:val="32"/>
        </w:rPr>
        <w:t>SaMD</w:t>
      </w:r>
      <w:proofErr w:type="spellEnd"/>
      <w:r>
        <w:rPr>
          <w:rFonts w:eastAsia="仿宋_GB2312" w:hint="eastAsia"/>
          <w:kern w:val="0"/>
          <w:sz w:val="32"/>
          <w:szCs w:val="32"/>
        </w:rPr>
        <w:t>)</w:t>
      </w:r>
      <w:r>
        <w:rPr>
          <w:rFonts w:eastAsia="仿宋_GB2312"/>
          <w:kern w:val="0"/>
          <w:sz w:val="32"/>
          <w:szCs w:val="32"/>
        </w:rPr>
        <w:t>: Possible Framework for Risk Categorization and Corresponding Considerations</w:t>
      </w:r>
      <w:r>
        <w:rPr>
          <w:rFonts w:eastAsia="仿宋_GB2312" w:hint="eastAsia"/>
          <w:kern w:val="0"/>
          <w:sz w:val="32"/>
          <w:szCs w:val="32"/>
        </w:rPr>
        <w:t xml:space="preserve">, </w:t>
      </w:r>
      <w:r>
        <w:rPr>
          <w:rFonts w:eastAsia="仿宋_GB2312" w:hint="eastAsia"/>
          <w:kern w:val="0"/>
          <w:sz w:val="32"/>
          <w:szCs w:val="32"/>
        </w:rPr>
        <w:t>2014</w:t>
      </w:r>
      <w:r>
        <w:rPr>
          <w:rFonts w:eastAsia="仿宋_GB2312" w:hint="eastAsia"/>
          <w:kern w:val="0"/>
          <w:sz w:val="32"/>
          <w:szCs w:val="32"/>
        </w:rPr>
        <w:t>.</w:t>
      </w:r>
      <w:r>
        <w:rPr>
          <w:rFonts w:eastAsia="仿宋_GB2312" w:hint="eastAsia"/>
          <w:kern w:val="0"/>
          <w:sz w:val="32"/>
          <w:szCs w:val="32"/>
        </w:rPr>
        <w:t>9</w:t>
      </w:r>
      <w:r>
        <w:rPr>
          <w:rFonts w:eastAsia="仿宋_GB2312" w:hint="eastAsia"/>
          <w:kern w:val="0"/>
          <w:sz w:val="32"/>
          <w:szCs w:val="32"/>
        </w:rPr>
        <w:t>.</w:t>
      </w:r>
      <w:r>
        <w:rPr>
          <w:rFonts w:eastAsia="仿宋_GB2312" w:hint="eastAsia"/>
          <w:kern w:val="0"/>
          <w:sz w:val="32"/>
          <w:szCs w:val="32"/>
        </w:rPr>
        <w:t>18</w:t>
      </w:r>
    </w:p>
    <w:p w:rsidR="003332B7" w:rsidRDefault="00C34255">
      <w:pPr>
        <w:widowControl/>
        <w:spacing w:line="600" w:lineRule="atLeas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50</w:t>
      </w:r>
      <w:r>
        <w:rPr>
          <w:rFonts w:eastAsia="仿宋_GB2312"/>
          <w:kern w:val="0"/>
          <w:sz w:val="32"/>
          <w:szCs w:val="32"/>
        </w:rPr>
        <w:t>] IMDRF/</w:t>
      </w:r>
      <w:proofErr w:type="spellStart"/>
      <w:r>
        <w:rPr>
          <w:rFonts w:eastAsia="仿宋_GB2312"/>
          <w:kern w:val="0"/>
          <w:sz w:val="32"/>
          <w:szCs w:val="32"/>
        </w:rPr>
        <w:t>SaMD</w:t>
      </w:r>
      <w:proofErr w:type="spellEnd"/>
      <w:r>
        <w:rPr>
          <w:rFonts w:eastAsia="仿宋_GB2312"/>
          <w:kern w:val="0"/>
          <w:sz w:val="32"/>
          <w:szCs w:val="32"/>
        </w:rPr>
        <w:t xml:space="preserve"> WG/</w:t>
      </w:r>
      <w:r>
        <w:rPr>
          <w:rFonts w:eastAsia="仿宋_GB2312" w:hint="eastAsia"/>
          <w:kern w:val="0"/>
          <w:sz w:val="32"/>
          <w:szCs w:val="32"/>
        </w:rPr>
        <w:t>N23 FINAL</w:t>
      </w:r>
      <w:proofErr w:type="gramStart"/>
      <w:r>
        <w:rPr>
          <w:rFonts w:eastAsia="仿宋_GB2312" w:hint="eastAsia"/>
          <w:kern w:val="0"/>
          <w:sz w:val="32"/>
          <w:szCs w:val="32"/>
        </w:rPr>
        <w:t>:2015</w:t>
      </w:r>
      <w:proofErr w:type="gramEnd"/>
      <w:r>
        <w:rPr>
          <w:rFonts w:eastAsia="仿宋_GB2312"/>
          <w:kern w:val="0"/>
          <w:sz w:val="32"/>
          <w:szCs w:val="32"/>
        </w:rPr>
        <w:t>, Software as a Medical Device</w:t>
      </w:r>
      <w:r>
        <w:rPr>
          <w:rFonts w:eastAsia="仿宋_GB2312" w:hint="eastAsia"/>
          <w:kern w:val="0"/>
          <w:sz w:val="32"/>
          <w:szCs w:val="32"/>
        </w:rPr>
        <w:t>(</w:t>
      </w:r>
      <w:proofErr w:type="spellStart"/>
      <w:r>
        <w:rPr>
          <w:rFonts w:eastAsia="仿宋_GB2312" w:hint="eastAsia"/>
          <w:kern w:val="0"/>
          <w:sz w:val="32"/>
          <w:szCs w:val="32"/>
        </w:rPr>
        <w:t>SaMD</w:t>
      </w:r>
      <w:proofErr w:type="spellEnd"/>
      <w:r>
        <w:rPr>
          <w:rFonts w:eastAsia="仿宋_GB2312" w:hint="eastAsia"/>
          <w:kern w:val="0"/>
          <w:sz w:val="32"/>
          <w:szCs w:val="32"/>
        </w:rPr>
        <w:t>)</w:t>
      </w:r>
      <w:r>
        <w:rPr>
          <w:rFonts w:eastAsia="仿宋_GB2312"/>
          <w:kern w:val="0"/>
          <w:sz w:val="32"/>
          <w:szCs w:val="32"/>
        </w:rPr>
        <w:t>:</w:t>
      </w:r>
      <w:r>
        <w:rPr>
          <w:rFonts w:eastAsia="仿宋_GB2312" w:hint="eastAsia"/>
          <w:kern w:val="0"/>
          <w:sz w:val="32"/>
          <w:szCs w:val="32"/>
        </w:rPr>
        <w:t xml:space="preserve"> </w:t>
      </w:r>
      <w:r>
        <w:rPr>
          <w:rFonts w:eastAsia="仿宋_GB2312" w:hint="eastAsia"/>
          <w:kern w:val="0"/>
          <w:sz w:val="32"/>
          <w:szCs w:val="32"/>
        </w:rPr>
        <w:t>App</w:t>
      </w:r>
      <w:r>
        <w:rPr>
          <w:rFonts w:eastAsia="仿宋_GB2312" w:hint="eastAsia"/>
          <w:kern w:val="0"/>
          <w:sz w:val="32"/>
          <w:szCs w:val="32"/>
        </w:rPr>
        <w:t>lication of Quality</w:t>
      </w:r>
      <w:r>
        <w:rPr>
          <w:rFonts w:eastAsia="仿宋_GB2312" w:hint="eastAsia"/>
          <w:kern w:val="0"/>
          <w:sz w:val="32"/>
          <w:szCs w:val="32"/>
        </w:rPr>
        <w:t xml:space="preserve"> </w:t>
      </w:r>
      <w:r>
        <w:rPr>
          <w:rFonts w:eastAsia="仿宋_GB2312" w:hint="eastAsia"/>
          <w:kern w:val="0"/>
          <w:sz w:val="32"/>
          <w:szCs w:val="32"/>
        </w:rPr>
        <w:t>Management System</w:t>
      </w:r>
      <w:r>
        <w:rPr>
          <w:rFonts w:eastAsia="仿宋_GB2312"/>
          <w:kern w:val="0"/>
          <w:sz w:val="32"/>
          <w:szCs w:val="32"/>
        </w:rPr>
        <w:t>, 201</w:t>
      </w:r>
      <w:r>
        <w:rPr>
          <w:rFonts w:eastAsia="仿宋_GB2312" w:hint="eastAsia"/>
          <w:kern w:val="0"/>
          <w:sz w:val="32"/>
          <w:szCs w:val="32"/>
        </w:rPr>
        <w:t>5.10.2</w:t>
      </w:r>
    </w:p>
    <w:sectPr w:rsidR="003332B7" w:rsidSect="003332B7">
      <w:footerReference w:type="default" r:id="rId8"/>
      <w:pgSz w:w="11906" w:h="16838"/>
      <w:pgMar w:top="1440" w:right="1474" w:bottom="1440" w:left="1588"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255" w:rsidRDefault="00C34255" w:rsidP="003332B7">
      <w:r>
        <w:separator/>
      </w:r>
    </w:p>
  </w:endnote>
  <w:endnote w:type="continuationSeparator" w:id="0">
    <w:p w:rsidR="00C34255" w:rsidRDefault="00C34255" w:rsidP="003332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Print"/>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onospace">
    <w:altName w:val="Segoe Print"/>
    <w:charset w:val="00"/>
    <w:family w:val="auto"/>
    <w:pitch w:val="default"/>
    <w:sig w:usb0="00000000" w:usb1="00000000" w:usb2="00000000" w:usb3="00000000" w:csb0="00000000" w:csb1="00000000"/>
  </w:font>
  <w:font w:name="ヒラギノ角ゴ Pro W3">
    <w:altName w:val="Times New Roman"/>
    <w:charset w:val="00"/>
    <w:family w:val="auto"/>
    <w:pitch w:val="default"/>
    <w:sig w:usb0="00000000" w:usb1="00000000" w:usb2="00000000" w:usb3="00000000" w:csb0="00040001"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宋体 ! important">
    <w:altName w:val="宋体"/>
    <w:charset w:val="00"/>
    <w:family w:val="auto"/>
    <w:pitch w:val="default"/>
    <w:sig w:usb0="00000000" w:usb1="00000000" w:usb2="00000000" w:usb3="00000000" w:csb0="00000000" w:csb1="00000000"/>
  </w:font>
  <w:font w:name="方正小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2B7" w:rsidRDefault="003332B7">
    <w:pPr>
      <w:pStyle w:val="a4"/>
      <w:wordWrap w:val="0"/>
      <w:jc w:val="right"/>
      <w:rPr>
        <w:sz w:val="28"/>
        <w:szCs w:val="28"/>
      </w:rPr>
    </w:pPr>
    <w:r w:rsidRPr="003332B7">
      <w:rPr>
        <w:sz w:val="28"/>
      </w:rPr>
      <w:pict>
        <v:shapetype id="_x0000_t202" coordsize="21600,21600" o:spt="202" path="m,l,21600r21600,l21600,xe">
          <v:stroke joinstyle="miter"/>
          <v:path gradientshapeok="t" o:connecttype="rect"/>
        </v:shapetype>
        <v:shape id="_x0000_s4099" type="#_x0000_t202" style="position:absolute;left:0;text-align:left;margin-left:104pt;margin-top:0;width:2in;height:2in;z-index:251661312;mso-wrap-style:none;mso-position-horizontal:right;mso-position-horizontal-relative:margin" filled="f" stroked="f">
          <v:textbox style="mso-fit-shape-to-text:t" inset="0,0,0,0">
            <w:txbxContent>
              <w:p w:rsidR="003332B7" w:rsidRDefault="00C34255">
                <w:pPr>
                  <w:pStyle w:val="a4"/>
                  <w:wordWrap w:val="0"/>
                  <w:jc w:val="right"/>
                </w:pPr>
                <w:r>
                  <w:rPr>
                    <w:rFonts w:hint="eastAsia"/>
                    <w:sz w:val="28"/>
                    <w:szCs w:val="28"/>
                  </w:rPr>
                  <w:t>—</w:t>
                </w:r>
                <w:r>
                  <w:rPr>
                    <w:rFonts w:hint="eastAsia"/>
                    <w:sz w:val="28"/>
                    <w:szCs w:val="28"/>
                  </w:rPr>
                  <w:t xml:space="preserve"> </w:t>
                </w:r>
                <w:r w:rsidR="003332B7">
                  <w:rPr>
                    <w:sz w:val="28"/>
                    <w:szCs w:val="28"/>
                  </w:rPr>
                  <w:fldChar w:fldCharType="begin"/>
                </w:r>
                <w:r>
                  <w:rPr>
                    <w:sz w:val="28"/>
                    <w:szCs w:val="28"/>
                  </w:rPr>
                  <w:instrText>PAGE   \* MERGEFORMAT</w:instrText>
                </w:r>
                <w:r w:rsidR="003332B7">
                  <w:rPr>
                    <w:sz w:val="28"/>
                    <w:szCs w:val="28"/>
                  </w:rPr>
                  <w:fldChar w:fldCharType="separate"/>
                </w:r>
                <w:r w:rsidR="0033395C" w:rsidRPr="0033395C">
                  <w:rPr>
                    <w:noProof/>
                    <w:sz w:val="28"/>
                    <w:szCs w:val="28"/>
                    <w:lang w:val="zh-CN"/>
                  </w:rPr>
                  <w:t>15</w:t>
                </w:r>
                <w:r w:rsidR="003332B7">
                  <w:rPr>
                    <w:sz w:val="28"/>
                    <w:szCs w:val="28"/>
                  </w:rPr>
                  <w:fldChar w:fldCharType="end"/>
                </w:r>
                <w:r>
                  <w:rPr>
                    <w:rFonts w:hint="eastAsia"/>
                    <w:sz w:val="28"/>
                    <w:szCs w:val="28"/>
                  </w:rPr>
                  <w:t xml:space="preserve"> </w:t>
                </w:r>
                <w:r>
                  <w:rPr>
                    <w:rFonts w:hint="eastAsia"/>
                    <w:sz w:val="28"/>
                    <w:szCs w:val="28"/>
                  </w:rPr>
                  <w:t>—</w:t>
                </w:r>
                <w:r>
                  <w:rPr>
                    <w:rFonts w:hint="eastAsia"/>
                    <w:sz w:val="28"/>
                    <w:szCs w:val="28"/>
                  </w:rPr>
                  <w:t xml:space="preserve">  </w:t>
                </w:r>
              </w:p>
            </w:txbxContent>
          </v:textbox>
          <w10:wrap anchorx="margin"/>
        </v:shape>
      </w:pict>
    </w:r>
  </w:p>
  <w:p w:rsidR="003332B7" w:rsidRDefault="003332B7">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255" w:rsidRDefault="00C34255" w:rsidP="003332B7">
      <w:r>
        <w:separator/>
      </w:r>
    </w:p>
  </w:footnote>
  <w:footnote w:type="continuationSeparator" w:id="0">
    <w:p w:rsidR="00C34255" w:rsidRDefault="00C34255" w:rsidP="003332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420"/>
  <w:drawingGridHorizontalSpacing w:val="105"/>
  <w:drawingGridVerticalSpacing w:val="156"/>
  <w:noPunctuationKerning/>
  <w:characterSpacingControl w:val="compressPunctuation"/>
  <w:hdrShapeDefaults>
    <o:shapedefaults v:ext="edit" spidmax="6146"/>
    <o:shapelayout v:ext="edit">
      <o:idmap v:ext="edit" data="3,4"/>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C40FA"/>
    <w:rsid w:val="0008795E"/>
    <w:rsid w:val="000A0AA2"/>
    <w:rsid w:val="00256149"/>
    <w:rsid w:val="00291615"/>
    <w:rsid w:val="00332179"/>
    <w:rsid w:val="003332B7"/>
    <w:rsid w:val="0033395C"/>
    <w:rsid w:val="00336785"/>
    <w:rsid w:val="003A7E4D"/>
    <w:rsid w:val="005F5C00"/>
    <w:rsid w:val="0073185F"/>
    <w:rsid w:val="00857230"/>
    <w:rsid w:val="00862202"/>
    <w:rsid w:val="008A17E1"/>
    <w:rsid w:val="00A2660F"/>
    <w:rsid w:val="00A729C5"/>
    <w:rsid w:val="00AA09DD"/>
    <w:rsid w:val="00C34255"/>
    <w:rsid w:val="00C5748E"/>
    <w:rsid w:val="00C95C77"/>
    <w:rsid w:val="00DC40FA"/>
    <w:rsid w:val="00E12C8D"/>
    <w:rsid w:val="00E9403D"/>
    <w:rsid w:val="011E5AFE"/>
    <w:rsid w:val="0146128D"/>
    <w:rsid w:val="017C6E20"/>
    <w:rsid w:val="01A55E7D"/>
    <w:rsid w:val="01A7273B"/>
    <w:rsid w:val="01A86888"/>
    <w:rsid w:val="01C77100"/>
    <w:rsid w:val="01DB7E5A"/>
    <w:rsid w:val="02172290"/>
    <w:rsid w:val="0243266D"/>
    <w:rsid w:val="024F5C3A"/>
    <w:rsid w:val="02643144"/>
    <w:rsid w:val="029446B2"/>
    <w:rsid w:val="02BD2756"/>
    <w:rsid w:val="02C949D7"/>
    <w:rsid w:val="02CA5357"/>
    <w:rsid w:val="02D06333"/>
    <w:rsid w:val="037105BA"/>
    <w:rsid w:val="03A17321"/>
    <w:rsid w:val="03B7357B"/>
    <w:rsid w:val="03EA2FC1"/>
    <w:rsid w:val="040E5DE3"/>
    <w:rsid w:val="04610AB6"/>
    <w:rsid w:val="04675003"/>
    <w:rsid w:val="04914D80"/>
    <w:rsid w:val="04AA041B"/>
    <w:rsid w:val="05AF0C61"/>
    <w:rsid w:val="05B64CAA"/>
    <w:rsid w:val="05B8359F"/>
    <w:rsid w:val="05B85F89"/>
    <w:rsid w:val="05E86199"/>
    <w:rsid w:val="05E935B6"/>
    <w:rsid w:val="05EE69D6"/>
    <w:rsid w:val="062B3CCA"/>
    <w:rsid w:val="06485E1C"/>
    <w:rsid w:val="06684B2C"/>
    <w:rsid w:val="068739FF"/>
    <w:rsid w:val="06C300DF"/>
    <w:rsid w:val="06ED2B37"/>
    <w:rsid w:val="06EF78EB"/>
    <w:rsid w:val="070A363C"/>
    <w:rsid w:val="07225585"/>
    <w:rsid w:val="074D213B"/>
    <w:rsid w:val="07C0707F"/>
    <w:rsid w:val="07D16BAD"/>
    <w:rsid w:val="0845713B"/>
    <w:rsid w:val="084E2047"/>
    <w:rsid w:val="085826CD"/>
    <w:rsid w:val="08964112"/>
    <w:rsid w:val="089F58A0"/>
    <w:rsid w:val="08D2387C"/>
    <w:rsid w:val="08DE4526"/>
    <w:rsid w:val="08E6279C"/>
    <w:rsid w:val="090943C7"/>
    <w:rsid w:val="092B4DC7"/>
    <w:rsid w:val="093739AB"/>
    <w:rsid w:val="093D548D"/>
    <w:rsid w:val="095C6D98"/>
    <w:rsid w:val="097514C4"/>
    <w:rsid w:val="098A1E20"/>
    <w:rsid w:val="098A6E54"/>
    <w:rsid w:val="09914209"/>
    <w:rsid w:val="099A59D8"/>
    <w:rsid w:val="09A2492D"/>
    <w:rsid w:val="09C2416A"/>
    <w:rsid w:val="09CF1FD3"/>
    <w:rsid w:val="09DD0FE4"/>
    <w:rsid w:val="0A2266C4"/>
    <w:rsid w:val="0A2B2E6B"/>
    <w:rsid w:val="0AD54C2A"/>
    <w:rsid w:val="0AEF3BE9"/>
    <w:rsid w:val="0AF7647F"/>
    <w:rsid w:val="0B033246"/>
    <w:rsid w:val="0B0350FF"/>
    <w:rsid w:val="0B353258"/>
    <w:rsid w:val="0BAF3F5D"/>
    <w:rsid w:val="0BCB43BF"/>
    <w:rsid w:val="0BFC05DC"/>
    <w:rsid w:val="0BFF4CE7"/>
    <w:rsid w:val="0C073B7F"/>
    <w:rsid w:val="0C13176B"/>
    <w:rsid w:val="0C173BE9"/>
    <w:rsid w:val="0C3561D4"/>
    <w:rsid w:val="0C6F28DE"/>
    <w:rsid w:val="0C8342EC"/>
    <w:rsid w:val="0C9769E0"/>
    <w:rsid w:val="0CB05EEF"/>
    <w:rsid w:val="0CB81AF8"/>
    <w:rsid w:val="0CC71990"/>
    <w:rsid w:val="0D086109"/>
    <w:rsid w:val="0D0C21FA"/>
    <w:rsid w:val="0D2A2E36"/>
    <w:rsid w:val="0D8D60AC"/>
    <w:rsid w:val="0E245771"/>
    <w:rsid w:val="0E2A5F23"/>
    <w:rsid w:val="0E3524EE"/>
    <w:rsid w:val="0E3F3E87"/>
    <w:rsid w:val="0E4F22CA"/>
    <w:rsid w:val="0E5828FD"/>
    <w:rsid w:val="0E6B4580"/>
    <w:rsid w:val="0EAB4F8A"/>
    <w:rsid w:val="0EF75CC9"/>
    <w:rsid w:val="0EFC5C51"/>
    <w:rsid w:val="0EFC7163"/>
    <w:rsid w:val="0F350F88"/>
    <w:rsid w:val="0F6524CD"/>
    <w:rsid w:val="0F6B1BCC"/>
    <w:rsid w:val="0F8166A4"/>
    <w:rsid w:val="0FB550AE"/>
    <w:rsid w:val="100314B7"/>
    <w:rsid w:val="10054F7C"/>
    <w:rsid w:val="10055BC9"/>
    <w:rsid w:val="100B66B5"/>
    <w:rsid w:val="10521E21"/>
    <w:rsid w:val="106B4C2A"/>
    <w:rsid w:val="10E53CAF"/>
    <w:rsid w:val="111B503B"/>
    <w:rsid w:val="11952674"/>
    <w:rsid w:val="119A613E"/>
    <w:rsid w:val="11BA4509"/>
    <w:rsid w:val="11BB45C4"/>
    <w:rsid w:val="11FA25BD"/>
    <w:rsid w:val="11FC5ABB"/>
    <w:rsid w:val="12080E0D"/>
    <w:rsid w:val="120856D8"/>
    <w:rsid w:val="1245274E"/>
    <w:rsid w:val="12A60E0D"/>
    <w:rsid w:val="12A74E56"/>
    <w:rsid w:val="12B17690"/>
    <w:rsid w:val="12F31062"/>
    <w:rsid w:val="12F87F76"/>
    <w:rsid w:val="131B0D96"/>
    <w:rsid w:val="136204BE"/>
    <w:rsid w:val="13783C8E"/>
    <w:rsid w:val="13B15832"/>
    <w:rsid w:val="13BF13C7"/>
    <w:rsid w:val="13C366EB"/>
    <w:rsid w:val="13CA0E66"/>
    <w:rsid w:val="13E23BB5"/>
    <w:rsid w:val="13F435F2"/>
    <w:rsid w:val="13F8784D"/>
    <w:rsid w:val="140611E9"/>
    <w:rsid w:val="14241B03"/>
    <w:rsid w:val="14D657B3"/>
    <w:rsid w:val="14E6589D"/>
    <w:rsid w:val="15015DBC"/>
    <w:rsid w:val="159D6688"/>
    <w:rsid w:val="15E6799A"/>
    <w:rsid w:val="165A50E0"/>
    <w:rsid w:val="167E3630"/>
    <w:rsid w:val="16833878"/>
    <w:rsid w:val="169A7727"/>
    <w:rsid w:val="16D33C59"/>
    <w:rsid w:val="172A03D5"/>
    <w:rsid w:val="1766671B"/>
    <w:rsid w:val="17886AF9"/>
    <w:rsid w:val="178F665C"/>
    <w:rsid w:val="17AE59C2"/>
    <w:rsid w:val="17B81F36"/>
    <w:rsid w:val="17E425FC"/>
    <w:rsid w:val="18642E39"/>
    <w:rsid w:val="18824C09"/>
    <w:rsid w:val="188357E2"/>
    <w:rsid w:val="188C132A"/>
    <w:rsid w:val="18B83EE6"/>
    <w:rsid w:val="18F91398"/>
    <w:rsid w:val="19130B08"/>
    <w:rsid w:val="19306DB0"/>
    <w:rsid w:val="19C2744D"/>
    <w:rsid w:val="1A091747"/>
    <w:rsid w:val="1A0D109F"/>
    <w:rsid w:val="1A7F304A"/>
    <w:rsid w:val="1A892CE4"/>
    <w:rsid w:val="1A9B63D8"/>
    <w:rsid w:val="1ACD467D"/>
    <w:rsid w:val="1AE83C01"/>
    <w:rsid w:val="1AEB4068"/>
    <w:rsid w:val="1AF01EF2"/>
    <w:rsid w:val="1B2C542B"/>
    <w:rsid w:val="1B425073"/>
    <w:rsid w:val="1BA55423"/>
    <w:rsid w:val="1C031BD3"/>
    <w:rsid w:val="1C062639"/>
    <w:rsid w:val="1C0B3AF8"/>
    <w:rsid w:val="1C162CE1"/>
    <w:rsid w:val="1C2C1C90"/>
    <w:rsid w:val="1C4D04DB"/>
    <w:rsid w:val="1C5C054D"/>
    <w:rsid w:val="1C663991"/>
    <w:rsid w:val="1C6D0642"/>
    <w:rsid w:val="1C773EF8"/>
    <w:rsid w:val="1C9B5942"/>
    <w:rsid w:val="1CD062A7"/>
    <w:rsid w:val="1D030C0A"/>
    <w:rsid w:val="1D394D69"/>
    <w:rsid w:val="1D4C372F"/>
    <w:rsid w:val="1D83405E"/>
    <w:rsid w:val="1D8B62B8"/>
    <w:rsid w:val="1DC258D6"/>
    <w:rsid w:val="1DD52855"/>
    <w:rsid w:val="1E0E66D9"/>
    <w:rsid w:val="1E2543ED"/>
    <w:rsid w:val="1E3C4BF1"/>
    <w:rsid w:val="1EA51B9F"/>
    <w:rsid w:val="1F147292"/>
    <w:rsid w:val="1F3A7498"/>
    <w:rsid w:val="1F751F1D"/>
    <w:rsid w:val="1FC7335B"/>
    <w:rsid w:val="1FD87EC5"/>
    <w:rsid w:val="1FDA036C"/>
    <w:rsid w:val="20174638"/>
    <w:rsid w:val="20286310"/>
    <w:rsid w:val="20820F9A"/>
    <w:rsid w:val="20B53510"/>
    <w:rsid w:val="20D15D30"/>
    <w:rsid w:val="210728D3"/>
    <w:rsid w:val="21427D45"/>
    <w:rsid w:val="21580FCB"/>
    <w:rsid w:val="215D7BBC"/>
    <w:rsid w:val="2162752B"/>
    <w:rsid w:val="21803F82"/>
    <w:rsid w:val="219600F3"/>
    <w:rsid w:val="21F53565"/>
    <w:rsid w:val="21F84118"/>
    <w:rsid w:val="21FB5E66"/>
    <w:rsid w:val="21FF37CC"/>
    <w:rsid w:val="22582905"/>
    <w:rsid w:val="225B524C"/>
    <w:rsid w:val="22755F2D"/>
    <w:rsid w:val="22A71485"/>
    <w:rsid w:val="22B63756"/>
    <w:rsid w:val="22F50352"/>
    <w:rsid w:val="233B20EF"/>
    <w:rsid w:val="234F5AAA"/>
    <w:rsid w:val="236343B9"/>
    <w:rsid w:val="23C67CC1"/>
    <w:rsid w:val="23C96B43"/>
    <w:rsid w:val="23DD1BC4"/>
    <w:rsid w:val="23EC58DE"/>
    <w:rsid w:val="240F4B3F"/>
    <w:rsid w:val="2416505A"/>
    <w:rsid w:val="24181D8A"/>
    <w:rsid w:val="244046CC"/>
    <w:rsid w:val="2468699A"/>
    <w:rsid w:val="247C047A"/>
    <w:rsid w:val="24897707"/>
    <w:rsid w:val="249C2237"/>
    <w:rsid w:val="24EA1E00"/>
    <w:rsid w:val="2526661E"/>
    <w:rsid w:val="253060AB"/>
    <w:rsid w:val="256D4D99"/>
    <w:rsid w:val="25B77197"/>
    <w:rsid w:val="25CA1ECE"/>
    <w:rsid w:val="26114A89"/>
    <w:rsid w:val="26245EFD"/>
    <w:rsid w:val="2626796D"/>
    <w:rsid w:val="26406361"/>
    <w:rsid w:val="264259BF"/>
    <w:rsid w:val="265F0D0F"/>
    <w:rsid w:val="26E81633"/>
    <w:rsid w:val="27283711"/>
    <w:rsid w:val="27534EBC"/>
    <w:rsid w:val="27613310"/>
    <w:rsid w:val="278827A9"/>
    <w:rsid w:val="27D077AB"/>
    <w:rsid w:val="27E06DAD"/>
    <w:rsid w:val="27EB20F8"/>
    <w:rsid w:val="28226554"/>
    <w:rsid w:val="28FD2231"/>
    <w:rsid w:val="29492EC3"/>
    <w:rsid w:val="295024CC"/>
    <w:rsid w:val="29625998"/>
    <w:rsid w:val="29DF6212"/>
    <w:rsid w:val="29E22704"/>
    <w:rsid w:val="29EC2973"/>
    <w:rsid w:val="29F31EF1"/>
    <w:rsid w:val="2A2056BB"/>
    <w:rsid w:val="2A5F4BDB"/>
    <w:rsid w:val="2A6C289B"/>
    <w:rsid w:val="2AA85B84"/>
    <w:rsid w:val="2AC13F60"/>
    <w:rsid w:val="2AE70E4B"/>
    <w:rsid w:val="2AED600D"/>
    <w:rsid w:val="2B0B2E40"/>
    <w:rsid w:val="2B1B66AA"/>
    <w:rsid w:val="2B263073"/>
    <w:rsid w:val="2B640C28"/>
    <w:rsid w:val="2B6900ED"/>
    <w:rsid w:val="2B81388A"/>
    <w:rsid w:val="2BB10235"/>
    <w:rsid w:val="2BB267EB"/>
    <w:rsid w:val="2BB448C3"/>
    <w:rsid w:val="2BC87FFE"/>
    <w:rsid w:val="2BE173B7"/>
    <w:rsid w:val="2C0908EF"/>
    <w:rsid w:val="2C2603A3"/>
    <w:rsid w:val="2C785806"/>
    <w:rsid w:val="2C8A220D"/>
    <w:rsid w:val="2C905C64"/>
    <w:rsid w:val="2D01199B"/>
    <w:rsid w:val="2D2377F3"/>
    <w:rsid w:val="2D4C314C"/>
    <w:rsid w:val="2D804B38"/>
    <w:rsid w:val="2E8470AA"/>
    <w:rsid w:val="2EB35603"/>
    <w:rsid w:val="2EC36CB7"/>
    <w:rsid w:val="2EE17BD4"/>
    <w:rsid w:val="2EE72F64"/>
    <w:rsid w:val="2EFE72DE"/>
    <w:rsid w:val="2F07585F"/>
    <w:rsid w:val="2F0F6332"/>
    <w:rsid w:val="2F14598E"/>
    <w:rsid w:val="2F6E3407"/>
    <w:rsid w:val="2FED6658"/>
    <w:rsid w:val="2FF67C48"/>
    <w:rsid w:val="300A64F3"/>
    <w:rsid w:val="302C55FE"/>
    <w:rsid w:val="30495DE8"/>
    <w:rsid w:val="30735AC8"/>
    <w:rsid w:val="308E5448"/>
    <w:rsid w:val="30A214FF"/>
    <w:rsid w:val="30A62907"/>
    <w:rsid w:val="30BA761B"/>
    <w:rsid w:val="30DB01CD"/>
    <w:rsid w:val="310C67FE"/>
    <w:rsid w:val="310E378A"/>
    <w:rsid w:val="312713C3"/>
    <w:rsid w:val="31373CF8"/>
    <w:rsid w:val="314A4589"/>
    <w:rsid w:val="314F7841"/>
    <w:rsid w:val="316F6F0A"/>
    <w:rsid w:val="31AA1AA5"/>
    <w:rsid w:val="320446F2"/>
    <w:rsid w:val="320C77C3"/>
    <w:rsid w:val="325F721A"/>
    <w:rsid w:val="33750C4D"/>
    <w:rsid w:val="337F0828"/>
    <w:rsid w:val="338E7F3B"/>
    <w:rsid w:val="33E77DF2"/>
    <w:rsid w:val="33F210AE"/>
    <w:rsid w:val="34596908"/>
    <w:rsid w:val="348B7B76"/>
    <w:rsid w:val="34CB4E1C"/>
    <w:rsid w:val="34CD1457"/>
    <w:rsid w:val="34E96B4B"/>
    <w:rsid w:val="34F15BC6"/>
    <w:rsid w:val="35154865"/>
    <w:rsid w:val="351D3E3B"/>
    <w:rsid w:val="3547074B"/>
    <w:rsid w:val="35490E0A"/>
    <w:rsid w:val="35713ECC"/>
    <w:rsid w:val="357851DE"/>
    <w:rsid w:val="35A40BEC"/>
    <w:rsid w:val="35DA7E2B"/>
    <w:rsid w:val="36A94F0E"/>
    <w:rsid w:val="36DE2AC0"/>
    <w:rsid w:val="36E97C75"/>
    <w:rsid w:val="36EE56C4"/>
    <w:rsid w:val="36FB3E02"/>
    <w:rsid w:val="37285302"/>
    <w:rsid w:val="379F2C02"/>
    <w:rsid w:val="37CA7727"/>
    <w:rsid w:val="37D87FDB"/>
    <w:rsid w:val="37E74D1D"/>
    <w:rsid w:val="3824688C"/>
    <w:rsid w:val="38910B12"/>
    <w:rsid w:val="38974961"/>
    <w:rsid w:val="38FF1963"/>
    <w:rsid w:val="39231EB4"/>
    <w:rsid w:val="396A68B7"/>
    <w:rsid w:val="39A94C26"/>
    <w:rsid w:val="39C9569C"/>
    <w:rsid w:val="3A154945"/>
    <w:rsid w:val="3A3845C6"/>
    <w:rsid w:val="3A3C23AA"/>
    <w:rsid w:val="3A7C1DFD"/>
    <w:rsid w:val="3A8F5E6E"/>
    <w:rsid w:val="3AE21A52"/>
    <w:rsid w:val="3AE729D8"/>
    <w:rsid w:val="3AE82BF8"/>
    <w:rsid w:val="3AF21B2E"/>
    <w:rsid w:val="3B3A155A"/>
    <w:rsid w:val="3B5A2355"/>
    <w:rsid w:val="3B5E5002"/>
    <w:rsid w:val="3BCA56FA"/>
    <w:rsid w:val="3C043FE4"/>
    <w:rsid w:val="3C0F5570"/>
    <w:rsid w:val="3C1F31DB"/>
    <w:rsid w:val="3C20025F"/>
    <w:rsid w:val="3C2B5C34"/>
    <w:rsid w:val="3C4A0D5B"/>
    <w:rsid w:val="3C941296"/>
    <w:rsid w:val="3C9C0B23"/>
    <w:rsid w:val="3CD246FC"/>
    <w:rsid w:val="3CF40806"/>
    <w:rsid w:val="3CF41E8B"/>
    <w:rsid w:val="3D0B314E"/>
    <w:rsid w:val="3D0E0414"/>
    <w:rsid w:val="3D2708D0"/>
    <w:rsid w:val="3D5E1A7E"/>
    <w:rsid w:val="3D752857"/>
    <w:rsid w:val="3DD025BC"/>
    <w:rsid w:val="3DF56B01"/>
    <w:rsid w:val="3E356047"/>
    <w:rsid w:val="3E510088"/>
    <w:rsid w:val="3E576BAD"/>
    <w:rsid w:val="3E624972"/>
    <w:rsid w:val="3E6260E7"/>
    <w:rsid w:val="3E661A44"/>
    <w:rsid w:val="3E803982"/>
    <w:rsid w:val="3E936FB6"/>
    <w:rsid w:val="3E9623C5"/>
    <w:rsid w:val="3EE067E8"/>
    <w:rsid w:val="3EE14ED0"/>
    <w:rsid w:val="3FBC4580"/>
    <w:rsid w:val="3FC250B9"/>
    <w:rsid w:val="3FEF2443"/>
    <w:rsid w:val="3FF96F38"/>
    <w:rsid w:val="40077C6B"/>
    <w:rsid w:val="40236671"/>
    <w:rsid w:val="40643DB5"/>
    <w:rsid w:val="407621FF"/>
    <w:rsid w:val="40BC0093"/>
    <w:rsid w:val="40E060ED"/>
    <w:rsid w:val="410C7E5B"/>
    <w:rsid w:val="41261CB8"/>
    <w:rsid w:val="413C00F7"/>
    <w:rsid w:val="414135C1"/>
    <w:rsid w:val="41742533"/>
    <w:rsid w:val="418427D7"/>
    <w:rsid w:val="41C67ABD"/>
    <w:rsid w:val="41D06F8D"/>
    <w:rsid w:val="41D27537"/>
    <w:rsid w:val="420D6C41"/>
    <w:rsid w:val="424B6F38"/>
    <w:rsid w:val="42530C26"/>
    <w:rsid w:val="425D5A0A"/>
    <w:rsid w:val="429226AA"/>
    <w:rsid w:val="42962DFA"/>
    <w:rsid w:val="42F96477"/>
    <w:rsid w:val="430D4320"/>
    <w:rsid w:val="4326037B"/>
    <w:rsid w:val="433D7BD6"/>
    <w:rsid w:val="43517878"/>
    <w:rsid w:val="43596CFB"/>
    <w:rsid w:val="435C7175"/>
    <w:rsid w:val="4398552E"/>
    <w:rsid w:val="43992E86"/>
    <w:rsid w:val="43AD0BFE"/>
    <w:rsid w:val="43F40E13"/>
    <w:rsid w:val="43FA37F0"/>
    <w:rsid w:val="44C61FED"/>
    <w:rsid w:val="44F94689"/>
    <w:rsid w:val="45016175"/>
    <w:rsid w:val="450B3618"/>
    <w:rsid w:val="45131AEE"/>
    <w:rsid w:val="454708F5"/>
    <w:rsid w:val="45957940"/>
    <w:rsid w:val="45EF39FE"/>
    <w:rsid w:val="46200768"/>
    <w:rsid w:val="463017F9"/>
    <w:rsid w:val="46713193"/>
    <w:rsid w:val="46754636"/>
    <w:rsid w:val="46CE07C0"/>
    <w:rsid w:val="474A052E"/>
    <w:rsid w:val="474F4CB4"/>
    <w:rsid w:val="4760071F"/>
    <w:rsid w:val="477567C4"/>
    <w:rsid w:val="477771BA"/>
    <w:rsid w:val="47A52510"/>
    <w:rsid w:val="47D352BA"/>
    <w:rsid w:val="47FE0F02"/>
    <w:rsid w:val="48302726"/>
    <w:rsid w:val="488D0028"/>
    <w:rsid w:val="489A64D8"/>
    <w:rsid w:val="48D8205F"/>
    <w:rsid w:val="49167717"/>
    <w:rsid w:val="495129C5"/>
    <w:rsid w:val="49692D48"/>
    <w:rsid w:val="49874770"/>
    <w:rsid w:val="49A03E8F"/>
    <w:rsid w:val="49AE555A"/>
    <w:rsid w:val="49B95BE0"/>
    <w:rsid w:val="49C81BE2"/>
    <w:rsid w:val="49D11341"/>
    <w:rsid w:val="49EF0F38"/>
    <w:rsid w:val="4A4E4556"/>
    <w:rsid w:val="4A7441A6"/>
    <w:rsid w:val="4A7A6120"/>
    <w:rsid w:val="4A836CC8"/>
    <w:rsid w:val="4A860CF1"/>
    <w:rsid w:val="4A93268B"/>
    <w:rsid w:val="4A9A55D2"/>
    <w:rsid w:val="4AD37F7F"/>
    <w:rsid w:val="4B19228F"/>
    <w:rsid w:val="4B435B3D"/>
    <w:rsid w:val="4B983CD4"/>
    <w:rsid w:val="4BA50C10"/>
    <w:rsid w:val="4BA56522"/>
    <w:rsid w:val="4BAF7612"/>
    <w:rsid w:val="4BDF0DD2"/>
    <w:rsid w:val="4C457891"/>
    <w:rsid w:val="4C4B3E68"/>
    <w:rsid w:val="4C574FAC"/>
    <w:rsid w:val="4C687097"/>
    <w:rsid w:val="4C7A77FF"/>
    <w:rsid w:val="4C7C4F09"/>
    <w:rsid w:val="4C7D24AC"/>
    <w:rsid w:val="4C8604E9"/>
    <w:rsid w:val="4C9177A8"/>
    <w:rsid w:val="4CDD786E"/>
    <w:rsid w:val="4CE340AC"/>
    <w:rsid w:val="4D4F57DC"/>
    <w:rsid w:val="4D525583"/>
    <w:rsid w:val="4D544740"/>
    <w:rsid w:val="4D56454F"/>
    <w:rsid w:val="4D713565"/>
    <w:rsid w:val="4D7E3F22"/>
    <w:rsid w:val="4DA652A6"/>
    <w:rsid w:val="4DCB22D2"/>
    <w:rsid w:val="4DEC03FE"/>
    <w:rsid w:val="4E1F7937"/>
    <w:rsid w:val="4E2B60AF"/>
    <w:rsid w:val="4E3778CB"/>
    <w:rsid w:val="4E4952D4"/>
    <w:rsid w:val="4E593489"/>
    <w:rsid w:val="4E9B5629"/>
    <w:rsid w:val="4EA35B71"/>
    <w:rsid w:val="4EA570D8"/>
    <w:rsid w:val="4EB86870"/>
    <w:rsid w:val="4ECF0398"/>
    <w:rsid w:val="4EEA1D9B"/>
    <w:rsid w:val="4F007C4C"/>
    <w:rsid w:val="4F08786B"/>
    <w:rsid w:val="4F0B7970"/>
    <w:rsid w:val="4F3362BD"/>
    <w:rsid w:val="4F451727"/>
    <w:rsid w:val="4F7E1E2C"/>
    <w:rsid w:val="4F9055FA"/>
    <w:rsid w:val="4FA639A0"/>
    <w:rsid w:val="4FCB7C11"/>
    <w:rsid w:val="4FDE6F79"/>
    <w:rsid w:val="50261A00"/>
    <w:rsid w:val="5037035E"/>
    <w:rsid w:val="503874C6"/>
    <w:rsid w:val="50556695"/>
    <w:rsid w:val="508E7575"/>
    <w:rsid w:val="50A70712"/>
    <w:rsid w:val="50C85CC1"/>
    <w:rsid w:val="50F621BC"/>
    <w:rsid w:val="510837B2"/>
    <w:rsid w:val="512E11C0"/>
    <w:rsid w:val="51596649"/>
    <w:rsid w:val="51675D29"/>
    <w:rsid w:val="51A96EBE"/>
    <w:rsid w:val="51CD6618"/>
    <w:rsid w:val="51D104E7"/>
    <w:rsid w:val="523100BA"/>
    <w:rsid w:val="523E7937"/>
    <w:rsid w:val="52880B64"/>
    <w:rsid w:val="52A95818"/>
    <w:rsid w:val="52B424C6"/>
    <w:rsid w:val="52CC3374"/>
    <w:rsid w:val="52E76A6E"/>
    <w:rsid w:val="52F10F98"/>
    <w:rsid w:val="52F606B1"/>
    <w:rsid w:val="531C1627"/>
    <w:rsid w:val="532C692B"/>
    <w:rsid w:val="53635E9F"/>
    <w:rsid w:val="53894B16"/>
    <w:rsid w:val="54100676"/>
    <w:rsid w:val="543B07B0"/>
    <w:rsid w:val="545C2AD5"/>
    <w:rsid w:val="548F3763"/>
    <w:rsid w:val="549959FF"/>
    <w:rsid w:val="54BB50E2"/>
    <w:rsid w:val="54CF6B0B"/>
    <w:rsid w:val="54FD0460"/>
    <w:rsid w:val="551B12DA"/>
    <w:rsid w:val="553A4B6A"/>
    <w:rsid w:val="555B38D1"/>
    <w:rsid w:val="55704442"/>
    <w:rsid w:val="557227EB"/>
    <w:rsid w:val="55C31122"/>
    <w:rsid w:val="55CA64CA"/>
    <w:rsid w:val="55FE2EB4"/>
    <w:rsid w:val="56130B06"/>
    <w:rsid w:val="56332A0C"/>
    <w:rsid w:val="56696EE0"/>
    <w:rsid w:val="56BB2AC3"/>
    <w:rsid w:val="56BC1FA0"/>
    <w:rsid w:val="56C34DDB"/>
    <w:rsid w:val="56E92D8E"/>
    <w:rsid w:val="56EC7F56"/>
    <w:rsid w:val="56FB5934"/>
    <w:rsid w:val="57097A9A"/>
    <w:rsid w:val="5732484C"/>
    <w:rsid w:val="5733438F"/>
    <w:rsid w:val="575625E3"/>
    <w:rsid w:val="57564153"/>
    <w:rsid w:val="575E02B6"/>
    <w:rsid w:val="57655CAA"/>
    <w:rsid w:val="576E38CE"/>
    <w:rsid w:val="57844879"/>
    <w:rsid w:val="58094C92"/>
    <w:rsid w:val="582B75E2"/>
    <w:rsid w:val="587D1711"/>
    <w:rsid w:val="58AD2D7C"/>
    <w:rsid w:val="58D447E6"/>
    <w:rsid w:val="58EA08B3"/>
    <w:rsid w:val="591067C6"/>
    <w:rsid w:val="5958488C"/>
    <w:rsid w:val="59666FAF"/>
    <w:rsid w:val="59835AF9"/>
    <w:rsid w:val="599A705D"/>
    <w:rsid w:val="59B361B6"/>
    <w:rsid w:val="59CA26A0"/>
    <w:rsid w:val="5A1C1F54"/>
    <w:rsid w:val="5A326E55"/>
    <w:rsid w:val="5A455E9C"/>
    <w:rsid w:val="5B012AFD"/>
    <w:rsid w:val="5B0F12B1"/>
    <w:rsid w:val="5B137C37"/>
    <w:rsid w:val="5B1669D2"/>
    <w:rsid w:val="5B1D2225"/>
    <w:rsid w:val="5B30001B"/>
    <w:rsid w:val="5BF45905"/>
    <w:rsid w:val="5BF90AA2"/>
    <w:rsid w:val="5C0D6F8A"/>
    <w:rsid w:val="5C7644E2"/>
    <w:rsid w:val="5C7E5EA5"/>
    <w:rsid w:val="5C7E60BE"/>
    <w:rsid w:val="5CB256F9"/>
    <w:rsid w:val="5CBE1419"/>
    <w:rsid w:val="5CC7033D"/>
    <w:rsid w:val="5CCC2A14"/>
    <w:rsid w:val="5CE664FB"/>
    <w:rsid w:val="5D4C35F1"/>
    <w:rsid w:val="5D556423"/>
    <w:rsid w:val="5D593739"/>
    <w:rsid w:val="5D615C34"/>
    <w:rsid w:val="5D75076B"/>
    <w:rsid w:val="5DB90F99"/>
    <w:rsid w:val="5DBB3EB8"/>
    <w:rsid w:val="5DF84E79"/>
    <w:rsid w:val="5E996FDC"/>
    <w:rsid w:val="5ECB6961"/>
    <w:rsid w:val="5EF46B4F"/>
    <w:rsid w:val="5EF657FB"/>
    <w:rsid w:val="5F0470D8"/>
    <w:rsid w:val="5F102461"/>
    <w:rsid w:val="5F82602A"/>
    <w:rsid w:val="5F9E3B89"/>
    <w:rsid w:val="5FB5784C"/>
    <w:rsid w:val="5FF33BE2"/>
    <w:rsid w:val="6003724A"/>
    <w:rsid w:val="600D00A2"/>
    <w:rsid w:val="604807BE"/>
    <w:rsid w:val="604E32C1"/>
    <w:rsid w:val="605973DE"/>
    <w:rsid w:val="606844C6"/>
    <w:rsid w:val="608B1F67"/>
    <w:rsid w:val="60A46BD7"/>
    <w:rsid w:val="60A60596"/>
    <w:rsid w:val="60A819DD"/>
    <w:rsid w:val="60C6300E"/>
    <w:rsid w:val="61627DB2"/>
    <w:rsid w:val="6199491A"/>
    <w:rsid w:val="61B44985"/>
    <w:rsid w:val="61E96BCC"/>
    <w:rsid w:val="621E63AF"/>
    <w:rsid w:val="628876CD"/>
    <w:rsid w:val="629C10A1"/>
    <w:rsid w:val="62A438C8"/>
    <w:rsid w:val="62AF511B"/>
    <w:rsid w:val="62C84651"/>
    <w:rsid w:val="62D5458F"/>
    <w:rsid w:val="63627797"/>
    <w:rsid w:val="636A5B55"/>
    <w:rsid w:val="63A201A9"/>
    <w:rsid w:val="63E72C6A"/>
    <w:rsid w:val="63F51592"/>
    <w:rsid w:val="644F0F88"/>
    <w:rsid w:val="64805D80"/>
    <w:rsid w:val="648A21DF"/>
    <w:rsid w:val="64C50F80"/>
    <w:rsid w:val="64D92E54"/>
    <w:rsid w:val="64DD57FA"/>
    <w:rsid w:val="64E343D7"/>
    <w:rsid w:val="6546615C"/>
    <w:rsid w:val="65485315"/>
    <w:rsid w:val="65841E74"/>
    <w:rsid w:val="659F0B9B"/>
    <w:rsid w:val="65AB2A38"/>
    <w:rsid w:val="65B678BF"/>
    <w:rsid w:val="65C3788B"/>
    <w:rsid w:val="65C44C30"/>
    <w:rsid w:val="65D901B3"/>
    <w:rsid w:val="66100D1A"/>
    <w:rsid w:val="661011AF"/>
    <w:rsid w:val="662414BB"/>
    <w:rsid w:val="66780922"/>
    <w:rsid w:val="66812139"/>
    <w:rsid w:val="669B0694"/>
    <w:rsid w:val="66A95271"/>
    <w:rsid w:val="66AC6AF8"/>
    <w:rsid w:val="66C47EE9"/>
    <w:rsid w:val="66C71FC9"/>
    <w:rsid w:val="66DF0FB9"/>
    <w:rsid w:val="670005E9"/>
    <w:rsid w:val="67674177"/>
    <w:rsid w:val="682B60F7"/>
    <w:rsid w:val="686F5577"/>
    <w:rsid w:val="689E313D"/>
    <w:rsid w:val="68B40AA4"/>
    <w:rsid w:val="69375DE9"/>
    <w:rsid w:val="69823DA1"/>
    <w:rsid w:val="69BD6256"/>
    <w:rsid w:val="69DB7268"/>
    <w:rsid w:val="69E2262F"/>
    <w:rsid w:val="69E72B5C"/>
    <w:rsid w:val="69F82DF3"/>
    <w:rsid w:val="6A0763DC"/>
    <w:rsid w:val="6A0918DD"/>
    <w:rsid w:val="6A296007"/>
    <w:rsid w:val="6A555018"/>
    <w:rsid w:val="6A6048EC"/>
    <w:rsid w:val="6A6E72F0"/>
    <w:rsid w:val="6A827846"/>
    <w:rsid w:val="6AA30D97"/>
    <w:rsid w:val="6AC307AF"/>
    <w:rsid w:val="6ADD4777"/>
    <w:rsid w:val="6AEC1DE6"/>
    <w:rsid w:val="6AF60309"/>
    <w:rsid w:val="6AF80844"/>
    <w:rsid w:val="6B2D4E84"/>
    <w:rsid w:val="6B5A1A48"/>
    <w:rsid w:val="6B82312D"/>
    <w:rsid w:val="6BA970F4"/>
    <w:rsid w:val="6BAB72D8"/>
    <w:rsid w:val="6BE75169"/>
    <w:rsid w:val="6C071AEA"/>
    <w:rsid w:val="6CCB1AD4"/>
    <w:rsid w:val="6CD94E88"/>
    <w:rsid w:val="6CFA7D87"/>
    <w:rsid w:val="6D074BAF"/>
    <w:rsid w:val="6D1822EA"/>
    <w:rsid w:val="6D527D61"/>
    <w:rsid w:val="6D5C26A4"/>
    <w:rsid w:val="6D790496"/>
    <w:rsid w:val="6DA107D8"/>
    <w:rsid w:val="6DAB3328"/>
    <w:rsid w:val="6DB35346"/>
    <w:rsid w:val="6DC343A6"/>
    <w:rsid w:val="6DCF2EBB"/>
    <w:rsid w:val="6DF83C5A"/>
    <w:rsid w:val="6E1143EB"/>
    <w:rsid w:val="6E503EE9"/>
    <w:rsid w:val="6E6E09CE"/>
    <w:rsid w:val="6E701B42"/>
    <w:rsid w:val="6E9B594D"/>
    <w:rsid w:val="6EB75361"/>
    <w:rsid w:val="6EBC35AB"/>
    <w:rsid w:val="6EEB1AA2"/>
    <w:rsid w:val="6F1A4A4A"/>
    <w:rsid w:val="6F2E7D87"/>
    <w:rsid w:val="6F427DDC"/>
    <w:rsid w:val="6F4F3B0B"/>
    <w:rsid w:val="6F5F086A"/>
    <w:rsid w:val="6F61336C"/>
    <w:rsid w:val="6FA42F8A"/>
    <w:rsid w:val="6FD81064"/>
    <w:rsid w:val="6FDB2C29"/>
    <w:rsid w:val="6FE66DAC"/>
    <w:rsid w:val="702D1AD8"/>
    <w:rsid w:val="70467E1D"/>
    <w:rsid w:val="704B678A"/>
    <w:rsid w:val="70530FDF"/>
    <w:rsid w:val="70670110"/>
    <w:rsid w:val="70860A54"/>
    <w:rsid w:val="708A3DD9"/>
    <w:rsid w:val="70BA298F"/>
    <w:rsid w:val="70DF7663"/>
    <w:rsid w:val="70E8317A"/>
    <w:rsid w:val="710B2F5D"/>
    <w:rsid w:val="71106AA6"/>
    <w:rsid w:val="711319F6"/>
    <w:rsid w:val="712069EF"/>
    <w:rsid w:val="7140455C"/>
    <w:rsid w:val="71D03F81"/>
    <w:rsid w:val="71DB64AF"/>
    <w:rsid w:val="720303DD"/>
    <w:rsid w:val="720566AE"/>
    <w:rsid w:val="72791FCC"/>
    <w:rsid w:val="72927D46"/>
    <w:rsid w:val="72D72E93"/>
    <w:rsid w:val="73062285"/>
    <w:rsid w:val="738A6B16"/>
    <w:rsid w:val="738F05DB"/>
    <w:rsid w:val="7393251E"/>
    <w:rsid w:val="73D64283"/>
    <w:rsid w:val="73D7747D"/>
    <w:rsid w:val="73E33F58"/>
    <w:rsid w:val="74236C01"/>
    <w:rsid w:val="742C0872"/>
    <w:rsid w:val="743E3524"/>
    <w:rsid w:val="745D4214"/>
    <w:rsid w:val="74784903"/>
    <w:rsid w:val="748269AE"/>
    <w:rsid w:val="748A024B"/>
    <w:rsid w:val="74A90317"/>
    <w:rsid w:val="74F4311C"/>
    <w:rsid w:val="74FA1483"/>
    <w:rsid w:val="75051B8F"/>
    <w:rsid w:val="750C0D61"/>
    <w:rsid w:val="75182A4D"/>
    <w:rsid w:val="75272854"/>
    <w:rsid w:val="7539652B"/>
    <w:rsid w:val="755A073B"/>
    <w:rsid w:val="75EE6C26"/>
    <w:rsid w:val="75FD1EB7"/>
    <w:rsid w:val="76391F29"/>
    <w:rsid w:val="763B3127"/>
    <w:rsid w:val="772C4F80"/>
    <w:rsid w:val="77A657BE"/>
    <w:rsid w:val="77E05D8C"/>
    <w:rsid w:val="780833C8"/>
    <w:rsid w:val="781D73A5"/>
    <w:rsid w:val="781E5C65"/>
    <w:rsid w:val="78605887"/>
    <w:rsid w:val="78733100"/>
    <w:rsid w:val="78B3265F"/>
    <w:rsid w:val="78E06375"/>
    <w:rsid w:val="78EF7E98"/>
    <w:rsid w:val="78FA0F2E"/>
    <w:rsid w:val="792A5954"/>
    <w:rsid w:val="79620CCD"/>
    <w:rsid w:val="798955A3"/>
    <w:rsid w:val="79BC740B"/>
    <w:rsid w:val="79EC0664"/>
    <w:rsid w:val="79EF0506"/>
    <w:rsid w:val="79F34BD6"/>
    <w:rsid w:val="79F86651"/>
    <w:rsid w:val="7A080C98"/>
    <w:rsid w:val="7A19072D"/>
    <w:rsid w:val="7A4B5581"/>
    <w:rsid w:val="7A811B0B"/>
    <w:rsid w:val="7AE13D47"/>
    <w:rsid w:val="7AE423BE"/>
    <w:rsid w:val="7B4B1AA3"/>
    <w:rsid w:val="7B635851"/>
    <w:rsid w:val="7B69775C"/>
    <w:rsid w:val="7BD77A01"/>
    <w:rsid w:val="7BDF1D15"/>
    <w:rsid w:val="7BE267D1"/>
    <w:rsid w:val="7C0261B5"/>
    <w:rsid w:val="7C3B1890"/>
    <w:rsid w:val="7C6710B7"/>
    <w:rsid w:val="7C6C0AEB"/>
    <w:rsid w:val="7C7759A5"/>
    <w:rsid w:val="7CEE16A4"/>
    <w:rsid w:val="7CF46A61"/>
    <w:rsid w:val="7CFD6E45"/>
    <w:rsid w:val="7D23311D"/>
    <w:rsid w:val="7D7D0895"/>
    <w:rsid w:val="7DAD13FE"/>
    <w:rsid w:val="7E1E68B0"/>
    <w:rsid w:val="7E2F357D"/>
    <w:rsid w:val="7E740045"/>
    <w:rsid w:val="7E9729BF"/>
    <w:rsid w:val="7E9905DF"/>
    <w:rsid w:val="7EC0432A"/>
    <w:rsid w:val="7EE56EFB"/>
    <w:rsid w:val="7F0C7A5B"/>
    <w:rsid w:val="7F6675A0"/>
    <w:rsid w:val="7F8F5515"/>
    <w:rsid w:val="7FAD3227"/>
    <w:rsid w:val="7FBF1A19"/>
    <w:rsid w:val="7FF577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qFormat="1"/>
    <w:lsdException w:name="footer" w:semiHidden="0" w:uiPriority="99" w:qFormat="1"/>
    <w:lsdException w:name="caption" w:uiPriority="35" w:qFormat="1"/>
    <w:lsdException w:name="line number"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semiHidden="0" w:qFormat="1"/>
    <w:lsdException w:name="HTML Cite" w:semiHidden="0" w:qFormat="1"/>
    <w:lsdException w:name="HTML Code" w:semiHidden="0" w:qFormat="1"/>
    <w:lsdException w:name="HTML Definition" w:semiHidden="0" w:qFormat="1"/>
    <w:lsdException w:name="HTML Keyboard" w:semiHidden="0" w:qFormat="1"/>
    <w:lsdException w:name="HTML Sample" w:semiHidden="0" w:qFormat="1"/>
    <w:lsdException w:name="HTML Variable" w:semiHidden="0" w:qFormat="1"/>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2B7"/>
    <w:pPr>
      <w:widowControl w:val="0"/>
      <w:jc w:val="both"/>
    </w:pPr>
    <w:rPr>
      <w:kern w:val="2"/>
      <w:sz w:val="21"/>
      <w:szCs w:val="24"/>
    </w:rPr>
  </w:style>
  <w:style w:type="paragraph" w:styleId="1">
    <w:name w:val="heading 1"/>
    <w:basedOn w:val="a"/>
    <w:next w:val="a"/>
    <w:uiPriority w:val="9"/>
    <w:qFormat/>
    <w:rsid w:val="003332B7"/>
    <w:pPr>
      <w:spacing w:before="330" w:after="165" w:line="17" w:lineRule="atLeast"/>
      <w:jc w:val="left"/>
      <w:outlineLvl w:val="0"/>
    </w:pPr>
    <w:rPr>
      <w:rFonts w:ascii="Helvetica Neue" w:eastAsia="Helvetica Neue" w:hAnsi="Helvetica Neue"/>
      <w:b/>
      <w:kern w:val="44"/>
      <w:sz w:val="45"/>
      <w:szCs w:val="45"/>
    </w:rPr>
  </w:style>
  <w:style w:type="paragraph" w:styleId="2">
    <w:name w:val="heading 2"/>
    <w:basedOn w:val="a"/>
    <w:next w:val="a"/>
    <w:uiPriority w:val="9"/>
    <w:unhideWhenUsed/>
    <w:qFormat/>
    <w:rsid w:val="003332B7"/>
    <w:pPr>
      <w:jc w:val="left"/>
      <w:outlineLvl w:val="1"/>
    </w:pPr>
    <w:rPr>
      <w:rFonts w:ascii="宋体" w:hAnsi="宋体" w:hint="eastAsia"/>
      <w:kern w:val="0"/>
      <w:sz w:val="18"/>
      <w:szCs w:val="18"/>
    </w:rPr>
  </w:style>
  <w:style w:type="paragraph" w:styleId="3">
    <w:name w:val="heading 3"/>
    <w:basedOn w:val="a"/>
    <w:next w:val="a"/>
    <w:uiPriority w:val="9"/>
    <w:unhideWhenUsed/>
    <w:qFormat/>
    <w:rsid w:val="003332B7"/>
    <w:pPr>
      <w:spacing w:before="330" w:after="165" w:line="17" w:lineRule="atLeast"/>
      <w:jc w:val="left"/>
      <w:outlineLvl w:val="2"/>
    </w:pPr>
    <w:rPr>
      <w:rFonts w:ascii="Helvetica Neue" w:eastAsia="Helvetica Neue" w:hAnsi="Helvetica Neue"/>
      <w:b/>
      <w:kern w:val="0"/>
      <w:sz w:val="31"/>
      <w:szCs w:val="3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3332B7"/>
    <w:rPr>
      <w:sz w:val="18"/>
      <w:szCs w:val="18"/>
    </w:rPr>
  </w:style>
  <w:style w:type="paragraph" w:styleId="a4">
    <w:name w:val="footer"/>
    <w:basedOn w:val="a"/>
    <w:link w:val="Char0"/>
    <w:uiPriority w:val="99"/>
    <w:unhideWhenUsed/>
    <w:qFormat/>
    <w:rsid w:val="003332B7"/>
    <w:pPr>
      <w:tabs>
        <w:tab w:val="center" w:pos="4153"/>
        <w:tab w:val="right" w:pos="8306"/>
      </w:tabs>
      <w:snapToGrid w:val="0"/>
      <w:jc w:val="left"/>
    </w:pPr>
    <w:rPr>
      <w:rFonts w:ascii="Calibri" w:hAnsi="Calibri" w:cs="黑体"/>
      <w:sz w:val="18"/>
      <w:szCs w:val="18"/>
    </w:rPr>
  </w:style>
  <w:style w:type="paragraph" w:styleId="a5">
    <w:name w:val="header"/>
    <w:basedOn w:val="a"/>
    <w:link w:val="Char1"/>
    <w:uiPriority w:val="99"/>
    <w:unhideWhenUsed/>
    <w:qFormat/>
    <w:rsid w:val="003332B7"/>
    <w:pPr>
      <w:pBdr>
        <w:bottom w:val="single" w:sz="6" w:space="1" w:color="auto"/>
      </w:pBdr>
      <w:tabs>
        <w:tab w:val="center" w:pos="4153"/>
        <w:tab w:val="right" w:pos="8306"/>
      </w:tabs>
      <w:snapToGrid w:val="0"/>
      <w:jc w:val="center"/>
    </w:pPr>
    <w:rPr>
      <w:rFonts w:ascii="Calibri" w:hAnsi="Calibri" w:cs="黑体"/>
      <w:sz w:val="18"/>
      <w:szCs w:val="18"/>
    </w:rPr>
  </w:style>
  <w:style w:type="paragraph" w:styleId="a6">
    <w:name w:val="Normal (Web)"/>
    <w:basedOn w:val="a"/>
    <w:unhideWhenUsed/>
    <w:qFormat/>
    <w:rsid w:val="003332B7"/>
    <w:pPr>
      <w:spacing w:beforeAutospacing="1" w:afterAutospacing="1"/>
      <w:jc w:val="left"/>
    </w:pPr>
    <w:rPr>
      <w:kern w:val="0"/>
      <w:sz w:val="24"/>
    </w:rPr>
  </w:style>
  <w:style w:type="character" w:styleId="a7">
    <w:name w:val="Strong"/>
    <w:basedOn w:val="a0"/>
    <w:uiPriority w:val="22"/>
    <w:qFormat/>
    <w:rsid w:val="003332B7"/>
    <w:rPr>
      <w:b/>
    </w:rPr>
  </w:style>
  <w:style w:type="character" w:styleId="a8">
    <w:name w:val="FollowedHyperlink"/>
    <w:basedOn w:val="a0"/>
    <w:unhideWhenUsed/>
    <w:qFormat/>
    <w:rsid w:val="003332B7"/>
    <w:rPr>
      <w:color w:val="338DE6"/>
      <w:u w:val="none"/>
    </w:rPr>
  </w:style>
  <w:style w:type="character" w:styleId="a9">
    <w:name w:val="Emphasis"/>
    <w:qFormat/>
    <w:rsid w:val="003332B7"/>
    <w:rPr>
      <w:color w:val="CC0000"/>
    </w:rPr>
  </w:style>
  <w:style w:type="character" w:styleId="aa">
    <w:name w:val="line number"/>
    <w:basedOn w:val="a0"/>
    <w:unhideWhenUsed/>
    <w:qFormat/>
    <w:rsid w:val="003332B7"/>
  </w:style>
  <w:style w:type="character" w:styleId="HTML">
    <w:name w:val="HTML Definition"/>
    <w:basedOn w:val="a0"/>
    <w:unhideWhenUsed/>
    <w:qFormat/>
    <w:rsid w:val="003332B7"/>
  </w:style>
  <w:style w:type="character" w:styleId="HTML0">
    <w:name w:val="HTML Variable"/>
    <w:basedOn w:val="a0"/>
    <w:unhideWhenUsed/>
    <w:qFormat/>
    <w:rsid w:val="003332B7"/>
  </w:style>
  <w:style w:type="character" w:styleId="ab">
    <w:name w:val="Hyperlink"/>
    <w:basedOn w:val="a0"/>
    <w:unhideWhenUsed/>
    <w:qFormat/>
    <w:rsid w:val="003332B7"/>
    <w:rPr>
      <w:color w:val="338DE6"/>
      <w:u w:val="none"/>
    </w:rPr>
  </w:style>
  <w:style w:type="character" w:styleId="HTML1">
    <w:name w:val="HTML Code"/>
    <w:basedOn w:val="a0"/>
    <w:unhideWhenUsed/>
    <w:qFormat/>
    <w:rsid w:val="003332B7"/>
    <w:rPr>
      <w:rFonts w:ascii="monospace" w:eastAsia="monospace" w:hAnsi="monospace" w:cs="monospace" w:hint="default"/>
      <w:sz w:val="21"/>
      <w:szCs w:val="21"/>
    </w:rPr>
  </w:style>
  <w:style w:type="character" w:styleId="HTML2">
    <w:name w:val="HTML Cite"/>
    <w:basedOn w:val="a0"/>
    <w:unhideWhenUsed/>
    <w:qFormat/>
    <w:rsid w:val="003332B7"/>
  </w:style>
  <w:style w:type="character" w:styleId="HTML3">
    <w:name w:val="HTML Keyboard"/>
    <w:basedOn w:val="a0"/>
    <w:unhideWhenUsed/>
    <w:qFormat/>
    <w:rsid w:val="003332B7"/>
    <w:rPr>
      <w:rFonts w:ascii="monospace" w:eastAsia="monospace" w:hAnsi="monospace" w:cs="monospace" w:hint="default"/>
      <w:sz w:val="21"/>
      <w:szCs w:val="21"/>
    </w:rPr>
  </w:style>
  <w:style w:type="character" w:styleId="HTML4">
    <w:name w:val="HTML Sample"/>
    <w:basedOn w:val="a0"/>
    <w:unhideWhenUsed/>
    <w:qFormat/>
    <w:rsid w:val="003332B7"/>
    <w:rPr>
      <w:rFonts w:ascii="monospace" w:eastAsia="monospace" w:hAnsi="monospace" w:cs="monospace"/>
      <w:sz w:val="21"/>
      <w:szCs w:val="21"/>
    </w:rPr>
  </w:style>
  <w:style w:type="paragraph" w:customStyle="1" w:styleId="ac">
    <w:name w:val="字母编号列项（一级）"/>
    <w:qFormat/>
    <w:rsid w:val="003332B7"/>
    <w:pPr>
      <w:ind w:leftChars="200" w:left="840" w:hangingChars="200" w:hanging="420"/>
      <w:jc w:val="both"/>
    </w:pPr>
    <w:rPr>
      <w:rFonts w:ascii="宋体" w:cs="宋体"/>
    </w:rPr>
  </w:style>
  <w:style w:type="paragraph" w:customStyle="1" w:styleId="Default">
    <w:name w:val="Default"/>
    <w:qFormat/>
    <w:rsid w:val="003332B7"/>
    <w:pPr>
      <w:widowControl w:val="0"/>
      <w:autoSpaceDE w:val="0"/>
      <w:autoSpaceDN w:val="0"/>
      <w:adjustRightInd w:val="0"/>
    </w:pPr>
    <w:rPr>
      <w:rFonts w:ascii="黑体" w:eastAsia="黑体" w:cs="黑体"/>
      <w:color w:val="000000"/>
      <w:sz w:val="24"/>
      <w:szCs w:val="24"/>
    </w:rPr>
  </w:style>
  <w:style w:type="paragraph" w:customStyle="1" w:styleId="Ad">
    <w:name w:val="正文 A"/>
    <w:qFormat/>
    <w:rsid w:val="003332B7"/>
    <w:pPr>
      <w:widowControl w:val="0"/>
      <w:jc w:val="both"/>
    </w:pPr>
    <w:rPr>
      <w:rFonts w:eastAsia="ヒラギノ角ゴ Pro W3"/>
      <w:color w:val="000000"/>
      <w:kern w:val="2"/>
      <w:sz w:val="21"/>
    </w:rPr>
  </w:style>
  <w:style w:type="paragraph" w:customStyle="1" w:styleId="10">
    <w:name w:val="列出段落1"/>
    <w:basedOn w:val="a"/>
    <w:qFormat/>
    <w:rsid w:val="003332B7"/>
    <w:pPr>
      <w:ind w:firstLineChars="200" w:firstLine="420"/>
    </w:pPr>
  </w:style>
  <w:style w:type="character" w:customStyle="1" w:styleId="Char1">
    <w:name w:val="页眉 Char"/>
    <w:basedOn w:val="a0"/>
    <w:link w:val="a5"/>
    <w:uiPriority w:val="99"/>
    <w:qFormat/>
    <w:rsid w:val="003332B7"/>
    <w:rPr>
      <w:sz w:val="18"/>
      <w:szCs w:val="18"/>
    </w:rPr>
  </w:style>
  <w:style w:type="character" w:customStyle="1" w:styleId="Char0">
    <w:name w:val="页脚 Char"/>
    <w:basedOn w:val="a0"/>
    <w:link w:val="a4"/>
    <w:uiPriority w:val="99"/>
    <w:qFormat/>
    <w:rsid w:val="003332B7"/>
    <w:rPr>
      <w:sz w:val="18"/>
      <w:szCs w:val="18"/>
    </w:rPr>
  </w:style>
  <w:style w:type="character" w:customStyle="1" w:styleId="Char">
    <w:name w:val="批注框文本 Char"/>
    <w:basedOn w:val="a0"/>
    <w:link w:val="a3"/>
    <w:uiPriority w:val="99"/>
    <w:semiHidden/>
    <w:qFormat/>
    <w:rsid w:val="003332B7"/>
    <w:rPr>
      <w:rFonts w:ascii="Times New Roman" w:eastAsia="宋体" w:hAnsi="Times New Roman" w:cs="Times New Roman"/>
      <w:sz w:val="18"/>
      <w:szCs w:val="18"/>
    </w:rPr>
  </w:style>
  <w:style w:type="character" w:customStyle="1" w:styleId="11">
    <w:name w:val="页码1"/>
    <w:basedOn w:val="a0"/>
    <w:qFormat/>
    <w:rsid w:val="003332B7"/>
    <w:rPr>
      <w:rFonts w:cs="Times New Roman"/>
    </w:rPr>
  </w:style>
  <w:style w:type="character" w:customStyle="1" w:styleId="fontstrikethrough">
    <w:name w:val="fontstrikethrough"/>
    <w:basedOn w:val="a0"/>
    <w:qFormat/>
    <w:rsid w:val="003332B7"/>
    <w:rPr>
      <w:strike/>
    </w:rPr>
  </w:style>
  <w:style w:type="character" w:customStyle="1" w:styleId="fontborder">
    <w:name w:val="fontborder"/>
    <w:basedOn w:val="a0"/>
    <w:qFormat/>
    <w:rsid w:val="003332B7"/>
    <w:rPr>
      <w:bdr w:val="single" w:sz="6" w:space="0" w:color="000000"/>
    </w:rPr>
  </w:style>
  <w:style w:type="character" w:customStyle="1" w:styleId="disabled">
    <w:name w:val="disabled"/>
    <w:basedOn w:val="a0"/>
    <w:qFormat/>
    <w:rsid w:val="003332B7"/>
    <w:rPr>
      <w:color w:val="CCCCCC"/>
      <w:bdr w:val="single" w:sz="6" w:space="0" w:color="F3F3F3"/>
    </w:rPr>
  </w:style>
  <w:style w:type="character" w:customStyle="1" w:styleId="current">
    <w:name w:val="current"/>
    <w:basedOn w:val="a0"/>
    <w:qFormat/>
    <w:rsid w:val="003332B7"/>
    <w:rPr>
      <w:b/>
      <w:color w:val="AAAAAA"/>
      <w:bdr w:val="single" w:sz="6" w:space="0" w:color="E0E0E0"/>
      <w:shd w:val="clear" w:color="auto" w:fill="F0F0F0"/>
    </w:rPr>
  </w:style>
  <w:style w:type="character" w:customStyle="1" w:styleId="at4-label">
    <w:name w:val="at4-label"/>
    <w:basedOn w:val="a0"/>
    <w:qFormat/>
    <w:rsid w:val="003332B7"/>
  </w:style>
  <w:style w:type="character" w:customStyle="1" w:styleId="wslink">
    <w:name w:val="ws_link"/>
    <w:basedOn w:val="a0"/>
    <w:qFormat/>
    <w:rsid w:val="003332B7"/>
    <w:rPr>
      <w:u w:val="single"/>
    </w:rPr>
  </w:style>
  <w:style w:type="character" w:customStyle="1" w:styleId="errtxt">
    <w:name w:val="errtxt"/>
    <w:basedOn w:val="a0"/>
    <w:qFormat/>
    <w:rsid w:val="003332B7"/>
    <w:rPr>
      <w:color w:val="FF0000"/>
      <w:sz w:val="15"/>
      <w:szCs w:val="15"/>
    </w:rPr>
  </w:style>
  <w:style w:type="character" w:customStyle="1" w:styleId="hover28">
    <w:name w:val="hover28"/>
    <w:basedOn w:val="a0"/>
    <w:qFormat/>
    <w:rsid w:val="003332B7"/>
    <w:rPr>
      <w:bdr w:val="single" w:sz="6" w:space="0" w:color="000000"/>
      <w:shd w:val="clear" w:color="auto" w:fill="DDDDDD"/>
    </w:rPr>
  </w:style>
  <w:style w:type="character" w:customStyle="1" w:styleId="hover29">
    <w:name w:val="hover29"/>
    <w:basedOn w:val="a0"/>
    <w:qFormat/>
    <w:rsid w:val="003332B7"/>
    <w:rPr>
      <w:color w:val="FFFFFF"/>
      <w:u w:val="none"/>
    </w:rPr>
  </w:style>
  <w:style w:type="character" w:customStyle="1" w:styleId="spacer6">
    <w:name w:val="spacer6"/>
    <w:basedOn w:val="a0"/>
    <w:qFormat/>
    <w:rsid w:val="003332B7"/>
  </w:style>
  <w:style w:type="character" w:customStyle="1" w:styleId="addthisfollowlabel">
    <w:name w:val="addthis_follow_label"/>
    <w:basedOn w:val="a0"/>
    <w:qFormat/>
    <w:rsid w:val="003332B7"/>
    <w:rPr>
      <w:vanish/>
    </w:rPr>
  </w:style>
  <w:style w:type="character" w:customStyle="1" w:styleId="at-icon-wrapper28">
    <w:name w:val="at-icon-wrapper28"/>
    <w:basedOn w:val="a0"/>
    <w:qFormat/>
    <w:rsid w:val="003332B7"/>
  </w:style>
  <w:style w:type="character" w:customStyle="1" w:styleId="at4-arrow">
    <w:name w:val="at4-arrow"/>
    <w:basedOn w:val="a0"/>
    <w:qFormat/>
    <w:rsid w:val="003332B7"/>
  </w:style>
  <w:style w:type="character" w:customStyle="1" w:styleId="at-icon-wrapper">
    <w:name w:val="at-icon-wrapper"/>
    <w:basedOn w:val="a0"/>
    <w:qFormat/>
    <w:rsid w:val="003332B7"/>
  </w:style>
  <w:style w:type="character" w:customStyle="1" w:styleId="hover26">
    <w:name w:val="hover26"/>
    <w:basedOn w:val="a0"/>
    <w:qFormat/>
    <w:rsid w:val="003332B7"/>
    <w:rPr>
      <w:bdr w:val="single" w:sz="6" w:space="0" w:color="000000"/>
      <w:shd w:val="clear" w:color="auto" w:fill="DDDDDD"/>
    </w:rPr>
  </w:style>
  <w:style w:type="character" w:customStyle="1" w:styleId="hover27">
    <w:name w:val="hover27"/>
    <w:basedOn w:val="a0"/>
    <w:qFormat/>
    <w:rsid w:val="003332B7"/>
    <w:rPr>
      <w:color w:val="FFFFFF"/>
      <w:u w:val="none"/>
    </w:rPr>
  </w:style>
  <w:style w:type="character" w:customStyle="1" w:styleId="at4-arrow4">
    <w:name w:val="at4-arrow4"/>
    <w:basedOn w:val="a0"/>
    <w:qFormat/>
    <w:rsid w:val="003332B7"/>
  </w:style>
  <w:style w:type="character" w:customStyle="1" w:styleId="hover25">
    <w:name w:val="hover25"/>
    <w:basedOn w:val="a0"/>
    <w:qFormat/>
    <w:rsid w:val="003332B7"/>
    <w:rPr>
      <w:color w:val="FFFFFF"/>
      <w:u w:val="none"/>
    </w:rPr>
  </w:style>
  <w:style w:type="character" w:customStyle="1" w:styleId="at-icon-wrapper35">
    <w:name w:val="at-icon-wrapper35"/>
    <w:basedOn w:val="a0"/>
    <w:qFormat/>
    <w:rsid w:val="003332B7"/>
  </w:style>
  <w:style w:type="character" w:customStyle="1" w:styleId="at-icon-wrapper34">
    <w:name w:val="at-icon-wrapper34"/>
    <w:basedOn w:val="a0"/>
    <w:qFormat/>
    <w:rsid w:val="003332B7"/>
  </w:style>
  <w:style w:type="character" w:customStyle="1" w:styleId="at-icon-wrapper26">
    <w:name w:val="at-icon-wrapper26"/>
    <w:basedOn w:val="a0"/>
    <w:qFormat/>
    <w:rsid w:val="003332B7"/>
  </w:style>
  <w:style w:type="paragraph" w:customStyle="1" w:styleId="20">
    <w:name w:val="列出段落2"/>
    <w:qFormat/>
    <w:rsid w:val="003332B7"/>
    <w:pPr>
      <w:suppressAutoHyphens/>
      <w:spacing w:before="240" w:after="200" w:line="276" w:lineRule="auto"/>
    </w:pPr>
    <w:rPr>
      <w:rFonts w:ascii="Trebuchet MS" w:eastAsia="Arial Unicode MS" w:hAnsi="Trebuchet MS" w:cs="Arial Unicode MS"/>
      <w:bCs/>
      <w:color w:val="000000"/>
      <w:kern w:val="1"/>
      <w:sz w:val="22"/>
      <w:szCs w:val="24"/>
      <w:u w:color="000000"/>
      <w:lang w:eastAsia="en-US"/>
    </w:rPr>
  </w:style>
  <w:style w:type="character" w:customStyle="1" w:styleId="hover7">
    <w:name w:val="hover7"/>
    <w:basedOn w:val="a0"/>
    <w:qFormat/>
    <w:rsid w:val="003332B7"/>
    <w:rPr>
      <w:color w:val="1449A7"/>
    </w:rPr>
  </w:style>
  <w:style w:type="character" w:customStyle="1" w:styleId="sr-only12">
    <w:name w:val="sr-only12"/>
    <w:basedOn w:val="a0"/>
    <w:qFormat/>
    <w:rsid w:val="003332B7"/>
    <w:rPr>
      <w:color w:val="000000"/>
    </w:rPr>
  </w:style>
  <w:style w:type="character" w:customStyle="1" w:styleId="icon-plus">
    <w:name w:val="icon-plus"/>
    <w:basedOn w:val="a0"/>
    <w:qFormat/>
    <w:rsid w:val="003332B7"/>
  </w:style>
  <w:style w:type="paragraph" w:customStyle="1" w:styleId="Style53">
    <w:name w:val="_Style 53"/>
    <w:basedOn w:val="a"/>
    <w:next w:val="a"/>
    <w:qFormat/>
    <w:rsid w:val="003332B7"/>
    <w:pPr>
      <w:pBdr>
        <w:bottom w:val="single" w:sz="6" w:space="1" w:color="auto"/>
      </w:pBdr>
      <w:jc w:val="center"/>
    </w:pPr>
    <w:rPr>
      <w:rFonts w:ascii="Arial"/>
      <w:vanish/>
      <w:sz w:val="16"/>
    </w:rPr>
  </w:style>
  <w:style w:type="paragraph" w:customStyle="1" w:styleId="Style54">
    <w:name w:val="_Style 54"/>
    <w:basedOn w:val="a"/>
    <w:next w:val="a"/>
    <w:qFormat/>
    <w:rsid w:val="003332B7"/>
    <w:pPr>
      <w:pBdr>
        <w:top w:val="single" w:sz="6" w:space="1" w:color="auto"/>
      </w:pBdr>
      <w:jc w:val="center"/>
    </w:pPr>
    <w:rPr>
      <w:rFonts w:ascii="Arial"/>
      <w:vanish/>
      <w:sz w:val="16"/>
    </w:rPr>
  </w:style>
  <w:style w:type="character" w:customStyle="1" w:styleId="tt-suggestions">
    <w:name w:val="tt-suggestions"/>
    <w:basedOn w:val="a0"/>
    <w:qFormat/>
    <w:rsid w:val="003332B7"/>
  </w:style>
  <w:style w:type="character" w:customStyle="1" w:styleId="prop-span">
    <w:name w:val="prop-span"/>
    <w:basedOn w:val="a0"/>
    <w:qFormat/>
    <w:rsid w:val="003332B7"/>
  </w:style>
  <w:style w:type="character" w:customStyle="1" w:styleId="comment-text-w">
    <w:name w:val="comment-text-w"/>
    <w:basedOn w:val="a0"/>
    <w:qFormat/>
    <w:rsid w:val="003332B7"/>
    <w:rPr>
      <w:color w:val="5788AA"/>
      <w:sz w:val="24"/>
      <w:szCs w:val="24"/>
    </w:rPr>
  </w:style>
  <w:style w:type="character" w:customStyle="1" w:styleId="bdsmore">
    <w:name w:val="bds_more"/>
    <w:basedOn w:val="a0"/>
    <w:qFormat/>
    <w:rsid w:val="003332B7"/>
    <w:rPr>
      <w:rFonts w:ascii="宋体" w:eastAsia="宋体" w:hAnsi="宋体" w:cs="宋体" w:hint="eastAsia"/>
    </w:rPr>
  </w:style>
  <w:style w:type="character" w:customStyle="1" w:styleId="bdsmore1">
    <w:name w:val="bds_more1"/>
    <w:basedOn w:val="a0"/>
    <w:qFormat/>
    <w:rsid w:val="003332B7"/>
  </w:style>
  <w:style w:type="character" w:customStyle="1" w:styleId="bdsmore2">
    <w:name w:val="bds_more2"/>
    <w:basedOn w:val="a0"/>
    <w:qFormat/>
    <w:rsid w:val="003332B7"/>
    <w:rPr>
      <w:rFonts w:ascii="宋体 ! important" w:eastAsia="宋体 ! important" w:hAnsi="宋体 ! important" w:cs="宋体 ! important"/>
      <w:color w:val="454545"/>
      <w:sz w:val="18"/>
      <w:szCs w:val="18"/>
    </w:rPr>
  </w:style>
  <w:style w:type="character" w:customStyle="1" w:styleId="bdsnopic">
    <w:name w:val="bds_nopic"/>
    <w:basedOn w:val="a0"/>
    <w:qFormat/>
    <w:rsid w:val="003332B7"/>
  </w:style>
  <w:style w:type="character" w:customStyle="1" w:styleId="bdsnopic1">
    <w:name w:val="bds_nopic1"/>
    <w:basedOn w:val="a0"/>
    <w:qFormat/>
    <w:rsid w:val="003332B7"/>
  </w:style>
  <w:style w:type="character" w:customStyle="1" w:styleId="bdsnopic2">
    <w:name w:val="bds_nopic2"/>
    <w:basedOn w:val="a0"/>
    <w:qFormat/>
    <w:rsid w:val="003332B7"/>
  </w:style>
  <w:style w:type="character" w:customStyle="1" w:styleId="bdsmore4">
    <w:name w:val="bds_more4"/>
    <w:basedOn w:val="a0"/>
    <w:qFormat/>
    <w:rsid w:val="003332B7"/>
  </w:style>
  <w:style w:type="character" w:customStyle="1" w:styleId="cur">
    <w:name w:val="cur"/>
    <w:basedOn w:val="a0"/>
    <w:qFormat/>
    <w:rsid w:val="003332B7"/>
    <w:rPr>
      <w:color w:val="FFFFFF"/>
      <w:shd w:val="clear" w:color="auto" w:fill="CE0609"/>
    </w:rPr>
  </w:style>
  <w:style w:type="character" w:customStyle="1" w:styleId="normal">
    <w:name w:val="normal"/>
    <w:basedOn w:val="a0"/>
    <w:qFormat/>
    <w:rsid w:val="003332B7"/>
    <w:rPr>
      <w:color w:val="FFFFFF"/>
      <w:shd w:val="clear" w:color="auto" w:fill="000000"/>
    </w:rPr>
  </w:style>
  <w:style w:type="character" w:customStyle="1" w:styleId="hover23">
    <w:name w:val="hover23"/>
    <w:basedOn w:val="a0"/>
    <w:qFormat/>
    <w:rsid w:val="003332B7"/>
    <w:rPr>
      <w:bdr w:val="single" w:sz="4" w:space="0" w:color="000000"/>
      <w:shd w:val="clear" w:color="auto" w:fill="DDDDDD"/>
    </w:rPr>
  </w:style>
  <w:style w:type="character" w:customStyle="1" w:styleId="cbuttontext">
    <w:name w:val="cbuttontext"/>
    <w:basedOn w:val="a0"/>
    <w:qFormat/>
    <w:rsid w:val="003332B7"/>
  </w:style>
  <w:style w:type="character" w:customStyle="1" w:styleId="at-icon-wrapper44">
    <w:name w:val="at-icon-wrapper44"/>
    <w:basedOn w:val="a0"/>
    <w:qFormat/>
    <w:rsid w:val="003332B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ebstore.iec.ch/publication/2466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1238</Words>
  <Characters>7057</Characters>
  <Application>Microsoft Office Word</Application>
  <DocSecurity>0</DocSecurity>
  <Lines>58</Lines>
  <Paragraphs>16</Paragraphs>
  <ScaleCrop>false</ScaleCrop>
  <Company>CFDA</Company>
  <LinksUpToDate>false</LinksUpToDate>
  <CharactersWithSpaces>8279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张京梅</dc:creator>
  <cp:lastModifiedBy>qhtf</cp:lastModifiedBy>
  <cp:revision>4</cp:revision>
  <dcterms:created xsi:type="dcterms:W3CDTF">2015-08-07T05:39:00Z</dcterms:created>
  <dcterms:modified xsi:type="dcterms:W3CDTF">2017-09-28T01:16:00Z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