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C0" w:rsidRPr="00400912" w:rsidRDefault="002B20C0" w:rsidP="002B20C0">
      <w:pPr>
        <w:overflowPunct w:val="0"/>
        <w:outlineLvl w:val="0"/>
        <w:rPr>
          <w:rFonts w:ascii="黑体" w:eastAsia="黑体" w:hAnsi="黑体"/>
          <w:color w:val="000000"/>
          <w:sz w:val="32"/>
          <w:szCs w:val="32"/>
        </w:rPr>
      </w:pPr>
      <w:r w:rsidRPr="00400912">
        <w:rPr>
          <w:rFonts w:ascii="黑体" w:eastAsia="黑体" w:hAnsi="黑体"/>
          <w:color w:val="000000"/>
          <w:sz w:val="32"/>
          <w:szCs w:val="32"/>
        </w:rPr>
        <w:t>附件</w:t>
      </w:r>
      <w:r w:rsidRPr="00400912">
        <w:rPr>
          <w:rFonts w:ascii="黑体" w:eastAsia="黑体" w:hAnsi="黑体" w:hint="eastAsia"/>
          <w:color w:val="000000"/>
          <w:sz w:val="32"/>
          <w:szCs w:val="32"/>
        </w:rPr>
        <w:t>3</w:t>
      </w:r>
    </w:p>
    <w:p w:rsidR="002B20C0" w:rsidRPr="002B2D4A" w:rsidRDefault="002B20C0" w:rsidP="002B20C0">
      <w:pPr>
        <w:overflowPunct w:val="0"/>
        <w:spacing w:line="600" w:lineRule="exact"/>
        <w:jc w:val="center"/>
        <w:rPr>
          <w:rFonts w:eastAsia="黑体"/>
          <w:color w:val="000000"/>
          <w:sz w:val="32"/>
          <w:szCs w:val="32"/>
        </w:rPr>
      </w:pPr>
    </w:p>
    <w:p w:rsidR="002B20C0" w:rsidRPr="006073BB" w:rsidRDefault="002B20C0" w:rsidP="002B20C0">
      <w:pPr>
        <w:overflowPunct w:val="0"/>
        <w:spacing w:line="600" w:lineRule="exact"/>
        <w:jc w:val="center"/>
        <w:rPr>
          <w:rFonts w:ascii="方正小标宋简体" w:eastAsia="方正小标宋简体" w:hAnsi="宋体" w:cs="方正小标宋简体"/>
          <w:color w:val="000000"/>
          <w:sz w:val="44"/>
          <w:szCs w:val="44"/>
        </w:rPr>
      </w:pPr>
      <w:r w:rsidRPr="006073BB">
        <w:rPr>
          <w:rFonts w:ascii="方正小标宋简体" w:eastAsia="方正小标宋简体" w:hAnsi="宋体" w:cs="方正小标宋简体" w:hint="eastAsia"/>
          <w:color w:val="000000"/>
          <w:sz w:val="44"/>
          <w:szCs w:val="44"/>
        </w:rPr>
        <w:t>中频电疗产品注册技术审查指导原则</w:t>
      </w:r>
    </w:p>
    <w:p w:rsidR="002B20C0" w:rsidRPr="0090344B" w:rsidRDefault="002B20C0" w:rsidP="002B20C0">
      <w:pPr>
        <w:overflowPunct w:val="0"/>
        <w:spacing w:line="600" w:lineRule="exact"/>
        <w:jc w:val="center"/>
        <w:rPr>
          <w:rFonts w:eastAsia="楷体_GB2312"/>
          <w:color w:val="000000"/>
          <w:sz w:val="32"/>
          <w:szCs w:val="32"/>
        </w:rPr>
      </w:pPr>
      <w:r w:rsidRPr="0090344B">
        <w:rPr>
          <w:rFonts w:eastAsia="楷体_GB2312"/>
          <w:color w:val="000000"/>
          <w:sz w:val="32"/>
          <w:szCs w:val="32"/>
        </w:rPr>
        <w:t>（</w:t>
      </w:r>
      <w:r w:rsidRPr="0090344B">
        <w:rPr>
          <w:rFonts w:eastAsia="楷体_GB2312"/>
          <w:color w:val="000000"/>
          <w:sz w:val="32"/>
          <w:szCs w:val="32"/>
        </w:rPr>
        <w:t>2017</w:t>
      </w:r>
      <w:r w:rsidRPr="0090344B">
        <w:rPr>
          <w:rFonts w:eastAsia="楷体_GB2312"/>
          <w:color w:val="000000"/>
          <w:sz w:val="32"/>
          <w:szCs w:val="32"/>
        </w:rPr>
        <w:t>年修订版）</w:t>
      </w:r>
    </w:p>
    <w:p w:rsidR="002B20C0" w:rsidRPr="00511576" w:rsidRDefault="002B20C0" w:rsidP="002B20C0">
      <w:pPr>
        <w:overflowPunct w:val="0"/>
        <w:spacing w:line="600" w:lineRule="exact"/>
        <w:jc w:val="center"/>
        <w:rPr>
          <w:rFonts w:ascii="仿宋" w:eastAsia="仿宋" w:hAnsi="仿宋"/>
          <w:color w:val="FF0000"/>
          <w:sz w:val="32"/>
          <w:szCs w:val="28"/>
        </w:rPr>
      </w:pPr>
    </w:p>
    <w:p w:rsidR="002B20C0" w:rsidRPr="00400912" w:rsidRDefault="002B20C0" w:rsidP="002B20C0">
      <w:pPr>
        <w:overflowPunct w:val="0"/>
        <w:spacing w:line="550" w:lineRule="exact"/>
        <w:ind w:firstLineChars="200" w:firstLine="640"/>
        <w:rPr>
          <w:rFonts w:eastAsia="仿宋_GB2312"/>
          <w:sz w:val="32"/>
          <w:szCs w:val="28"/>
        </w:rPr>
      </w:pPr>
      <w:r w:rsidRPr="00400912">
        <w:rPr>
          <w:rFonts w:eastAsia="仿宋_GB2312"/>
          <w:sz w:val="32"/>
          <w:szCs w:val="28"/>
        </w:rPr>
        <w:t>本指导原则旨在给出中频电疗产品注册系统的、具有指导意义的指南性文件，一方面有利于审评人员对中频电疗产品上市前的安全性和有效性进行准确、高效的评价，另一方面有利于指导企业规范产品的研究开发和生产管理。</w:t>
      </w:r>
    </w:p>
    <w:p w:rsidR="002B20C0" w:rsidRPr="00400912" w:rsidRDefault="002B20C0" w:rsidP="002B20C0">
      <w:pPr>
        <w:overflowPunct w:val="0"/>
        <w:spacing w:line="550" w:lineRule="exact"/>
        <w:ind w:firstLineChars="200" w:firstLine="640"/>
        <w:rPr>
          <w:rFonts w:eastAsia="仿宋_GB2312"/>
          <w:sz w:val="32"/>
          <w:szCs w:val="28"/>
        </w:rPr>
      </w:pPr>
      <w:r w:rsidRPr="00400912">
        <w:rPr>
          <w:rFonts w:eastAsia="仿宋_GB2312"/>
          <w:sz w:val="32"/>
          <w:szCs w:val="28"/>
        </w:rPr>
        <w:t>本指导原则系对中频电疗产品的一般要求，注册申请人应依据具体产品的特性对注册申报资料的内容进行充实和细化。注册申请人还应依据具体产品的特性确定其中的具体内容是否适用，若不适用，需详细阐述其理由及相应的科学依据。</w:t>
      </w:r>
    </w:p>
    <w:p w:rsidR="002B20C0" w:rsidRPr="00400912" w:rsidRDefault="002B20C0" w:rsidP="002B20C0">
      <w:pPr>
        <w:overflowPunct w:val="0"/>
        <w:spacing w:line="550" w:lineRule="exact"/>
        <w:ind w:firstLineChars="200" w:firstLine="640"/>
        <w:rPr>
          <w:rFonts w:eastAsia="仿宋_GB2312"/>
          <w:sz w:val="32"/>
          <w:szCs w:val="28"/>
        </w:rPr>
      </w:pPr>
      <w:r w:rsidRPr="00400912">
        <w:rPr>
          <w:rFonts w:eastAsia="仿宋_GB2312"/>
          <w:sz w:val="32"/>
          <w:szCs w:val="28"/>
        </w:rPr>
        <w:t>本指导原则是对注册申请人和审评人员的指导性文件，但不包括注册审批所涉及的行政事项，亦不作为法规强制执行，如果有能够满足相关法规要求的其他方法，也可以采用，但是需要提供详细的研究资料和验证资料，还应遵循相关法规。</w:t>
      </w:r>
    </w:p>
    <w:p w:rsidR="002B20C0" w:rsidRPr="00400912" w:rsidRDefault="002B20C0" w:rsidP="002B20C0">
      <w:pPr>
        <w:overflowPunct w:val="0"/>
        <w:spacing w:line="550" w:lineRule="exact"/>
        <w:ind w:firstLineChars="200" w:firstLine="640"/>
        <w:rPr>
          <w:rFonts w:eastAsia="仿宋_GB2312"/>
          <w:sz w:val="32"/>
          <w:szCs w:val="28"/>
        </w:rPr>
      </w:pPr>
      <w:r w:rsidRPr="00400912">
        <w:rPr>
          <w:rFonts w:eastAsia="仿宋_GB2312"/>
          <w:sz w:val="32"/>
          <w:szCs w:val="28"/>
        </w:rPr>
        <w:t>本指导原则是在现行法规和标准体系，以及当前认知水平下制定的，随着法规和标准的不断完善，以及科学技术的不断发展，本指导原则相关内容也将进行适时的调整。</w:t>
      </w:r>
    </w:p>
    <w:p w:rsidR="002B20C0" w:rsidRPr="00400912" w:rsidRDefault="002B20C0" w:rsidP="002B20C0">
      <w:pPr>
        <w:overflowPunct w:val="0"/>
        <w:spacing w:line="550" w:lineRule="exact"/>
        <w:ind w:firstLineChars="200" w:firstLine="640"/>
        <w:rPr>
          <w:rFonts w:ascii="黑体" w:eastAsia="黑体" w:hAnsi="黑体"/>
          <w:sz w:val="32"/>
          <w:szCs w:val="28"/>
        </w:rPr>
      </w:pPr>
      <w:r w:rsidRPr="00400912">
        <w:rPr>
          <w:rFonts w:ascii="黑体" w:eastAsia="黑体" w:hAnsi="黑体"/>
          <w:sz w:val="32"/>
          <w:szCs w:val="28"/>
        </w:rPr>
        <w:t>一、</w:t>
      </w:r>
      <w:r w:rsidRPr="00400912">
        <w:rPr>
          <w:rFonts w:ascii="黑体" w:eastAsia="黑体" w:hAnsi="黑体"/>
          <w:bCs/>
          <w:sz w:val="32"/>
          <w:szCs w:val="28"/>
        </w:rPr>
        <w:t>适用范围</w:t>
      </w:r>
    </w:p>
    <w:p w:rsidR="002B20C0" w:rsidRPr="001707F2" w:rsidRDefault="002B20C0" w:rsidP="002B20C0">
      <w:pPr>
        <w:overflowPunct w:val="0"/>
        <w:spacing w:line="550" w:lineRule="exact"/>
        <w:ind w:firstLineChars="200" w:firstLine="640"/>
        <w:rPr>
          <w:rFonts w:eastAsia="仿宋_GB2312"/>
          <w:sz w:val="32"/>
          <w:szCs w:val="28"/>
        </w:rPr>
      </w:pPr>
      <w:r w:rsidRPr="00012843">
        <w:rPr>
          <w:rFonts w:eastAsia="仿宋_GB2312"/>
          <w:sz w:val="32"/>
          <w:szCs w:val="28"/>
        </w:rPr>
        <w:t>本指导原则</w:t>
      </w:r>
      <w:r w:rsidRPr="00400912">
        <w:rPr>
          <w:rFonts w:eastAsia="仿宋_GB2312"/>
          <w:sz w:val="32"/>
          <w:szCs w:val="28"/>
        </w:rPr>
        <w:t>适用于</w:t>
      </w:r>
      <w:r w:rsidRPr="00012843">
        <w:rPr>
          <w:rFonts w:eastAsia="仿宋_GB2312"/>
          <w:sz w:val="32"/>
          <w:szCs w:val="28"/>
        </w:rPr>
        <w:t>第二类电疗仪器中的中频电疗仪</w:t>
      </w:r>
      <w:r w:rsidRPr="00400912">
        <w:rPr>
          <w:rFonts w:eastAsia="仿宋_GB2312"/>
          <w:sz w:val="32"/>
          <w:szCs w:val="28"/>
        </w:rPr>
        <w:t>，</w:t>
      </w:r>
      <w:r w:rsidRPr="00012843">
        <w:rPr>
          <w:rFonts w:eastAsia="仿宋_GB2312"/>
          <w:sz w:val="32"/>
          <w:szCs w:val="28"/>
        </w:rPr>
        <w:t>是指用频率</w:t>
      </w:r>
      <w:r w:rsidRPr="007114E0">
        <w:rPr>
          <w:rFonts w:eastAsia="仿宋_GB2312"/>
          <w:sz w:val="32"/>
          <w:szCs w:val="28"/>
        </w:rPr>
        <w:t>1kHz</w:t>
      </w:r>
      <w:r w:rsidRPr="00400912">
        <w:rPr>
          <w:rFonts w:ascii="仿宋_GB2312" w:eastAsia="仿宋_GB2312" w:hint="eastAsia"/>
          <w:sz w:val="32"/>
          <w:szCs w:val="28"/>
        </w:rPr>
        <w:t>—</w:t>
      </w:r>
      <w:r w:rsidRPr="00012843">
        <w:rPr>
          <w:rFonts w:eastAsia="仿宋_GB2312"/>
          <w:sz w:val="32"/>
          <w:szCs w:val="28"/>
        </w:rPr>
        <w:t>100kHz</w:t>
      </w:r>
      <w:r w:rsidRPr="007114E0">
        <w:rPr>
          <w:rFonts w:eastAsia="仿宋_GB2312"/>
          <w:sz w:val="32"/>
          <w:szCs w:val="28"/>
        </w:rPr>
        <w:t>的电流治疗疾病的仪器。</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lastRenderedPageBreak/>
        <w:t>在组合式设备中，附加部分应符合相应的专用标准，本指导</w:t>
      </w:r>
      <w:r w:rsidRPr="006A16BF">
        <w:rPr>
          <w:rFonts w:eastAsia="仿宋_GB2312"/>
          <w:sz w:val="32"/>
          <w:szCs w:val="28"/>
        </w:rPr>
        <w:t>原则未涉及相关要求。</w:t>
      </w:r>
    </w:p>
    <w:p w:rsidR="002B20C0" w:rsidRPr="00400912" w:rsidRDefault="002B20C0" w:rsidP="002B20C0">
      <w:pPr>
        <w:overflowPunct w:val="0"/>
        <w:spacing w:line="550" w:lineRule="exact"/>
        <w:ind w:firstLineChars="200" w:firstLine="640"/>
        <w:rPr>
          <w:rFonts w:ascii="黑体" w:eastAsia="黑体" w:hAnsi="黑体"/>
          <w:sz w:val="32"/>
          <w:szCs w:val="28"/>
        </w:rPr>
      </w:pPr>
      <w:r w:rsidRPr="00400912">
        <w:rPr>
          <w:rFonts w:ascii="黑体" w:eastAsia="黑体" w:hAnsi="黑体"/>
          <w:sz w:val="32"/>
          <w:szCs w:val="28"/>
        </w:rPr>
        <w:t>二、技术审查要点</w:t>
      </w:r>
    </w:p>
    <w:p w:rsidR="002B20C0" w:rsidRPr="00400912" w:rsidRDefault="002B20C0" w:rsidP="002B20C0">
      <w:pPr>
        <w:overflowPunct w:val="0"/>
        <w:spacing w:line="560" w:lineRule="exact"/>
        <w:ind w:firstLineChars="200" w:firstLine="640"/>
        <w:rPr>
          <w:rFonts w:eastAsia="楷体_GB2312"/>
          <w:sz w:val="32"/>
          <w:szCs w:val="28"/>
        </w:rPr>
      </w:pPr>
      <w:r w:rsidRPr="00400912">
        <w:rPr>
          <w:rFonts w:eastAsia="楷体_GB2312"/>
          <w:sz w:val="32"/>
          <w:szCs w:val="28"/>
        </w:rPr>
        <w:t>（一）产品名称要求</w:t>
      </w:r>
    </w:p>
    <w:p w:rsidR="002B20C0" w:rsidRPr="0040091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中频电疗产品的产品名称应以产品的输出信号特征为依据，如</w:t>
      </w:r>
      <w:r w:rsidRPr="007114E0">
        <w:rPr>
          <w:rFonts w:eastAsia="仿宋_GB2312"/>
          <w:sz w:val="32"/>
          <w:szCs w:val="28"/>
        </w:rPr>
        <w:t>“</w:t>
      </w:r>
      <w:r w:rsidRPr="001707F2">
        <w:rPr>
          <w:rFonts w:eastAsia="仿宋_GB2312"/>
          <w:sz w:val="32"/>
          <w:szCs w:val="28"/>
        </w:rPr>
        <w:t>中频电疗仪</w:t>
      </w:r>
      <w:r w:rsidRPr="007A5484">
        <w:rPr>
          <w:rFonts w:eastAsia="仿宋_GB2312"/>
          <w:sz w:val="32"/>
          <w:szCs w:val="28"/>
        </w:rPr>
        <w:t>”</w:t>
      </w:r>
      <w:r w:rsidRPr="006A16BF">
        <w:rPr>
          <w:rFonts w:eastAsia="仿宋_GB2312"/>
          <w:sz w:val="32"/>
          <w:szCs w:val="28"/>
        </w:rPr>
        <w:t>等，不宜采用预期病症，如</w:t>
      </w:r>
      <w:r w:rsidRPr="00400912">
        <w:rPr>
          <w:rFonts w:eastAsia="仿宋_GB2312"/>
          <w:sz w:val="32"/>
          <w:szCs w:val="28"/>
        </w:rPr>
        <w:t>“</w:t>
      </w:r>
      <w:r w:rsidRPr="00400912">
        <w:rPr>
          <w:rFonts w:eastAsia="仿宋_GB2312"/>
          <w:sz w:val="32"/>
          <w:szCs w:val="28"/>
        </w:rPr>
        <w:t>肝病治疗仪</w:t>
      </w:r>
      <w:r w:rsidRPr="00400912">
        <w:rPr>
          <w:rFonts w:eastAsia="仿宋_GB2312"/>
          <w:sz w:val="32"/>
          <w:szCs w:val="28"/>
        </w:rPr>
        <w:t>”</w:t>
      </w:r>
      <w:r w:rsidRPr="00400912">
        <w:rPr>
          <w:rFonts w:eastAsia="仿宋_GB2312"/>
          <w:sz w:val="32"/>
          <w:szCs w:val="28"/>
        </w:rPr>
        <w:t>等。</w:t>
      </w:r>
    </w:p>
    <w:p w:rsidR="002B20C0" w:rsidRPr="00400912" w:rsidRDefault="002B20C0" w:rsidP="002B20C0">
      <w:pPr>
        <w:overflowPunct w:val="0"/>
        <w:spacing w:line="560" w:lineRule="exact"/>
        <w:ind w:firstLineChars="200" w:firstLine="640"/>
        <w:rPr>
          <w:rFonts w:eastAsia="楷体_GB2312"/>
          <w:sz w:val="32"/>
          <w:szCs w:val="28"/>
        </w:rPr>
      </w:pPr>
      <w:r w:rsidRPr="00400912">
        <w:rPr>
          <w:rFonts w:eastAsia="楷体_GB2312"/>
          <w:sz w:val="32"/>
          <w:szCs w:val="28"/>
        </w:rPr>
        <w:t>（二）产品的结构和组成</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主机（信号产生及控制装置）、电极、导线及其他附属部件。</w:t>
      </w:r>
    </w:p>
    <w:p w:rsidR="002B20C0" w:rsidRPr="00400912" w:rsidRDefault="002B20C0" w:rsidP="002B20C0">
      <w:pPr>
        <w:overflowPunct w:val="0"/>
        <w:spacing w:line="560" w:lineRule="exact"/>
        <w:ind w:firstLineChars="200" w:firstLine="640"/>
        <w:rPr>
          <w:rFonts w:eastAsia="楷体_GB2312"/>
          <w:sz w:val="32"/>
          <w:szCs w:val="28"/>
        </w:rPr>
      </w:pPr>
      <w:r w:rsidRPr="00400912">
        <w:rPr>
          <w:rFonts w:eastAsia="楷体_GB2312"/>
          <w:sz w:val="32"/>
          <w:szCs w:val="28"/>
        </w:rPr>
        <w:t>（三）产品工作原理</w:t>
      </w:r>
      <w:r w:rsidRPr="00400912">
        <w:rPr>
          <w:rFonts w:eastAsia="楷体_GB2312"/>
          <w:sz w:val="32"/>
          <w:szCs w:val="28"/>
        </w:rPr>
        <w:t>/</w:t>
      </w:r>
      <w:r w:rsidRPr="00400912">
        <w:rPr>
          <w:rFonts w:eastAsia="楷体_GB2312"/>
          <w:sz w:val="32"/>
          <w:szCs w:val="28"/>
        </w:rPr>
        <w:t>作用机理</w:t>
      </w:r>
    </w:p>
    <w:p w:rsidR="002B20C0" w:rsidRPr="007114E0"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产品工作原理：</w:t>
      </w:r>
    </w:p>
    <w:p w:rsidR="002B20C0" w:rsidRPr="0040091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1</w:t>
      </w:r>
      <w:r w:rsidRPr="00400912">
        <w:rPr>
          <w:rFonts w:eastAsia="仿宋_GB2312"/>
          <w:sz w:val="32"/>
          <w:szCs w:val="28"/>
        </w:rPr>
        <w:t>.</w:t>
      </w:r>
      <w:r w:rsidRPr="00012843">
        <w:rPr>
          <w:rFonts w:eastAsia="仿宋_GB2312"/>
          <w:sz w:val="32"/>
          <w:szCs w:val="28"/>
        </w:rPr>
        <w:t>中频电疗法是应用频率为</w:t>
      </w:r>
      <w:r w:rsidRPr="007114E0">
        <w:rPr>
          <w:rFonts w:eastAsia="仿宋_GB2312"/>
          <w:sz w:val="32"/>
          <w:szCs w:val="28"/>
        </w:rPr>
        <w:t>1kHz</w:t>
      </w:r>
      <w:r w:rsidRPr="001707F2">
        <w:rPr>
          <w:rFonts w:ascii="仿宋_GB2312" w:eastAsia="仿宋_GB2312" w:hint="eastAsia"/>
          <w:sz w:val="32"/>
          <w:szCs w:val="28"/>
        </w:rPr>
        <w:t>—</w:t>
      </w:r>
      <w:r w:rsidRPr="007A5484">
        <w:rPr>
          <w:rFonts w:eastAsia="仿宋_GB2312"/>
          <w:sz w:val="32"/>
          <w:szCs w:val="28"/>
        </w:rPr>
        <w:t>100kHz</w:t>
      </w:r>
      <w:r w:rsidRPr="006A16BF">
        <w:rPr>
          <w:rFonts w:eastAsia="仿宋_GB2312"/>
          <w:sz w:val="32"/>
          <w:szCs w:val="28"/>
        </w:rPr>
        <w:t>的交流电（包括正弦波、脉冲波和调制波等）进行治疗、康复的方法。</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2.</w:t>
      </w:r>
      <w:r w:rsidRPr="00012843">
        <w:rPr>
          <w:rFonts w:eastAsia="仿宋_GB2312"/>
          <w:sz w:val="32"/>
          <w:szCs w:val="28"/>
        </w:rPr>
        <w:t>目前在物理治疗行业，主要将中频电疗法划分为等幅中频电疗法、低频调制中频电疗法和干扰电疗法。</w:t>
      </w:r>
    </w:p>
    <w:p w:rsidR="002B20C0" w:rsidRPr="001707F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3</w:t>
      </w:r>
      <w:r w:rsidRPr="00400912">
        <w:rPr>
          <w:rFonts w:eastAsia="仿宋_GB2312"/>
          <w:sz w:val="32"/>
          <w:szCs w:val="28"/>
        </w:rPr>
        <w:t>.</w:t>
      </w:r>
      <w:r w:rsidRPr="00012843">
        <w:rPr>
          <w:rFonts w:eastAsia="仿宋_GB2312"/>
          <w:sz w:val="32"/>
          <w:szCs w:val="28"/>
        </w:rPr>
        <w:t>调制中频及干扰</w:t>
      </w:r>
      <w:r w:rsidRPr="007114E0">
        <w:rPr>
          <w:rFonts w:eastAsia="仿宋_GB2312"/>
          <w:sz w:val="32"/>
          <w:szCs w:val="28"/>
        </w:rPr>
        <w:t>电流的目的是利用载波为中频电流其穿透力强的特点将调制波或干扰波送入人体，以实现深度治疗的作用。</w:t>
      </w:r>
    </w:p>
    <w:p w:rsidR="002B20C0" w:rsidRPr="006A16BF"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产品作用机理：</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1.</w:t>
      </w:r>
      <w:r w:rsidRPr="00012843">
        <w:rPr>
          <w:rFonts w:eastAsia="仿宋_GB2312"/>
          <w:sz w:val="32"/>
          <w:szCs w:val="28"/>
        </w:rPr>
        <w:t>镇痛作用：（</w:t>
      </w:r>
      <w:r w:rsidRPr="007114E0">
        <w:rPr>
          <w:rFonts w:eastAsia="仿宋_GB2312"/>
          <w:sz w:val="32"/>
          <w:szCs w:val="28"/>
        </w:rPr>
        <w:t>1</w:t>
      </w:r>
      <w:r w:rsidRPr="001707F2">
        <w:rPr>
          <w:rFonts w:eastAsia="仿宋_GB2312"/>
          <w:sz w:val="32"/>
          <w:szCs w:val="28"/>
        </w:rPr>
        <w:t>）中频电流可兴奋周围神经的粗纤维，通过</w:t>
      </w:r>
      <w:r w:rsidRPr="007A5484">
        <w:rPr>
          <w:rFonts w:eastAsia="仿宋_GB2312"/>
          <w:sz w:val="32"/>
          <w:szCs w:val="28"/>
        </w:rPr>
        <w:t>“</w:t>
      </w:r>
      <w:r w:rsidRPr="006A16BF">
        <w:rPr>
          <w:rFonts w:eastAsia="仿宋_GB2312"/>
          <w:sz w:val="32"/>
          <w:szCs w:val="28"/>
        </w:rPr>
        <w:t>闸门</w:t>
      </w:r>
      <w:r w:rsidRPr="00400912">
        <w:rPr>
          <w:rFonts w:eastAsia="仿宋_GB2312"/>
          <w:sz w:val="32"/>
          <w:szCs w:val="28"/>
        </w:rPr>
        <w:t>”</w:t>
      </w:r>
      <w:r w:rsidRPr="00400912">
        <w:rPr>
          <w:rFonts w:eastAsia="仿宋_GB2312"/>
          <w:sz w:val="32"/>
          <w:szCs w:val="28"/>
        </w:rPr>
        <w:t>调控，抑制传导疼痛感觉的细纤维，达到镇痛效果。（</w:t>
      </w:r>
      <w:r w:rsidRPr="00400912">
        <w:rPr>
          <w:rFonts w:eastAsia="仿宋_GB2312"/>
          <w:sz w:val="32"/>
          <w:szCs w:val="28"/>
        </w:rPr>
        <w:t>2</w:t>
      </w:r>
      <w:r w:rsidRPr="00400912">
        <w:rPr>
          <w:rFonts w:eastAsia="仿宋_GB2312"/>
          <w:sz w:val="32"/>
          <w:szCs w:val="28"/>
        </w:rPr>
        <w:t>）中频电流可以扩张血管，促进血液循环，加速局部致痛物质的排出。（</w:t>
      </w:r>
      <w:r w:rsidRPr="00400912">
        <w:rPr>
          <w:rFonts w:eastAsia="仿宋_GB2312"/>
          <w:sz w:val="32"/>
          <w:szCs w:val="28"/>
        </w:rPr>
        <w:t>3</w:t>
      </w:r>
      <w:r w:rsidRPr="00400912">
        <w:rPr>
          <w:rFonts w:eastAsia="仿宋_GB2312"/>
          <w:sz w:val="32"/>
          <w:szCs w:val="28"/>
        </w:rPr>
        <w:t>）中频电刺激还可使人体释放具有镇痛作用的吗啡样物质。</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2.</w:t>
      </w:r>
      <w:r w:rsidRPr="00012843">
        <w:rPr>
          <w:rFonts w:eastAsia="仿宋_GB2312"/>
          <w:sz w:val="32"/>
          <w:szCs w:val="28"/>
        </w:rPr>
        <w:t>改善局部血液循环，促进炎症消散：（</w:t>
      </w:r>
      <w:r w:rsidRPr="007114E0">
        <w:rPr>
          <w:rFonts w:eastAsia="仿宋_GB2312"/>
          <w:sz w:val="32"/>
          <w:szCs w:val="28"/>
        </w:rPr>
        <w:t>1</w:t>
      </w:r>
      <w:r w:rsidRPr="001707F2">
        <w:rPr>
          <w:rFonts w:eastAsia="仿宋_GB2312"/>
          <w:sz w:val="32"/>
          <w:szCs w:val="28"/>
        </w:rPr>
        <w:t>）轴突反射及三联</w:t>
      </w:r>
      <w:r w:rsidRPr="001707F2">
        <w:rPr>
          <w:rFonts w:eastAsia="仿宋_GB2312"/>
          <w:sz w:val="32"/>
          <w:szCs w:val="28"/>
        </w:rPr>
        <w:lastRenderedPageBreak/>
        <w:t>反应：轴突反射是指当电流作用于人体表面时，电刺激经传入神经至脊髓后角，兴奋传出神经，使皮肤的小动脉扩张，</w:t>
      </w:r>
      <w:r w:rsidRPr="007A5484">
        <w:rPr>
          <w:rFonts w:eastAsia="仿宋_GB2312"/>
          <w:sz w:val="32"/>
          <w:szCs w:val="28"/>
        </w:rPr>
        <w:t>导致电极下的皮肤表面呈现弥漫性发红。皮肤受刺激时还会释放出组织胺、</w:t>
      </w:r>
      <w:r w:rsidRPr="006A16BF">
        <w:rPr>
          <w:rFonts w:eastAsia="仿宋_GB2312"/>
          <w:sz w:val="32"/>
          <w:szCs w:val="28"/>
        </w:rPr>
        <w:t>P</w:t>
      </w:r>
      <w:r w:rsidRPr="00400912">
        <w:rPr>
          <w:rFonts w:eastAsia="仿宋_GB2312"/>
          <w:sz w:val="32"/>
          <w:szCs w:val="28"/>
        </w:rPr>
        <w:t>物质、乙酰胆碱等，它们能使动脉扩张。另外电刺激本身可直接引起动脉扩张。以上三个方面称为三联反应。（</w:t>
      </w:r>
      <w:r w:rsidRPr="00400912">
        <w:rPr>
          <w:rFonts w:eastAsia="仿宋_GB2312"/>
          <w:sz w:val="32"/>
          <w:szCs w:val="28"/>
        </w:rPr>
        <w:t>2</w:t>
      </w:r>
      <w:r w:rsidRPr="00400912">
        <w:rPr>
          <w:rFonts w:eastAsia="仿宋_GB2312"/>
          <w:sz w:val="32"/>
          <w:szCs w:val="28"/>
        </w:rPr>
        <w:t>）肌肉的收缩作用：低频调制波或干扰波可引起肌肉收缩，肌肉节律性收缩和舒张形成</w:t>
      </w:r>
      <w:r w:rsidRPr="00400912">
        <w:rPr>
          <w:rFonts w:eastAsia="仿宋_GB2312"/>
          <w:sz w:val="32"/>
          <w:szCs w:val="28"/>
        </w:rPr>
        <w:t>“</w:t>
      </w:r>
      <w:r w:rsidRPr="00400912">
        <w:rPr>
          <w:rFonts w:eastAsia="仿宋_GB2312"/>
          <w:sz w:val="32"/>
          <w:szCs w:val="28"/>
        </w:rPr>
        <w:t>泵</w:t>
      </w:r>
      <w:r w:rsidRPr="00400912">
        <w:rPr>
          <w:rFonts w:eastAsia="仿宋_GB2312"/>
          <w:sz w:val="32"/>
          <w:szCs w:val="28"/>
        </w:rPr>
        <w:t>”</w:t>
      </w:r>
      <w:r w:rsidRPr="00400912">
        <w:rPr>
          <w:rFonts w:eastAsia="仿宋_GB2312"/>
          <w:sz w:val="32"/>
          <w:szCs w:val="28"/>
        </w:rPr>
        <w:t>的作用，从而促进血液和淋巴液的回流。（</w:t>
      </w:r>
      <w:r w:rsidRPr="00400912">
        <w:rPr>
          <w:rFonts w:eastAsia="仿宋_GB2312"/>
          <w:sz w:val="32"/>
          <w:szCs w:val="28"/>
        </w:rPr>
        <w:t>3</w:t>
      </w:r>
      <w:r w:rsidRPr="00400912">
        <w:rPr>
          <w:rFonts w:eastAsia="仿宋_GB2312"/>
          <w:sz w:val="32"/>
          <w:szCs w:val="28"/>
        </w:rPr>
        <w:t>）肌肉活动的代谢产物：肌肉活动的代谢产物，如乳酸、</w:t>
      </w:r>
      <w:r w:rsidRPr="00400912">
        <w:rPr>
          <w:rFonts w:eastAsia="仿宋_GB2312"/>
          <w:sz w:val="32"/>
          <w:szCs w:val="28"/>
        </w:rPr>
        <w:t>ATP</w:t>
      </w:r>
      <w:r w:rsidRPr="00400912">
        <w:rPr>
          <w:rFonts w:eastAsia="仿宋_GB2312"/>
          <w:sz w:val="32"/>
          <w:szCs w:val="28"/>
        </w:rPr>
        <w:t>、</w:t>
      </w:r>
      <w:r w:rsidRPr="00400912">
        <w:rPr>
          <w:rFonts w:eastAsia="仿宋_GB2312"/>
          <w:sz w:val="32"/>
          <w:szCs w:val="28"/>
        </w:rPr>
        <w:t>ADP</w:t>
      </w:r>
      <w:r w:rsidRPr="00400912">
        <w:rPr>
          <w:rFonts w:eastAsia="仿宋_GB2312"/>
          <w:sz w:val="32"/>
          <w:szCs w:val="28"/>
        </w:rPr>
        <w:t>等均有明显的血管扩张作用。</w:t>
      </w:r>
    </w:p>
    <w:p w:rsidR="002B20C0" w:rsidRPr="007114E0"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3.</w:t>
      </w:r>
      <w:r w:rsidRPr="00012843">
        <w:rPr>
          <w:rFonts w:eastAsia="仿宋_GB2312"/>
          <w:sz w:val="32"/>
          <w:szCs w:val="28"/>
        </w:rPr>
        <w:t>软化瘢痕、松解粘连：中频电流能扩大细胞与组织的间隙，松解粘连的结缔组织纤维、肌纤维、神经纤维。</w:t>
      </w:r>
    </w:p>
    <w:p w:rsidR="002B20C0" w:rsidRPr="001707F2"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4</w:t>
      </w:r>
      <w:r w:rsidRPr="00400912">
        <w:rPr>
          <w:rFonts w:eastAsia="仿宋_GB2312"/>
          <w:sz w:val="32"/>
          <w:szCs w:val="28"/>
        </w:rPr>
        <w:t>.</w:t>
      </w:r>
      <w:r w:rsidRPr="00012843">
        <w:rPr>
          <w:rFonts w:eastAsia="仿宋_GB2312"/>
          <w:sz w:val="32"/>
          <w:szCs w:val="28"/>
        </w:rPr>
        <w:t>兴奋神经肌肉组织：低频调制波或干</w:t>
      </w:r>
      <w:r w:rsidRPr="007114E0">
        <w:rPr>
          <w:rFonts w:eastAsia="仿宋_GB2312"/>
          <w:sz w:val="32"/>
          <w:szCs w:val="28"/>
        </w:rPr>
        <w:t>扰波能改变细胞膜的离子通透性，导致细胞膜内外极性的改变，使膜电位去极化，形成动作电位，因此兴奋神经肌肉，产生肌肉收缩。</w:t>
      </w: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hint="eastAsia"/>
          <w:sz w:val="32"/>
          <w:szCs w:val="28"/>
        </w:rPr>
        <w:t>（四）注册单元划分的原则和实例</w:t>
      </w:r>
    </w:p>
    <w:p w:rsidR="002B20C0" w:rsidRPr="007114E0"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中频电疗产品的注册单元原则上以技术结构、性能指标为划分依据，预期用途不作为划分注册单元的依据。</w:t>
      </w:r>
    </w:p>
    <w:p w:rsidR="002B20C0" w:rsidRPr="007114E0"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1</w:t>
      </w:r>
      <w:r w:rsidRPr="00400912">
        <w:rPr>
          <w:rFonts w:eastAsia="仿宋_GB2312"/>
          <w:sz w:val="32"/>
          <w:szCs w:val="28"/>
        </w:rPr>
        <w:t>.</w:t>
      </w:r>
      <w:r w:rsidRPr="00012843">
        <w:rPr>
          <w:rFonts w:eastAsia="仿宋_GB2312"/>
          <w:sz w:val="32"/>
          <w:szCs w:val="28"/>
        </w:rPr>
        <w:t>不同的电击防护类型应作为不同注册单元进行注册。</w:t>
      </w:r>
    </w:p>
    <w:p w:rsidR="002B20C0" w:rsidRPr="00400912"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如电击防护类型分别为</w:t>
      </w:r>
      <w:r w:rsidRPr="007A5484">
        <w:rPr>
          <w:rFonts w:eastAsia="仿宋_GB2312"/>
          <w:sz w:val="32"/>
          <w:szCs w:val="28"/>
        </w:rPr>
        <w:t>I</w:t>
      </w:r>
      <w:r w:rsidRPr="006A16BF">
        <w:rPr>
          <w:rFonts w:eastAsia="仿宋_GB2312"/>
          <w:sz w:val="32"/>
          <w:szCs w:val="28"/>
        </w:rPr>
        <w:t>类和</w:t>
      </w:r>
      <w:r w:rsidRPr="00400912">
        <w:rPr>
          <w:rFonts w:ascii="宋体" w:hAnsi="宋体" w:cs="宋体" w:hint="eastAsia"/>
          <w:sz w:val="32"/>
          <w:szCs w:val="28"/>
        </w:rPr>
        <w:t>Ⅱ</w:t>
      </w:r>
      <w:r w:rsidRPr="00400912">
        <w:rPr>
          <w:rFonts w:eastAsia="仿宋_GB2312"/>
          <w:sz w:val="32"/>
          <w:szCs w:val="28"/>
        </w:rPr>
        <w:t>类的两种中频电疗仪，应划分为两个注册单元。</w:t>
      </w:r>
    </w:p>
    <w:p w:rsidR="002B20C0" w:rsidRPr="007114E0" w:rsidRDefault="002B20C0" w:rsidP="002B20C0">
      <w:pPr>
        <w:overflowPunct w:val="0"/>
        <w:spacing w:line="540" w:lineRule="exact"/>
        <w:ind w:firstLineChars="200" w:firstLine="640"/>
        <w:rPr>
          <w:rFonts w:eastAsia="仿宋_GB2312"/>
          <w:sz w:val="22"/>
        </w:rPr>
      </w:pPr>
      <w:r w:rsidRPr="00400912">
        <w:rPr>
          <w:rFonts w:eastAsia="仿宋_GB2312"/>
          <w:sz w:val="32"/>
          <w:szCs w:val="28"/>
        </w:rPr>
        <w:t>2.</w:t>
      </w:r>
      <w:r w:rsidRPr="00012843">
        <w:rPr>
          <w:rFonts w:eastAsia="仿宋_GB2312"/>
          <w:sz w:val="32"/>
          <w:szCs w:val="28"/>
        </w:rPr>
        <w:t>主要性能指标不能覆盖的两种或两种以上的中频电疗仪，应按照两个或两个以上注册单元进行注册。</w:t>
      </w: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sz w:val="32"/>
          <w:szCs w:val="28"/>
        </w:rPr>
        <w:t>（五）产品适用的相关标准</w:t>
      </w:r>
    </w:p>
    <w:p w:rsidR="002B20C0" w:rsidRPr="006A16BF" w:rsidRDefault="002B20C0" w:rsidP="002B20C0">
      <w:pPr>
        <w:overflowPunct w:val="0"/>
        <w:spacing w:line="540" w:lineRule="exact"/>
        <w:ind w:firstLineChars="200" w:firstLine="640"/>
        <w:rPr>
          <w:rFonts w:eastAsia="仿宋_GB2312"/>
          <w:sz w:val="32"/>
          <w:szCs w:val="28"/>
        </w:rPr>
      </w:pPr>
      <w:r w:rsidRPr="00012843">
        <w:rPr>
          <w:rFonts w:eastAsia="仿宋_GB2312"/>
          <w:sz w:val="32"/>
          <w:szCs w:val="28"/>
        </w:rPr>
        <w:t>根据产品自身特点适用</w:t>
      </w:r>
      <w:r w:rsidRPr="007114E0">
        <w:rPr>
          <w:rFonts w:eastAsia="仿宋_GB2312"/>
          <w:sz w:val="32"/>
          <w:szCs w:val="28"/>
        </w:rPr>
        <w:t>表</w:t>
      </w:r>
      <w:r w:rsidRPr="001707F2">
        <w:rPr>
          <w:rFonts w:eastAsia="仿宋_GB2312"/>
          <w:sz w:val="32"/>
          <w:szCs w:val="28"/>
        </w:rPr>
        <w:t>1</w:t>
      </w:r>
      <w:r w:rsidRPr="007A5484">
        <w:rPr>
          <w:rFonts w:eastAsia="仿宋_GB2312"/>
          <w:sz w:val="32"/>
          <w:szCs w:val="28"/>
        </w:rPr>
        <w:t>中相关标准：</w:t>
      </w:r>
    </w:p>
    <w:p w:rsidR="002B20C0" w:rsidRPr="00400912" w:rsidRDefault="002B20C0" w:rsidP="002B20C0">
      <w:pPr>
        <w:overflowPunct w:val="0"/>
        <w:spacing w:line="520" w:lineRule="exact"/>
        <w:jc w:val="center"/>
        <w:rPr>
          <w:rFonts w:ascii="黑体" w:eastAsia="黑体" w:hAnsi="黑体"/>
          <w:b/>
          <w:bCs/>
          <w:sz w:val="28"/>
          <w:szCs w:val="28"/>
        </w:rPr>
      </w:pPr>
      <w:r w:rsidRPr="00400912">
        <w:rPr>
          <w:rFonts w:ascii="黑体" w:eastAsia="黑体" w:hAnsi="黑体"/>
          <w:sz w:val="28"/>
          <w:szCs w:val="28"/>
        </w:rPr>
        <w:lastRenderedPageBreak/>
        <w:t>表</w:t>
      </w:r>
      <w:r w:rsidR="00B75BC2" w:rsidRPr="00400912">
        <w:rPr>
          <w:rFonts w:ascii="黑体" w:eastAsia="黑体" w:hAnsi="黑体"/>
          <w:sz w:val="28"/>
          <w:szCs w:val="28"/>
        </w:rPr>
        <w:fldChar w:fldCharType="begin"/>
      </w:r>
      <w:r w:rsidRPr="00400912">
        <w:rPr>
          <w:rFonts w:ascii="黑体" w:eastAsia="黑体" w:hAnsi="黑体"/>
          <w:sz w:val="28"/>
          <w:szCs w:val="28"/>
        </w:rPr>
        <w:instrText xml:space="preserve"> SEQ 表格 \* ARABIC </w:instrText>
      </w:r>
      <w:r w:rsidR="00B75BC2" w:rsidRPr="00400912">
        <w:rPr>
          <w:rFonts w:ascii="黑体" w:eastAsia="黑体" w:hAnsi="黑体"/>
          <w:sz w:val="28"/>
          <w:szCs w:val="28"/>
        </w:rPr>
        <w:fldChar w:fldCharType="separate"/>
      </w:r>
      <w:r>
        <w:rPr>
          <w:rFonts w:ascii="黑体" w:eastAsia="黑体" w:hAnsi="黑体"/>
          <w:noProof/>
          <w:sz w:val="28"/>
          <w:szCs w:val="28"/>
        </w:rPr>
        <w:t>2</w:t>
      </w:r>
      <w:r w:rsidR="00B75BC2" w:rsidRPr="00400912">
        <w:rPr>
          <w:rFonts w:ascii="黑体" w:eastAsia="黑体" w:hAnsi="黑体"/>
          <w:sz w:val="28"/>
          <w:szCs w:val="28"/>
        </w:rPr>
        <w:fldChar w:fldCharType="end"/>
      </w:r>
      <w:r w:rsidRPr="00400912">
        <w:rPr>
          <w:rFonts w:ascii="黑体" w:eastAsia="黑体" w:hAnsi="黑体"/>
          <w:sz w:val="28"/>
          <w:szCs w:val="28"/>
        </w:rPr>
        <w:t xml:space="preserve"> 相关产品标准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5629"/>
      </w:tblGrid>
      <w:tr w:rsidR="002B20C0" w:rsidRPr="006F5874" w:rsidTr="00B2728E">
        <w:trPr>
          <w:trHeight w:val="567"/>
          <w:jc w:val="center"/>
        </w:trPr>
        <w:tc>
          <w:tcPr>
            <w:tcW w:w="2835" w:type="dxa"/>
            <w:vAlign w:val="center"/>
          </w:tcPr>
          <w:p w:rsidR="002B20C0" w:rsidRPr="006F5874" w:rsidRDefault="002B20C0" w:rsidP="00B2728E">
            <w:pPr>
              <w:overflowPunct w:val="0"/>
              <w:spacing w:line="400" w:lineRule="exact"/>
              <w:rPr>
                <w:rStyle w:val="f101"/>
                <w:rFonts w:ascii="黑体" w:eastAsia="黑体" w:hAnsi="黑体"/>
                <w:sz w:val="28"/>
                <w:szCs w:val="28"/>
              </w:rPr>
            </w:pPr>
            <w:r w:rsidRPr="006F5874">
              <w:rPr>
                <w:rStyle w:val="f101"/>
                <w:rFonts w:ascii="黑体" w:eastAsia="黑体" w:hAnsi="黑体"/>
                <w:sz w:val="28"/>
                <w:szCs w:val="28"/>
              </w:rPr>
              <w:t>标准编号</w:t>
            </w:r>
          </w:p>
        </w:tc>
        <w:tc>
          <w:tcPr>
            <w:tcW w:w="5629" w:type="dxa"/>
            <w:vAlign w:val="center"/>
          </w:tcPr>
          <w:p w:rsidR="002B20C0" w:rsidRPr="006F5874" w:rsidRDefault="002B20C0" w:rsidP="00B2728E">
            <w:pPr>
              <w:overflowPunct w:val="0"/>
              <w:spacing w:line="400" w:lineRule="exact"/>
              <w:rPr>
                <w:rStyle w:val="f101"/>
                <w:rFonts w:ascii="黑体" w:eastAsia="黑体" w:hAnsi="黑体"/>
                <w:sz w:val="28"/>
                <w:szCs w:val="28"/>
              </w:rPr>
            </w:pPr>
            <w:r w:rsidRPr="006F5874">
              <w:rPr>
                <w:rStyle w:val="f101"/>
                <w:rFonts w:ascii="黑体" w:eastAsia="黑体" w:hAnsi="黑体"/>
                <w:sz w:val="28"/>
                <w:szCs w:val="28"/>
              </w:rPr>
              <w:t>标准名称</w:t>
            </w:r>
          </w:p>
        </w:tc>
      </w:tr>
      <w:tr w:rsidR="002B20C0" w:rsidRPr="00FF341F" w:rsidTr="00B2728E">
        <w:trPr>
          <w:trHeight w:val="56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GB/T 191</w:t>
            </w:r>
            <w:r>
              <w:rPr>
                <w:rStyle w:val="f101"/>
                <w:rFonts w:ascii="仿宋_GB2312" w:eastAsia="仿宋_GB2312" w:hint="eastAsia"/>
                <w:sz w:val="28"/>
                <w:szCs w:val="28"/>
              </w:rPr>
              <w:t>—</w:t>
            </w:r>
            <w:r w:rsidRPr="00FF341F">
              <w:rPr>
                <w:rStyle w:val="f101"/>
                <w:rFonts w:eastAsia="仿宋_GB2312"/>
                <w:sz w:val="28"/>
                <w:szCs w:val="28"/>
              </w:rPr>
              <w:t>2008</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包装储运图示标志</w:t>
            </w:r>
          </w:p>
        </w:tc>
      </w:tr>
      <w:tr w:rsidR="002B20C0" w:rsidRPr="00FF341F" w:rsidTr="00B2728E">
        <w:trPr>
          <w:trHeight w:val="56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 9706.1</w:t>
            </w:r>
            <w:r>
              <w:rPr>
                <w:rStyle w:val="f101"/>
                <w:rFonts w:ascii="仿宋_GB2312" w:eastAsia="仿宋_GB2312" w:hint="eastAsia"/>
                <w:sz w:val="28"/>
                <w:szCs w:val="28"/>
              </w:rPr>
              <w:t>—</w:t>
            </w:r>
            <w:r w:rsidRPr="00FF341F">
              <w:rPr>
                <w:rStyle w:val="f101"/>
                <w:rFonts w:eastAsia="仿宋_GB2312"/>
                <w:sz w:val="28"/>
                <w:szCs w:val="28"/>
              </w:rPr>
              <w:t>2007</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医用电气设备第</w:t>
            </w:r>
            <w:r w:rsidRPr="00FF341F">
              <w:rPr>
                <w:rStyle w:val="f101"/>
                <w:rFonts w:eastAsia="仿宋_GB2312"/>
                <w:sz w:val="28"/>
                <w:szCs w:val="28"/>
              </w:rPr>
              <w:t>1</w:t>
            </w:r>
            <w:r w:rsidRPr="00FF341F">
              <w:rPr>
                <w:rStyle w:val="f101"/>
                <w:rFonts w:eastAsia="仿宋_GB2312"/>
                <w:sz w:val="28"/>
                <w:szCs w:val="28"/>
              </w:rPr>
              <w:t>部分：安全通用要求</w:t>
            </w:r>
          </w:p>
        </w:tc>
      </w:tr>
      <w:tr w:rsidR="002B20C0" w:rsidRPr="00FF341F" w:rsidTr="00B2728E">
        <w:trPr>
          <w:trHeight w:val="850"/>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 9706.15</w:t>
            </w:r>
            <w:r>
              <w:rPr>
                <w:rStyle w:val="f101"/>
                <w:rFonts w:ascii="仿宋_GB2312" w:eastAsia="仿宋_GB2312" w:hint="eastAsia"/>
                <w:sz w:val="28"/>
                <w:szCs w:val="28"/>
              </w:rPr>
              <w:t>—</w:t>
            </w:r>
            <w:r w:rsidRPr="00FF341F">
              <w:rPr>
                <w:rStyle w:val="f101"/>
                <w:rFonts w:eastAsia="仿宋_GB2312"/>
                <w:sz w:val="28"/>
                <w:szCs w:val="28"/>
              </w:rPr>
              <w:t>2008</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医用电气设备第</w:t>
            </w:r>
            <w:r w:rsidRPr="00FF341F">
              <w:rPr>
                <w:rStyle w:val="f101"/>
                <w:rFonts w:eastAsia="仿宋_GB2312"/>
                <w:sz w:val="28"/>
                <w:szCs w:val="28"/>
              </w:rPr>
              <w:t>1</w:t>
            </w:r>
            <w:r>
              <w:rPr>
                <w:rStyle w:val="f101"/>
                <w:rFonts w:ascii="仿宋_GB2312" w:eastAsia="仿宋_GB2312" w:hint="eastAsia"/>
                <w:sz w:val="28"/>
                <w:szCs w:val="28"/>
              </w:rPr>
              <w:t>—</w:t>
            </w:r>
            <w:r w:rsidRPr="00FF341F">
              <w:rPr>
                <w:rStyle w:val="f101"/>
                <w:rFonts w:eastAsia="仿宋_GB2312"/>
                <w:sz w:val="28"/>
                <w:szCs w:val="28"/>
              </w:rPr>
              <w:t>1</w:t>
            </w:r>
            <w:r w:rsidRPr="00FF341F">
              <w:rPr>
                <w:rStyle w:val="f101"/>
                <w:rFonts w:eastAsia="仿宋_GB2312"/>
                <w:sz w:val="28"/>
                <w:szCs w:val="28"/>
              </w:rPr>
              <w:t>部分：安全通用要求并列标准：医用电气系统安全要求</w:t>
            </w:r>
          </w:p>
        </w:tc>
      </w:tr>
      <w:tr w:rsidR="002B20C0" w:rsidRPr="00FF341F" w:rsidTr="00B2728E">
        <w:trPr>
          <w:trHeight w:val="56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GB/T 14710</w:t>
            </w:r>
            <w:r>
              <w:rPr>
                <w:rStyle w:val="f101"/>
                <w:rFonts w:ascii="仿宋_GB2312" w:eastAsia="仿宋_GB2312" w:hint="eastAsia"/>
                <w:sz w:val="28"/>
                <w:szCs w:val="28"/>
              </w:rPr>
              <w:t>—</w:t>
            </w:r>
            <w:r w:rsidRPr="00FF341F">
              <w:rPr>
                <w:rStyle w:val="f101"/>
                <w:rFonts w:eastAsia="仿宋_GB2312"/>
                <w:sz w:val="28"/>
                <w:szCs w:val="28"/>
              </w:rPr>
              <w:t>2009</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医用电器环境要求及试验方法</w:t>
            </w:r>
          </w:p>
        </w:tc>
      </w:tr>
      <w:tr w:rsidR="002B20C0" w:rsidRPr="00FF341F" w:rsidTr="00B2728E">
        <w:trPr>
          <w:trHeight w:val="90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GB/T 16886.1</w:t>
            </w:r>
            <w:r>
              <w:rPr>
                <w:rStyle w:val="f101"/>
                <w:rFonts w:ascii="仿宋_GB2312" w:eastAsia="仿宋_GB2312" w:hint="eastAsia"/>
                <w:sz w:val="28"/>
                <w:szCs w:val="28"/>
              </w:rPr>
              <w:t>—</w:t>
            </w:r>
            <w:r w:rsidRPr="00FF341F">
              <w:rPr>
                <w:rStyle w:val="f101"/>
                <w:rFonts w:eastAsia="仿宋_GB2312"/>
                <w:sz w:val="28"/>
                <w:szCs w:val="28"/>
              </w:rPr>
              <w:t>2011</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医疗器械生物学评价第</w:t>
            </w:r>
            <w:r w:rsidRPr="00FF341F">
              <w:rPr>
                <w:rStyle w:val="f101"/>
                <w:rFonts w:eastAsia="仿宋_GB2312"/>
                <w:sz w:val="28"/>
                <w:szCs w:val="28"/>
              </w:rPr>
              <w:t>1</w:t>
            </w:r>
            <w:r w:rsidRPr="00FF341F">
              <w:rPr>
                <w:rStyle w:val="f101"/>
                <w:rFonts w:eastAsia="仿宋_GB2312"/>
                <w:sz w:val="28"/>
                <w:szCs w:val="28"/>
              </w:rPr>
              <w:t>部分：风险管理过程中的评价与试验</w:t>
            </w:r>
          </w:p>
        </w:tc>
      </w:tr>
      <w:tr w:rsidR="002B20C0" w:rsidRPr="00FF341F" w:rsidTr="00B2728E">
        <w:trPr>
          <w:trHeight w:val="90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GB/T 16886.5</w:t>
            </w:r>
            <w:r>
              <w:rPr>
                <w:rStyle w:val="f101"/>
                <w:rFonts w:ascii="仿宋_GB2312" w:eastAsia="仿宋_GB2312" w:hint="eastAsia"/>
                <w:sz w:val="28"/>
                <w:szCs w:val="28"/>
              </w:rPr>
              <w:t>—</w:t>
            </w:r>
            <w:r w:rsidRPr="00FF341F">
              <w:rPr>
                <w:rStyle w:val="f101"/>
                <w:rFonts w:eastAsia="仿宋_GB2312"/>
                <w:sz w:val="28"/>
                <w:szCs w:val="28"/>
              </w:rPr>
              <w:t>2003</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医疗器械生物学评价第</w:t>
            </w:r>
            <w:r w:rsidRPr="00FF341F">
              <w:rPr>
                <w:rStyle w:val="f101"/>
                <w:rFonts w:eastAsia="仿宋_GB2312"/>
                <w:sz w:val="28"/>
                <w:szCs w:val="28"/>
              </w:rPr>
              <w:t>5</w:t>
            </w:r>
            <w:r w:rsidRPr="00FF341F">
              <w:rPr>
                <w:rStyle w:val="f101"/>
                <w:rFonts w:eastAsia="仿宋_GB2312"/>
                <w:sz w:val="28"/>
                <w:szCs w:val="28"/>
              </w:rPr>
              <w:t>部分：体外细胞毒性试验</w:t>
            </w:r>
          </w:p>
        </w:tc>
      </w:tr>
      <w:tr w:rsidR="002B20C0" w:rsidRPr="00FF341F" w:rsidTr="00B2728E">
        <w:trPr>
          <w:trHeight w:val="90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GB/T 16886.10</w:t>
            </w:r>
            <w:r>
              <w:rPr>
                <w:rStyle w:val="f101"/>
                <w:rFonts w:ascii="仿宋_GB2312" w:eastAsia="仿宋_GB2312" w:hint="eastAsia"/>
                <w:sz w:val="28"/>
                <w:szCs w:val="28"/>
              </w:rPr>
              <w:t>—</w:t>
            </w:r>
            <w:r w:rsidRPr="00FF341F">
              <w:rPr>
                <w:rStyle w:val="f101"/>
                <w:rFonts w:eastAsia="仿宋_GB2312"/>
                <w:sz w:val="28"/>
                <w:szCs w:val="28"/>
              </w:rPr>
              <w:t>2005</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医疗器械生物学评价第</w:t>
            </w:r>
            <w:r w:rsidRPr="00FF341F">
              <w:rPr>
                <w:rStyle w:val="f101"/>
                <w:rFonts w:eastAsia="仿宋_GB2312"/>
                <w:sz w:val="28"/>
                <w:szCs w:val="28"/>
              </w:rPr>
              <w:t>10</w:t>
            </w:r>
            <w:r w:rsidRPr="00FF341F">
              <w:rPr>
                <w:rStyle w:val="f101"/>
                <w:rFonts w:eastAsia="仿宋_GB2312"/>
                <w:sz w:val="28"/>
                <w:szCs w:val="28"/>
              </w:rPr>
              <w:t>部分：刺激与迟发型超敏反应试验</w:t>
            </w:r>
          </w:p>
        </w:tc>
      </w:tr>
      <w:tr w:rsidR="002B20C0" w:rsidRPr="00FF341F" w:rsidTr="00B2728E">
        <w:trPr>
          <w:trHeight w:val="90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YY 0505</w:t>
            </w:r>
            <w:r>
              <w:rPr>
                <w:rStyle w:val="f101"/>
                <w:rFonts w:ascii="仿宋_GB2312" w:eastAsia="仿宋_GB2312" w:hint="eastAsia"/>
                <w:sz w:val="28"/>
                <w:szCs w:val="28"/>
              </w:rPr>
              <w:t>—</w:t>
            </w:r>
            <w:r w:rsidRPr="00FF341F">
              <w:rPr>
                <w:rStyle w:val="f101"/>
                <w:rFonts w:eastAsia="仿宋_GB2312"/>
                <w:sz w:val="28"/>
                <w:szCs w:val="28"/>
              </w:rPr>
              <w:t>2012</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医用电气设备第</w:t>
            </w:r>
            <w:r w:rsidRPr="00FF341F">
              <w:rPr>
                <w:rStyle w:val="f101"/>
                <w:rFonts w:eastAsia="仿宋_GB2312"/>
                <w:sz w:val="28"/>
                <w:szCs w:val="28"/>
              </w:rPr>
              <w:t>1</w:t>
            </w:r>
            <w:r>
              <w:rPr>
                <w:rStyle w:val="f101"/>
                <w:rFonts w:ascii="仿宋_GB2312" w:eastAsia="仿宋_GB2312" w:hint="eastAsia"/>
                <w:sz w:val="28"/>
                <w:szCs w:val="28"/>
              </w:rPr>
              <w:t>—</w:t>
            </w:r>
            <w:r w:rsidRPr="00FF341F">
              <w:rPr>
                <w:rStyle w:val="f101"/>
                <w:rFonts w:eastAsia="仿宋_GB2312"/>
                <w:sz w:val="28"/>
                <w:szCs w:val="28"/>
              </w:rPr>
              <w:t>2</w:t>
            </w:r>
            <w:r w:rsidRPr="00FF341F">
              <w:rPr>
                <w:rStyle w:val="f101"/>
                <w:rFonts w:eastAsia="仿宋_GB2312"/>
                <w:sz w:val="28"/>
                <w:szCs w:val="28"/>
              </w:rPr>
              <w:t>部分：安全通用要求</w:t>
            </w:r>
            <w:r w:rsidRPr="00FF341F">
              <w:rPr>
                <w:rStyle w:val="f101"/>
                <w:rFonts w:eastAsia="仿宋_GB2312"/>
                <w:sz w:val="28"/>
                <w:szCs w:val="28"/>
              </w:rPr>
              <w:t>-</w:t>
            </w:r>
            <w:r w:rsidRPr="00FF341F">
              <w:rPr>
                <w:rStyle w:val="f101"/>
                <w:rFonts w:eastAsia="仿宋_GB2312"/>
                <w:sz w:val="28"/>
                <w:szCs w:val="28"/>
              </w:rPr>
              <w:t>并列标准：电磁兼容要求和试验</w:t>
            </w:r>
          </w:p>
        </w:tc>
      </w:tr>
      <w:tr w:rsidR="002B20C0" w:rsidRPr="00FF341F" w:rsidTr="00B2728E">
        <w:trPr>
          <w:trHeight w:val="90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YY 0607</w:t>
            </w:r>
            <w:r>
              <w:rPr>
                <w:rStyle w:val="f101"/>
                <w:rFonts w:ascii="仿宋_GB2312" w:eastAsia="仿宋_GB2312" w:hint="eastAsia"/>
                <w:sz w:val="28"/>
                <w:szCs w:val="28"/>
              </w:rPr>
              <w:t>—</w:t>
            </w:r>
            <w:r w:rsidRPr="00FF341F">
              <w:rPr>
                <w:rStyle w:val="f101"/>
                <w:rFonts w:eastAsia="仿宋_GB2312"/>
                <w:sz w:val="28"/>
                <w:szCs w:val="28"/>
              </w:rPr>
              <w:t>2007</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医用电气设备第</w:t>
            </w:r>
            <w:r w:rsidRPr="00FF341F">
              <w:rPr>
                <w:rStyle w:val="f101"/>
                <w:rFonts w:eastAsia="仿宋_GB2312"/>
                <w:sz w:val="28"/>
                <w:szCs w:val="28"/>
              </w:rPr>
              <w:t>2</w:t>
            </w:r>
            <w:r w:rsidRPr="00FF341F">
              <w:rPr>
                <w:rStyle w:val="f101"/>
                <w:rFonts w:eastAsia="仿宋_GB2312"/>
                <w:sz w:val="28"/>
                <w:szCs w:val="28"/>
              </w:rPr>
              <w:t>部分：神经和肌肉刺激器安全专用要求</w:t>
            </w:r>
          </w:p>
        </w:tc>
      </w:tr>
      <w:tr w:rsidR="002B20C0" w:rsidRPr="00FF341F" w:rsidTr="00B2728E">
        <w:trPr>
          <w:trHeight w:val="56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YY/T 0696</w:t>
            </w:r>
            <w:r>
              <w:rPr>
                <w:rStyle w:val="f101"/>
                <w:rFonts w:ascii="仿宋_GB2312" w:eastAsia="仿宋_GB2312" w:hint="eastAsia"/>
                <w:sz w:val="28"/>
                <w:szCs w:val="28"/>
              </w:rPr>
              <w:t>—</w:t>
            </w:r>
            <w:r w:rsidRPr="00FF341F">
              <w:rPr>
                <w:rStyle w:val="f101"/>
                <w:rFonts w:eastAsia="仿宋_GB2312"/>
                <w:sz w:val="28"/>
                <w:szCs w:val="28"/>
              </w:rPr>
              <w:t>2008</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神经和肌肉刺激器输出特性的测量</w:t>
            </w:r>
          </w:p>
        </w:tc>
      </w:tr>
      <w:tr w:rsidR="002B20C0" w:rsidRPr="00FF341F" w:rsidTr="00B2728E">
        <w:trPr>
          <w:trHeight w:val="567"/>
          <w:jc w:val="center"/>
        </w:trPr>
        <w:tc>
          <w:tcPr>
            <w:tcW w:w="2835"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YY 0868</w:t>
            </w:r>
            <w:r>
              <w:rPr>
                <w:rStyle w:val="f101"/>
                <w:rFonts w:ascii="仿宋_GB2312" w:eastAsia="仿宋_GB2312" w:hint="eastAsia"/>
                <w:sz w:val="28"/>
                <w:szCs w:val="28"/>
              </w:rPr>
              <w:t>—</w:t>
            </w:r>
            <w:r w:rsidRPr="00FF341F">
              <w:rPr>
                <w:rStyle w:val="f101"/>
                <w:rFonts w:eastAsia="仿宋_GB2312"/>
                <w:sz w:val="28"/>
                <w:szCs w:val="28"/>
              </w:rPr>
              <w:t>2011</w:t>
            </w:r>
          </w:p>
        </w:tc>
        <w:tc>
          <w:tcPr>
            <w:tcW w:w="5629" w:type="dxa"/>
            <w:vAlign w:val="center"/>
          </w:tcPr>
          <w:p w:rsidR="002B20C0" w:rsidRPr="00FF341F" w:rsidRDefault="002B20C0" w:rsidP="00B2728E">
            <w:pPr>
              <w:overflowPunct w:val="0"/>
              <w:spacing w:line="400" w:lineRule="exact"/>
              <w:rPr>
                <w:rStyle w:val="f101"/>
                <w:rFonts w:eastAsia="仿宋_GB2312"/>
                <w:sz w:val="28"/>
                <w:szCs w:val="28"/>
              </w:rPr>
            </w:pPr>
            <w:r w:rsidRPr="00FF341F">
              <w:rPr>
                <w:rStyle w:val="f101"/>
                <w:rFonts w:eastAsia="仿宋_GB2312"/>
                <w:sz w:val="28"/>
                <w:szCs w:val="28"/>
              </w:rPr>
              <w:t>神经和肌肉刺激器用电极</w:t>
            </w:r>
          </w:p>
        </w:tc>
      </w:tr>
    </w:tbl>
    <w:p w:rsidR="002B20C0" w:rsidRPr="00511576" w:rsidRDefault="002B20C0" w:rsidP="002B20C0">
      <w:pPr>
        <w:overflowPunct w:val="0"/>
        <w:spacing w:line="240" w:lineRule="exact"/>
        <w:ind w:firstLineChars="200" w:firstLine="640"/>
        <w:rPr>
          <w:rFonts w:ascii="仿宋" w:eastAsia="仿宋" w:hAnsi="仿宋"/>
          <w:sz w:val="32"/>
          <w:szCs w:val="28"/>
        </w:rPr>
      </w:pPr>
    </w:p>
    <w:p w:rsidR="002B20C0" w:rsidRPr="001707F2" w:rsidRDefault="002B20C0" w:rsidP="002B20C0">
      <w:pPr>
        <w:overflowPunct w:val="0"/>
        <w:spacing w:line="560" w:lineRule="exact"/>
        <w:ind w:firstLineChars="200" w:firstLine="640"/>
        <w:rPr>
          <w:rFonts w:eastAsia="仿宋_GB2312"/>
          <w:color w:val="000000"/>
          <w:sz w:val="32"/>
          <w:szCs w:val="28"/>
        </w:rPr>
      </w:pPr>
      <w:r w:rsidRPr="00012843">
        <w:rPr>
          <w:rFonts w:eastAsia="仿宋_GB2312"/>
          <w:color w:val="000000"/>
          <w:sz w:val="32"/>
          <w:szCs w:val="28"/>
        </w:rPr>
        <w:t>上述标准包括了产品技术要求中经常涉及到的部件标准和方</w:t>
      </w:r>
      <w:r w:rsidRPr="007114E0">
        <w:rPr>
          <w:rFonts w:eastAsia="仿宋_GB2312"/>
          <w:color w:val="000000"/>
          <w:sz w:val="32"/>
          <w:szCs w:val="28"/>
        </w:rPr>
        <w:t>法标准。有的企业还会根据产品的特点引用一些行业外的标准和一些较为特殊的标准。</w:t>
      </w:r>
    </w:p>
    <w:p w:rsidR="002B20C0" w:rsidRPr="00400912" w:rsidRDefault="002B20C0" w:rsidP="002B20C0">
      <w:pPr>
        <w:overflowPunct w:val="0"/>
        <w:spacing w:line="560" w:lineRule="exact"/>
        <w:ind w:firstLineChars="200" w:firstLine="640"/>
        <w:rPr>
          <w:rFonts w:eastAsia="仿宋_GB2312"/>
          <w:color w:val="000000"/>
          <w:sz w:val="32"/>
          <w:szCs w:val="28"/>
        </w:rPr>
      </w:pPr>
      <w:r w:rsidRPr="007A5484">
        <w:rPr>
          <w:rFonts w:eastAsia="仿宋_GB2312"/>
          <w:color w:val="000000"/>
          <w:sz w:val="32"/>
          <w:szCs w:val="28"/>
        </w:rPr>
        <w:t>产品适用及引用标准的审查可以分两步来进行。首先对引用标准的齐全性和适宜性进行审查，也就是在编写产品技术要求时与产品相关的国家、行业标准是否进行了引用，以及引用是否准</w:t>
      </w:r>
      <w:r w:rsidRPr="007A5484">
        <w:rPr>
          <w:rFonts w:eastAsia="仿宋_GB2312"/>
          <w:color w:val="000000"/>
          <w:sz w:val="32"/>
          <w:szCs w:val="28"/>
        </w:rPr>
        <w:lastRenderedPageBreak/>
        <w:t>确。可以通过对</w:t>
      </w:r>
      <w:r w:rsidRPr="007A5484">
        <w:rPr>
          <w:rFonts w:eastAsia="仿宋_GB2312"/>
          <w:color w:val="000000"/>
          <w:sz w:val="32"/>
          <w:szCs w:val="28"/>
        </w:rPr>
        <w:t>“</w:t>
      </w:r>
      <w:r w:rsidRPr="006A16BF">
        <w:rPr>
          <w:rFonts w:eastAsia="仿宋_GB2312"/>
          <w:color w:val="000000"/>
          <w:sz w:val="32"/>
          <w:szCs w:val="28"/>
        </w:rPr>
        <w:t>符合性声明</w:t>
      </w:r>
      <w:r w:rsidRPr="00400912">
        <w:rPr>
          <w:rFonts w:eastAsia="仿宋_GB2312"/>
          <w:color w:val="000000"/>
          <w:sz w:val="32"/>
          <w:szCs w:val="28"/>
        </w:rPr>
        <w:t>”</w:t>
      </w:r>
      <w:r w:rsidRPr="00400912">
        <w:rPr>
          <w:rFonts w:eastAsia="仿宋_GB2312"/>
          <w:color w:val="000000"/>
          <w:sz w:val="32"/>
          <w:szCs w:val="28"/>
        </w:rPr>
        <w:t>中声明符合的相关标准是否齐全、适宜来进行审查。此时，应注意标准编号、标准名称是否完整规范，年代号是否有效。其次对引用标准的采纳情况进行审查。即所引用的标准中的条款要求，是否在产品技术要求中进行了实质性的条款引用。</w:t>
      </w:r>
    </w:p>
    <w:p w:rsidR="002B20C0" w:rsidRPr="00400912" w:rsidRDefault="002B20C0" w:rsidP="002B20C0">
      <w:pPr>
        <w:overflowPunct w:val="0"/>
        <w:spacing w:line="560" w:lineRule="exact"/>
        <w:ind w:firstLineChars="200" w:firstLine="640"/>
        <w:rPr>
          <w:rStyle w:val="f101"/>
          <w:rFonts w:eastAsia="仿宋_GB2312"/>
          <w:b/>
          <w:color w:val="000000"/>
          <w:sz w:val="32"/>
          <w:szCs w:val="28"/>
        </w:rPr>
      </w:pPr>
      <w:r w:rsidRPr="00400912">
        <w:rPr>
          <w:rFonts w:eastAsia="仿宋_GB2312"/>
          <w:color w:val="000000"/>
          <w:sz w:val="32"/>
          <w:szCs w:val="28"/>
        </w:rPr>
        <w:t>上述标准如有新版发布实施，应执行最新版本。</w:t>
      </w:r>
    </w:p>
    <w:p w:rsidR="002B20C0" w:rsidRPr="00400912" w:rsidRDefault="002B20C0" w:rsidP="002B20C0">
      <w:pPr>
        <w:overflowPunct w:val="0"/>
        <w:spacing w:line="560" w:lineRule="exact"/>
        <w:ind w:firstLineChars="200" w:firstLine="640"/>
        <w:rPr>
          <w:rStyle w:val="f101"/>
          <w:rFonts w:eastAsia="楷体_GB2312"/>
          <w:sz w:val="32"/>
          <w:szCs w:val="28"/>
        </w:rPr>
      </w:pPr>
      <w:r w:rsidRPr="00400912">
        <w:rPr>
          <w:rFonts w:eastAsia="楷体_GB2312"/>
          <w:sz w:val="32"/>
          <w:szCs w:val="28"/>
        </w:rPr>
        <w:t>（六）</w:t>
      </w:r>
      <w:r w:rsidRPr="00400912">
        <w:rPr>
          <w:rFonts w:eastAsia="楷体_GB2312"/>
          <w:bCs/>
          <w:sz w:val="32"/>
          <w:szCs w:val="28"/>
        </w:rPr>
        <w:t>产品的适用范围</w:t>
      </w:r>
      <w:r w:rsidRPr="00400912">
        <w:rPr>
          <w:rFonts w:eastAsia="楷体_GB2312"/>
          <w:bCs/>
          <w:sz w:val="32"/>
          <w:szCs w:val="28"/>
        </w:rPr>
        <w:t>/</w:t>
      </w:r>
      <w:r w:rsidRPr="00400912">
        <w:rPr>
          <w:rFonts w:eastAsia="楷体_GB2312"/>
          <w:bCs/>
          <w:sz w:val="32"/>
          <w:szCs w:val="28"/>
        </w:rPr>
        <w:t>预期用途、禁忌症</w:t>
      </w:r>
    </w:p>
    <w:p w:rsidR="002B20C0" w:rsidRPr="007114E0"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中频产品的预期用途应体现临床适应证和作用范围。</w:t>
      </w:r>
    </w:p>
    <w:p w:rsidR="002B20C0" w:rsidRPr="007A5484"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例如：</w:t>
      </w:r>
    </w:p>
    <w:p w:rsidR="002B20C0" w:rsidRPr="00012843" w:rsidRDefault="002B20C0" w:rsidP="002B20C0">
      <w:pPr>
        <w:overflowPunct w:val="0"/>
        <w:spacing w:line="560" w:lineRule="exact"/>
        <w:ind w:firstLineChars="200" w:firstLine="640"/>
        <w:rPr>
          <w:rFonts w:eastAsia="仿宋_GB2312"/>
          <w:sz w:val="32"/>
          <w:szCs w:val="28"/>
        </w:rPr>
      </w:pPr>
      <w:r w:rsidRPr="006A16BF">
        <w:rPr>
          <w:rFonts w:eastAsia="仿宋_GB2312"/>
          <w:sz w:val="32"/>
          <w:szCs w:val="28"/>
        </w:rPr>
        <w:t>该产品对肩周炎具有消炎和镇痛作用</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该产品具有锻炼肌肉作用，促进周围神经的修复</w:t>
      </w:r>
      <w:r w:rsidRPr="00400912">
        <w:rPr>
          <w:rFonts w:eastAsia="仿宋_GB2312"/>
          <w:sz w:val="32"/>
          <w:szCs w:val="28"/>
        </w:rPr>
        <w:t>。</w:t>
      </w:r>
    </w:p>
    <w:p w:rsidR="002B20C0" w:rsidRPr="001707F2"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该产品具有软化注射后硬结，松解术后粘连、肠粘连的作用。</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中频产品的</w:t>
      </w:r>
      <w:r w:rsidRPr="006A16BF">
        <w:rPr>
          <w:rFonts w:eastAsia="仿宋_GB2312"/>
          <w:sz w:val="32"/>
          <w:szCs w:val="28"/>
        </w:rPr>
        <w:t>禁忌</w:t>
      </w:r>
      <w:r w:rsidRPr="00400912">
        <w:rPr>
          <w:rFonts w:eastAsia="仿宋_GB2312"/>
          <w:sz w:val="32"/>
          <w:szCs w:val="28"/>
        </w:rPr>
        <w:t>症</w:t>
      </w:r>
      <w:r w:rsidRPr="00012843">
        <w:rPr>
          <w:rFonts w:eastAsia="仿宋_GB2312"/>
          <w:sz w:val="32"/>
          <w:szCs w:val="28"/>
        </w:rPr>
        <w:t>至少应包括表</w:t>
      </w:r>
      <w:r w:rsidRPr="007114E0">
        <w:rPr>
          <w:rFonts w:eastAsia="仿宋_GB2312"/>
          <w:sz w:val="32"/>
          <w:szCs w:val="28"/>
        </w:rPr>
        <w:t>3</w:t>
      </w:r>
      <w:r w:rsidRPr="001707F2">
        <w:rPr>
          <w:rFonts w:eastAsia="仿宋_GB2312"/>
          <w:sz w:val="32"/>
          <w:szCs w:val="28"/>
        </w:rPr>
        <w:t>中</w:t>
      </w:r>
      <w:r w:rsidRPr="007A5484">
        <w:rPr>
          <w:rFonts w:eastAsia="仿宋_GB2312"/>
          <w:sz w:val="32"/>
          <w:szCs w:val="28"/>
        </w:rPr>
        <w:t>“</w:t>
      </w:r>
      <w:r w:rsidRPr="006A16BF">
        <w:rPr>
          <w:rFonts w:eastAsia="仿宋_GB2312"/>
          <w:sz w:val="32"/>
          <w:szCs w:val="28"/>
        </w:rPr>
        <w:t>禁忌症</w:t>
      </w:r>
      <w:r w:rsidRPr="00400912">
        <w:rPr>
          <w:rFonts w:eastAsia="仿宋_GB2312"/>
          <w:sz w:val="32"/>
          <w:szCs w:val="28"/>
        </w:rPr>
        <w:t>”</w:t>
      </w:r>
      <w:r w:rsidRPr="00400912">
        <w:rPr>
          <w:rFonts w:eastAsia="仿宋_GB2312"/>
          <w:sz w:val="32"/>
          <w:szCs w:val="28"/>
        </w:rPr>
        <w:t>部分的内容。</w:t>
      </w:r>
    </w:p>
    <w:p w:rsidR="002B20C0" w:rsidRPr="00400912" w:rsidRDefault="002B20C0" w:rsidP="002B20C0">
      <w:pPr>
        <w:overflowPunct w:val="0"/>
        <w:spacing w:line="560" w:lineRule="exact"/>
        <w:ind w:firstLineChars="200" w:firstLine="640"/>
        <w:rPr>
          <w:rFonts w:eastAsia="楷体_GB2312"/>
          <w:sz w:val="32"/>
          <w:szCs w:val="28"/>
        </w:rPr>
      </w:pPr>
      <w:r w:rsidRPr="00400912">
        <w:rPr>
          <w:rFonts w:eastAsia="楷体_GB2312"/>
          <w:sz w:val="32"/>
          <w:szCs w:val="28"/>
        </w:rPr>
        <w:t>（七）产品的主要风险及研究要求</w:t>
      </w:r>
    </w:p>
    <w:p w:rsidR="002B20C0" w:rsidRPr="00012843"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w:t>
      </w:r>
      <w:r w:rsidRPr="00400912">
        <w:rPr>
          <w:rFonts w:eastAsia="仿宋_GB2312"/>
          <w:spacing w:val="-4"/>
          <w:sz w:val="32"/>
          <w:szCs w:val="28"/>
        </w:rPr>
        <w:t>频电疗产品的风险管理报告应符合</w:t>
      </w:r>
      <w:r w:rsidRPr="00400912">
        <w:rPr>
          <w:rFonts w:eastAsia="仿宋_GB2312"/>
          <w:spacing w:val="-4"/>
          <w:sz w:val="32"/>
          <w:szCs w:val="28"/>
        </w:rPr>
        <w:t>YY/T 0316</w:t>
      </w:r>
      <w:r w:rsidRPr="00400912">
        <w:rPr>
          <w:rStyle w:val="f101"/>
          <w:rFonts w:ascii="仿宋_GB2312" w:eastAsia="仿宋_GB2312" w:hint="eastAsia"/>
          <w:spacing w:val="-4"/>
          <w:sz w:val="28"/>
          <w:szCs w:val="28"/>
        </w:rPr>
        <w:t>—</w:t>
      </w:r>
      <w:r w:rsidRPr="00400912">
        <w:rPr>
          <w:rFonts w:eastAsia="仿宋_GB2312"/>
          <w:spacing w:val="-4"/>
          <w:sz w:val="32"/>
          <w:szCs w:val="28"/>
        </w:rPr>
        <w:t>2016</w:t>
      </w:r>
      <w:r w:rsidRPr="00400912">
        <w:rPr>
          <w:rFonts w:eastAsia="仿宋_GB2312"/>
          <w:spacing w:val="-4"/>
          <w:sz w:val="32"/>
          <w:szCs w:val="28"/>
        </w:rPr>
        <w:t>《医疗器械风险管理对医疗器械的应用》的有关要求，审查要点包括：</w:t>
      </w:r>
    </w:p>
    <w:p w:rsidR="002B20C0" w:rsidRPr="00400912"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1</w:t>
      </w:r>
      <w:r w:rsidRPr="00400912">
        <w:rPr>
          <w:rFonts w:eastAsia="仿宋_GB2312"/>
          <w:sz w:val="32"/>
          <w:szCs w:val="28"/>
        </w:rPr>
        <w:t>.</w:t>
      </w:r>
      <w:r w:rsidRPr="00012843">
        <w:rPr>
          <w:rFonts w:eastAsia="仿宋_GB2312"/>
          <w:sz w:val="32"/>
          <w:szCs w:val="28"/>
        </w:rPr>
        <w:t>与产品有关的安全性特征判定可参考</w:t>
      </w:r>
      <w:r w:rsidRPr="007114E0">
        <w:rPr>
          <w:rFonts w:eastAsia="仿宋_GB2312"/>
          <w:sz w:val="32"/>
          <w:szCs w:val="28"/>
        </w:rPr>
        <w:t xml:space="preserve">YY/T </w:t>
      </w:r>
      <w:r w:rsidRPr="001707F2">
        <w:rPr>
          <w:rFonts w:eastAsia="仿宋_GB2312"/>
          <w:sz w:val="32"/>
          <w:szCs w:val="28"/>
        </w:rPr>
        <w:t>0316</w:t>
      </w:r>
      <w:r w:rsidRPr="007A5484">
        <w:rPr>
          <w:rStyle w:val="f101"/>
          <w:rFonts w:ascii="仿宋_GB2312" w:eastAsia="仿宋_GB2312" w:hint="eastAsia"/>
          <w:sz w:val="28"/>
          <w:szCs w:val="28"/>
        </w:rPr>
        <w:t>—</w:t>
      </w:r>
      <w:r w:rsidRPr="006A16BF">
        <w:rPr>
          <w:rFonts w:eastAsia="仿宋_GB2312"/>
          <w:sz w:val="32"/>
          <w:szCs w:val="28"/>
        </w:rPr>
        <w:t>2016</w:t>
      </w:r>
      <w:r w:rsidRPr="00400912">
        <w:rPr>
          <w:rFonts w:eastAsia="仿宋_GB2312"/>
          <w:sz w:val="32"/>
          <w:szCs w:val="28"/>
        </w:rPr>
        <w:t>的附录</w:t>
      </w:r>
      <w:r w:rsidRPr="00400912">
        <w:rPr>
          <w:rFonts w:eastAsia="仿宋_GB2312"/>
          <w:sz w:val="32"/>
          <w:szCs w:val="28"/>
        </w:rPr>
        <w:t>C</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2.</w:t>
      </w:r>
      <w:r w:rsidRPr="00012843">
        <w:rPr>
          <w:rFonts w:eastAsia="仿宋_GB2312"/>
          <w:sz w:val="32"/>
          <w:szCs w:val="28"/>
        </w:rPr>
        <w:t>危害、可预见的事件序列和危害处境判断可参考</w:t>
      </w:r>
      <w:r w:rsidRPr="007114E0">
        <w:rPr>
          <w:rFonts w:eastAsia="仿宋_GB2312"/>
          <w:sz w:val="32"/>
          <w:szCs w:val="28"/>
        </w:rPr>
        <w:t xml:space="preserve">YY/T </w:t>
      </w:r>
      <w:r w:rsidRPr="001707F2">
        <w:rPr>
          <w:rFonts w:eastAsia="仿宋_GB2312"/>
          <w:sz w:val="32"/>
          <w:szCs w:val="28"/>
        </w:rPr>
        <w:t>0316</w:t>
      </w:r>
      <w:r w:rsidRPr="007A5484">
        <w:rPr>
          <w:rStyle w:val="f101"/>
          <w:rFonts w:ascii="仿宋_GB2312" w:eastAsia="仿宋_GB2312" w:hint="eastAsia"/>
          <w:sz w:val="28"/>
          <w:szCs w:val="28"/>
        </w:rPr>
        <w:t>—</w:t>
      </w:r>
      <w:r w:rsidRPr="006A16BF">
        <w:rPr>
          <w:rFonts w:eastAsia="仿宋_GB2312"/>
          <w:sz w:val="32"/>
          <w:szCs w:val="28"/>
        </w:rPr>
        <w:t>2016</w:t>
      </w:r>
      <w:r w:rsidRPr="00400912">
        <w:rPr>
          <w:rFonts w:eastAsia="仿宋_GB2312"/>
          <w:sz w:val="32"/>
          <w:szCs w:val="28"/>
        </w:rPr>
        <w:t>附录</w:t>
      </w:r>
      <w:r w:rsidRPr="00400912">
        <w:rPr>
          <w:rFonts w:eastAsia="仿宋_GB2312"/>
          <w:sz w:val="32"/>
          <w:szCs w:val="28"/>
        </w:rPr>
        <w:t>E</w:t>
      </w:r>
      <w:r w:rsidRPr="00400912">
        <w:rPr>
          <w:rFonts w:eastAsia="仿宋_GB2312"/>
          <w:sz w:val="32"/>
          <w:szCs w:val="28"/>
        </w:rPr>
        <w:t>、</w:t>
      </w:r>
      <w:r w:rsidRPr="00400912">
        <w:rPr>
          <w:rFonts w:eastAsia="仿宋_GB2312"/>
          <w:sz w:val="32"/>
          <w:szCs w:val="28"/>
        </w:rPr>
        <w:t>I</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pacing w:val="-4"/>
          <w:sz w:val="32"/>
          <w:szCs w:val="28"/>
        </w:rPr>
      </w:pPr>
      <w:r w:rsidRPr="00400912">
        <w:rPr>
          <w:rFonts w:eastAsia="仿宋_GB2312"/>
          <w:sz w:val="32"/>
          <w:szCs w:val="28"/>
        </w:rPr>
        <w:t>3.</w:t>
      </w:r>
      <w:r w:rsidRPr="00400912">
        <w:rPr>
          <w:rFonts w:eastAsia="仿宋_GB2312"/>
          <w:spacing w:val="-4"/>
          <w:sz w:val="32"/>
          <w:szCs w:val="28"/>
        </w:rPr>
        <w:t>风险控制的方案与实施、综合剩余风险的可接受性评价及生产和生产后监视相关方法可参考</w:t>
      </w:r>
      <w:r w:rsidRPr="00400912">
        <w:rPr>
          <w:rFonts w:eastAsia="仿宋_GB2312"/>
          <w:spacing w:val="-4"/>
          <w:sz w:val="32"/>
          <w:szCs w:val="28"/>
        </w:rPr>
        <w:t>YY/T 0316</w:t>
      </w:r>
      <w:r w:rsidRPr="00400912">
        <w:rPr>
          <w:rStyle w:val="f101"/>
          <w:rFonts w:ascii="仿宋_GB2312" w:eastAsia="仿宋_GB2312" w:hint="eastAsia"/>
          <w:spacing w:val="-4"/>
          <w:sz w:val="28"/>
          <w:szCs w:val="28"/>
        </w:rPr>
        <w:t>—</w:t>
      </w:r>
      <w:r w:rsidRPr="00400912">
        <w:rPr>
          <w:rFonts w:eastAsia="仿宋_GB2312"/>
          <w:spacing w:val="-4"/>
          <w:sz w:val="32"/>
          <w:szCs w:val="28"/>
        </w:rPr>
        <w:t>2016</w:t>
      </w:r>
      <w:r w:rsidRPr="00400912">
        <w:rPr>
          <w:rFonts w:eastAsia="仿宋_GB2312"/>
          <w:spacing w:val="-4"/>
          <w:sz w:val="32"/>
          <w:szCs w:val="28"/>
        </w:rPr>
        <w:t>附录</w:t>
      </w:r>
      <w:r w:rsidRPr="00400912">
        <w:rPr>
          <w:rFonts w:eastAsia="仿宋_GB2312"/>
          <w:spacing w:val="-4"/>
          <w:sz w:val="32"/>
          <w:szCs w:val="28"/>
        </w:rPr>
        <w:t>F</w:t>
      </w:r>
      <w:r w:rsidRPr="00400912">
        <w:rPr>
          <w:rFonts w:eastAsia="仿宋_GB2312"/>
          <w:spacing w:val="-4"/>
          <w:sz w:val="32"/>
          <w:szCs w:val="28"/>
        </w:rPr>
        <w:t>、</w:t>
      </w:r>
      <w:r w:rsidRPr="00400912">
        <w:rPr>
          <w:rFonts w:eastAsia="仿宋_GB2312"/>
          <w:spacing w:val="-4"/>
          <w:sz w:val="32"/>
          <w:szCs w:val="28"/>
        </w:rPr>
        <w:t>G</w:t>
      </w:r>
      <w:r w:rsidRPr="00400912">
        <w:rPr>
          <w:rFonts w:eastAsia="仿宋_GB2312"/>
          <w:spacing w:val="-4"/>
          <w:sz w:val="32"/>
          <w:szCs w:val="28"/>
        </w:rPr>
        <w:t>、</w:t>
      </w:r>
      <w:r w:rsidRPr="00400912">
        <w:rPr>
          <w:rFonts w:eastAsia="仿宋_GB2312"/>
          <w:spacing w:val="-4"/>
          <w:sz w:val="32"/>
          <w:szCs w:val="28"/>
        </w:rPr>
        <w:t>J</w:t>
      </w:r>
      <w:r w:rsidRPr="00400912">
        <w:rPr>
          <w:rFonts w:eastAsia="仿宋_GB2312"/>
          <w:spacing w:val="-4"/>
          <w:sz w:val="32"/>
          <w:szCs w:val="28"/>
        </w:rPr>
        <w:t>；</w:t>
      </w:r>
    </w:p>
    <w:p w:rsidR="002B20C0" w:rsidRPr="007114E0"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4</w:t>
      </w:r>
      <w:r w:rsidRPr="00400912">
        <w:rPr>
          <w:rFonts w:eastAsia="仿宋_GB2312"/>
          <w:sz w:val="32"/>
          <w:szCs w:val="28"/>
        </w:rPr>
        <w:t>.</w:t>
      </w:r>
      <w:r w:rsidRPr="00012843">
        <w:rPr>
          <w:rFonts w:eastAsia="仿宋_GB2312"/>
          <w:sz w:val="32"/>
          <w:szCs w:val="28"/>
        </w:rPr>
        <w:t>风险可接收准则，降低风险的措施及采取措施后风险的可</w:t>
      </w:r>
      <w:r w:rsidRPr="00012843">
        <w:rPr>
          <w:rFonts w:eastAsia="仿宋_GB2312"/>
          <w:sz w:val="32"/>
          <w:szCs w:val="28"/>
        </w:rPr>
        <w:lastRenderedPageBreak/>
        <w:t>接收程度，是否有新的风险产生。</w:t>
      </w:r>
    </w:p>
    <w:p w:rsidR="002B20C0" w:rsidRPr="0040091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表</w:t>
      </w:r>
      <w:r w:rsidRPr="007A5484">
        <w:rPr>
          <w:rFonts w:eastAsia="仿宋_GB2312"/>
          <w:sz w:val="32"/>
          <w:szCs w:val="28"/>
        </w:rPr>
        <w:t>2</w:t>
      </w:r>
      <w:r w:rsidRPr="006A16BF">
        <w:rPr>
          <w:rFonts w:eastAsia="仿宋_GB2312"/>
          <w:sz w:val="32"/>
          <w:szCs w:val="28"/>
        </w:rPr>
        <w:t>依据</w:t>
      </w:r>
      <w:r w:rsidRPr="00400912">
        <w:rPr>
          <w:rFonts w:eastAsia="仿宋_GB2312"/>
          <w:sz w:val="32"/>
          <w:szCs w:val="28"/>
        </w:rPr>
        <w:t>YY/T 0316</w:t>
      </w:r>
      <w:r w:rsidRPr="00400912">
        <w:rPr>
          <w:rStyle w:val="f101"/>
          <w:rFonts w:ascii="仿宋_GB2312" w:eastAsia="仿宋_GB2312" w:hint="eastAsia"/>
          <w:sz w:val="28"/>
          <w:szCs w:val="28"/>
        </w:rPr>
        <w:t>—</w:t>
      </w:r>
      <w:r w:rsidRPr="00400912">
        <w:rPr>
          <w:rFonts w:eastAsia="仿宋_GB2312"/>
          <w:sz w:val="32"/>
          <w:szCs w:val="28"/>
        </w:rPr>
        <w:t>2016</w:t>
      </w:r>
      <w:r w:rsidRPr="00400912">
        <w:rPr>
          <w:rFonts w:eastAsia="仿宋_GB2312"/>
          <w:sz w:val="32"/>
          <w:szCs w:val="28"/>
        </w:rPr>
        <w:t>的附录</w:t>
      </w:r>
      <w:r w:rsidRPr="00400912">
        <w:rPr>
          <w:rFonts w:eastAsia="仿宋_GB2312"/>
          <w:sz w:val="32"/>
          <w:szCs w:val="28"/>
        </w:rPr>
        <w:t>E</w:t>
      </w:r>
      <w:r w:rsidRPr="00400912">
        <w:rPr>
          <w:rFonts w:eastAsia="仿宋_GB2312"/>
          <w:sz w:val="32"/>
          <w:szCs w:val="28"/>
        </w:rPr>
        <w:t>（表</w:t>
      </w:r>
      <w:r w:rsidRPr="00400912">
        <w:rPr>
          <w:rFonts w:eastAsia="仿宋_GB2312"/>
          <w:sz w:val="32"/>
          <w:szCs w:val="28"/>
        </w:rPr>
        <w:t>E.1</w:t>
      </w:r>
      <w:r w:rsidRPr="00400912">
        <w:rPr>
          <w:rFonts w:eastAsia="仿宋_GB2312"/>
          <w:sz w:val="32"/>
          <w:szCs w:val="28"/>
        </w:rPr>
        <w:t>）列举了中频电疗产品有关的可能危害示例的不完全清单，以帮助判定与中频电疗治疗产品有关的危害。企业还应根据自身产品特点确定其他可能危害。针对产品的各项风险，企业应采取控制措施，确保风险降到可接受的程度。</w:t>
      </w:r>
    </w:p>
    <w:p w:rsidR="002B20C0" w:rsidRPr="00400912" w:rsidRDefault="002B20C0" w:rsidP="002B20C0">
      <w:pPr>
        <w:overflowPunct w:val="0"/>
        <w:spacing w:line="520" w:lineRule="exact"/>
        <w:jc w:val="center"/>
        <w:rPr>
          <w:rStyle w:val="f101"/>
          <w:rFonts w:ascii="黑体" w:eastAsia="黑体" w:hAnsi="黑体"/>
          <w:sz w:val="28"/>
          <w:szCs w:val="28"/>
        </w:rPr>
      </w:pPr>
      <w:r w:rsidRPr="00400912">
        <w:rPr>
          <w:rStyle w:val="f101"/>
          <w:rFonts w:ascii="黑体" w:eastAsia="黑体" w:hAnsi="黑体"/>
          <w:sz w:val="28"/>
          <w:szCs w:val="28"/>
        </w:rPr>
        <w:t>表2 中频电疗产品主要危害</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46"/>
        <w:gridCol w:w="2026"/>
        <w:gridCol w:w="5196"/>
      </w:tblGrid>
      <w:tr w:rsidR="002B20C0" w:rsidRPr="00400912" w:rsidTr="00B2728E">
        <w:trPr>
          <w:trHeight w:val="567"/>
          <w:jc w:val="center"/>
        </w:trPr>
        <w:tc>
          <w:tcPr>
            <w:tcW w:w="1146" w:type="dxa"/>
            <w:vAlign w:val="center"/>
          </w:tcPr>
          <w:p w:rsidR="002B20C0" w:rsidRPr="00400912" w:rsidRDefault="002B20C0" w:rsidP="00B2728E">
            <w:pPr>
              <w:overflowPunct w:val="0"/>
              <w:spacing w:line="520" w:lineRule="exact"/>
              <w:jc w:val="center"/>
              <w:rPr>
                <w:rStyle w:val="f101"/>
                <w:rFonts w:eastAsia="黑体"/>
                <w:sz w:val="28"/>
                <w:szCs w:val="28"/>
              </w:rPr>
            </w:pPr>
            <w:r w:rsidRPr="00400912">
              <w:rPr>
                <w:rStyle w:val="f101"/>
                <w:rFonts w:eastAsia="黑体"/>
                <w:sz w:val="28"/>
                <w:szCs w:val="28"/>
              </w:rPr>
              <w:t>序号</w:t>
            </w:r>
          </w:p>
        </w:tc>
        <w:tc>
          <w:tcPr>
            <w:tcW w:w="2026" w:type="dxa"/>
            <w:vAlign w:val="center"/>
          </w:tcPr>
          <w:p w:rsidR="002B20C0" w:rsidRPr="00400912" w:rsidRDefault="002B20C0" w:rsidP="00B2728E">
            <w:pPr>
              <w:overflowPunct w:val="0"/>
              <w:spacing w:line="520" w:lineRule="exact"/>
              <w:jc w:val="center"/>
              <w:rPr>
                <w:rStyle w:val="f101"/>
                <w:rFonts w:eastAsia="黑体"/>
                <w:sz w:val="28"/>
                <w:szCs w:val="28"/>
              </w:rPr>
            </w:pPr>
            <w:r w:rsidRPr="00400912">
              <w:rPr>
                <w:rStyle w:val="f101"/>
                <w:rFonts w:eastAsia="黑体"/>
                <w:sz w:val="28"/>
                <w:szCs w:val="28"/>
              </w:rPr>
              <w:t>危害类型</w:t>
            </w:r>
          </w:p>
        </w:tc>
        <w:tc>
          <w:tcPr>
            <w:tcW w:w="5196" w:type="dxa"/>
            <w:vAlign w:val="center"/>
          </w:tcPr>
          <w:p w:rsidR="002B20C0" w:rsidRPr="00400912" w:rsidRDefault="002B20C0" w:rsidP="00B2728E">
            <w:pPr>
              <w:overflowPunct w:val="0"/>
              <w:spacing w:line="520" w:lineRule="exact"/>
              <w:jc w:val="center"/>
              <w:rPr>
                <w:rStyle w:val="f101"/>
                <w:rFonts w:eastAsia="黑体"/>
                <w:sz w:val="28"/>
                <w:szCs w:val="28"/>
              </w:rPr>
            </w:pPr>
            <w:r w:rsidRPr="00400912">
              <w:rPr>
                <w:rStyle w:val="f101"/>
                <w:rFonts w:eastAsia="黑体"/>
                <w:sz w:val="28"/>
                <w:szCs w:val="28"/>
              </w:rPr>
              <w:t>可能的危害</w:t>
            </w:r>
          </w:p>
        </w:tc>
      </w:tr>
      <w:tr w:rsidR="002B20C0" w:rsidRPr="00400912" w:rsidTr="00B2728E">
        <w:trPr>
          <w:cantSplit/>
          <w:trHeight w:val="567"/>
          <w:jc w:val="center"/>
        </w:trPr>
        <w:tc>
          <w:tcPr>
            <w:tcW w:w="1146" w:type="dxa"/>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1</w:t>
            </w:r>
          </w:p>
        </w:tc>
        <w:tc>
          <w:tcPr>
            <w:tcW w:w="2026" w:type="dxa"/>
            <w:vMerge w:val="restart"/>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能量危害</w:t>
            </w: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电能（电击）</w:t>
            </w:r>
          </w:p>
        </w:tc>
      </w:tr>
      <w:tr w:rsidR="002B20C0" w:rsidRPr="00400912" w:rsidTr="00B2728E">
        <w:trPr>
          <w:cantSplit/>
          <w:trHeight w:val="1077"/>
          <w:jc w:val="center"/>
        </w:trPr>
        <w:tc>
          <w:tcPr>
            <w:tcW w:w="1146" w:type="dxa"/>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2</w:t>
            </w:r>
          </w:p>
        </w:tc>
        <w:tc>
          <w:tcPr>
            <w:tcW w:w="2026" w:type="dxa"/>
            <w:vMerge/>
            <w:vAlign w:val="center"/>
          </w:tcPr>
          <w:p w:rsidR="002B20C0" w:rsidRPr="00400912" w:rsidRDefault="002B20C0" w:rsidP="00B2728E">
            <w:pPr>
              <w:overflowPunct w:val="0"/>
              <w:spacing w:line="520" w:lineRule="exact"/>
              <w:jc w:val="center"/>
              <w:rPr>
                <w:rStyle w:val="f101"/>
                <w:rFonts w:eastAsia="仿宋_GB2312"/>
                <w:sz w:val="28"/>
                <w:szCs w:val="28"/>
              </w:rPr>
            </w:pP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热能（皮肤电极表面温升）</w:t>
            </w:r>
          </w:p>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电灼、电流密度（电极面积、输出强度）</w:t>
            </w:r>
          </w:p>
        </w:tc>
      </w:tr>
      <w:tr w:rsidR="002B20C0" w:rsidRPr="00400912" w:rsidTr="00B2728E">
        <w:trPr>
          <w:cantSplit/>
          <w:trHeight w:val="567"/>
          <w:jc w:val="center"/>
        </w:trPr>
        <w:tc>
          <w:tcPr>
            <w:tcW w:w="1146" w:type="dxa"/>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3</w:t>
            </w:r>
          </w:p>
        </w:tc>
        <w:tc>
          <w:tcPr>
            <w:tcW w:w="2026" w:type="dxa"/>
            <w:vMerge w:val="restart"/>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生物学危害</w:t>
            </w: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生物污染（感染）</w:t>
            </w:r>
          </w:p>
        </w:tc>
      </w:tr>
      <w:tr w:rsidR="002B20C0" w:rsidRPr="00400912" w:rsidTr="00B2728E">
        <w:trPr>
          <w:cantSplit/>
          <w:trHeight w:val="567"/>
          <w:jc w:val="center"/>
        </w:trPr>
        <w:tc>
          <w:tcPr>
            <w:tcW w:w="1146" w:type="dxa"/>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4</w:t>
            </w:r>
          </w:p>
        </w:tc>
        <w:tc>
          <w:tcPr>
            <w:tcW w:w="2026" w:type="dxa"/>
            <w:vMerge/>
            <w:vAlign w:val="center"/>
          </w:tcPr>
          <w:p w:rsidR="002B20C0" w:rsidRPr="00400912" w:rsidRDefault="002B20C0" w:rsidP="00B2728E">
            <w:pPr>
              <w:overflowPunct w:val="0"/>
              <w:spacing w:line="520" w:lineRule="exact"/>
              <w:jc w:val="center"/>
              <w:rPr>
                <w:rStyle w:val="f101"/>
                <w:rFonts w:eastAsia="仿宋_GB2312"/>
                <w:sz w:val="28"/>
                <w:szCs w:val="28"/>
              </w:rPr>
            </w:pP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生物不相容性（过敏）</w:t>
            </w:r>
          </w:p>
        </w:tc>
      </w:tr>
      <w:tr w:rsidR="002B20C0" w:rsidRPr="00400912" w:rsidTr="00B2728E">
        <w:trPr>
          <w:trHeight w:val="567"/>
          <w:jc w:val="center"/>
        </w:trPr>
        <w:tc>
          <w:tcPr>
            <w:tcW w:w="1146" w:type="dxa"/>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5</w:t>
            </w:r>
          </w:p>
        </w:tc>
        <w:tc>
          <w:tcPr>
            <w:tcW w:w="2026" w:type="dxa"/>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环境危害</w:t>
            </w: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电磁兼容性（电磁发射及干扰）</w:t>
            </w:r>
          </w:p>
        </w:tc>
      </w:tr>
      <w:tr w:rsidR="002B20C0" w:rsidRPr="00400912" w:rsidTr="00B2728E">
        <w:trPr>
          <w:cantSplit/>
          <w:trHeight w:val="567"/>
          <w:jc w:val="center"/>
        </w:trPr>
        <w:tc>
          <w:tcPr>
            <w:tcW w:w="1146" w:type="dxa"/>
            <w:vMerge w:val="restart"/>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6</w:t>
            </w:r>
          </w:p>
        </w:tc>
        <w:tc>
          <w:tcPr>
            <w:tcW w:w="2026" w:type="dxa"/>
            <w:vMerge w:val="restart"/>
            <w:vAlign w:val="center"/>
          </w:tcPr>
          <w:p w:rsidR="002B20C0" w:rsidRPr="00400912" w:rsidRDefault="002B20C0" w:rsidP="00B2728E">
            <w:pPr>
              <w:overflowPunct w:val="0"/>
              <w:spacing w:line="520" w:lineRule="exact"/>
              <w:jc w:val="center"/>
              <w:rPr>
                <w:rStyle w:val="f101"/>
                <w:rFonts w:eastAsia="仿宋_GB2312"/>
                <w:sz w:val="28"/>
                <w:szCs w:val="28"/>
              </w:rPr>
            </w:pPr>
            <w:r w:rsidRPr="00400912">
              <w:rPr>
                <w:rStyle w:val="f101"/>
                <w:rFonts w:eastAsia="仿宋_GB2312"/>
                <w:sz w:val="28"/>
                <w:szCs w:val="28"/>
              </w:rPr>
              <w:t>使用中危害</w:t>
            </w: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不适当的标记（标志、标签）</w:t>
            </w:r>
          </w:p>
        </w:tc>
      </w:tr>
      <w:tr w:rsidR="002B20C0" w:rsidRPr="00400912" w:rsidTr="00B2728E">
        <w:trPr>
          <w:cantSplit/>
          <w:trHeight w:val="567"/>
          <w:jc w:val="center"/>
        </w:trPr>
        <w:tc>
          <w:tcPr>
            <w:tcW w:w="1146" w:type="dxa"/>
            <w:vMerge/>
            <w:vAlign w:val="center"/>
          </w:tcPr>
          <w:p w:rsidR="002B20C0" w:rsidRPr="00400912" w:rsidRDefault="002B20C0" w:rsidP="00B2728E">
            <w:pPr>
              <w:overflowPunct w:val="0"/>
              <w:spacing w:line="520" w:lineRule="exact"/>
              <w:jc w:val="center"/>
              <w:rPr>
                <w:rStyle w:val="f101"/>
                <w:rFonts w:eastAsia="仿宋_GB2312"/>
                <w:sz w:val="28"/>
                <w:szCs w:val="28"/>
              </w:rPr>
            </w:pPr>
          </w:p>
        </w:tc>
        <w:tc>
          <w:tcPr>
            <w:tcW w:w="2026" w:type="dxa"/>
            <w:vMerge/>
            <w:vAlign w:val="center"/>
          </w:tcPr>
          <w:p w:rsidR="002B20C0" w:rsidRPr="00400912" w:rsidRDefault="002B20C0" w:rsidP="00B2728E">
            <w:pPr>
              <w:overflowPunct w:val="0"/>
              <w:spacing w:line="520" w:lineRule="exact"/>
              <w:jc w:val="center"/>
              <w:rPr>
                <w:rStyle w:val="f101"/>
                <w:rFonts w:eastAsia="仿宋_GB2312"/>
                <w:sz w:val="28"/>
                <w:szCs w:val="28"/>
              </w:rPr>
            </w:pPr>
          </w:p>
        </w:tc>
        <w:tc>
          <w:tcPr>
            <w:tcW w:w="5196" w:type="dxa"/>
            <w:vAlign w:val="center"/>
          </w:tcPr>
          <w:p w:rsidR="002B20C0" w:rsidRPr="00400912" w:rsidRDefault="002B20C0" w:rsidP="00B2728E">
            <w:pPr>
              <w:overflowPunct w:val="0"/>
              <w:spacing w:line="520" w:lineRule="exact"/>
              <w:rPr>
                <w:rStyle w:val="f101"/>
                <w:rFonts w:eastAsia="仿宋_GB2312"/>
                <w:sz w:val="28"/>
                <w:szCs w:val="28"/>
              </w:rPr>
            </w:pPr>
            <w:r w:rsidRPr="00400912">
              <w:rPr>
                <w:rStyle w:val="f101"/>
                <w:rFonts w:eastAsia="仿宋_GB2312"/>
                <w:sz w:val="28"/>
                <w:szCs w:val="28"/>
              </w:rPr>
              <w:t>不适当的操作说明</w:t>
            </w:r>
          </w:p>
        </w:tc>
      </w:tr>
    </w:tbl>
    <w:p w:rsidR="002B20C0" w:rsidRPr="00511576" w:rsidRDefault="002B20C0" w:rsidP="002B20C0">
      <w:pPr>
        <w:overflowPunct w:val="0"/>
        <w:spacing w:line="240" w:lineRule="exact"/>
        <w:ind w:leftChars="-171" w:left="-359" w:rightChars="-159" w:right="-334" w:firstLineChars="200" w:firstLine="643"/>
        <w:jc w:val="left"/>
        <w:rPr>
          <w:rStyle w:val="f101"/>
          <w:rFonts w:ascii="仿宋" w:eastAsia="仿宋" w:hAnsi="仿宋"/>
          <w:b/>
          <w:sz w:val="32"/>
          <w:szCs w:val="28"/>
        </w:rPr>
      </w:pP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hint="eastAsia"/>
          <w:sz w:val="32"/>
          <w:szCs w:val="28"/>
        </w:rPr>
        <w:t>（八）产品技术要求应包括的主要性能指标</w:t>
      </w:r>
    </w:p>
    <w:p w:rsidR="002B20C0" w:rsidRPr="007114E0" w:rsidRDefault="002B20C0" w:rsidP="002B20C0">
      <w:pPr>
        <w:overflowPunct w:val="0"/>
        <w:spacing w:line="540" w:lineRule="exact"/>
        <w:ind w:firstLineChars="200" w:firstLine="640"/>
        <w:rPr>
          <w:rFonts w:eastAsia="仿宋_GB2312"/>
          <w:b/>
          <w:sz w:val="32"/>
          <w:szCs w:val="28"/>
        </w:rPr>
      </w:pPr>
      <w:r w:rsidRPr="00012843">
        <w:rPr>
          <w:rFonts w:eastAsia="仿宋_GB2312"/>
          <w:sz w:val="32"/>
          <w:szCs w:val="28"/>
        </w:rPr>
        <w:t>下列术语定义适用于本指导原则：</w:t>
      </w:r>
    </w:p>
    <w:p w:rsidR="002B20C0" w:rsidRPr="006A16BF" w:rsidRDefault="002B20C0" w:rsidP="002B20C0">
      <w:pPr>
        <w:overflowPunct w:val="0"/>
        <w:spacing w:line="540" w:lineRule="exact"/>
        <w:ind w:firstLineChars="200" w:firstLine="640"/>
        <w:rPr>
          <w:rFonts w:eastAsia="仿宋_GB2312"/>
          <w:sz w:val="32"/>
          <w:szCs w:val="28"/>
        </w:rPr>
      </w:pPr>
      <w:r w:rsidRPr="001707F2">
        <w:rPr>
          <w:rFonts w:eastAsia="仿宋_GB2312"/>
          <w:sz w:val="32"/>
          <w:szCs w:val="28"/>
        </w:rPr>
        <w:t>差频频率</w:t>
      </w:r>
      <w:r w:rsidRPr="007A5484">
        <w:rPr>
          <w:rFonts w:eastAsia="仿宋_GB2312"/>
          <w:sz w:val="32"/>
          <w:szCs w:val="28"/>
        </w:rPr>
        <w:t>范围：干扰电治疗设备两路不同频率输出之间频率之差的范围。</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动态节律：形成干扰的中频电流幅度的调制周期。</w:t>
      </w:r>
    </w:p>
    <w:p w:rsidR="002B20C0" w:rsidRPr="00400912" w:rsidRDefault="002B20C0" w:rsidP="002B20C0">
      <w:pPr>
        <w:overflowPunct w:val="0"/>
        <w:spacing w:line="540" w:lineRule="exact"/>
        <w:ind w:firstLineChars="200" w:firstLine="640"/>
        <w:rPr>
          <w:rFonts w:eastAsia="仿宋_GB2312"/>
          <w:sz w:val="32"/>
          <w:szCs w:val="28"/>
        </w:rPr>
      </w:pPr>
      <w:r w:rsidRPr="00400912">
        <w:rPr>
          <w:rFonts w:eastAsia="仿宋_GB2312"/>
          <w:sz w:val="32"/>
          <w:szCs w:val="28"/>
        </w:rPr>
        <w:t>差频变化周期：干扰电治疗设备两路不同频率输出之间频率之差范围的变化周期。</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lastRenderedPageBreak/>
        <w:t>中频电疗产品应至少包括以下技术指标的要求：</w:t>
      </w:r>
    </w:p>
    <w:p w:rsidR="002B20C0" w:rsidRPr="00012843"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1.</w:t>
      </w:r>
      <w:r w:rsidRPr="00012843">
        <w:rPr>
          <w:rFonts w:eastAsia="仿宋_GB2312"/>
          <w:sz w:val="32"/>
          <w:szCs w:val="28"/>
        </w:rPr>
        <w:t>工作频率为</w:t>
      </w:r>
      <w:r w:rsidRPr="007114E0">
        <w:rPr>
          <w:rFonts w:eastAsia="仿宋_GB2312"/>
          <w:sz w:val="32"/>
          <w:szCs w:val="28"/>
        </w:rPr>
        <w:t>1kHz</w:t>
      </w:r>
      <w:r w:rsidRPr="001707F2">
        <w:rPr>
          <w:rFonts w:ascii="仿宋_GB2312" w:eastAsia="仿宋_GB2312" w:hint="eastAsia"/>
          <w:color w:val="000000"/>
          <w:sz w:val="32"/>
          <w:szCs w:val="28"/>
        </w:rPr>
        <w:t>—</w:t>
      </w:r>
      <w:r w:rsidRPr="007A5484">
        <w:rPr>
          <w:rFonts w:eastAsia="仿宋_GB2312"/>
          <w:sz w:val="32"/>
          <w:szCs w:val="28"/>
        </w:rPr>
        <w:t>100kHz</w:t>
      </w:r>
      <w:r w:rsidRPr="006A16BF">
        <w:rPr>
          <w:rFonts w:eastAsia="仿宋_GB2312"/>
          <w:sz w:val="32"/>
          <w:szCs w:val="28"/>
        </w:rPr>
        <w:t>范围内的单一频率或频段，频率允差</w:t>
      </w:r>
      <w:r w:rsidRPr="00400912">
        <w:rPr>
          <w:rFonts w:eastAsia="仿宋_GB2312"/>
          <w:sz w:val="32"/>
          <w:szCs w:val="28"/>
        </w:rPr>
        <w:t>±10%</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b/>
          <w:sz w:val="32"/>
          <w:szCs w:val="28"/>
        </w:rPr>
      </w:pPr>
      <w:r w:rsidRPr="007114E0">
        <w:rPr>
          <w:rFonts w:eastAsia="仿宋_GB2312"/>
          <w:sz w:val="32"/>
          <w:szCs w:val="28"/>
        </w:rPr>
        <w:t>2</w:t>
      </w:r>
      <w:r w:rsidRPr="00400912">
        <w:rPr>
          <w:rFonts w:eastAsia="仿宋_GB2312"/>
          <w:sz w:val="32"/>
          <w:szCs w:val="28"/>
        </w:rPr>
        <w:t>.</w:t>
      </w:r>
      <w:r w:rsidRPr="00012843">
        <w:rPr>
          <w:rFonts w:eastAsia="仿宋_GB2312"/>
          <w:sz w:val="32"/>
          <w:szCs w:val="28"/>
        </w:rPr>
        <w:t>输出电流：在</w:t>
      </w:r>
      <w:r w:rsidRPr="007114E0">
        <w:rPr>
          <w:rFonts w:eastAsia="仿宋_GB2312"/>
          <w:sz w:val="32"/>
          <w:szCs w:val="28"/>
        </w:rPr>
        <w:t>500Ω</w:t>
      </w:r>
      <w:r w:rsidRPr="001707F2">
        <w:rPr>
          <w:rFonts w:eastAsia="仿宋_GB2312"/>
          <w:sz w:val="32"/>
          <w:szCs w:val="28"/>
        </w:rPr>
        <w:t>的负载电阻下，输出电流必须不超过以下的限值：频率</w:t>
      </w:r>
      <w:r w:rsidRPr="007A5484">
        <w:rPr>
          <w:rFonts w:eastAsia="仿宋_GB2312"/>
          <w:sz w:val="32"/>
          <w:szCs w:val="28"/>
        </w:rPr>
        <w:t>≤1500Hz</w:t>
      </w:r>
      <w:r w:rsidRPr="006A16BF">
        <w:rPr>
          <w:rFonts w:eastAsia="仿宋_GB2312"/>
          <w:sz w:val="32"/>
          <w:szCs w:val="28"/>
        </w:rPr>
        <w:t>，为</w:t>
      </w:r>
      <w:r w:rsidRPr="00400912">
        <w:rPr>
          <w:rFonts w:eastAsia="仿宋_GB2312"/>
          <w:sz w:val="32"/>
          <w:szCs w:val="28"/>
        </w:rPr>
        <w:t>80mA</w:t>
      </w:r>
      <w:r w:rsidRPr="00400912">
        <w:rPr>
          <w:rFonts w:eastAsia="仿宋_GB2312"/>
          <w:sz w:val="32"/>
          <w:szCs w:val="28"/>
        </w:rPr>
        <w:t>（</w:t>
      </w:r>
      <w:r w:rsidRPr="00012843">
        <w:rPr>
          <w:rFonts w:eastAsia="仿宋_GB2312"/>
          <w:sz w:val="32"/>
          <w:szCs w:val="28"/>
        </w:rPr>
        <w:t>r.m.s</w:t>
      </w:r>
      <w:r w:rsidRPr="00400912">
        <w:rPr>
          <w:rFonts w:eastAsia="仿宋_GB2312"/>
          <w:sz w:val="32"/>
          <w:szCs w:val="28"/>
        </w:rPr>
        <w:t>）；</w:t>
      </w:r>
      <w:r w:rsidRPr="00012843">
        <w:rPr>
          <w:rFonts w:eastAsia="仿宋_GB2312"/>
          <w:sz w:val="32"/>
          <w:szCs w:val="28"/>
        </w:rPr>
        <w:t>频率＞</w:t>
      </w:r>
      <w:r w:rsidRPr="007114E0">
        <w:rPr>
          <w:rFonts w:eastAsia="仿宋_GB2312"/>
          <w:sz w:val="32"/>
          <w:szCs w:val="28"/>
        </w:rPr>
        <w:t>1500Hz</w:t>
      </w:r>
      <w:r w:rsidRPr="001707F2">
        <w:rPr>
          <w:rFonts w:eastAsia="仿宋_GB2312"/>
          <w:sz w:val="32"/>
          <w:szCs w:val="28"/>
        </w:rPr>
        <w:t>为</w:t>
      </w:r>
      <w:r w:rsidRPr="007A5484">
        <w:rPr>
          <w:rFonts w:eastAsia="仿宋_GB2312"/>
          <w:sz w:val="32"/>
          <w:szCs w:val="28"/>
        </w:rPr>
        <w:t>100mA</w:t>
      </w:r>
      <w:r w:rsidRPr="00400912">
        <w:rPr>
          <w:rFonts w:eastAsia="仿宋_GB2312"/>
          <w:sz w:val="32"/>
          <w:szCs w:val="28"/>
        </w:rPr>
        <w:t>（</w:t>
      </w:r>
      <w:r w:rsidRPr="00012843">
        <w:rPr>
          <w:rFonts w:eastAsia="仿宋_GB2312"/>
          <w:sz w:val="32"/>
          <w:szCs w:val="28"/>
        </w:rPr>
        <w:t>r.m.s</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3</w:t>
      </w:r>
      <w:r w:rsidRPr="00400912">
        <w:rPr>
          <w:rFonts w:eastAsia="仿宋_GB2312"/>
          <w:sz w:val="32"/>
          <w:szCs w:val="28"/>
        </w:rPr>
        <w:t>.</w:t>
      </w:r>
      <w:r w:rsidRPr="00012843">
        <w:rPr>
          <w:rFonts w:eastAsia="仿宋_GB2312"/>
          <w:sz w:val="32"/>
          <w:szCs w:val="28"/>
        </w:rPr>
        <w:t>输出电流稳定度：不同负载下的输出电流变化率应不大于</w:t>
      </w:r>
      <w:r w:rsidRPr="007114E0">
        <w:rPr>
          <w:rFonts w:eastAsia="仿宋_GB2312"/>
          <w:sz w:val="32"/>
          <w:szCs w:val="28"/>
        </w:rPr>
        <w:t>10%</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pacing w:val="-12"/>
          <w:sz w:val="32"/>
          <w:szCs w:val="28"/>
        </w:rPr>
      </w:pPr>
      <w:r w:rsidRPr="007114E0">
        <w:rPr>
          <w:rFonts w:eastAsia="仿宋_GB2312"/>
          <w:sz w:val="32"/>
          <w:szCs w:val="28"/>
        </w:rPr>
        <w:t>4</w:t>
      </w:r>
      <w:r w:rsidRPr="00400912">
        <w:rPr>
          <w:rFonts w:eastAsia="仿宋_GB2312"/>
          <w:sz w:val="32"/>
          <w:szCs w:val="28"/>
        </w:rPr>
        <w:t>.</w:t>
      </w:r>
      <w:r w:rsidRPr="00400912">
        <w:rPr>
          <w:rFonts w:eastAsia="仿宋_GB2312"/>
          <w:spacing w:val="-12"/>
          <w:sz w:val="32"/>
          <w:szCs w:val="28"/>
        </w:rPr>
        <w:t>调制频率范围：低频调制中频电疗设备调制频率应在</w:t>
      </w:r>
      <w:r w:rsidRPr="00400912">
        <w:rPr>
          <w:rFonts w:eastAsia="仿宋_GB2312"/>
          <w:spacing w:val="-12"/>
          <w:sz w:val="32"/>
          <w:szCs w:val="28"/>
        </w:rPr>
        <w:t>0</w:t>
      </w:r>
      <w:r w:rsidRPr="00400912">
        <w:rPr>
          <w:rStyle w:val="f101"/>
          <w:rFonts w:ascii="仿宋_GB2312" w:eastAsia="仿宋_GB2312" w:hint="eastAsia"/>
          <w:spacing w:val="-12"/>
          <w:sz w:val="28"/>
          <w:szCs w:val="28"/>
        </w:rPr>
        <w:t>—</w:t>
      </w:r>
      <w:r w:rsidRPr="00400912">
        <w:rPr>
          <w:rFonts w:eastAsia="仿宋_GB2312"/>
          <w:spacing w:val="-12"/>
          <w:sz w:val="32"/>
          <w:szCs w:val="28"/>
        </w:rPr>
        <w:t>150Hz</w:t>
      </w:r>
      <w:r w:rsidRPr="00400912">
        <w:rPr>
          <w:rFonts w:eastAsia="仿宋_GB2312"/>
          <w:spacing w:val="-12"/>
          <w:sz w:val="32"/>
          <w:szCs w:val="28"/>
        </w:rPr>
        <w:t>范围内。</w:t>
      </w:r>
    </w:p>
    <w:p w:rsidR="002B20C0" w:rsidRPr="00012843"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5</w:t>
      </w:r>
      <w:r w:rsidRPr="00400912">
        <w:rPr>
          <w:rFonts w:eastAsia="仿宋_GB2312"/>
          <w:sz w:val="32"/>
          <w:szCs w:val="28"/>
        </w:rPr>
        <w:t>.</w:t>
      </w:r>
      <w:r w:rsidRPr="00012843">
        <w:rPr>
          <w:rFonts w:eastAsia="仿宋_GB2312"/>
          <w:sz w:val="32"/>
          <w:szCs w:val="28"/>
        </w:rPr>
        <w:t>差频频率范围：干扰电治疗设备差频频率应在</w:t>
      </w:r>
      <w:r w:rsidRPr="007114E0">
        <w:rPr>
          <w:rFonts w:eastAsia="仿宋_GB2312"/>
          <w:sz w:val="32"/>
          <w:szCs w:val="28"/>
        </w:rPr>
        <w:t>0</w:t>
      </w:r>
      <w:r w:rsidRPr="007A5484">
        <w:rPr>
          <w:rStyle w:val="f101"/>
          <w:rFonts w:ascii="仿宋_GB2312" w:eastAsia="仿宋_GB2312" w:hint="eastAsia"/>
          <w:sz w:val="28"/>
          <w:szCs w:val="28"/>
        </w:rPr>
        <w:t>—</w:t>
      </w:r>
      <w:r w:rsidRPr="00012843">
        <w:rPr>
          <w:rFonts w:eastAsia="仿宋_GB2312"/>
          <w:sz w:val="32"/>
          <w:szCs w:val="28"/>
        </w:rPr>
        <w:t>200Hz</w:t>
      </w:r>
      <w:r w:rsidRPr="007114E0">
        <w:rPr>
          <w:rFonts w:eastAsia="仿宋_GB2312"/>
          <w:sz w:val="32"/>
          <w:szCs w:val="28"/>
        </w:rPr>
        <w:t>范围内</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6</w:t>
      </w:r>
      <w:r w:rsidRPr="00400912">
        <w:rPr>
          <w:rFonts w:eastAsia="仿宋_GB2312"/>
          <w:sz w:val="32"/>
          <w:szCs w:val="28"/>
        </w:rPr>
        <w:t>.</w:t>
      </w:r>
      <w:r w:rsidRPr="00012843">
        <w:rPr>
          <w:rFonts w:eastAsia="仿宋_GB2312"/>
          <w:sz w:val="32"/>
          <w:szCs w:val="28"/>
        </w:rPr>
        <w:t>调幅度：低频调制中频电疗设备输出波形应有调幅度指标，或连续在</w:t>
      </w:r>
      <w:r w:rsidRPr="007114E0">
        <w:rPr>
          <w:rFonts w:eastAsia="仿宋_GB2312"/>
          <w:sz w:val="32"/>
          <w:szCs w:val="28"/>
        </w:rPr>
        <w:t>0%</w:t>
      </w:r>
      <w:r w:rsidRPr="007A5484">
        <w:rPr>
          <w:rStyle w:val="f101"/>
          <w:rFonts w:ascii="仿宋_GB2312" w:eastAsia="仿宋_GB2312" w:hint="eastAsia"/>
          <w:sz w:val="28"/>
          <w:szCs w:val="28"/>
        </w:rPr>
        <w:t>—</w:t>
      </w:r>
      <w:r w:rsidRPr="006A16BF">
        <w:rPr>
          <w:rFonts w:eastAsia="仿宋_GB2312"/>
          <w:sz w:val="32"/>
          <w:szCs w:val="28"/>
        </w:rPr>
        <w:t>100%</w:t>
      </w:r>
      <w:r w:rsidRPr="00400912">
        <w:rPr>
          <w:rFonts w:eastAsia="仿宋_GB2312"/>
          <w:sz w:val="32"/>
          <w:szCs w:val="28"/>
        </w:rPr>
        <w:t>的调幅度范围内可调，调幅度允差</w:t>
      </w:r>
      <w:r w:rsidRPr="00400912">
        <w:rPr>
          <w:rFonts w:eastAsia="仿宋_GB2312"/>
          <w:sz w:val="32"/>
          <w:szCs w:val="28"/>
        </w:rPr>
        <w:t>±5%</w:t>
      </w:r>
      <w:r w:rsidRPr="00400912">
        <w:rPr>
          <w:rFonts w:eastAsia="仿宋_GB2312"/>
          <w:sz w:val="32"/>
          <w:szCs w:val="28"/>
        </w:rPr>
        <w:t>。</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7.</w:t>
      </w:r>
      <w:r w:rsidRPr="00012843">
        <w:rPr>
          <w:rFonts w:eastAsia="仿宋_GB2312"/>
          <w:sz w:val="32"/>
          <w:szCs w:val="28"/>
        </w:rPr>
        <w:t>动态节律：动态干扰电治疗设备的动态节律为</w:t>
      </w:r>
      <w:r w:rsidRPr="007114E0">
        <w:rPr>
          <w:rFonts w:eastAsia="仿宋_GB2312"/>
          <w:sz w:val="32"/>
          <w:szCs w:val="28"/>
        </w:rPr>
        <w:t>4s</w:t>
      </w:r>
      <w:r w:rsidRPr="001707F2">
        <w:rPr>
          <w:rStyle w:val="f101"/>
          <w:rFonts w:ascii="仿宋_GB2312" w:eastAsia="仿宋_GB2312" w:hint="eastAsia"/>
          <w:sz w:val="28"/>
          <w:szCs w:val="28"/>
        </w:rPr>
        <w:t>—</w:t>
      </w:r>
      <w:r w:rsidRPr="007A5484">
        <w:rPr>
          <w:rFonts w:eastAsia="仿宋_GB2312"/>
          <w:sz w:val="32"/>
          <w:szCs w:val="28"/>
        </w:rPr>
        <w:t>10s</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8</w:t>
      </w:r>
      <w:r w:rsidRPr="00400912">
        <w:rPr>
          <w:rFonts w:eastAsia="仿宋_GB2312"/>
          <w:sz w:val="32"/>
          <w:szCs w:val="28"/>
        </w:rPr>
        <w:t>.</w:t>
      </w:r>
      <w:r w:rsidRPr="00400912">
        <w:rPr>
          <w:rFonts w:eastAsia="仿宋_GB2312"/>
          <w:spacing w:val="-8"/>
          <w:sz w:val="32"/>
          <w:szCs w:val="28"/>
        </w:rPr>
        <w:t>差频变化周期：干扰电治疗设备的差频变化周期为</w:t>
      </w:r>
      <w:r w:rsidRPr="00400912">
        <w:rPr>
          <w:rFonts w:eastAsia="仿宋_GB2312"/>
          <w:spacing w:val="-8"/>
          <w:sz w:val="32"/>
          <w:szCs w:val="28"/>
        </w:rPr>
        <w:t>15s</w:t>
      </w:r>
      <w:r w:rsidRPr="00400912">
        <w:rPr>
          <w:rStyle w:val="f101"/>
          <w:rFonts w:ascii="仿宋_GB2312" w:eastAsia="仿宋_GB2312" w:hint="eastAsia"/>
          <w:spacing w:val="-8"/>
          <w:sz w:val="28"/>
          <w:szCs w:val="28"/>
        </w:rPr>
        <w:t>—</w:t>
      </w:r>
      <w:r w:rsidRPr="00400912">
        <w:rPr>
          <w:rFonts w:eastAsia="仿宋_GB2312"/>
          <w:spacing w:val="-8"/>
          <w:sz w:val="32"/>
          <w:szCs w:val="28"/>
        </w:rPr>
        <w:t>30s</w:t>
      </w:r>
      <w:r w:rsidRPr="00400912">
        <w:rPr>
          <w:rFonts w:eastAsia="仿宋_GB2312"/>
          <w:spacing w:val="-8"/>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9</w:t>
      </w:r>
      <w:r w:rsidRPr="00400912">
        <w:rPr>
          <w:rFonts w:eastAsia="仿宋_GB2312"/>
          <w:sz w:val="32"/>
          <w:szCs w:val="28"/>
        </w:rPr>
        <w:t>.</w:t>
      </w:r>
      <w:r w:rsidRPr="00012843">
        <w:rPr>
          <w:rFonts w:eastAsia="仿宋_GB2312"/>
          <w:sz w:val="32"/>
          <w:szCs w:val="28"/>
        </w:rPr>
        <w:t>连续工作时间应不少于</w:t>
      </w:r>
      <w:r w:rsidRPr="007114E0">
        <w:rPr>
          <w:rFonts w:eastAsia="仿宋_GB2312"/>
          <w:sz w:val="32"/>
          <w:szCs w:val="28"/>
        </w:rPr>
        <w:t>4h</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10</w:t>
      </w:r>
      <w:r w:rsidRPr="00400912">
        <w:rPr>
          <w:rFonts w:eastAsia="仿宋_GB2312"/>
          <w:sz w:val="32"/>
          <w:szCs w:val="28"/>
        </w:rPr>
        <w:t>.</w:t>
      </w:r>
      <w:r w:rsidRPr="00012843">
        <w:rPr>
          <w:rFonts w:eastAsia="仿宋_GB2312"/>
          <w:sz w:val="32"/>
          <w:szCs w:val="28"/>
        </w:rPr>
        <w:t>设备载波及调制波的频率和波形应加以描述</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11</w:t>
      </w:r>
      <w:r w:rsidRPr="00400912">
        <w:rPr>
          <w:rFonts w:eastAsia="仿宋_GB2312"/>
          <w:sz w:val="32"/>
          <w:szCs w:val="28"/>
        </w:rPr>
        <w:t>.</w:t>
      </w:r>
      <w:r w:rsidRPr="00012843">
        <w:rPr>
          <w:rFonts w:eastAsia="仿宋_GB2312"/>
          <w:sz w:val="32"/>
          <w:szCs w:val="28"/>
        </w:rPr>
        <w:t>处方的类型及载波波形应加以描</w:t>
      </w:r>
      <w:r w:rsidRPr="007114E0">
        <w:rPr>
          <w:rFonts w:eastAsia="仿宋_GB2312"/>
          <w:sz w:val="32"/>
          <w:szCs w:val="28"/>
        </w:rPr>
        <w:t>述</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12</w:t>
      </w:r>
      <w:r w:rsidRPr="00400912">
        <w:rPr>
          <w:rFonts w:eastAsia="仿宋_GB2312"/>
          <w:sz w:val="32"/>
          <w:szCs w:val="28"/>
        </w:rPr>
        <w:t>.</w:t>
      </w:r>
      <w:r w:rsidRPr="00012843">
        <w:rPr>
          <w:rFonts w:eastAsia="仿宋_GB2312"/>
          <w:sz w:val="32"/>
          <w:szCs w:val="28"/>
        </w:rPr>
        <w:t>电极：如为自制产品，应按照</w:t>
      </w:r>
      <w:r w:rsidRPr="007114E0">
        <w:rPr>
          <w:rFonts w:eastAsia="仿宋_GB2312"/>
          <w:sz w:val="32"/>
          <w:szCs w:val="28"/>
        </w:rPr>
        <w:t>GB/T 16886</w:t>
      </w:r>
      <w:r w:rsidRPr="001707F2">
        <w:rPr>
          <w:rFonts w:eastAsia="仿宋_GB2312"/>
          <w:sz w:val="32"/>
          <w:szCs w:val="28"/>
        </w:rPr>
        <w:t>系列标准进行生物学试验，同时还应考虑均匀性、电阻率、尺寸、连接性能、持</w:t>
      </w:r>
      <w:r w:rsidRPr="00400912">
        <w:rPr>
          <w:rFonts w:eastAsia="仿宋_GB2312"/>
          <w:sz w:val="32"/>
          <w:szCs w:val="28"/>
        </w:rPr>
        <w:t>粘</w:t>
      </w:r>
      <w:r w:rsidRPr="00012843">
        <w:rPr>
          <w:rFonts w:eastAsia="仿宋_GB2312"/>
          <w:sz w:val="32"/>
          <w:szCs w:val="28"/>
        </w:rPr>
        <w:t>性（若适用）、剥离强度（若适用）、加热性能（若适用）、抽吸力（若适用）等相关要求。如为外购产品，应购买已取得医</w:t>
      </w:r>
      <w:r w:rsidRPr="00012843">
        <w:rPr>
          <w:rFonts w:eastAsia="仿宋_GB2312"/>
          <w:sz w:val="32"/>
          <w:szCs w:val="28"/>
        </w:rPr>
        <w:lastRenderedPageBreak/>
        <w:t>疗器械产品注册证的产品</w:t>
      </w:r>
      <w:r w:rsidRPr="00400912">
        <w:rPr>
          <w:rFonts w:eastAsia="仿宋_GB2312"/>
          <w:sz w:val="32"/>
          <w:szCs w:val="28"/>
        </w:rPr>
        <w:t>。</w:t>
      </w:r>
    </w:p>
    <w:p w:rsidR="002B20C0" w:rsidRPr="007114E0"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13</w:t>
      </w:r>
      <w:r w:rsidRPr="00400912">
        <w:rPr>
          <w:rFonts w:eastAsia="仿宋_GB2312"/>
          <w:sz w:val="32"/>
          <w:szCs w:val="28"/>
        </w:rPr>
        <w:t>.</w:t>
      </w:r>
      <w:r w:rsidRPr="00012843">
        <w:rPr>
          <w:rFonts w:eastAsia="仿宋_GB2312"/>
          <w:sz w:val="32"/>
          <w:szCs w:val="28"/>
        </w:rPr>
        <w:t>安全应满足：</w:t>
      </w:r>
    </w:p>
    <w:p w:rsidR="002B20C0" w:rsidRPr="00012843" w:rsidRDefault="002B20C0" w:rsidP="002B20C0">
      <w:pPr>
        <w:overflowPunct w:val="0"/>
        <w:spacing w:line="560" w:lineRule="exact"/>
        <w:ind w:firstLineChars="200" w:firstLine="640"/>
        <w:rPr>
          <w:rStyle w:val="f101"/>
          <w:rFonts w:eastAsia="仿宋_GB2312"/>
          <w:sz w:val="32"/>
          <w:szCs w:val="28"/>
        </w:rPr>
      </w:pPr>
      <w:r w:rsidRPr="001707F2">
        <w:rPr>
          <w:rFonts w:eastAsia="仿宋_GB2312"/>
          <w:sz w:val="32"/>
          <w:szCs w:val="28"/>
        </w:rPr>
        <w:t>（</w:t>
      </w:r>
      <w:r w:rsidRPr="007A5484">
        <w:rPr>
          <w:rFonts w:eastAsia="仿宋_GB2312"/>
          <w:sz w:val="32"/>
          <w:szCs w:val="28"/>
        </w:rPr>
        <w:t>1</w:t>
      </w:r>
      <w:r w:rsidRPr="006A16BF">
        <w:rPr>
          <w:rFonts w:eastAsia="仿宋_GB2312"/>
          <w:sz w:val="32"/>
          <w:szCs w:val="28"/>
        </w:rPr>
        <w:t>）</w:t>
      </w:r>
      <w:r w:rsidRPr="00400912">
        <w:rPr>
          <w:rStyle w:val="f101"/>
          <w:rFonts w:eastAsia="仿宋_GB2312"/>
          <w:sz w:val="32"/>
          <w:szCs w:val="28"/>
        </w:rPr>
        <w:t>GB 9706.1</w:t>
      </w:r>
      <w:r w:rsidRPr="00400912">
        <w:rPr>
          <w:rStyle w:val="f101"/>
          <w:rFonts w:ascii="仿宋_GB2312" w:eastAsia="仿宋_GB2312" w:hint="eastAsia"/>
          <w:sz w:val="28"/>
          <w:szCs w:val="28"/>
        </w:rPr>
        <w:t>—</w:t>
      </w:r>
      <w:r w:rsidRPr="00012843">
        <w:rPr>
          <w:rStyle w:val="f101"/>
          <w:rFonts w:eastAsia="仿宋_GB2312"/>
          <w:sz w:val="32"/>
          <w:szCs w:val="28"/>
        </w:rPr>
        <w:t>2007</w:t>
      </w:r>
      <w:r w:rsidRPr="007114E0">
        <w:rPr>
          <w:rStyle w:val="f101"/>
          <w:rFonts w:eastAsia="仿宋_GB2312"/>
          <w:sz w:val="32"/>
          <w:szCs w:val="28"/>
        </w:rPr>
        <w:t>《医用电气设备</w:t>
      </w:r>
      <w:r w:rsidRPr="007A5484">
        <w:rPr>
          <w:rStyle w:val="f101"/>
          <w:rFonts w:eastAsia="仿宋_GB2312"/>
          <w:sz w:val="32"/>
          <w:szCs w:val="28"/>
        </w:rPr>
        <w:t>第</w:t>
      </w:r>
      <w:r w:rsidRPr="006A16BF">
        <w:rPr>
          <w:rStyle w:val="f101"/>
          <w:rFonts w:eastAsia="仿宋_GB2312"/>
          <w:sz w:val="32"/>
          <w:szCs w:val="28"/>
        </w:rPr>
        <w:t>1</w:t>
      </w:r>
      <w:r w:rsidRPr="00400912">
        <w:rPr>
          <w:rStyle w:val="f101"/>
          <w:rFonts w:eastAsia="仿宋_GB2312"/>
          <w:sz w:val="32"/>
          <w:szCs w:val="28"/>
        </w:rPr>
        <w:t>部分：安全通用要求》。</w:t>
      </w:r>
    </w:p>
    <w:p w:rsidR="002B20C0" w:rsidRPr="00012843" w:rsidRDefault="002B20C0" w:rsidP="002B20C0">
      <w:pPr>
        <w:overflowPunct w:val="0"/>
        <w:spacing w:line="560" w:lineRule="exact"/>
        <w:ind w:firstLineChars="200" w:firstLine="640"/>
        <w:rPr>
          <w:rStyle w:val="f101"/>
          <w:rFonts w:eastAsia="仿宋_GB2312"/>
          <w:sz w:val="32"/>
          <w:szCs w:val="28"/>
        </w:rPr>
      </w:pPr>
      <w:r w:rsidRPr="007114E0">
        <w:rPr>
          <w:rFonts w:eastAsia="仿宋_GB2312"/>
          <w:sz w:val="32"/>
          <w:szCs w:val="28"/>
        </w:rPr>
        <w:t>（</w:t>
      </w:r>
      <w:r w:rsidRPr="001707F2">
        <w:rPr>
          <w:rFonts w:eastAsia="仿宋_GB2312"/>
          <w:sz w:val="32"/>
          <w:szCs w:val="28"/>
        </w:rPr>
        <w:t>2</w:t>
      </w:r>
      <w:r w:rsidRPr="007A5484">
        <w:rPr>
          <w:rFonts w:eastAsia="仿宋_GB2312"/>
          <w:sz w:val="32"/>
          <w:szCs w:val="28"/>
        </w:rPr>
        <w:t>）</w:t>
      </w:r>
      <w:r w:rsidRPr="006A16BF">
        <w:rPr>
          <w:rStyle w:val="f101"/>
          <w:rFonts w:eastAsia="仿宋_GB2312"/>
          <w:sz w:val="32"/>
          <w:szCs w:val="28"/>
        </w:rPr>
        <w:t>YY 0607</w:t>
      </w:r>
      <w:r w:rsidRPr="00400912">
        <w:rPr>
          <w:rStyle w:val="f101"/>
          <w:rFonts w:ascii="仿宋_GB2312" w:eastAsia="仿宋_GB2312" w:hint="eastAsia"/>
          <w:sz w:val="28"/>
          <w:szCs w:val="28"/>
        </w:rPr>
        <w:t>—</w:t>
      </w:r>
      <w:r w:rsidRPr="00012843">
        <w:rPr>
          <w:rStyle w:val="f101"/>
          <w:rFonts w:eastAsia="仿宋_GB2312"/>
          <w:sz w:val="32"/>
          <w:szCs w:val="28"/>
        </w:rPr>
        <w:t>2007</w:t>
      </w:r>
      <w:r w:rsidRPr="007114E0">
        <w:rPr>
          <w:rStyle w:val="f101"/>
          <w:rFonts w:eastAsia="仿宋_GB2312"/>
          <w:sz w:val="32"/>
          <w:szCs w:val="28"/>
        </w:rPr>
        <w:t>《医用电气设备</w:t>
      </w:r>
      <w:r w:rsidRPr="007A5484">
        <w:rPr>
          <w:rStyle w:val="f101"/>
          <w:rFonts w:eastAsia="仿宋_GB2312"/>
          <w:sz w:val="32"/>
          <w:szCs w:val="28"/>
        </w:rPr>
        <w:t>第</w:t>
      </w:r>
      <w:r w:rsidRPr="006A16BF">
        <w:rPr>
          <w:rStyle w:val="f101"/>
          <w:rFonts w:eastAsia="仿宋_GB2312"/>
          <w:sz w:val="32"/>
          <w:szCs w:val="28"/>
        </w:rPr>
        <w:t>2</w:t>
      </w:r>
      <w:r w:rsidRPr="00400912">
        <w:rPr>
          <w:rStyle w:val="f101"/>
          <w:rFonts w:eastAsia="仿宋_GB2312"/>
          <w:sz w:val="32"/>
          <w:szCs w:val="28"/>
        </w:rPr>
        <w:t>部分：神经和肌肉刺激器安全专用要求》。</w:t>
      </w:r>
    </w:p>
    <w:p w:rsidR="002B20C0" w:rsidRPr="00012843" w:rsidRDefault="002B20C0" w:rsidP="002B20C0">
      <w:pPr>
        <w:overflowPunct w:val="0"/>
        <w:spacing w:line="560" w:lineRule="exact"/>
        <w:ind w:firstLineChars="200" w:firstLine="640"/>
        <w:rPr>
          <w:rFonts w:eastAsia="仿宋_GB2312"/>
          <w:sz w:val="32"/>
          <w:szCs w:val="28"/>
        </w:rPr>
      </w:pPr>
      <w:r w:rsidRPr="007114E0">
        <w:rPr>
          <w:rStyle w:val="f101"/>
          <w:rFonts w:eastAsia="仿宋_GB2312"/>
          <w:sz w:val="32"/>
          <w:szCs w:val="28"/>
        </w:rPr>
        <w:t>（</w:t>
      </w:r>
      <w:r w:rsidRPr="001707F2">
        <w:rPr>
          <w:rStyle w:val="f101"/>
          <w:rFonts w:eastAsia="仿宋_GB2312"/>
          <w:sz w:val="32"/>
          <w:szCs w:val="28"/>
        </w:rPr>
        <w:t>3</w:t>
      </w:r>
      <w:r w:rsidRPr="007A5484">
        <w:rPr>
          <w:rStyle w:val="f101"/>
          <w:rFonts w:eastAsia="仿宋_GB2312"/>
          <w:sz w:val="32"/>
          <w:szCs w:val="28"/>
        </w:rPr>
        <w:t>）</w:t>
      </w:r>
      <w:r w:rsidRPr="006A16BF">
        <w:rPr>
          <w:rStyle w:val="f101"/>
          <w:rFonts w:eastAsia="仿宋_GB2312"/>
          <w:sz w:val="32"/>
          <w:szCs w:val="28"/>
        </w:rPr>
        <w:t>YY 0505</w:t>
      </w:r>
      <w:r w:rsidRPr="00400912">
        <w:rPr>
          <w:rStyle w:val="f101"/>
          <w:rFonts w:ascii="仿宋_GB2312" w:eastAsia="仿宋_GB2312" w:hint="eastAsia"/>
          <w:sz w:val="28"/>
          <w:szCs w:val="28"/>
        </w:rPr>
        <w:t>—</w:t>
      </w:r>
      <w:r w:rsidRPr="00012843">
        <w:rPr>
          <w:rStyle w:val="f101"/>
          <w:rFonts w:eastAsia="仿宋_GB2312"/>
          <w:sz w:val="32"/>
          <w:szCs w:val="28"/>
        </w:rPr>
        <w:t>2012</w:t>
      </w:r>
      <w:r w:rsidRPr="007114E0">
        <w:rPr>
          <w:rStyle w:val="f101"/>
          <w:rFonts w:eastAsia="仿宋_GB2312"/>
          <w:sz w:val="32"/>
          <w:szCs w:val="28"/>
        </w:rPr>
        <w:t>《医用电气设备</w:t>
      </w:r>
      <w:r w:rsidRPr="007A5484">
        <w:rPr>
          <w:rStyle w:val="f101"/>
          <w:rFonts w:eastAsia="仿宋_GB2312"/>
          <w:sz w:val="32"/>
          <w:szCs w:val="28"/>
        </w:rPr>
        <w:t>第</w:t>
      </w:r>
      <w:r w:rsidRPr="006A16BF">
        <w:rPr>
          <w:rStyle w:val="f101"/>
          <w:rFonts w:eastAsia="仿宋_GB2312"/>
          <w:sz w:val="32"/>
          <w:szCs w:val="28"/>
        </w:rPr>
        <w:t>1</w:t>
      </w:r>
      <w:r w:rsidRPr="00400912">
        <w:rPr>
          <w:rStyle w:val="f101"/>
          <w:rFonts w:ascii="仿宋_GB2312" w:eastAsia="仿宋_GB2312" w:hint="eastAsia"/>
          <w:sz w:val="32"/>
          <w:szCs w:val="28"/>
        </w:rPr>
        <w:t>—</w:t>
      </w:r>
      <w:r w:rsidRPr="00012843">
        <w:rPr>
          <w:rStyle w:val="f101"/>
          <w:rFonts w:eastAsia="仿宋_GB2312"/>
          <w:sz w:val="32"/>
          <w:szCs w:val="28"/>
        </w:rPr>
        <w:t>2</w:t>
      </w:r>
      <w:r w:rsidRPr="007114E0">
        <w:rPr>
          <w:rStyle w:val="f101"/>
          <w:rFonts w:eastAsia="仿宋_GB2312"/>
          <w:sz w:val="32"/>
          <w:szCs w:val="28"/>
        </w:rPr>
        <w:t>部分</w:t>
      </w:r>
      <w:r w:rsidRPr="001707F2">
        <w:rPr>
          <w:rStyle w:val="f101"/>
          <w:rFonts w:eastAsia="仿宋_GB2312"/>
          <w:sz w:val="32"/>
          <w:szCs w:val="28"/>
        </w:rPr>
        <w:t>：安全通用要求</w:t>
      </w:r>
      <w:r w:rsidRPr="007A5484">
        <w:rPr>
          <w:rStyle w:val="f101"/>
          <w:rFonts w:eastAsia="仿宋_GB2312"/>
          <w:sz w:val="32"/>
          <w:szCs w:val="28"/>
        </w:rPr>
        <w:t>-</w:t>
      </w:r>
      <w:r w:rsidRPr="006A16BF">
        <w:rPr>
          <w:rStyle w:val="f101"/>
          <w:rFonts w:eastAsia="仿宋_GB2312"/>
          <w:sz w:val="32"/>
          <w:szCs w:val="28"/>
        </w:rPr>
        <w:t>并列标准：电磁兼容</w:t>
      </w:r>
      <w:r w:rsidRPr="00400912">
        <w:rPr>
          <w:rStyle w:val="f101"/>
          <w:rFonts w:eastAsia="仿宋_GB2312"/>
          <w:sz w:val="32"/>
          <w:szCs w:val="28"/>
        </w:rPr>
        <w:t>要求和试验》。</w:t>
      </w:r>
    </w:p>
    <w:p w:rsidR="002B20C0" w:rsidRPr="001707F2"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14</w:t>
      </w:r>
      <w:r w:rsidRPr="00400912">
        <w:rPr>
          <w:rFonts w:eastAsia="仿宋_GB2312"/>
          <w:sz w:val="32"/>
          <w:szCs w:val="28"/>
        </w:rPr>
        <w:t>.</w:t>
      </w:r>
      <w:r w:rsidRPr="00012843">
        <w:rPr>
          <w:rFonts w:eastAsia="仿宋_GB2312"/>
          <w:sz w:val="32"/>
          <w:szCs w:val="28"/>
        </w:rPr>
        <w:t>环境试验应满足：</w:t>
      </w:r>
      <w:r w:rsidRPr="007114E0">
        <w:rPr>
          <w:rFonts w:eastAsia="仿宋_GB2312"/>
          <w:sz w:val="32"/>
          <w:szCs w:val="28"/>
        </w:rPr>
        <w:t>GB/T 14710</w:t>
      </w:r>
      <w:r w:rsidRPr="007A5484">
        <w:rPr>
          <w:rStyle w:val="f101"/>
          <w:rFonts w:ascii="仿宋_GB2312" w:eastAsia="仿宋_GB2312" w:hint="eastAsia"/>
          <w:sz w:val="28"/>
          <w:szCs w:val="28"/>
        </w:rPr>
        <w:t>—</w:t>
      </w:r>
      <w:r w:rsidRPr="00012843">
        <w:rPr>
          <w:rFonts w:eastAsia="仿宋_GB2312"/>
          <w:sz w:val="32"/>
          <w:szCs w:val="28"/>
        </w:rPr>
        <w:t>2009</w:t>
      </w:r>
      <w:r w:rsidRPr="007114E0">
        <w:rPr>
          <w:rFonts w:eastAsia="仿宋_GB2312"/>
          <w:sz w:val="32"/>
          <w:szCs w:val="28"/>
        </w:rPr>
        <w:t>《医用电器环境要求及试验方法》。</w:t>
      </w: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sz w:val="32"/>
          <w:szCs w:val="28"/>
        </w:rPr>
        <w:t>（九）同一注册单元内注册检验代表产品确定原则和实例</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中频电疗产品同一注册单元内所检测的产品应当是能够代表本注册单元内其他产品安全性和有效性的典型产品。</w:t>
      </w:r>
    </w:p>
    <w:p w:rsidR="002B20C0" w:rsidRPr="00400912" w:rsidRDefault="002B20C0" w:rsidP="002B20C0">
      <w:pPr>
        <w:overflowPunct w:val="0"/>
        <w:spacing w:line="560" w:lineRule="exact"/>
        <w:ind w:firstLineChars="200" w:firstLine="640"/>
        <w:rPr>
          <w:rFonts w:eastAsia="仿宋_GB2312"/>
          <w:b/>
          <w:sz w:val="32"/>
          <w:szCs w:val="28"/>
        </w:rPr>
      </w:pPr>
      <w:r w:rsidRPr="00400912">
        <w:rPr>
          <w:rFonts w:eastAsia="仿宋_GB2312"/>
          <w:sz w:val="32"/>
          <w:szCs w:val="28"/>
        </w:rPr>
        <w:t>如某企业生产的同一注册单元内两个型号的中频电疗仪，一个型号为一路输出，另一个型号为两路输出，在进行产品检测时，可只对两路输出的型号产品进行检测。</w:t>
      </w: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sz w:val="32"/>
          <w:szCs w:val="28"/>
        </w:rPr>
        <w:t>（十）产品生产制造相关要求</w:t>
      </w:r>
    </w:p>
    <w:p w:rsidR="002B20C0" w:rsidRPr="001707F2" w:rsidRDefault="002B20C0" w:rsidP="002B20C0">
      <w:pPr>
        <w:pStyle w:val="af1"/>
        <w:overflowPunct w:val="0"/>
        <w:spacing w:line="560" w:lineRule="exact"/>
        <w:ind w:firstLine="640"/>
        <w:rPr>
          <w:rFonts w:ascii="Times New Roman" w:eastAsia="仿宋_GB2312" w:hAnsi="Times New Roman"/>
          <w:sz w:val="32"/>
          <w:szCs w:val="28"/>
        </w:rPr>
      </w:pPr>
      <w:r w:rsidRPr="00012843">
        <w:rPr>
          <w:rFonts w:ascii="Times New Roman" w:eastAsia="仿宋_GB2312" w:hAnsi="Times New Roman"/>
          <w:sz w:val="32"/>
          <w:szCs w:val="30"/>
        </w:rPr>
        <w:t>应</w:t>
      </w:r>
      <w:r w:rsidRPr="007114E0">
        <w:rPr>
          <w:rFonts w:ascii="Times New Roman" w:eastAsia="仿宋_GB2312" w:hAnsi="Times New Roman"/>
          <w:sz w:val="32"/>
          <w:szCs w:val="28"/>
        </w:rPr>
        <w:t>明确产品生产工艺过程，可采用流程图的形式，并说</w:t>
      </w:r>
      <w:r w:rsidRPr="001707F2">
        <w:rPr>
          <w:rFonts w:ascii="Times New Roman" w:eastAsia="仿宋_GB2312" w:hAnsi="Times New Roman"/>
          <w:sz w:val="32"/>
          <w:szCs w:val="28"/>
        </w:rPr>
        <w:t>明其过程控制点，且应结合产品实际生产过程细化产品生产工艺介绍，应能体现出外协加工部分（如有）、半成品加工过程，工艺流程图中应明示关键工序、特殊过程（如有）、过程控制点、各生产检验工序对环境的要求、使用的相关设备及对设备精度的要求等相关信息。</w:t>
      </w:r>
    </w:p>
    <w:p w:rsidR="002B20C0" w:rsidRPr="006A16BF" w:rsidRDefault="002B20C0" w:rsidP="002B20C0">
      <w:pPr>
        <w:pStyle w:val="af1"/>
        <w:overflowPunct w:val="0"/>
        <w:spacing w:line="560" w:lineRule="exact"/>
        <w:ind w:firstLine="640"/>
        <w:rPr>
          <w:rFonts w:ascii="Times New Roman" w:eastAsia="仿宋_GB2312" w:hAnsi="Times New Roman"/>
          <w:sz w:val="32"/>
          <w:szCs w:val="28"/>
        </w:rPr>
      </w:pPr>
      <w:r w:rsidRPr="007A5484">
        <w:rPr>
          <w:rFonts w:ascii="Times New Roman" w:eastAsia="仿宋_GB2312" w:hAnsi="Times New Roman"/>
          <w:sz w:val="32"/>
          <w:szCs w:val="28"/>
        </w:rPr>
        <w:lastRenderedPageBreak/>
        <w:t>应详细介绍研制场地、生产场地情况，并应结合前面介绍的产品加工工艺，以及工序和工位的划分、预计产量、生产线划分等实际需求细化研发、生产、检验、库房场地面积、环境控制等相关情况说明。</w:t>
      </w:r>
    </w:p>
    <w:p w:rsidR="002B20C0" w:rsidRPr="00400912" w:rsidRDefault="002B20C0" w:rsidP="002B20C0">
      <w:pPr>
        <w:pStyle w:val="af1"/>
        <w:overflowPunct w:val="0"/>
        <w:spacing w:line="560" w:lineRule="exact"/>
        <w:ind w:firstLine="640"/>
        <w:rPr>
          <w:rFonts w:ascii="Times New Roman" w:eastAsia="仿宋_GB2312" w:hAnsi="Times New Roman"/>
          <w:sz w:val="32"/>
          <w:szCs w:val="28"/>
        </w:rPr>
      </w:pPr>
      <w:r w:rsidRPr="00400912">
        <w:rPr>
          <w:rFonts w:ascii="Times New Roman" w:eastAsia="仿宋_GB2312" w:hAnsi="Times New Roman"/>
          <w:sz w:val="32"/>
          <w:szCs w:val="28"/>
        </w:rPr>
        <w:t>有多个研制、生产场地，应介绍每个研制、生产场地的实际情况。</w:t>
      </w:r>
    </w:p>
    <w:p w:rsidR="002B20C0" w:rsidRPr="00400912" w:rsidRDefault="002B20C0" w:rsidP="002B20C0">
      <w:pPr>
        <w:overflowPunct w:val="0"/>
        <w:spacing w:line="540" w:lineRule="exact"/>
        <w:ind w:firstLineChars="200" w:firstLine="640"/>
        <w:rPr>
          <w:rFonts w:ascii="楷体_GB2312" w:eastAsia="楷体_GB2312"/>
          <w:sz w:val="32"/>
          <w:szCs w:val="28"/>
        </w:rPr>
      </w:pPr>
      <w:r w:rsidRPr="00400912">
        <w:rPr>
          <w:rFonts w:ascii="楷体_GB2312" w:eastAsia="楷体_GB2312"/>
          <w:sz w:val="32"/>
          <w:szCs w:val="28"/>
        </w:rPr>
        <w:t>（十一）产品的临床评价细化要求</w:t>
      </w:r>
    </w:p>
    <w:p w:rsidR="002B20C0" w:rsidRPr="0040091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中频电疗产品</w:t>
      </w:r>
      <w:r w:rsidRPr="007114E0">
        <w:rPr>
          <w:rFonts w:eastAsia="仿宋_GB2312"/>
          <w:color w:val="000000"/>
          <w:sz w:val="32"/>
          <w:szCs w:val="28"/>
        </w:rPr>
        <w:t>的临床评价应符合《医疗器械注册管理办法》（国家食品药品监督管理总局令第</w:t>
      </w:r>
      <w:r w:rsidRPr="001707F2">
        <w:rPr>
          <w:rFonts w:eastAsia="仿宋_GB2312"/>
          <w:color w:val="000000"/>
          <w:sz w:val="32"/>
          <w:szCs w:val="28"/>
        </w:rPr>
        <w:t>4</w:t>
      </w:r>
      <w:r w:rsidRPr="007A5484">
        <w:rPr>
          <w:rFonts w:eastAsia="仿宋_GB2312"/>
          <w:color w:val="000000"/>
          <w:sz w:val="32"/>
          <w:szCs w:val="28"/>
        </w:rPr>
        <w:t>号）和</w:t>
      </w:r>
      <w:r w:rsidRPr="006A16BF">
        <w:rPr>
          <w:rFonts w:eastAsia="仿宋_GB2312"/>
          <w:sz w:val="32"/>
          <w:szCs w:val="28"/>
        </w:rPr>
        <w:t>《医疗器械临床评价技术指导原则》（</w:t>
      </w:r>
      <w:r w:rsidRPr="00400912">
        <w:rPr>
          <w:rFonts w:eastAsia="仿宋_GB2312"/>
          <w:color w:val="000000"/>
          <w:sz w:val="32"/>
          <w:szCs w:val="28"/>
        </w:rPr>
        <w:t>国家食品药品监督管理总局</w:t>
      </w:r>
      <w:r w:rsidRPr="00400912">
        <w:rPr>
          <w:rFonts w:eastAsia="仿宋_GB2312"/>
          <w:sz w:val="32"/>
          <w:szCs w:val="28"/>
        </w:rPr>
        <w:t>通告</w:t>
      </w:r>
      <w:r w:rsidRPr="00400912">
        <w:rPr>
          <w:rFonts w:eastAsia="仿宋_GB2312"/>
          <w:sz w:val="32"/>
          <w:szCs w:val="28"/>
        </w:rPr>
        <w:t>2015</w:t>
      </w:r>
      <w:r w:rsidRPr="00400912">
        <w:rPr>
          <w:rFonts w:eastAsia="仿宋_GB2312"/>
          <w:sz w:val="32"/>
          <w:szCs w:val="28"/>
        </w:rPr>
        <w:t>年第</w:t>
      </w:r>
      <w:r w:rsidRPr="00400912">
        <w:rPr>
          <w:rFonts w:eastAsia="仿宋_GB2312"/>
          <w:sz w:val="32"/>
          <w:szCs w:val="28"/>
        </w:rPr>
        <w:t>14</w:t>
      </w:r>
      <w:r w:rsidRPr="00400912">
        <w:rPr>
          <w:rFonts w:eastAsia="仿宋_GB2312"/>
          <w:sz w:val="32"/>
          <w:szCs w:val="28"/>
        </w:rPr>
        <w:t>号）</w:t>
      </w:r>
      <w:r w:rsidRPr="00400912">
        <w:rPr>
          <w:rFonts w:eastAsia="仿宋_GB2312"/>
          <w:color w:val="000000"/>
          <w:sz w:val="32"/>
          <w:szCs w:val="28"/>
        </w:rPr>
        <w:t>的要求。</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中频电疗产品的临床评价大致可分为两种情况：</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第一种情况是中频电疗产品的作用机理为前面介绍的四种理论，预期适应证包含在表</w:t>
      </w:r>
      <w:r w:rsidRPr="00400912">
        <w:rPr>
          <w:rFonts w:eastAsia="仿宋_GB2312"/>
          <w:sz w:val="32"/>
          <w:szCs w:val="28"/>
        </w:rPr>
        <w:t>3</w:t>
      </w:r>
      <w:r w:rsidRPr="00400912">
        <w:rPr>
          <w:rFonts w:eastAsia="仿宋_GB2312"/>
          <w:sz w:val="32"/>
          <w:szCs w:val="28"/>
        </w:rPr>
        <w:t>内，且产品技术指标与本指导原则要求完全一致，申报企业可按照《医疗器械临床评价技术指导原则》（</w:t>
      </w:r>
      <w:r w:rsidRPr="00400912">
        <w:rPr>
          <w:rFonts w:eastAsia="仿宋_GB2312"/>
          <w:color w:val="000000"/>
          <w:sz w:val="32"/>
          <w:szCs w:val="28"/>
        </w:rPr>
        <w:t>国家食品药品监督管理总局</w:t>
      </w:r>
      <w:r w:rsidRPr="00400912">
        <w:rPr>
          <w:rFonts w:eastAsia="仿宋_GB2312"/>
          <w:sz w:val="32"/>
          <w:szCs w:val="28"/>
        </w:rPr>
        <w:t>通告</w:t>
      </w:r>
      <w:r w:rsidRPr="00400912">
        <w:rPr>
          <w:rFonts w:eastAsia="仿宋_GB2312"/>
          <w:sz w:val="32"/>
          <w:szCs w:val="28"/>
        </w:rPr>
        <w:t>2015</w:t>
      </w:r>
      <w:r w:rsidRPr="00400912">
        <w:rPr>
          <w:rFonts w:eastAsia="仿宋_GB2312"/>
          <w:sz w:val="32"/>
          <w:szCs w:val="28"/>
        </w:rPr>
        <w:t>年第</w:t>
      </w:r>
      <w:r w:rsidRPr="00400912">
        <w:rPr>
          <w:rFonts w:eastAsia="仿宋_GB2312"/>
          <w:sz w:val="32"/>
          <w:szCs w:val="28"/>
        </w:rPr>
        <w:t>14</w:t>
      </w:r>
      <w:r w:rsidRPr="00400912">
        <w:rPr>
          <w:rFonts w:eastAsia="仿宋_GB2312"/>
          <w:sz w:val="32"/>
          <w:szCs w:val="28"/>
        </w:rPr>
        <w:t>号）</w:t>
      </w:r>
      <w:r w:rsidRPr="00400912">
        <w:rPr>
          <w:rFonts w:eastAsia="仿宋_GB2312"/>
          <w:color w:val="000000"/>
          <w:sz w:val="32"/>
          <w:szCs w:val="28"/>
        </w:rPr>
        <w:t>中</w:t>
      </w:r>
      <w:r w:rsidRPr="00400912">
        <w:rPr>
          <w:rFonts w:eastAsia="仿宋_GB2312"/>
          <w:color w:val="000000"/>
          <w:sz w:val="32"/>
          <w:szCs w:val="28"/>
        </w:rPr>
        <w:t>“</w:t>
      </w:r>
      <w:r w:rsidRPr="00400912">
        <w:rPr>
          <w:rFonts w:eastAsia="仿宋_GB2312"/>
          <w:sz w:val="32"/>
          <w:szCs w:val="28"/>
        </w:rPr>
        <w:t>五、列入《免于进行临床试验的医疗器械目录》产品的临床评价要求</w:t>
      </w:r>
      <w:r w:rsidRPr="00400912">
        <w:rPr>
          <w:rFonts w:eastAsia="仿宋_GB2312"/>
          <w:sz w:val="32"/>
          <w:szCs w:val="28"/>
        </w:rPr>
        <w:t>”</w:t>
      </w:r>
      <w:r w:rsidRPr="00400912">
        <w:rPr>
          <w:rFonts w:eastAsia="仿宋_GB2312"/>
          <w:sz w:val="32"/>
          <w:szCs w:val="28"/>
        </w:rPr>
        <w:t>提交临床评价资料。</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第二种情况是中频电疗产品的治疗作用采用其他的临床作用机理，或预期适应证不在附表内，或产品技术指标不能与本指导原则要求完全一致，则申报企业应按照《医疗器械临床评价技术指导原则》（</w:t>
      </w:r>
      <w:r w:rsidRPr="00400912">
        <w:rPr>
          <w:rFonts w:eastAsia="仿宋_GB2312"/>
          <w:color w:val="000000"/>
          <w:sz w:val="32"/>
          <w:szCs w:val="28"/>
        </w:rPr>
        <w:t>国家食品药品监督管理总局</w:t>
      </w:r>
      <w:r w:rsidRPr="00400912">
        <w:rPr>
          <w:rFonts w:eastAsia="仿宋_GB2312"/>
          <w:sz w:val="32"/>
          <w:szCs w:val="28"/>
        </w:rPr>
        <w:t>通告</w:t>
      </w:r>
      <w:r w:rsidRPr="00400912">
        <w:rPr>
          <w:rFonts w:eastAsia="仿宋_GB2312"/>
          <w:sz w:val="32"/>
          <w:szCs w:val="28"/>
        </w:rPr>
        <w:t>2015</w:t>
      </w:r>
      <w:r w:rsidRPr="00400912">
        <w:rPr>
          <w:rFonts w:eastAsia="仿宋_GB2312"/>
          <w:sz w:val="32"/>
          <w:szCs w:val="28"/>
        </w:rPr>
        <w:t>年第</w:t>
      </w:r>
      <w:r w:rsidRPr="00400912">
        <w:rPr>
          <w:rFonts w:eastAsia="仿宋_GB2312"/>
          <w:sz w:val="32"/>
          <w:szCs w:val="28"/>
        </w:rPr>
        <w:t>14</w:t>
      </w:r>
      <w:r w:rsidRPr="00400912">
        <w:rPr>
          <w:rFonts w:eastAsia="仿宋_GB2312"/>
          <w:sz w:val="32"/>
          <w:szCs w:val="28"/>
        </w:rPr>
        <w:t>号）</w:t>
      </w:r>
      <w:r w:rsidRPr="00400912">
        <w:rPr>
          <w:rFonts w:eastAsia="仿宋_GB2312"/>
          <w:color w:val="000000"/>
          <w:sz w:val="32"/>
          <w:szCs w:val="28"/>
        </w:rPr>
        <w:t>中</w:t>
      </w:r>
      <w:r w:rsidRPr="00400912">
        <w:rPr>
          <w:rFonts w:eastAsia="仿宋_GB2312"/>
          <w:color w:val="000000"/>
          <w:sz w:val="32"/>
          <w:szCs w:val="28"/>
        </w:rPr>
        <w:t>“</w:t>
      </w:r>
      <w:r w:rsidRPr="00400912">
        <w:rPr>
          <w:rFonts w:eastAsia="仿宋_GB2312"/>
          <w:color w:val="000000"/>
          <w:sz w:val="32"/>
          <w:szCs w:val="28"/>
        </w:rPr>
        <w:t>六、</w:t>
      </w:r>
      <w:r w:rsidRPr="00400912">
        <w:rPr>
          <w:rFonts w:eastAsia="仿宋_GB2312"/>
          <w:sz w:val="32"/>
          <w:szCs w:val="28"/>
        </w:rPr>
        <w:t>通过同品种医疗器械临床试验或临床使用获得的数据进</w:t>
      </w:r>
      <w:r w:rsidRPr="00400912">
        <w:rPr>
          <w:rFonts w:eastAsia="仿宋_GB2312"/>
          <w:sz w:val="32"/>
          <w:szCs w:val="28"/>
        </w:rPr>
        <w:lastRenderedPageBreak/>
        <w:t>行分析评价要求</w:t>
      </w:r>
      <w:r w:rsidRPr="00400912">
        <w:rPr>
          <w:rFonts w:eastAsia="仿宋_GB2312"/>
          <w:sz w:val="32"/>
          <w:szCs w:val="28"/>
        </w:rPr>
        <w:t>”</w:t>
      </w:r>
      <w:r w:rsidRPr="00400912">
        <w:rPr>
          <w:rFonts w:eastAsia="仿宋_GB2312"/>
          <w:sz w:val="32"/>
          <w:szCs w:val="28"/>
        </w:rPr>
        <w:t>或</w:t>
      </w:r>
      <w:r w:rsidRPr="00400912">
        <w:rPr>
          <w:rFonts w:eastAsia="仿宋_GB2312"/>
          <w:sz w:val="32"/>
          <w:szCs w:val="28"/>
        </w:rPr>
        <w:t>“</w:t>
      </w:r>
      <w:r w:rsidRPr="00400912">
        <w:rPr>
          <w:rFonts w:eastAsia="仿宋_GB2312"/>
          <w:sz w:val="32"/>
          <w:szCs w:val="28"/>
        </w:rPr>
        <w:t>七、临床试验相关要求</w:t>
      </w:r>
      <w:r w:rsidRPr="00400912">
        <w:rPr>
          <w:rFonts w:eastAsia="仿宋_GB2312"/>
          <w:sz w:val="32"/>
          <w:szCs w:val="28"/>
        </w:rPr>
        <w:t>”</w:t>
      </w:r>
      <w:r w:rsidRPr="00400912">
        <w:rPr>
          <w:rFonts w:eastAsia="仿宋_GB2312"/>
          <w:sz w:val="32"/>
          <w:szCs w:val="28"/>
        </w:rPr>
        <w:t>提交临床评价资料。</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中频电疗产品的临床试验应符合以下要求：</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临床试验方案应合理、科学，能够验证产品的预期用途。方案中的临床病例数的确定理由应充分、科学；选择对象范围应明确，涵盖产品的预期用途；临床评价标准应清晰明确，且得到临床公认。</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一般来说，临床试验方案应包括如下内容：试验背景、试验目的、研究假设、试验产品的名称及规格、对照产品的名称、规格及选择理由、病人的入选及排除标准、主要疗效评价指标及评价方法、次要疗效评价指标及安全性评价指标、样本量确定依据（含样本量计算公式及其参数来源）、随访期、试验质量控制措施、数据管理方法、统计分析方法及病人的风险与获益评估等。</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临床试验报告应符合方案的要求。临床试验结果应明确，计量或计数结果可靠，并进行统计学分析；试验效果分析应明确统计结果的临床意义；临床试验结论应明确该产品的预期用途，符合临床试验目的。</w:t>
      </w:r>
    </w:p>
    <w:p w:rsidR="002B20C0" w:rsidRPr="00400912" w:rsidRDefault="002B20C0" w:rsidP="002B20C0">
      <w:pPr>
        <w:overflowPunct w:val="0"/>
        <w:spacing w:line="560" w:lineRule="exact"/>
        <w:ind w:firstLineChars="200" w:firstLine="640"/>
        <w:rPr>
          <w:rFonts w:eastAsia="仿宋_GB2312"/>
          <w:spacing w:val="4"/>
          <w:sz w:val="32"/>
          <w:szCs w:val="28"/>
        </w:rPr>
      </w:pPr>
      <w:r w:rsidRPr="00400912">
        <w:rPr>
          <w:rFonts w:eastAsia="仿宋_GB2312"/>
          <w:sz w:val="32"/>
          <w:szCs w:val="28"/>
        </w:rPr>
        <w:t>临</w:t>
      </w:r>
      <w:r w:rsidRPr="00400912">
        <w:rPr>
          <w:rFonts w:eastAsia="仿宋_GB2312"/>
          <w:spacing w:val="4"/>
          <w:sz w:val="32"/>
          <w:szCs w:val="28"/>
        </w:rPr>
        <w:t>床试验报告需有医院签章，其内容应能验证该产品的预期用途。一般来说，临床试验报告应包括如下内容：试验背景、试验目的、研究假设、试验产品的名称及规格、对照产品的名称、规格及选择理由、病人的入选及排除标准、主要疗效评价指标及评价方法、次要疗效评价指标及安全性评价指标、样本量确定依据（含样本量计算公式及其参数来源）、随访期、试验质量控制措施、数据管理方法、统计分析方法及病人的风险</w:t>
      </w:r>
      <w:r w:rsidRPr="00400912">
        <w:rPr>
          <w:rFonts w:eastAsia="仿宋_GB2312"/>
          <w:spacing w:val="4"/>
          <w:sz w:val="32"/>
          <w:szCs w:val="28"/>
        </w:rPr>
        <w:lastRenderedPageBreak/>
        <w:t>与获益评估等。</w:t>
      </w:r>
    </w:p>
    <w:p w:rsidR="002B20C0" w:rsidRPr="001707F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在审查中频电疗产品的临床试验方案和报告时，应注意以下几</w:t>
      </w:r>
      <w:r w:rsidRPr="007114E0">
        <w:rPr>
          <w:rFonts w:eastAsia="仿宋_GB2312"/>
          <w:sz w:val="32"/>
          <w:szCs w:val="28"/>
        </w:rPr>
        <w:t>点：</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w:t>
      </w:r>
      <w:r w:rsidRPr="006A16BF">
        <w:rPr>
          <w:rFonts w:eastAsia="仿宋_GB2312"/>
          <w:sz w:val="32"/>
          <w:szCs w:val="28"/>
        </w:rPr>
        <w:t>1</w:t>
      </w:r>
      <w:r w:rsidRPr="00400912">
        <w:rPr>
          <w:rFonts w:eastAsia="仿宋_GB2312"/>
          <w:sz w:val="32"/>
          <w:szCs w:val="28"/>
        </w:rPr>
        <w:t>）临床病例数确定的理由</w:t>
      </w:r>
    </w:p>
    <w:p w:rsidR="002B20C0" w:rsidRPr="00400912" w:rsidRDefault="002B20C0" w:rsidP="002B20C0">
      <w:pPr>
        <w:overflowPunct w:val="0"/>
        <w:spacing w:line="560" w:lineRule="exact"/>
        <w:ind w:firstLineChars="200" w:firstLine="640"/>
        <w:rPr>
          <w:rFonts w:eastAsia="仿宋_GB2312"/>
          <w:vanish/>
          <w:kern w:val="0"/>
          <w:sz w:val="32"/>
          <w:szCs w:val="28"/>
        </w:rPr>
      </w:pPr>
      <w:r w:rsidRPr="00400912">
        <w:rPr>
          <w:rFonts w:eastAsia="仿宋_GB2312"/>
          <w:sz w:val="32"/>
          <w:szCs w:val="28"/>
        </w:rPr>
        <w:t>确定临床试验例数就是计算试验的样本量的大小。太少的样本会得出不正确的结论，太多样本浪费时间和资源，因此，有必要在临床试验方案中合理地确定样本量的大小。</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样本量的估计要考虑以下因素的影响：</w:t>
      </w:r>
    </w:p>
    <w:p w:rsidR="002B20C0" w:rsidRPr="00400912" w:rsidRDefault="002B20C0" w:rsidP="002B20C0">
      <w:pPr>
        <w:overflowPunct w:val="0"/>
        <w:spacing w:line="560" w:lineRule="exact"/>
        <w:ind w:firstLineChars="200" w:firstLine="640"/>
        <w:rPr>
          <w:rFonts w:eastAsia="仿宋_GB2312"/>
          <w:position w:val="-5"/>
          <w:sz w:val="32"/>
          <w:szCs w:val="28"/>
        </w:rPr>
      </w:pPr>
      <w:r w:rsidRPr="00400912">
        <w:rPr>
          <w:rFonts w:eastAsia="仿宋_GB2312"/>
          <w:sz w:val="32"/>
          <w:szCs w:val="28"/>
        </w:rPr>
        <w:t>陈述无效假设</w:t>
      </w:r>
      <w:r w:rsidRPr="00400912">
        <w:rPr>
          <w:rFonts w:eastAsia="仿宋_GB2312"/>
          <w:sz w:val="32"/>
          <w:szCs w:val="28"/>
        </w:rPr>
        <w:t>H</w:t>
      </w:r>
      <w:r w:rsidRPr="00400912">
        <w:rPr>
          <w:rFonts w:eastAsia="仿宋_GB2312"/>
          <w:position w:val="-5"/>
          <w:sz w:val="32"/>
          <w:szCs w:val="28"/>
        </w:rPr>
        <w:t>0</w:t>
      </w:r>
      <w:r w:rsidRPr="00400912">
        <w:rPr>
          <w:rFonts w:eastAsia="仿宋_GB2312"/>
          <w:sz w:val="32"/>
          <w:szCs w:val="28"/>
        </w:rPr>
        <w:t>和备择假设</w:t>
      </w:r>
      <w:r w:rsidRPr="00400912">
        <w:rPr>
          <w:rFonts w:eastAsia="仿宋_GB2312"/>
          <w:sz w:val="32"/>
          <w:szCs w:val="28"/>
        </w:rPr>
        <w:t>H</w:t>
      </w:r>
      <w:r w:rsidRPr="00400912">
        <w:rPr>
          <w:rFonts w:eastAsia="仿宋_GB2312"/>
          <w:position w:val="-5"/>
          <w:sz w:val="32"/>
          <w:szCs w:val="28"/>
        </w:rPr>
        <w:t>1</w:t>
      </w:r>
      <w:r w:rsidRPr="00400912">
        <w:rPr>
          <w:rFonts w:eastAsia="仿宋_GB2312"/>
          <w:position w:val="-5"/>
          <w:sz w:val="32"/>
          <w:szCs w:val="28"/>
        </w:rPr>
        <w:t>。</w:t>
      </w:r>
    </w:p>
    <w:p w:rsidR="002B20C0" w:rsidRPr="007A5484"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基于无效假设中的结果变量选择适当的统计检验方法</w:t>
      </w:r>
      <w:r>
        <w:rPr>
          <w:rFonts w:eastAsia="仿宋_GB2312"/>
          <w:sz w:val="32"/>
          <w:szCs w:val="28"/>
        </w:rPr>
        <w:t>（</w:t>
      </w:r>
      <w:r w:rsidRPr="001707F2">
        <w:rPr>
          <w:rFonts w:eastAsia="仿宋_GB2312"/>
          <w:sz w:val="32"/>
          <w:szCs w:val="28"/>
        </w:rPr>
        <w:t>如</w:t>
      </w:r>
      <w:r w:rsidRPr="007A5484">
        <w:rPr>
          <w:rFonts w:eastAsia="仿宋_GB2312"/>
          <w:sz w:val="32"/>
          <w:szCs w:val="28"/>
        </w:rPr>
        <w:t>t-test</w:t>
      </w:r>
      <w:r>
        <w:rPr>
          <w:rFonts w:eastAsia="仿宋_GB2312"/>
          <w:sz w:val="32"/>
          <w:szCs w:val="28"/>
        </w:rPr>
        <w:t>，</w:t>
      </w:r>
      <w:r w:rsidRPr="007114E0">
        <w:rPr>
          <w:rFonts w:eastAsia="仿宋_GB2312"/>
          <w:position w:val="-10"/>
          <w:sz w:val="32"/>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3" ShapeID="_x0000_i1025" DrawAspect="Content" ObjectID="_1572182210" r:id="rId8"/>
        </w:object>
      </w:r>
      <w:r w:rsidRPr="00012843">
        <w:rPr>
          <w:rFonts w:eastAsia="仿宋_GB2312"/>
          <w:sz w:val="32"/>
          <w:szCs w:val="28"/>
          <w:vertAlign w:val="superscript"/>
        </w:rPr>
        <w:t>2</w:t>
      </w:r>
      <w:r>
        <w:rPr>
          <w:rFonts w:eastAsia="仿宋_GB2312"/>
          <w:sz w:val="32"/>
          <w:szCs w:val="28"/>
        </w:rPr>
        <w:t>）</w:t>
      </w:r>
      <w:r w:rsidRPr="001707F2">
        <w:rPr>
          <w:rFonts w:eastAsia="仿宋_GB2312"/>
          <w:sz w:val="32"/>
          <w:szCs w:val="28"/>
        </w:rPr>
        <w:t>。</w:t>
      </w:r>
    </w:p>
    <w:p w:rsidR="002B20C0" w:rsidRPr="001707F2" w:rsidRDefault="002B20C0" w:rsidP="002B20C0">
      <w:pPr>
        <w:overflowPunct w:val="0"/>
        <w:spacing w:line="560" w:lineRule="exact"/>
        <w:ind w:firstLineChars="200" w:firstLine="640"/>
        <w:rPr>
          <w:rFonts w:eastAsia="仿宋_GB2312"/>
          <w:sz w:val="32"/>
          <w:szCs w:val="28"/>
        </w:rPr>
      </w:pPr>
      <w:r w:rsidRPr="006A16BF">
        <w:rPr>
          <w:rFonts w:eastAsia="仿宋_GB2312"/>
          <w:sz w:val="32"/>
          <w:szCs w:val="28"/>
        </w:rPr>
        <w:t>与同类产品或与标准治疗（对照组）相比，估计合理的效应大小</w:t>
      </w:r>
      <w:r w:rsidRPr="00400912">
        <w:rPr>
          <w:rFonts w:eastAsia="仿宋_GB2312"/>
          <w:sz w:val="32"/>
          <w:szCs w:val="28"/>
        </w:rPr>
        <w:t>δ</w:t>
      </w:r>
      <w:r w:rsidRPr="00400912">
        <w:rPr>
          <w:rFonts w:eastAsia="仿宋_GB2312"/>
          <w:sz w:val="32"/>
          <w:szCs w:val="28"/>
        </w:rPr>
        <w:t>（</w:t>
      </w:r>
      <w:r w:rsidRPr="00012843">
        <w:rPr>
          <w:rFonts w:eastAsia="仿宋_GB2312"/>
          <w:sz w:val="32"/>
          <w:szCs w:val="28"/>
        </w:rPr>
        <w:t>组间治疗差异</w:t>
      </w:r>
      <w:r w:rsidRPr="00400912">
        <w:rPr>
          <w:rFonts w:eastAsia="仿宋_GB2312"/>
          <w:sz w:val="32"/>
          <w:szCs w:val="28"/>
        </w:rPr>
        <w:t>）</w:t>
      </w:r>
      <w:r w:rsidRPr="00012843">
        <w:rPr>
          <w:rFonts w:eastAsia="仿宋_GB2312"/>
          <w:sz w:val="32"/>
          <w:szCs w:val="28"/>
        </w:rPr>
        <w:t>；对于非劣效试验，应提供临床及统计学认可的非劣效界值；对</w:t>
      </w:r>
      <w:r w:rsidRPr="007114E0">
        <w:rPr>
          <w:rFonts w:eastAsia="仿宋_GB2312"/>
          <w:sz w:val="32"/>
          <w:szCs w:val="28"/>
        </w:rPr>
        <w:t>于单组目标值试验，应提供目标值的确定依据。</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设定显著性水平和统计效能</w:t>
      </w:r>
      <w:r w:rsidRPr="00400912">
        <w:rPr>
          <w:rFonts w:eastAsia="仿宋_GB2312"/>
          <w:sz w:val="32"/>
          <w:szCs w:val="28"/>
        </w:rPr>
        <w:t>（</w:t>
      </w:r>
      <w:r w:rsidRPr="00012843">
        <w:rPr>
          <w:rFonts w:eastAsia="仿宋_GB2312"/>
          <w:sz w:val="32"/>
          <w:szCs w:val="28"/>
        </w:rPr>
        <w:sym w:font="Symbol" w:char="F061"/>
      </w:r>
      <w:r w:rsidRPr="00400912">
        <w:rPr>
          <w:rFonts w:eastAsia="仿宋_GB2312"/>
          <w:sz w:val="32"/>
          <w:szCs w:val="28"/>
        </w:rPr>
        <w:t>，</w:t>
      </w:r>
      <w:r w:rsidRPr="00012843">
        <w:rPr>
          <w:rFonts w:eastAsia="仿宋_GB2312"/>
          <w:sz w:val="32"/>
          <w:szCs w:val="28"/>
        </w:rPr>
        <w:sym w:font="Symbol" w:char="F062"/>
      </w:r>
      <w:r w:rsidRPr="00400912">
        <w:rPr>
          <w:rFonts w:eastAsia="仿宋_GB2312"/>
          <w:sz w:val="32"/>
          <w:szCs w:val="28"/>
        </w:rPr>
        <w:t>）</w:t>
      </w:r>
      <w:r>
        <w:rPr>
          <w:rFonts w:eastAsia="仿宋_GB2312"/>
          <w:sz w:val="32"/>
          <w:szCs w:val="28"/>
        </w:rPr>
        <w:t>，</w:t>
      </w:r>
      <w:r w:rsidRPr="007114E0">
        <w:rPr>
          <w:rFonts w:eastAsia="仿宋_GB2312"/>
          <w:sz w:val="32"/>
          <w:szCs w:val="28"/>
        </w:rPr>
        <w:t>通常取双侧显著性水平</w:t>
      </w:r>
      <w:r w:rsidRPr="001707F2">
        <w:rPr>
          <w:rFonts w:eastAsia="仿宋_GB2312"/>
          <w:sz w:val="32"/>
          <w:szCs w:val="28"/>
        </w:rPr>
        <w:t>0.05</w:t>
      </w:r>
      <w:r w:rsidRPr="007A5484">
        <w:rPr>
          <w:rFonts w:eastAsia="仿宋_GB2312"/>
          <w:sz w:val="32"/>
          <w:szCs w:val="28"/>
        </w:rPr>
        <w:t>（单侧显著性水平</w:t>
      </w:r>
      <w:r w:rsidRPr="006A16BF">
        <w:rPr>
          <w:rFonts w:eastAsia="仿宋_GB2312"/>
          <w:sz w:val="32"/>
          <w:szCs w:val="28"/>
        </w:rPr>
        <w:t>0.025</w:t>
      </w:r>
      <w:r w:rsidRPr="00400912">
        <w:rPr>
          <w:rFonts w:eastAsia="仿宋_GB2312"/>
          <w:sz w:val="32"/>
          <w:szCs w:val="28"/>
        </w:rPr>
        <w:t>）、检验效能至少</w:t>
      </w:r>
      <w:r w:rsidRPr="00400912">
        <w:rPr>
          <w:rFonts w:eastAsia="仿宋_GB2312"/>
          <w:sz w:val="32"/>
          <w:szCs w:val="28"/>
        </w:rPr>
        <w:t>80%</w:t>
      </w:r>
      <w:r w:rsidRPr="00400912" w:rsidDel="00032F96">
        <w:rPr>
          <w:rFonts w:eastAsia="仿宋_GB2312"/>
          <w:sz w:val="32"/>
          <w:szCs w:val="28"/>
        </w:rPr>
        <w:t>及单侧或双侧检验</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列出正确的公式估计样本量。</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考虑失访和脱离病例等其他因素的影响，临床实际的病例数应在计算样本量的基础上至少增加</w:t>
      </w:r>
      <w:r w:rsidRPr="00400912">
        <w:rPr>
          <w:rFonts w:eastAsia="仿宋_GB2312"/>
          <w:sz w:val="32"/>
          <w:szCs w:val="28"/>
        </w:rPr>
        <w:t>20%</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中频器械的临床适应证比较广泛，应针对每一适应证进行符合统计学要求的临床试验。具体审查时，要看临床试验方案中病</w:t>
      </w:r>
      <w:r w:rsidRPr="00400912">
        <w:rPr>
          <w:rFonts w:eastAsia="仿宋_GB2312"/>
          <w:sz w:val="32"/>
          <w:szCs w:val="28"/>
        </w:rPr>
        <w:lastRenderedPageBreak/>
        <w:t>例数确定的理由是否充分，是否考虑以上几种因素的影响。确定的病例数是否涵盖要验证的适应证。</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2</w:t>
      </w:r>
      <w:r w:rsidRPr="00400912">
        <w:rPr>
          <w:rFonts w:eastAsia="仿宋_GB2312"/>
          <w:sz w:val="32"/>
          <w:szCs w:val="28"/>
        </w:rPr>
        <w:t>）确定入选标准和排除标准</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临床试验方案应预先制定明确的入选标准和排除标准，入选标准应有明确的诊断标准，诊断标准应是临床公认的。</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符合入选条件且愿意参加临床试验并签署知情同意书方可确定为入选对象，入选对象应具有符合该适应证人群的普遍的代表性。</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）临床一般资料</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临床试验报告中应明确临床试验的起始时间，参加临床试验的入选对象的基本情况，包括入选对象的数量、年龄、性别、病种、病情轻重、病程分布、住院和门诊病人的比例等信息。所有的入选对象应符合入选标准和排除标准。为了客观评价试验产品的治疗效果，应对参加试验组和对照组的入选对象的这些基本情况进行统计学分析，验证两组间人群的均衡可比性。</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）试验方法</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试验方法是对方案中总体设计内容的具体实施。中频电疗产品的临床应采用随机平行对照设计，以避免由于组间的不均衡而导致的两组人群不可比。对照组可采用已上市的、具有合法资质的、疗效确实的同类产品，或者采用临床公认有效的传统治疗方法。试验是否采用盲法可根据具体情况设置。</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5</w:t>
      </w:r>
      <w:r w:rsidRPr="00400912">
        <w:rPr>
          <w:rFonts w:eastAsia="仿宋_GB2312"/>
          <w:sz w:val="32"/>
          <w:szCs w:val="28"/>
        </w:rPr>
        <w:t>）临床评价标准</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中频电疗产品的治疗作用多数都是缓解疾病的症状，建议在</w:t>
      </w:r>
      <w:r w:rsidRPr="00400912">
        <w:rPr>
          <w:rFonts w:eastAsia="仿宋_GB2312"/>
          <w:sz w:val="32"/>
          <w:szCs w:val="28"/>
        </w:rPr>
        <w:lastRenderedPageBreak/>
        <w:t>评价这些症状时，将症状量化，并建立临床评价标准。</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例如，在评价疼痛时，可采用</w:t>
      </w:r>
      <w:r w:rsidRPr="00400912">
        <w:rPr>
          <w:rStyle w:val="p11"/>
          <w:rFonts w:ascii="Times New Roman" w:eastAsia="仿宋_GB2312" w:hAnsi="Times New Roman" w:hint="default"/>
          <w:sz w:val="32"/>
        </w:rPr>
        <w:t>数字评分法、文字描述法和视觉模拟评分法</w:t>
      </w:r>
      <w:r w:rsidRPr="00400912">
        <w:rPr>
          <w:rFonts w:eastAsia="仿宋_GB2312"/>
          <w:sz w:val="32"/>
          <w:szCs w:val="28"/>
        </w:rPr>
        <w:t>等方法将疼痛分级量化。对治疗效果的评价可建立四级评价标准。即：</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显效：治疗前后疼痛的改善率</w:t>
      </w:r>
      <w:r w:rsidRPr="00400912">
        <w:rPr>
          <w:rFonts w:eastAsia="仿宋_GB2312"/>
          <w:sz w:val="32"/>
          <w:szCs w:val="28"/>
        </w:rPr>
        <w:t>&gt;80%</w:t>
      </w:r>
      <w:r w:rsidRPr="00400912">
        <w:rPr>
          <w:rFonts w:eastAsia="仿宋_GB2312"/>
          <w:sz w:val="32"/>
          <w:szCs w:val="28"/>
        </w:rPr>
        <w:t>。</w:t>
      </w:r>
    </w:p>
    <w:p w:rsidR="002B20C0" w:rsidRPr="001707F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有效：疼痛的改善率</w:t>
      </w:r>
      <w:r w:rsidRPr="00400912">
        <w:rPr>
          <w:rFonts w:eastAsia="仿宋_GB2312"/>
          <w:sz w:val="32"/>
          <w:szCs w:val="28"/>
        </w:rPr>
        <w:t>50%</w:t>
      </w:r>
      <w:r w:rsidRPr="00400912">
        <w:rPr>
          <w:rFonts w:ascii="仿宋_GB2312" w:eastAsia="仿宋_GB2312" w:hint="eastAsia"/>
          <w:sz w:val="32"/>
          <w:szCs w:val="28"/>
        </w:rPr>
        <w:t>—</w:t>
      </w:r>
      <w:r w:rsidRPr="00012843">
        <w:rPr>
          <w:rFonts w:eastAsia="仿宋_GB2312"/>
          <w:sz w:val="32"/>
          <w:szCs w:val="28"/>
        </w:rPr>
        <w:t>80%</w:t>
      </w:r>
      <w:r w:rsidRPr="007114E0">
        <w:rPr>
          <w:rFonts w:eastAsia="仿宋_GB2312"/>
          <w:sz w:val="32"/>
          <w:szCs w:val="28"/>
        </w:rPr>
        <w:t>。</w:t>
      </w:r>
    </w:p>
    <w:p w:rsidR="002B20C0" w:rsidRPr="001707F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进步：疼痛的改善率</w:t>
      </w:r>
      <w:r w:rsidRPr="006A16BF">
        <w:rPr>
          <w:rFonts w:eastAsia="仿宋_GB2312"/>
          <w:sz w:val="32"/>
          <w:szCs w:val="28"/>
        </w:rPr>
        <w:t>20%</w:t>
      </w:r>
      <w:r w:rsidRPr="00400912">
        <w:rPr>
          <w:rFonts w:ascii="仿宋_GB2312" w:eastAsia="仿宋_GB2312" w:hint="eastAsia"/>
          <w:sz w:val="32"/>
          <w:szCs w:val="28"/>
        </w:rPr>
        <w:t>—</w:t>
      </w:r>
      <w:r w:rsidRPr="00012843">
        <w:rPr>
          <w:rFonts w:eastAsia="仿宋_GB2312"/>
          <w:sz w:val="32"/>
          <w:szCs w:val="28"/>
        </w:rPr>
        <w:t>50%</w:t>
      </w:r>
      <w:r w:rsidRPr="007114E0">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无效：疼痛的改善率</w:t>
      </w:r>
      <w:r w:rsidRPr="006A16BF">
        <w:rPr>
          <w:rFonts w:eastAsia="仿宋_GB2312"/>
          <w:sz w:val="32"/>
          <w:szCs w:val="28"/>
        </w:rPr>
        <w:t>&lt;20%</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以显效</w:t>
      </w:r>
      <w:r w:rsidRPr="00400912">
        <w:rPr>
          <w:rFonts w:eastAsia="仿宋_GB2312"/>
          <w:sz w:val="32"/>
          <w:szCs w:val="28"/>
        </w:rPr>
        <w:t>+</w:t>
      </w:r>
      <w:r w:rsidRPr="00400912">
        <w:rPr>
          <w:rFonts w:eastAsia="仿宋_GB2312"/>
          <w:sz w:val="32"/>
          <w:szCs w:val="28"/>
        </w:rPr>
        <w:t>有效的病例数统计有效率。</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6</w:t>
      </w:r>
      <w:r w:rsidRPr="00400912">
        <w:rPr>
          <w:rFonts w:eastAsia="仿宋_GB2312"/>
          <w:sz w:val="32"/>
          <w:szCs w:val="28"/>
        </w:rPr>
        <w:t>）临床试验结果</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应按照方案规定的统计学方法及疗效评价方法进行统计分析（</w:t>
      </w:r>
      <w:r w:rsidRPr="00012843">
        <w:rPr>
          <w:rFonts w:eastAsia="仿宋_GB2312"/>
          <w:sz w:val="32"/>
          <w:szCs w:val="28"/>
        </w:rPr>
        <w:t>包括组内和组间分析</w:t>
      </w:r>
      <w:r w:rsidRPr="00400912">
        <w:rPr>
          <w:rFonts w:eastAsia="仿宋_GB2312"/>
          <w:sz w:val="32"/>
          <w:szCs w:val="28"/>
        </w:rPr>
        <w:t>）</w:t>
      </w:r>
      <w:r w:rsidRPr="00012843">
        <w:rPr>
          <w:rFonts w:eastAsia="仿宋_GB2312"/>
          <w:sz w:val="32"/>
          <w:szCs w:val="28"/>
        </w:rPr>
        <w:t>，给出分析结果。必要时提供试验数据统计分析报告。</w:t>
      </w:r>
    </w:p>
    <w:p w:rsidR="002B20C0" w:rsidRPr="0040091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w:t>
      </w:r>
      <w:r w:rsidRPr="007A5484">
        <w:rPr>
          <w:rFonts w:eastAsia="仿宋_GB2312"/>
          <w:sz w:val="32"/>
          <w:szCs w:val="28"/>
        </w:rPr>
        <w:t>7</w:t>
      </w:r>
      <w:r w:rsidRPr="006A16BF">
        <w:rPr>
          <w:rFonts w:eastAsia="仿宋_GB2312"/>
          <w:sz w:val="32"/>
          <w:szCs w:val="28"/>
        </w:rPr>
        <w:t>）临床试验效果分析</w:t>
      </w:r>
    </w:p>
    <w:p w:rsidR="002B20C0" w:rsidRPr="001707F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临床研究者应在临床试验报告中，根据统计分析结果进行分析，并做出</w:t>
      </w:r>
      <w:r w:rsidRPr="00012843">
        <w:rPr>
          <w:rFonts w:eastAsia="仿宋_GB2312"/>
          <w:sz w:val="32"/>
          <w:szCs w:val="28"/>
        </w:rPr>
        <w:t>临床</w:t>
      </w:r>
      <w:r w:rsidRPr="007114E0">
        <w:rPr>
          <w:rFonts w:eastAsia="仿宋_GB2312"/>
          <w:sz w:val="32"/>
          <w:szCs w:val="28"/>
        </w:rPr>
        <w:t>意义的解释。</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w:t>
      </w:r>
      <w:r w:rsidRPr="006A16BF">
        <w:rPr>
          <w:rFonts w:eastAsia="仿宋_GB2312"/>
          <w:sz w:val="32"/>
          <w:szCs w:val="28"/>
        </w:rPr>
        <w:t>8</w:t>
      </w:r>
      <w:r w:rsidRPr="00400912">
        <w:rPr>
          <w:rFonts w:eastAsia="仿宋_GB2312"/>
          <w:sz w:val="32"/>
          <w:szCs w:val="28"/>
        </w:rPr>
        <w:t>）临床试验结论</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临床研究者应根据临床试验数据结果、效果分析得出结论。临床结论应客观、科学、公正，在试验结果中有据可查。</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9</w:t>
      </w:r>
      <w:r w:rsidRPr="00400912">
        <w:rPr>
          <w:rFonts w:eastAsia="仿宋_GB2312"/>
          <w:sz w:val="32"/>
          <w:szCs w:val="28"/>
        </w:rPr>
        <w:t>）适应证、适用范围、禁忌症和注意事项</w:t>
      </w:r>
    </w:p>
    <w:p w:rsidR="002B20C0" w:rsidRPr="00FF341F"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根据临床试验结果和结论确定相应的适应证、适用范围，这是审批部门进行审批的依据。禁忌症和注意事项是临床研究者在试验中发现或预见的问题，提醒申报者不断改进。</w:t>
      </w:r>
    </w:p>
    <w:p w:rsidR="002B20C0" w:rsidRPr="00400912" w:rsidRDefault="002B20C0" w:rsidP="002B20C0">
      <w:pPr>
        <w:tabs>
          <w:tab w:val="left" w:pos="5820"/>
        </w:tabs>
        <w:overflowPunct w:val="0"/>
        <w:spacing w:line="520" w:lineRule="exact"/>
        <w:jc w:val="center"/>
        <w:rPr>
          <w:rFonts w:ascii="黑体" w:eastAsia="黑体" w:hAnsi="黑体"/>
          <w:sz w:val="28"/>
          <w:szCs w:val="28"/>
        </w:rPr>
      </w:pPr>
      <w:r w:rsidRPr="00400912">
        <w:rPr>
          <w:rFonts w:ascii="黑体" w:eastAsia="黑体" w:hAnsi="黑体"/>
          <w:sz w:val="28"/>
          <w:szCs w:val="28"/>
        </w:rPr>
        <w:lastRenderedPageBreak/>
        <w:t xml:space="preserve">表3 </w:t>
      </w:r>
      <w:r w:rsidRPr="00400912">
        <w:rPr>
          <w:rFonts w:ascii="黑体" w:eastAsia="黑体" w:hAnsi="黑体"/>
          <w:bCs/>
          <w:sz w:val="28"/>
          <w:szCs w:val="28"/>
        </w:rPr>
        <w:t>临床适应证列表</w:t>
      </w:r>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5"/>
        <w:gridCol w:w="1403"/>
        <w:gridCol w:w="4680"/>
        <w:gridCol w:w="1928"/>
      </w:tblGrid>
      <w:tr w:rsidR="002B20C0" w:rsidRPr="00400912" w:rsidTr="00B2728E">
        <w:trPr>
          <w:trHeight w:val="680"/>
          <w:jc w:val="center"/>
        </w:trPr>
        <w:tc>
          <w:tcPr>
            <w:tcW w:w="865" w:type="dxa"/>
            <w:vAlign w:val="center"/>
          </w:tcPr>
          <w:p w:rsidR="002B20C0" w:rsidRPr="007114E0" w:rsidRDefault="002B20C0" w:rsidP="00B2728E">
            <w:pPr>
              <w:overflowPunct w:val="0"/>
              <w:spacing w:line="480" w:lineRule="exact"/>
              <w:jc w:val="center"/>
              <w:rPr>
                <w:rFonts w:ascii="黑体" w:eastAsia="黑体" w:hAnsi="黑体"/>
                <w:bCs/>
                <w:sz w:val="28"/>
                <w:szCs w:val="28"/>
              </w:rPr>
            </w:pPr>
            <w:r w:rsidRPr="00012843">
              <w:rPr>
                <w:rFonts w:ascii="黑体" w:eastAsia="黑体" w:hAnsi="黑体"/>
                <w:bCs/>
                <w:sz w:val="28"/>
                <w:szCs w:val="28"/>
              </w:rPr>
              <w:t>序号</w:t>
            </w:r>
          </w:p>
        </w:tc>
        <w:tc>
          <w:tcPr>
            <w:tcW w:w="1403" w:type="dxa"/>
            <w:vAlign w:val="center"/>
          </w:tcPr>
          <w:p w:rsidR="002B20C0" w:rsidRPr="007A5484" w:rsidRDefault="002B20C0" w:rsidP="00B2728E">
            <w:pPr>
              <w:overflowPunct w:val="0"/>
              <w:spacing w:line="480" w:lineRule="exact"/>
              <w:jc w:val="center"/>
              <w:rPr>
                <w:rFonts w:ascii="黑体" w:eastAsia="黑体" w:hAnsi="黑体"/>
                <w:bCs/>
                <w:sz w:val="28"/>
                <w:szCs w:val="28"/>
              </w:rPr>
            </w:pPr>
            <w:r w:rsidRPr="001707F2">
              <w:rPr>
                <w:rFonts w:ascii="黑体" w:eastAsia="黑体" w:hAnsi="黑体"/>
                <w:bCs/>
                <w:sz w:val="28"/>
                <w:szCs w:val="28"/>
              </w:rPr>
              <w:t>作用机理</w:t>
            </w:r>
          </w:p>
        </w:tc>
        <w:tc>
          <w:tcPr>
            <w:tcW w:w="4680" w:type="dxa"/>
            <w:vAlign w:val="center"/>
          </w:tcPr>
          <w:p w:rsidR="002B20C0" w:rsidRPr="00400912" w:rsidRDefault="002B20C0" w:rsidP="00B2728E">
            <w:pPr>
              <w:overflowPunct w:val="0"/>
              <w:spacing w:line="480" w:lineRule="exact"/>
              <w:jc w:val="center"/>
              <w:rPr>
                <w:rFonts w:ascii="黑体" w:eastAsia="黑体" w:hAnsi="黑体"/>
                <w:bCs/>
                <w:sz w:val="28"/>
                <w:szCs w:val="28"/>
              </w:rPr>
            </w:pPr>
            <w:r w:rsidRPr="006A16BF">
              <w:rPr>
                <w:rFonts w:ascii="黑体" w:eastAsia="黑体" w:hAnsi="黑体"/>
                <w:bCs/>
                <w:sz w:val="28"/>
                <w:szCs w:val="28"/>
              </w:rPr>
              <w:t>适应证举例</w:t>
            </w:r>
          </w:p>
        </w:tc>
        <w:tc>
          <w:tcPr>
            <w:tcW w:w="1928" w:type="dxa"/>
            <w:vAlign w:val="center"/>
          </w:tcPr>
          <w:p w:rsidR="002B20C0" w:rsidRPr="00400912" w:rsidRDefault="002B20C0" w:rsidP="00B2728E">
            <w:pPr>
              <w:overflowPunct w:val="0"/>
              <w:spacing w:line="480" w:lineRule="exact"/>
              <w:jc w:val="center"/>
              <w:rPr>
                <w:rFonts w:ascii="黑体" w:eastAsia="黑体" w:hAnsi="黑体"/>
                <w:bCs/>
                <w:sz w:val="28"/>
                <w:szCs w:val="28"/>
              </w:rPr>
            </w:pPr>
            <w:r w:rsidRPr="00400912">
              <w:rPr>
                <w:rFonts w:ascii="黑体" w:eastAsia="黑体" w:hAnsi="黑体"/>
                <w:bCs/>
                <w:sz w:val="28"/>
                <w:szCs w:val="28"/>
              </w:rPr>
              <w:t>禁忌症</w:t>
            </w:r>
          </w:p>
        </w:tc>
      </w:tr>
      <w:tr w:rsidR="002B20C0" w:rsidRPr="00400912" w:rsidTr="00B2728E">
        <w:trPr>
          <w:cantSplit/>
          <w:trHeight w:val="3969"/>
          <w:jc w:val="center"/>
        </w:trPr>
        <w:tc>
          <w:tcPr>
            <w:tcW w:w="865" w:type="dxa"/>
            <w:vAlign w:val="center"/>
          </w:tcPr>
          <w:p w:rsidR="002B20C0" w:rsidRPr="00400912" w:rsidRDefault="002B20C0" w:rsidP="00B2728E">
            <w:pPr>
              <w:overflowPunct w:val="0"/>
              <w:spacing w:line="480" w:lineRule="exact"/>
              <w:jc w:val="center"/>
              <w:rPr>
                <w:rFonts w:eastAsia="仿宋_GB2312"/>
                <w:bCs/>
                <w:sz w:val="28"/>
                <w:szCs w:val="28"/>
              </w:rPr>
            </w:pPr>
            <w:r w:rsidRPr="00400912">
              <w:rPr>
                <w:rFonts w:eastAsia="仿宋_GB2312"/>
                <w:bCs/>
                <w:sz w:val="28"/>
                <w:szCs w:val="28"/>
              </w:rPr>
              <w:t>1</w:t>
            </w:r>
          </w:p>
        </w:tc>
        <w:tc>
          <w:tcPr>
            <w:tcW w:w="1403" w:type="dxa"/>
            <w:vAlign w:val="center"/>
          </w:tcPr>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镇痛</w:t>
            </w:r>
          </w:p>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作用</w:t>
            </w:r>
          </w:p>
        </w:tc>
        <w:tc>
          <w:tcPr>
            <w:tcW w:w="4680" w:type="dxa"/>
            <w:vAlign w:val="center"/>
          </w:tcPr>
          <w:p w:rsidR="002B20C0" w:rsidRPr="00400912" w:rsidRDefault="002B20C0" w:rsidP="00B2728E">
            <w:pPr>
              <w:overflowPunct w:val="0"/>
              <w:spacing w:line="480" w:lineRule="exact"/>
              <w:rPr>
                <w:rFonts w:eastAsia="仿宋_GB2312"/>
                <w:sz w:val="28"/>
                <w:szCs w:val="28"/>
              </w:rPr>
            </w:pPr>
            <w:r w:rsidRPr="00400912">
              <w:rPr>
                <w:rFonts w:eastAsia="仿宋_GB2312"/>
                <w:sz w:val="28"/>
                <w:szCs w:val="28"/>
              </w:rPr>
              <w:t>肩周炎、肱骨外上髁炎、颈椎病、腰椎间盘突出症、退行性骨性关节病、风湿性关节炎、类风湿关节炎、捩伤、挫伤、肌纤维织炎、肌肉劳损、狭窄性腱鞘炎、盆腔炎、附件炎、慢性咽喉炎、乳腺增生、坐骨神经痛、周围神经伤病、关节挛缩、慢性前列腺炎。</w:t>
            </w:r>
          </w:p>
        </w:tc>
        <w:tc>
          <w:tcPr>
            <w:tcW w:w="1928" w:type="dxa"/>
            <w:vMerge w:val="restart"/>
            <w:vAlign w:val="center"/>
          </w:tcPr>
          <w:p w:rsidR="002B20C0" w:rsidRPr="00400912" w:rsidRDefault="002B20C0" w:rsidP="00B2728E">
            <w:pPr>
              <w:overflowPunct w:val="0"/>
              <w:spacing w:line="480" w:lineRule="exact"/>
              <w:rPr>
                <w:rFonts w:eastAsia="仿宋_GB2312"/>
                <w:sz w:val="28"/>
                <w:szCs w:val="28"/>
              </w:rPr>
            </w:pPr>
            <w:r w:rsidRPr="00400912">
              <w:rPr>
                <w:rFonts w:eastAsia="仿宋_GB2312"/>
                <w:sz w:val="28"/>
                <w:szCs w:val="28"/>
              </w:rPr>
              <w:t>出血倾向、急性化脓性炎症局部、恶性肿瘤局部、心脏起搏器局部、金属内置物局部、心区、孕妇下腹部。</w:t>
            </w:r>
          </w:p>
        </w:tc>
      </w:tr>
      <w:tr w:rsidR="002B20C0" w:rsidRPr="00400912" w:rsidTr="00B2728E">
        <w:trPr>
          <w:cantSplit/>
          <w:trHeight w:val="4365"/>
          <w:jc w:val="center"/>
        </w:trPr>
        <w:tc>
          <w:tcPr>
            <w:tcW w:w="865" w:type="dxa"/>
            <w:vAlign w:val="center"/>
          </w:tcPr>
          <w:p w:rsidR="002B20C0" w:rsidRPr="00400912" w:rsidRDefault="002B20C0" w:rsidP="00B2728E">
            <w:pPr>
              <w:overflowPunct w:val="0"/>
              <w:spacing w:line="480" w:lineRule="exact"/>
              <w:jc w:val="center"/>
              <w:rPr>
                <w:rFonts w:eastAsia="仿宋_GB2312"/>
                <w:bCs/>
                <w:sz w:val="28"/>
                <w:szCs w:val="28"/>
              </w:rPr>
            </w:pPr>
            <w:r w:rsidRPr="00400912">
              <w:rPr>
                <w:rFonts w:eastAsia="仿宋_GB2312"/>
                <w:bCs/>
                <w:sz w:val="28"/>
                <w:szCs w:val="28"/>
              </w:rPr>
              <w:t>2</w:t>
            </w:r>
          </w:p>
        </w:tc>
        <w:tc>
          <w:tcPr>
            <w:tcW w:w="1403" w:type="dxa"/>
            <w:vAlign w:val="center"/>
          </w:tcPr>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改善局</w:t>
            </w:r>
          </w:p>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部血液</w:t>
            </w:r>
          </w:p>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循环，</w:t>
            </w:r>
          </w:p>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促进炎</w:t>
            </w:r>
          </w:p>
          <w:p w:rsidR="002B20C0" w:rsidRPr="00400912" w:rsidRDefault="002B20C0" w:rsidP="00B2728E">
            <w:pPr>
              <w:overflowPunct w:val="0"/>
              <w:spacing w:line="480" w:lineRule="exact"/>
              <w:jc w:val="center"/>
              <w:rPr>
                <w:rFonts w:eastAsia="仿宋_GB2312"/>
                <w:bCs/>
                <w:sz w:val="28"/>
                <w:szCs w:val="28"/>
              </w:rPr>
            </w:pPr>
            <w:r w:rsidRPr="00400912">
              <w:rPr>
                <w:rFonts w:eastAsia="仿宋_GB2312"/>
                <w:sz w:val="28"/>
                <w:szCs w:val="28"/>
              </w:rPr>
              <w:t>症消散</w:t>
            </w:r>
          </w:p>
        </w:tc>
        <w:tc>
          <w:tcPr>
            <w:tcW w:w="4680" w:type="dxa"/>
            <w:vAlign w:val="center"/>
          </w:tcPr>
          <w:p w:rsidR="002B20C0" w:rsidRPr="00400912" w:rsidRDefault="002B20C0" w:rsidP="00B2728E">
            <w:pPr>
              <w:overflowPunct w:val="0"/>
              <w:spacing w:line="480" w:lineRule="exact"/>
              <w:rPr>
                <w:rFonts w:eastAsia="仿宋_GB2312"/>
                <w:bCs/>
                <w:sz w:val="28"/>
                <w:szCs w:val="28"/>
              </w:rPr>
            </w:pPr>
            <w:r w:rsidRPr="00400912">
              <w:rPr>
                <w:rFonts w:eastAsia="仿宋_GB2312"/>
                <w:sz w:val="28"/>
                <w:szCs w:val="28"/>
              </w:rPr>
              <w:t>肩周炎、肱骨外上髁炎、颈椎病、腰椎间盘突出症、退行性骨性关节病、风湿性关节炎、类风湿关节炎、捩伤、挫伤、肌纤维织炎、肌肉劳损、狭窄性腱鞘炎、盆腔炎、附件炎、慢性咽喉炎、乳腺增生、坐骨神经痛、周围神经伤病、关节挛缩、慢性前列腺炎、肌炎、骨折延迟愈合、雷诺病。</w:t>
            </w:r>
          </w:p>
        </w:tc>
        <w:tc>
          <w:tcPr>
            <w:tcW w:w="1928" w:type="dxa"/>
            <w:vMerge/>
          </w:tcPr>
          <w:p w:rsidR="002B20C0" w:rsidRPr="00400912" w:rsidRDefault="002B20C0" w:rsidP="00B2728E">
            <w:pPr>
              <w:overflowPunct w:val="0"/>
              <w:spacing w:line="480" w:lineRule="exact"/>
              <w:rPr>
                <w:rFonts w:eastAsia="仿宋_GB2312"/>
                <w:sz w:val="28"/>
                <w:szCs w:val="28"/>
              </w:rPr>
            </w:pPr>
          </w:p>
        </w:tc>
      </w:tr>
      <w:tr w:rsidR="002B20C0" w:rsidRPr="00400912" w:rsidTr="00B2728E">
        <w:trPr>
          <w:cantSplit/>
          <w:trHeight w:val="1701"/>
          <w:jc w:val="center"/>
        </w:trPr>
        <w:tc>
          <w:tcPr>
            <w:tcW w:w="865" w:type="dxa"/>
            <w:vAlign w:val="center"/>
          </w:tcPr>
          <w:p w:rsidR="002B20C0" w:rsidRPr="00400912" w:rsidRDefault="002B20C0" w:rsidP="00B2728E">
            <w:pPr>
              <w:overflowPunct w:val="0"/>
              <w:spacing w:line="480" w:lineRule="exact"/>
              <w:jc w:val="center"/>
              <w:rPr>
                <w:rFonts w:eastAsia="仿宋_GB2312"/>
                <w:bCs/>
                <w:sz w:val="28"/>
                <w:szCs w:val="28"/>
              </w:rPr>
            </w:pPr>
            <w:r w:rsidRPr="00400912">
              <w:rPr>
                <w:rFonts w:eastAsia="仿宋_GB2312"/>
                <w:bCs/>
                <w:sz w:val="28"/>
                <w:szCs w:val="28"/>
              </w:rPr>
              <w:t>3</w:t>
            </w:r>
          </w:p>
        </w:tc>
        <w:tc>
          <w:tcPr>
            <w:tcW w:w="1403" w:type="dxa"/>
            <w:vAlign w:val="center"/>
          </w:tcPr>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软化瘢痕松解粘连</w:t>
            </w:r>
          </w:p>
        </w:tc>
        <w:tc>
          <w:tcPr>
            <w:tcW w:w="4680" w:type="dxa"/>
            <w:vAlign w:val="center"/>
          </w:tcPr>
          <w:p w:rsidR="002B20C0" w:rsidRPr="00400912" w:rsidRDefault="002B20C0" w:rsidP="00B2728E">
            <w:pPr>
              <w:overflowPunct w:val="0"/>
              <w:spacing w:line="480" w:lineRule="exact"/>
              <w:rPr>
                <w:rFonts w:eastAsia="仿宋_GB2312"/>
                <w:sz w:val="28"/>
                <w:szCs w:val="28"/>
              </w:rPr>
            </w:pPr>
            <w:r w:rsidRPr="00400912">
              <w:rPr>
                <w:rFonts w:eastAsia="仿宋_GB2312"/>
                <w:sz w:val="28"/>
                <w:szCs w:val="28"/>
              </w:rPr>
              <w:t>瘢痕、瘢痕挛缩、术后粘连、肠粘连、炎症后硬化、注射后硬结、阴茎海绵体硬结、血肿机化、狭窄性腱鞘炎。</w:t>
            </w:r>
          </w:p>
        </w:tc>
        <w:tc>
          <w:tcPr>
            <w:tcW w:w="1928" w:type="dxa"/>
            <w:vMerge/>
          </w:tcPr>
          <w:p w:rsidR="002B20C0" w:rsidRPr="00400912" w:rsidRDefault="002B20C0" w:rsidP="00B2728E">
            <w:pPr>
              <w:overflowPunct w:val="0"/>
              <w:spacing w:line="480" w:lineRule="exact"/>
              <w:rPr>
                <w:rFonts w:eastAsia="仿宋_GB2312"/>
                <w:sz w:val="28"/>
                <w:szCs w:val="28"/>
              </w:rPr>
            </w:pPr>
          </w:p>
        </w:tc>
      </w:tr>
      <w:tr w:rsidR="002B20C0" w:rsidRPr="00400912" w:rsidTr="00B2728E">
        <w:trPr>
          <w:cantSplit/>
          <w:trHeight w:val="1701"/>
          <w:jc w:val="center"/>
        </w:trPr>
        <w:tc>
          <w:tcPr>
            <w:tcW w:w="865" w:type="dxa"/>
            <w:vAlign w:val="center"/>
          </w:tcPr>
          <w:p w:rsidR="002B20C0" w:rsidRPr="00400912" w:rsidRDefault="002B20C0" w:rsidP="00B2728E">
            <w:pPr>
              <w:overflowPunct w:val="0"/>
              <w:spacing w:line="480" w:lineRule="exact"/>
              <w:jc w:val="center"/>
              <w:rPr>
                <w:rFonts w:eastAsia="仿宋_GB2312"/>
                <w:bCs/>
                <w:sz w:val="28"/>
                <w:szCs w:val="28"/>
              </w:rPr>
            </w:pPr>
            <w:r w:rsidRPr="00400912">
              <w:rPr>
                <w:rFonts w:eastAsia="仿宋_GB2312"/>
                <w:bCs/>
                <w:sz w:val="28"/>
                <w:szCs w:val="28"/>
              </w:rPr>
              <w:t>4</w:t>
            </w:r>
          </w:p>
        </w:tc>
        <w:tc>
          <w:tcPr>
            <w:tcW w:w="1403" w:type="dxa"/>
            <w:vAlign w:val="center"/>
          </w:tcPr>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兴奋神</w:t>
            </w:r>
          </w:p>
          <w:p w:rsidR="002B20C0" w:rsidRPr="00400912" w:rsidRDefault="002B20C0" w:rsidP="00B2728E">
            <w:pPr>
              <w:overflowPunct w:val="0"/>
              <w:spacing w:line="480" w:lineRule="exact"/>
              <w:jc w:val="center"/>
              <w:rPr>
                <w:rFonts w:eastAsia="仿宋_GB2312"/>
                <w:sz w:val="28"/>
                <w:szCs w:val="28"/>
              </w:rPr>
            </w:pPr>
            <w:r w:rsidRPr="00400912">
              <w:rPr>
                <w:rFonts w:eastAsia="仿宋_GB2312"/>
                <w:sz w:val="28"/>
                <w:szCs w:val="28"/>
              </w:rPr>
              <w:t>经肌肉</w:t>
            </w:r>
          </w:p>
        </w:tc>
        <w:tc>
          <w:tcPr>
            <w:tcW w:w="4680" w:type="dxa"/>
            <w:vAlign w:val="center"/>
          </w:tcPr>
          <w:p w:rsidR="002B20C0" w:rsidRPr="00400912" w:rsidRDefault="002B20C0" w:rsidP="00B2728E">
            <w:pPr>
              <w:overflowPunct w:val="0"/>
              <w:spacing w:line="480" w:lineRule="exact"/>
              <w:rPr>
                <w:rFonts w:eastAsia="仿宋_GB2312"/>
                <w:sz w:val="28"/>
                <w:szCs w:val="28"/>
              </w:rPr>
            </w:pPr>
            <w:r w:rsidRPr="00400912">
              <w:rPr>
                <w:rFonts w:eastAsia="仿宋_GB2312"/>
                <w:sz w:val="28"/>
                <w:szCs w:val="28"/>
              </w:rPr>
              <w:t>神经或肌肉伤病后肌肉功能障碍、废用性肌萎缩、术后肠麻痹、尿潴留、便秘、声带麻痹、胃下垂。</w:t>
            </w:r>
          </w:p>
        </w:tc>
        <w:tc>
          <w:tcPr>
            <w:tcW w:w="1928" w:type="dxa"/>
            <w:vMerge/>
          </w:tcPr>
          <w:p w:rsidR="002B20C0" w:rsidRPr="00400912" w:rsidRDefault="002B20C0" w:rsidP="00B2728E">
            <w:pPr>
              <w:overflowPunct w:val="0"/>
              <w:spacing w:line="480" w:lineRule="exact"/>
              <w:rPr>
                <w:rFonts w:eastAsia="仿宋_GB2312"/>
                <w:sz w:val="28"/>
                <w:szCs w:val="28"/>
              </w:rPr>
            </w:pPr>
          </w:p>
        </w:tc>
      </w:tr>
    </w:tbl>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hint="eastAsia"/>
          <w:sz w:val="32"/>
          <w:szCs w:val="28"/>
        </w:rPr>
        <w:lastRenderedPageBreak/>
        <w:t>（十二）产品的不良事件历史记录</w:t>
      </w:r>
    </w:p>
    <w:p w:rsidR="002B20C0" w:rsidRPr="00400912" w:rsidRDefault="002B20C0" w:rsidP="002B20C0">
      <w:pPr>
        <w:overflowPunct w:val="0"/>
        <w:spacing w:line="560" w:lineRule="exact"/>
        <w:ind w:firstLineChars="200" w:firstLine="640"/>
        <w:rPr>
          <w:rFonts w:eastAsia="仿宋_GB2312"/>
          <w:sz w:val="32"/>
          <w:szCs w:val="28"/>
        </w:rPr>
      </w:pPr>
      <w:r w:rsidRPr="00012843">
        <w:rPr>
          <w:rFonts w:eastAsia="仿宋_GB2312"/>
          <w:bCs/>
          <w:sz w:val="32"/>
          <w:szCs w:val="28"/>
        </w:rPr>
        <w:t>根据国家及北京市药品不良反应监测中心提供的信息，电脑中频电</w:t>
      </w:r>
      <w:r w:rsidRPr="007114E0">
        <w:rPr>
          <w:rFonts w:eastAsia="仿宋_GB2312"/>
          <w:sz w:val="32"/>
          <w:szCs w:val="28"/>
        </w:rPr>
        <w:t>疗仪用于治疗颈椎间盘突出症的过程中曾发生如下不良事件：电极紧贴皮肤通电</w:t>
      </w:r>
      <w:r w:rsidRPr="001707F2">
        <w:rPr>
          <w:rFonts w:eastAsia="仿宋_GB2312"/>
          <w:sz w:val="32"/>
          <w:szCs w:val="28"/>
        </w:rPr>
        <w:t>20</w:t>
      </w:r>
      <w:r w:rsidRPr="007A5484">
        <w:rPr>
          <w:rFonts w:eastAsia="仿宋_GB2312"/>
          <w:sz w:val="32"/>
          <w:szCs w:val="28"/>
        </w:rPr>
        <w:t>分钟后，局部出现皮肤潮红，随即停止使用，随后继续出现局部皮肤瘙痒、皮疹等不适，边界</w:t>
      </w:r>
      <w:r w:rsidRPr="006A16BF">
        <w:rPr>
          <w:rFonts w:eastAsia="仿宋_GB2312"/>
          <w:sz w:val="32"/>
          <w:szCs w:val="28"/>
        </w:rPr>
        <w:t>清晰。</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初步分析原因：</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1.</w:t>
      </w:r>
      <w:r w:rsidRPr="00012843">
        <w:rPr>
          <w:rFonts w:eastAsia="仿宋_GB2312"/>
          <w:sz w:val="32"/>
          <w:szCs w:val="28"/>
        </w:rPr>
        <w:t>电极与皮肤接触不紧密，导致局部形成电势差，产生电离作用。整改方法为在说明书中说明</w:t>
      </w:r>
      <w:r w:rsidRPr="007114E0">
        <w:rPr>
          <w:rFonts w:eastAsia="仿宋_GB2312"/>
          <w:sz w:val="32"/>
          <w:szCs w:val="28"/>
        </w:rPr>
        <w:t>“</w:t>
      </w:r>
      <w:r w:rsidRPr="001707F2">
        <w:rPr>
          <w:rFonts w:eastAsia="仿宋_GB2312"/>
          <w:sz w:val="32"/>
          <w:szCs w:val="28"/>
        </w:rPr>
        <w:t>治疗时电极片应与治疗部位紧密接触</w:t>
      </w:r>
      <w:r w:rsidRPr="007A5484">
        <w:rPr>
          <w:rFonts w:eastAsia="仿宋_GB2312"/>
          <w:sz w:val="32"/>
          <w:szCs w:val="28"/>
        </w:rPr>
        <w:t>”</w:t>
      </w:r>
      <w:r w:rsidRPr="006A16BF">
        <w:rPr>
          <w:rFonts w:eastAsia="仿宋_GB2312"/>
          <w:sz w:val="32"/>
          <w:szCs w:val="28"/>
        </w:rPr>
        <w:t>。</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2.</w:t>
      </w:r>
      <w:r w:rsidRPr="00012843">
        <w:rPr>
          <w:rFonts w:eastAsia="仿宋_GB2312"/>
          <w:sz w:val="32"/>
          <w:szCs w:val="28"/>
        </w:rPr>
        <w:t>电极片的生物相容性不符合要求，导致产生过敏反</w:t>
      </w:r>
      <w:r w:rsidRPr="00400912">
        <w:rPr>
          <w:rFonts w:eastAsia="仿宋_GB2312"/>
          <w:sz w:val="32"/>
          <w:szCs w:val="28"/>
        </w:rPr>
        <w:t>应</w:t>
      </w:r>
      <w:r w:rsidRPr="00012843">
        <w:rPr>
          <w:rFonts w:eastAsia="仿宋_GB2312"/>
          <w:sz w:val="32"/>
          <w:szCs w:val="28"/>
        </w:rPr>
        <w:t>。整改方法为将电极片置入纯棉布套后实施治疗。</w:t>
      </w:r>
    </w:p>
    <w:p w:rsidR="002B20C0" w:rsidRPr="001707F2" w:rsidRDefault="002B20C0" w:rsidP="002B20C0">
      <w:pPr>
        <w:overflowPunct w:val="0"/>
        <w:spacing w:line="560" w:lineRule="exact"/>
        <w:ind w:firstLineChars="200" w:firstLine="640"/>
        <w:rPr>
          <w:rFonts w:eastAsia="仿宋_GB2312"/>
          <w:sz w:val="32"/>
          <w:szCs w:val="28"/>
        </w:rPr>
      </w:pPr>
      <w:r w:rsidRPr="001707F2">
        <w:rPr>
          <w:rFonts w:eastAsia="仿宋_GB2312"/>
          <w:bCs/>
          <w:sz w:val="32"/>
          <w:szCs w:val="28"/>
        </w:rPr>
        <w:t>3</w:t>
      </w:r>
      <w:r w:rsidRPr="00400912">
        <w:rPr>
          <w:rFonts w:eastAsia="仿宋_GB2312"/>
          <w:bCs/>
          <w:sz w:val="32"/>
          <w:szCs w:val="28"/>
        </w:rPr>
        <w:t>.</w:t>
      </w:r>
      <w:r w:rsidRPr="00012843">
        <w:rPr>
          <w:rFonts w:eastAsia="仿宋_GB2312"/>
          <w:bCs/>
          <w:sz w:val="32"/>
          <w:szCs w:val="28"/>
        </w:rPr>
        <w:t>电极片的清洁消毒不够。</w:t>
      </w:r>
      <w:r w:rsidRPr="007114E0">
        <w:rPr>
          <w:rFonts w:eastAsia="仿宋_GB2312"/>
          <w:sz w:val="32"/>
          <w:szCs w:val="28"/>
        </w:rPr>
        <w:t>整改方法为将电极片消毒清洗的要求在说明书中明确。</w:t>
      </w:r>
    </w:p>
    <w:p w:rsidR="002B20C0" w:rsidRPr="007114E0" w:rsidRDefault="002B20C0" w:rsidP="002B20C0">
      <w:pPr>
        <w:overflowPunct w:val="0"/>
        <w:spacing w:line="560" w:lineRule="exact"/>
        <w:ind w:firstLineChars="200" w:firstLine="640"/>
        <w:rPr>
          <w:rFonts w:eastAsia="仿宋_GB2312"/>
          <w:sz w:val="32"/>
          <w:szCs w:val="28"/>
        </w:rPr>
      </w:pPr>
      <w:r w:rsidRPr="007A5484">
        <w:rPr>
          <w:rFonts w:eastAsia="仿宋_GB2312"/>
          <w:bCs/>
          <w:sz w:val="32"/>
          <w:szCs w:val="28"/>
        </w:rPr>
        <w:t>4</w:t>
      </w:r>
      <w:r w:rsidRPr="00400912">
        <w:rPr>
          <w:rFonts w:eastAsia="仿宋_GB2312"/>
          <w:bCs/>
          <w:sz w:val="32"/>
          <w:szCs w:val="28"/>
        </w:rPr>
        <w:t>.</w:t>
      </w:r>
      <w:r w:rsidRPr="00012843">
        <w:rPr>
          <w:rFonts w:eastAsia="仿宋_GB2312"/>
          <w:bCs/>
          <w:sz w:val="32"/>
          <w:szCs w:val="28"/>
        </w:rPr>
        <w:t>电极片老化应及时更换，不宜时间过长，通常为一年。</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hint="eastAsia"/>
          <w:sz w:val="32"/>
          <w:szCs w:val="28"/>
        </w:rPr>
        <w:t>（十三）产品说明书和标签要求</w:t>
      </w:r>
    </w:p>
    <w:p w:rsidR="002B20C0" w:rsidRPr="00400912" w:rsidRDefault="002B20C0" w:rsidP="002B20C0">
      <w:pPr>
        <w:overflowPunct w:val="0"/>
        <w:spacing w:line="560" w:lineRule="exact"/>
        <w:ind w:firstLineChars="200" w:firstLine="640"/>
        <w:rPr>
          <w:rFonts w:eastAsia="仿宋_GB2312"/>
          <w:bCs/>
          <w:sz w:val="32"/>
          <w:szCs w:val="28"/>
        </w:rPr>
      </w:pPr>
      <w:r w:rsidRPr="00012843">
        <w:rPr>
          <w:rFonts w:eastAsia="仿宋_GB2312"/>
          <w:sz w:val="32"/>
          <w:szCs w:val="28"/>
        </w:rPr>
        <w:t>说明书和标签除应当符合</w:t>
      </w:r>
      <w:r w:rsidRPr="007114E0">
        <w:rPr>
          <w:rFonts w:eastAsia="仿宋_GB2312"/>
          <w:bCs/>
          <w:sz w:val="32"/>
          <w:szCs w:val="28"/>
        </w:rPr>
        <w:t>《医疗器械说明书和标签管理规定》（国家食品药品监督管理总局令第</w:t>
      </w:r>
      <w:r w:rsidRPr="001707F2">
        <w:rPr>
          <w:rFonts w:eastAsia="仿宋_GB2312"/>
          <w:bCs/>
          <w:sz w:val="32"/>
          <w:szCs w:val="28"/>
        </w:rPr>
        <w:t>6</w:t>
      </w:r>
      <w:r w:rsidRPr="007A5484">
        <w:rPr>
          <w:rFonts w:eastAsia="仿宋_GB2312"/>
          <w:bCs/>
          <w:sz w:val="32"/>
          <w:szCs w:val="28"/>
        </w:rPr>
        <w:t>号）和</w:t>
      </w:r>
      <w:r w:rsidRPr="006A16BF">
        <w:rPr>
          <w:rFonts w:eastAsia="仿宋_GB2312"/>
          <w:bCs/>
          <w:sz w:val="32"/>
          <w:szCs w:val="28"/>
        </w:rPr>
        <w:t>YY 0607</w:t>
      </w:r>
      <w:r w:rsidRPr="00400912">
        <w:rPr>
          <w:rFonts w:ascii="仿宋_GB2312" w:eastAsia="仿宋_GB2312" w:hint="eastAsia"/>
          <w:bCs/>
          <w:sz w:val="32"/>
          <w:szCs w:val="28"/>
        </w:rPr>
        <w:t>—</w:t>
      </w:r>
      <w:r w:rsidRPr="00400912">
        <w:rPr>
          <w:rFonts w:eastAsia="仿宋_GB2312"/>
          <w:bCs/>
          <w:sz w:val="32"/>
          <w:szCs w:val="28"/>
        </w:rPr>
        <w:t>2007</w:t>
      </w:r>
      <w:r w:rsidRPr="00400912">
        <w:rPr>
          <w:rFonts w:eastAsia="仿宋_GB2312"/>
          <w:bCs/>
          <w:sz w:val="32"/>
          <w:szCs w:val="28"/>
        </w:rPr>
        <w:t>中</w:t>
      </w:r>
      <w:r w:rsidRPr="00400912">
        <w:rPr>
          <w:rFonts w:eastAsia="仿宋_GB2312"/>
          <w:bCs/>
          <w:sz w:val="32"/>
          <w:szCs w:val="28"/>
        </w:rPr>
        <w:t>6.8</w:t>
      </w:r>
      <w:r w:rsidRPr="00400912">
        <w:rPr>
          <w:rFonts w:eastAsia="仿宋_GB2312"/>
          <w:bCs/>
          <w:sz w:val="32"/>
          <w:szCs w:val="28"/>
        </w:rPr>
        <w:t>要求外</w:t>
      </w:r>
      <w:r w:rsidRPr="00400912">
        <w:rPr>
          <w:rFonts w:eastAsia="仿宋_GB2312"/>
          <w:sz w:val="32"/>
          <w:szCs w:val="28"/>
        </w:rPr>
        <w:t>，还应结合产品特点明确以下内容：</w:t>
      </w:r>
    </w:p>
    <w:p w:rsidR="002B20C0" w:rsidRPr="007114E0" w:rsidRDefault="002B20C0" w:rsidP="002B20C0">
      <w:pPr>
        <w:overflowPunct w:val="0"/>
        <w:spacing w:line="560" w:lineRule="exact"/>
        <w:ind w:firstLineChars="200" w:firstLine="640"/>
        <w:rPr>
          <w:rFonts w:eastAsia="仿宋_GB2312"/>
          <w:sz w:val="32"/>
          <w:szCs w:val="28"/>
          <w:u w:val="single"/>
        </w:rPr>
      </w:pPr>
      <w:r w:rsidRPr="00400912">
        <w:rPr>
          <w:rFonts w:eastAsia="仿宋_GB2312"/>
          <w:sz w:val="32"/>
          <w:szCs w:val="28"/>
        </w:rPr>
        <w:t>1.</w:t>
      </w:r>
      <w:r w:rsidRPr="00012843">
        <w:rPr>
          <w:rFonts w:eastAsia="仿宋_GB2312"/>
          <w:sz w:val="32"/>
          <w:szCs w:val="28"/>
        </w:rPr>
        <w:t>产品的性能指标应符合产品标准中相关的要求。</w:t>
      </w:r>
    </w:p>
    <w:p w:rsidR="002B20C0" w:rsidRPr="007114E0"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2</w:t>
      </w:r>
      <w:r w:rsidRPr="00400912">
        <w:rPr>
          <w:rFonts w:eastAsia="仿宋_GB2312"/>
          <w:sz w:val="32"/>
          <w:szCs w:val="28"/>
        </w:rPr>
        <w:t>.</w:t>
      </w:r>
      <w:r w:rsidRPr="00012843">
        <w:rPr>
          <w:rFonts w:eastAsia="仿宋_GB2312"/>
          <w:sz w:val="32"/>
          <w:szCs w:val="28"/>
        </w:rPr>
        <w:t>如提及处方与适应证的对应关系，应提供相关证明资料或明确此对应关系仅提供参考。</w:t>
      </w:r>
    </w:p>
    <w:p w:rsidR="002B20C0" w:rsidRPr="00400912"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3</w:t>
      </w:r>
      <w:r w:rsidRPr="00400912">
        <w:rPr>
          <w:rFonts w:eastAsia="仿宋_GB2312"/>
          <w:sz w:val="32"/>
          <w:szCs w:val="28"/>
        </w:rPr>
        <w:t>.</w:t>
      </w:r>
      <w:r w:rsidRPr="00012843">
        <w:rPr>
          <w:rFonts w:eastAsia="仿宋_GB2312"/>
          <w:sz w:val="32"/>
          <w:szCs w:val="28"/>
        </w:rPr>
        <w:t>禁忌症</w:t>
      </w:r>
      <w:r w:rsidRPr="007114E0">
        <w:rPr>
          <w:rFonts w:eastAsia="仿宋_GB2312"/>
          <w:sz w:val="32"/>
          <w:szCs w:val="28"/>
        </w:rPr>
        <w:t>至少应包括表</w:t>
      </w:r>
      <w:r w:rsidRPr="001707F2">
        <w:rPr>
          <w:rFonts w:eastAsia="仿宋_GB2312"/>
          <w:sz w:val="32"/>
          <w:szCs w:val="28"/>
        </w:rPr>
        <w:t>3</w:t>
      </w:r>
      <w:r w:rsidRPr="007A5484">
        <w:rPr>
          <w:rFonts w:eastAsia="仿宋_GB2312"/>
          <w:sz w:val="32"/>
          <w:szCs w:val="28"/>
        </w:rPr>
        <w:t>中</w:t>
      </w:r>
      <w:r w:rsidRPr="006A16BF">
        <w:rPr>
          <w:rFonts w:eastAsia="仿宋_GB2312"/>
          <w:sz w:val="32"/>
          <w:szCs w:val="28"/>
        </w:rPr>
        <w:t>“</w:t>
      </w:r>
      <w:r w:rsidRPr="00400912">
        <w:rPr>
          <w:rFonts w:eastAsia="仿宋_GB2312"/>
          <w:sz w:val="32"/>
          <w:szCs w:val="28"/>
        </w:rPr>
        <w:t>禁忌症</w:t>
      </w:r>
      <w:r w:rsidRPr="00400912">
        <w:rPr>
          <w:rFonts w:eastAsia="仿宋_GB2312"/>
          <w:sz w:val="32"/>
          <w:szCs w:val="28"/>
        </w:rPr>
        <w:t>”</w:t>
      </w:r>
      <w:r w:rsidRPr="00400912">
        <w:rPr>
          <w:rFonts w:eastAsia="仿宋_GB2312"/>
          <w:sz w:val="32"/>
          <w:szCs w:val="28"/>
        </w:rPr>
        <w:t>中的内容。</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4.</w:t>
      </w:r>
      <w:r w:rsidRPr="00012843">
        <w:rPr>
          <w:rFonts w:eastAsia="仿宋_GB2312"/>
          <w:sz w:val="32"/>
          <w:szCs w:val="28"/>
        </w:rPr>
        <w:t>注意事项至少应包括以下项目：</w:t>
      </w:r>
    </w:p>
    <w:p w:rsidR="002B20C0" w:rsidRPr="00012843"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lastRenderedPageBreak/>
        <w:t>（</w:t>
      </w:r>
      <w:r w:rsidRPr="007A5484">
        <w:rPr>
          <w:rFonts w:eastAsia="仿宋_GB2312"/>
          <w:sz w:val="32"/>
          <w:szCs w:val="28"/>
        </w:rPr>
        <w:t>1</w:t>
      </w:r>
      <w:r w:rsidRPr="006A16BF">
        <w:rPr>
          <w:rFonts w:eastAsia="仿宋_GB2312"/>
          <w:sz w:val="32"/>
          <w:szCs w:val="28"/>
        </w:rPr>
        <w:t>）电极必须与皮肤充分均匀接触，否则有灼伤危险</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2</w:t>
      </w:r>
      <w:r w:rsidRPr="007A5484">
        <w:rPr>
          <w:rFonts w:eastAsia="仿宋_GB2312"/>
          <w:sz w:val="32"/>
          <w:szCs w:val="28"/>
        </w:rPr>
        <w:t>）两电极不可同时置于心脏投影区前后、左右，任何电极放置方法电流都不可以流过心脏</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3</w:t>
      </w:r>
      <w:r w:rsidRPr="007A5484">
        <w:rPr>
          <w:rFonts w:eastAsia="仿宋_GB2312"/>
          <w:sz w:val="32"/>
          <w:szCs w:val="28"/>
        </w:rPr>
        <w:t>）使用中如有任何不适，应立即停止治疗</w:t>
      </w:r>
      <w:r w:rsidRPr="00400912">
        <w:rPr>
          <w:rFonts w:eastAsia="仿宋_GB2312"/>
          <w:sz w:val="32"/>
          <w:szCs w:val="28"/>
        </w:rPr>
        <w:t>。</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4</w:t>
      </w:r>
      <w:r w:rsidRPr="007A5484">
        <w:rPr>
          <w:rFonts w:eastAsia="仿宋_GB2312"/>
          <w:sz w:val="32"/>
          <w:szCs w:val="28"/>
        </w:rPr>
        <w:t>）</w:t>
      </w:r>
      <w:r w:rsidRPr="00400912">
        <w:rPr>
          <w:rFonts w:eastAsia="仿宋_GB2312"/>
          <w:sz w:val="32"/>
          <w:szCs w:val="28"/>
        </w:rPr>
        <w:t>每次使用完毕后，电极与人接触部分应进行清洗消毒。</w:t>
      </w:r>
    </w:p>
    <w:p w:rsidR="002B20C0" w:rsidRPr="00012843"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5</w:t>
      </w:r>
      <w:r w:rsidRPr="007A5484">
        <w:rPr>
          <w:rFonts w:eastAsia="仿宋_GB2312"/>
          <w:sz w:val="32"/>
          <w:szCs w:val="28"/>
        </w:rPr>
        <w:t>）应明确</w:t>
      </w:r>
      <w:r w:rsidRPr="006A16BF">
        <w:rPr>
          <w:rFonts w:eastAsia="仿宋_GB2312"/>
          <w:sz w:val="32"/>
          <w:szCs w:val="28"/>
        </w:rPr>
        <w:t>“</w:t>
      </w:r>
      <w:r w:rsidRPr="00400912">
        <w:rPr>
          <w:rFonts w:eastAsia="仿宋_GB2312"/>
          <w:sz w:val="32"/>
          <w:szCs w:val="28"/>
        </w:rPr>
        <w:t>建议在医生指导下使用</w:t>
      </w:r>
      <w:r w:rsidRPr="00400912">
        <w:rPr>
          <w:rFonts w:eastAsia="仿宋_GB2312"/>
          <w:sz w:val="32"/>
          <w:szCs w:val="28"/>
        </w:rPr>
        <w:t>”</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6</w:t>
      </w:r>
      <w:r w:rsidRPr="007A5484">
        <w:rPr>
          <w:rFonts w:eastAsia="仿宋_GB2312"/>
          <w:sz w:val="32"/>
          <w:szCs w:val="28"/>
        </w:rPr>
        <w:t>）应明确</w:t>
      </w:r>
      <w:r w:rsidRPr="006A16BF">
        <w:rPr>
          <w:rFonts w:eastAsia="仿宋_GB2312"/>
          <w:sz w:val="32"/>
          <w:szCs w:val="28"/>
        </w:rPr>
        <w:t>“</w:t>
      </w:r>
      <w:r w:rsidRPr="00400912">
        <w:rPr>
          <w:rFonts w:eastAsia="仿宋_GB2312"/>
          <w:sz w:val="32"/>
          <w:szCs w:val="28"/>
        </w:rPr>
        <w:t>阅读说明书后再使用</w:t>
      </w:r>
      <w:r w:rsidRPr="00400912">
        <w:rPr>
          <w:rFonts w:eastAsia="仿宋_GB2312"/>
          <w:sz w:val="32"/>
          <w:szCs w:val="28"/>
        </w:rPr>
        <w:t>”</w:t>
      </w:r>
      <w:r w:rsidRPr="00400912">
        <w:rPr>
          <w:rFonts w:eastAsia="仿宋_GB2312"/>
          <w:sz w:val="32"/>
          <w:szCs w:val="28"/>
        </w:rPr>
        <w:t>。</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sz w:val="32"/>
          <w:szCs w:val="28"/>
        </w:rPr>
        <w:t>（十四）研究要求</w:t>
      </w:r>
    </w:p>
    <w:p w:rsidR="002B20C0" w:rsidRPr="001707F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1.</w:t>
      </w:r>
      <w:r w:rsidRPr="007114E0">
        <w:rPr>
          <w:rFonts w:eastAsia="仿宋_GB2312"/>
          <w:sz w:val="32"/>
          <w:szCs w:val="28"/>
        </w:rPr>
        <w:t>产品性能研究</w:t>
      </w:r>
    </w:p>
    <w:p w:rsidR="002B20C0" w:rsidRPr="006A16BF"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2.</w:t>
      </w:r>
      <w:r w:rsidRPr="00400912">
        <w:rPr>
          <w:rFonts w:eastAsia="仿宋_GB2312"/>
          <w:sz w:val="32"/>
          <w:szCs w:val="28"/>
        </w:rPr>
        <w:t>生物相容性评价研究</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应对成品中与患者和使用者直接或间接接触的材料的生物相容性进行评价。</w:t>
      </w:r>
    </w:p>
    <w:p w:rsidR="002B20C0" w:rsidRPr="00400912" w:rsidRDefault="002B20C0" w:rsidP="002B20C0">
      <w:pPr>
        <w:overflowPunct w:val="0"/>
        <w:spacing w:line="560" w:lineRule="exact"/>
        <w:ind w:firstLineChars="200" w:firstLine="640"/>
        <w:rPr>
          <w:rFonts w:eastAsia="仿宋_GB2312"/>
          <w:spacing w:val="2"/>
          <w:sz w:val="32"/>
          <w:szCs w:val="28"/>
        </w:rPr>
      </w:pPr>
      <w:r w:rsidRPr="00400912">
        <w:rPr>
          <w:rFonts w:eastAsia="仿宋_GB2312"/>
          <w:sz w:val="32"/>
          <w:szCs w:val="28"/>
        </w:rPr>
        <w:t>生</w:t>
      </w:r>
      <w:r w:rsidRPr="00400912">
        <w:rPr>
          <w:rFonts w:eastAsia="仿宋_GB2312"/>
          <w:spacing w:val="2"/>
          <w:sz w:val="32"/>
          <w:szCs w:val="28"/>
        </w:rPr>
        <w:t>物相容性评价研究资料应当包括：生物相容性评价的依据和方法；产品所用材料的描述及与人体接触的性质；实施或豁免生物学试验的理由和论证；对于现有数据或试验结果的评价。</w:t>
      </w:r>
    </w:p>
    <w:p w:rsidR="002B20C0" w:rsidRPr="001707F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3.</w:t>
      </w:r>
      <w:r w:rsidRPr="007114E0">
        <w:rPr>
          <w:rFonts w:eastAsia="仿宋_GB2312"/>
          <w:sz w:val="32"/>
          <w:szCs w:val="28"/>
        </w:rPr>
        <w:t>灭菌和消毒工艺研究</w:t>
      </w:r>
    </w:p>
    <w:p w:rsidR="002B20C0" w:rsidRPr="006A16BF"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终端用户消毒：如适用，应明确推荐的消毒工艺（方法和参数）以及所推荐消毒方法确定的依据</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lastRenderedPageBreak/>
        <w:t>4.</w:t>
      </w:r>
      <w:r w:rsidRPr="00400912">
        <w:rPr>
          <w:rFonts w:eastAsia="仿宋_GB2312"/>
          <w:sz w:val="32"/>
          <w:szCs w:val="28"/>
        </w:rPr>
        <w:t>产品有效期和包装研究</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有效期的确定：如适用，应当提供产品有效期的验证报告。</w:t>
      </w:r>
    </w:p>
    <w:p w:rsidR="002B20C0" w:rsidRPr="00012843"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对</w:t>
      </w:r>
      <w:r w:rsidRPr="00400912">
        <w:rPr>
          <w:rFonts w:eastAsia="仿宋_GB2312"/>
          <w:spacing w:val="-10"/>
          <w:sz w:val="32"/>
          <w:szCs w:val="28"/>
        </w:rPr>
        <w:t>于有限次重复使用的医疗器械，应当提供使用次数验证资料。</w:t>
      </w:r>
    </w:p>
    <w:p w:rsidR="002B20C0" w:rsidRPr="001707F2" w:rsidRDefault="002B20C0" w:rsidP="002B20C0">
      <w:pPr>
        <w:overflowPunct w:val="0"/>
        <w:spacing w:line="560" w:lineRule="exact"/>
        <w:ind w:firstLineChars="200" w:firstLine="640"/>
        <w:rPr>
          <w:rFonts w:eastAsia="仿宋_GB2312"/>
          <w:sz w:val="32"/>
          <w:szCs w:val="28"/>
        </w:rPr>
      </w:pPr>
      <w:r w:rsidRPr="007114E0">
        <w:rPr>
          <w:rFonts w:eastAsia="仿宋_GB2312"/>
          <w:sz w:val="32"/>
          <w:szCs w:val="28"/>
        </w:rPr>
        <w:t>包装及包装完整性：在宣称的有效期内以及运输储存条件下，保持包装完整性的依据。</w:t>
      </w:r>
    </w:p>
    <w:p w:rsidR="002B20C0" w:rsidRPr="00400912" w:rsidRDefault="002B20C0" w:rsidP="002B20C0">
      <w:pPr>
        <w:overflowPunct w:val="0"/>
        <w:spacing w:line="560" w:lineRule="exact"/>
        <w:ind w:firstLineChars="200" w:firstLine="640"/>
        <w:rPr>
          <w:rFonts w:eastAsia="仿宋_GB2312"/>
          <w:sz w:val="32"/>
          <w:szCs w:val="28"/>
        </w:rPr>
      </w:pPr>
      <w:r w:rsidRPr="007A5484">
        <w:rPr>
          <w:rFonts w:eastAsia="仿宋_GB2312"/>
          <w:sz w:val="32"/>
          <w:szCs w:val="28"/>
        </w:rPr>
        <w:t>5.</w:t>
      </w:r>
      <w:r w:rsidRPr="006A16BF">
        <w:rPr>
          <w:rFonts w:eastAsia="仿宋_GB2312"/>
          <w:sz w:val="32"/>
          <w:szCs w:val="28"/>
        </w:rPr>
        <w:t>软件研究</w:t>
      </w:r>
    </w:p>
    <w:p w:rsidR="002B20C0" w:rsidRPr="007114E0"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含有软件的产品，应当提供一份单独的医疗器械软件描述文档，内容包括基本信息、实现过程和核心算法，详尽程度取决于软件的安全性级别和复杂程度。同时，应出具关于软件版本命名规则的声明，并明确软件版本的全部字段及字段含义，确定软件的完整版本和发行所用的标识版本。具体参见《医疗器械软件注册技术审查</w:t>
      </w:r>
      <w:r w:rsidRPr="00012843">
        <w:rPr>
          <w:rFonts w:eastAsia="仿宋_GB2312"/>
          <w:sz w:val="32"/>
          <w:szCs w:val="28"/>
        </w:rPr>
        <w:t>指导原则》</w:t>
      </w:r>
      <w:r w:rsidRPr="00400912">
        <w:rPr>
          <w:rFonts w:eastAsia="仿宋_GB2312"/>
          <w:sz w:val="32"/>
          <w:szCs w:val="28"/>
        </w:rPr>
        <w:t>（国家食品药品监督管理总局通告</w:t>
      </w:r>
      <w:r w:rsidRPr="00400912">
        <w:rPr>
          <w:rFonts w:eastAsia="仿宋_GB2312"/>
          <w:sz w:val="32"/>
          <w:szCs w:val="28"/>
        </w:rPr>
        <w:t>2015</w:t>
      </w:r>
      <w:r w:rsidRPr="00400912">
        <w:rPr>
          <w:rFonts w:eastAsia="仿宋_GB2312"/>
          <w:sz w:val="32"/>
          <w:szCs w:val="28"/>
        </w:rPr>
        <w:t>年第</w:t>
      </w:r>
      <w:r w:rsidRPr="00400912">
        <w:rPr>
          <w:rFonts w:eastAsia="仿宋_GB2312"/>
          <w:sz w:val="32"/>
          <w:szCs w:val="28"/>
        </w:rPr>
        <w:t>50</w:t>
      </w:r>
      <w:r w:rsidRPr="00400912">
        <w:rPr>
          <w:rFonts w:eastAsia="仿宋_GB2312"/>
          <w:sz w:val="32"/>
          <w:szCs w:val="28"/>
        </w:rPr>
        <w:t>号）</w:t>
      </w:r>
      <w:r w:rsidRPr="00012843">
        <w:rPr>
          <w:rFonts w:eastAsia="仿宋_GB2312"/>
          <w:sz w:val="32"/>
          <w:szCs w:val="28"/>
        </w:rPr>
        <w:t>的相关要求。</w:t>
      </w:r>
    </w:p>
    <w:p w:rsidR="002B20C0" w:rsidRPr="006A16BF" w:rsidRDefault="002B20C0" w:rsidP="002B20C0">
      <w:pPr>
        <w:overflowPunct w:val="0"/>
        <w:spacing w:line="560" w:lineRule="exact"/>
        <w:ind w:firstLineChars="200" w:firstLine="640"/>
        <w:rPr>
          <w:rFonts w:eastAsia="仿宋_GB2312"/>
          <w:sz w:val="32"/>
          <w:szCs w:val="28"/>
        </w:rPr>
      </w:pPr>
      <w:r w:rsidRPr="001707F2">
        <w:rPr>
          <w:rFonts w:eastAsia="仿宋_GB2312"/>
          <w:sz w:val="32"/>
          <w:szCs w:val="28"/>
        </w:rPr>
        <w:t>6.</w:t>
      </w:r>
      <w:r w:rsidRPr="007A5484">
        <w:rPr>
          <w:rFonts w:eastAsia="仿宋_GB2312"/>
          <w:sz w:val="32"/>
          <w:szCs w:val="28"/>
        </w:rPr>
        <w:t>其他资料</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证明产品安全性、有效性的其他研究资料。</w:t>
      </w:r>
    </w:p>
    <w:p w:rsidR="002B20C0" w:rsidRPr="00400912" w:rsidRDefault="002B20C0" w:rsidP="002B20C0">
      <w:pPr>
        <w:overflowPunct w:val="0"/>
        <w:spacing w:line="560" w:lineRule="exact"/>
        <w:ind w:firstLineChars="200" w:firstLine="640"/>
        <w:rPr>
          <w:rFonts w:ascii="黑体" w:eastAsia="黑体" w:hAnsi="黑体"/>
          <w:sz w:val="32"/>
          <w:szCs w:val="28"/>
        </w:rPr>
      </w:pPr>
      <w:r w:rsidRPr="00400912">
        <w:rPr>
          <w:rFonts w:ascii="黑体" w:eastAsia="黑体" w:hAnsi="黑体"/>
          <w:sz w:val="32"/>
          <w:szCs w:val="28"/>
        </w:rPr>
        <w:t>三、审查关注点</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sz w:val="32"/>
          <w:szCs w:val="28"/>
        </w:rPr>
        <w:t>（一）产品技术要求</w:t>
      </w:r>
    </w:p>
    <w:p w:rsidR="002B20C0" w:rsidRPr="0040091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中频电疗产品技术要求编写的规范性，引用标准的适用性、准确性。</w:t>
      </w:r>
      <w:r w:rsidRPr="007114E0">
        <w:rPr>
          <w:rFonts w:eastAsia="仿宋_GB2312"/>
          <w:sz w:val="32"/>
          <w:szCs w:val="28"/>
        </w:rPr>
        <w:t>“</w:t>
      </w:r>
      <w:r w:rsidRPr="001707F2">
        <w:rPr>
          <w:rFonts w:eastAsia="仿宋_GB2312"/>
          <w:sz w:val="32"/>
          <w:szCs w:val="28"/>
        </w:rPr>
        <w:t>性能指标</w:t>
      </w:r>
      <w:r w:rsidRPr="007A5484">
        <w:rPr>
          <w:rFonts w:eastAsia="仿宋_GB2312"/>
          <w:sz w:val="32"/>
          <w:szCs w:val="28"/>
        </w:rPr>
        <w:t>”</w:t>
      </w:r>
      <w:r w:rsidRPr="006A16BF">
        <w:rPr>
          <w:rFonts w:eastAsia="仿宋_GB2312"/>
          <w:sz w:val="32"/>
          <w:szCs w:val="28"/>
        </w:rPr>
        <w:t>一章的内容是否根据中频电疗产品特性</w:t>
      </w:r>
      <w:bookmarkStart w:id="0" w:name="OLE_LINK2"/>
      <w:r w:rsidRPr="006A16BF">
        <w:rPr>
          <w:rFonts w:eastAsia="仿宋_GB2312"/>
          <w:sz w:val="32"/>
          <w:szCs w:val="28"/>
        </w:rPr>
        <w:t>进行了完整的要求。</w:t>
      </w:r>
      <w:bookmarkEnd w:id="0"/>
      <w:r w:rsidRPr="006A16BF">
        <w:rPr>
          <w:rFonts w:eastAsia="仿宋_GB2312"/>
          <w:sz w:val="32"/>
          <w:szCs w:val="28"/>
        </w:rPr>
        <w:t>利用中频并结合其他物理方式进行治疗的产品，其中频部分是否进行了完整的要求。</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sz w:val="32"/>
          <w:szCs w:val="28"/>
        </w:rPr>
        <w:t>（二）临床试验</w:t>
      </w:r>
    </w:p>
    <w:p w:rsidR="002B20C0" w:rsidRPr="001707F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中频电疗产品的</w:t>
      </w:r>
      <w:bookmarkStart w:id="1" w:name="OLE_LINK3"/>
      <w:r w:rsidRPr="00012843">
        <w:rPr>
          <w:rFonts w:eastAsia="仿宋_GB2312"/>
          <w:sz w:val="32"/>
          <w:szCs w:val="28"/>
        </w:rPr>
        <w:t>临床试验方案是否能验证产品的预期用途，</w:t>
      </w:r>
      <w:r w:rsidRPr="00012843">
        <w:rPr>
          <w:rFonts w:eastAsia="仿宋_GB2312"/>
          <w:sz w:val="32"/>
          <w:szCs w:val="28"/>
        </w:rPr>
        <w:lastRenderedPageBreak/>
        <w:t>临床试验</w:t>
      </w:r>
      <w:bookmarkEnd w:id="1"/>
      <w:r w:rsidRPr="00012843">
        <w:rPr>
          <w:rFonts w:eastAsia="仿宋_GB2312"/>
          <w:sz w:val="32"/>
          <w:szCs w:val="28"/>
        </w:rPr>
        <w:t>结论是否明确。</w:t>
      </w:r>
      <w:r w:rsidRPr="007114E0">
        <w:rPr>
          <w:rFonts w:eastAsia="仿宋_GB2312"/>
          <w:sz w:val="32"/>
          <w:szCs w:val="28"/>
        </w:rPr>
        <w:t>产品使用说明书中的治疗参数和治疗周期等内容与临床试验资料中阐述的是否一致。</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sz w:val="32"/>
          <w:szCs w:val="28"/>
        </w:rPr>
        <w:t>（三）预期用途</w:t>
      </w:r>
    </w:p>
    <w:p w:rsidR="002B20C0" w:rsidRPr="007A5484"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中频电疗产品的预期用途，与医疗器械注册申请表、综述资料、临床评价资料、产品风险分析资料、产品说明书等方面阐述的是否一致。</w:t>
      </w:r>
      <w:r w:rsidRPr="007114E0">
        <w:rPr>
          <w:rFonts w:eastAsia="仿宋_GB2312"/>
          <w:sz w:val="32"/>
          <w:szCs w:val="28"/>
        </w:rPr>
        <w:t>根据中频电疗法的作用机理，中频电疗产品临床适应证主要与所选取的中频电疗法的种类相关，对于一个具体的中频电疗产品而言，一个临床适应证可能对应多个处方，一个处方也可能用于多个临床适应证，两者往往不</w:t>
      </w:r>
      <w:r w:rsidRPr="001707F2">
        <w:rPr>
          <w:rFonts w:eastAsia="仿宋_GB2312"/>
          <w:sz w:val="32"/>
          <w:szCs w:val="28"/>
        </w:rPr>
        <w:t>是简单的一对一关系。</w:t>
      </w:r>
    </w:p>
    <w:p w:rsidR="002B20C0" w:rsidRPr="00400912" w:rsidRDefault="002B20C0" w:rsidP="002B20C0">
      <w:pPr>
        <w:overflowPunct w:val="0"/>
        <w:spacing w:line="560" w:lineRule="exact"/>
        <w:ind w:firstLineChars="200" w:firstLine="640"/>
        <w:rPr>
          <w:rStyle w:val="f101"/>
          <w:rFonts w:ascii="黑体" w:eastAsia="黑体" w:hAnsi="黑体"/>
          <w:sz w:val="32"/>
          <w:szCs w:val="28"/>
        </w:rPr>
      </w:pPr>
      <w:r w:rsidRPr="00400912">
        <w:rPr>
          <w:rStyle w:val="f101"/>
          <w:rFonts w:ascii="黑体" w:eastAsia="黑体" w:hAnsi="黑体"/>
          <w:sz w:val="32"/>
          <w:szCs w:val="28"/>
        </w:rPr>
        <w:t>四、指导原则编写人员</w:t>
      </w:r>
    </w:p>
    <w:p w:rsidR="002B20C0" w:rsidRPr="00400912" w:rsidRDefault="002B20C0" w:rsidP="002B20C0">
      <w:pPr>
        <w:overflowPunct w:val="0"/>
        <w:spacing w:line="560" w:lineRule="exact"/>
        <w:ind w:firstLineChars="200" w:firstLine="640"/>
        <w:rPr>
          <w:rStyle w:val="f101"/>
          <w:rFonts w:eastAsia="仿宋_GB2312"/>
          <w:sz w:val="32"/>
          <w:szCs w:val="28"/>
        </w:rPr>
      </w:pPr>
      <w:r w:rsidRPr="00400912">
        <w:rPr>
          <w:rStyle w:val="f101"/>
          <w:rFonts w:eastAsia="仿宋_GB2312"/>
          <w:sz w:val="32"/>
          <w:szCs w:val="28"/>
        </w:rPr>
        <w:t>北京市医疗器械技术审评中心。</w:t>
      </w:r>
    </w:p>
    <w:p w:rsidR="003D3592" w:rsidRPr="002B20C0" w:rsidRDefault="003D3592">
      <w:bookmarkStart w:id="2" w:name="_GoBack"/>
      <w:bookmarkEnd w:id="2"/>
    </w:p>
    <w:sectPr w:rsidR="003D3592" w:rsidRPr="002B20C0" w:rsidSect="00400912">
      <w:footerReference w:type="even" r:id="rId9"/>
      <w:footerReference w:type="default" r:id="rId10"/>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A6B" w:rsidRDefault="00D06A6B" w:rsidP="002B20C0">
      <w:r>
        <w:separator/>
      </w:r>
    </w:p>
  </w:endnote>
  <w:endnote w:type="continuationSeparator" w:id="1">
    <w:p w:rsidR="00D06A6B" w:rsidRDefault="00D06A6B" w:rsidP="002B20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pPr>
      <w:pStyle w:val="ac"/>
      <w:rPr>
        <w:sz w:val="28"/>
        <w:szCs w:val="28"/>
      </w:rPr>
    </w:pPr>
    <w:r w:rsidRPr="00400912">
      <w:rPr>
        <w:rFonts w:hint="eastAsia"/>
        <w:color w:val="FFFFFF"/>
        <w:sz w:val="28"/>
        <w:szCs w:val="28"/>
      </w:rPr>
      <w:t>—</w:t>
    </w: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Pr="00C049AC">
      <w:rPr>
        <w:noProof/>
        <w:sz w:val="28"/>
        <w:szCs w:val="28"/>
        <w:lang w:val="zh-CN"/>
      </w:rPr>
      <w:t>2</w:t>
    </w:r>
    <w:r w:rsidR="00B75BC2" w:rsidRPr="00400912">
      <w:rPr>
        <w:sz w:val="28"/>
        <w:szCs w:val="28"/>
      </w:rPr>
      <w:fldChar w:fldCharType="end"/>
    </w:r>
    <w:r w:rsidRPr="001422DF">
      <w:rPr>
        <w:rFonts w:hint="eastAsia"/>
        <w:sz w:val="28"/>
        <w:szCs w:val="28"/>
      </w:rPr>
      <w:t>—</w:t>
    </w:r>
  </w:p>
  <w:p w:rsidR="00A73EB3" w:rsidRDefault="00D06A6B" w:rsidP="00A73EB3">
    <w:pPr>
      <w:pStyle w:val="ac"/>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rsidP="00400912">
    <w:pPr>
      <w:pStyle w:val="ac"/>
      <w:wordWrap w:val="0"/>
      <w:jc w:val="right"/>
      <w:rPr>
        <w:sz w:val="28"/>
        <w:szCs w:val="28"/>
      </w:rPr>
    </w:pP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00D056ED" w:rsidRPr="00D056ED">
      <w:rPr>
        <w:noProof/>
        <w:sz w:val="28"/>
        <w:szCs w:val="28"/>
        <w:lang w:val="zh-CN"/>
      </w:rPr>
      <w:t>1</w:t>
    </w:r>
    <w:r w:rsidR="00B75BC2" w:rsidRPr="00400912">
      <w:rPr>
        <w:sz w:val="28"/>
        <w:szCs w:val="28"/>
      </w:rPr>
      <w:fldChar w:fldCharType="end"/>
    </w:r>
    <w:r w:rsidRPr="00400912">
      <w:rPr>
        <w:rFonts w:hint="eastAsia"/>
        <w:sz w:val="28"/>
        <w:szCs w:val="28"/>
      </w:rPr>
      <w:t>—</w:t>
    </w:r>
    <w:r w:rsidRPr="00400912">
      <w:rPr>
        <w:rFonts w:hint="eastAsia"/>
        <w:color w:val="FFFFFF"/>
        <w:sz w:val="28"/>
        <w:szCs w:val="28"/>
      </w:rPr>
      <w:t>—</w:t>
    </w:r>
  </w:p>
  <w:p w:rsidR="00A73EB3" w:rsidRDefault="00D06A6B" w:rsidP="00A73EB3">
    <w:pPr>
      <w:pStyle w:val="ac"/>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A6B" w:rsidRDefault="00D06A6B" w:rsidP="002B20C0">
      <w:r>
        <w:separator/>
      </w:r>
    </w:p>
  </w:footnote>
  <w:footnote w:type="continuationSeparator" w:id="1">
    <w:p w:rsidR="00D06A6B" w:rsidRDefault="00D06A6B" w:rsidP="002B2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0D3B"/>
    <w:multiLevelType w:val="hybridMultilevel"/>
    <w:tmpl w:val="075A6EF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78C1377"/>
    <w:multiLevelType w:val="multilevel"/>
    <w:tmpl w:val="F6769D8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145BC0"/>
    <w:multiLevelType w:val="multilevel"/>
    <w:tmpl w:val="3932838C"/>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num" w:pos="720"/>
        </w:tabs>
        <w:ind w:left="0" w:firstLine="0"/>
      </w:pPr>
      <w:rPr>
        <w:rFonts w:hint="eastAsia"/>
      </w:rPr>
    </w:lvl>
    <w:lvl w:ilvl="2">
      <w:start w:val="1"/>
      <w:numFmt w:val="decimal"/>
      <w:pStyle w:val="Appendix3"/>
      <w:lvlText w:val="%1.%2.%3"/>
      <w:lvlJc w:val="left"/>
      <w:pPr>
        <w:tabs>
          <w:tab w:val="num" w:pos="720"/>
        </w:tabs>
        <w:ind w:left="0" w:firstLine="0"/>
      </w:pPr>
      <w:rPr>
        <w:rFonts w:hint="eastAsia"/>
      </w:rPr>
    </w:lvl>
    <w:lvl w:ilvl="3">
      <w:start w:val="1"/>
      <w:numFmt w:val="decimal"/>
      <w:pStyle w:val="Appendix4"/>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3">
    <w:nsid w:val="1A586620"/>
    <w:multiLevelType w:val="hybridMultilevel"/>
    <w:tmpl w:val="58AC17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970BF"/>
    <w:multiLevelType w:val="hybridMultilevel"/>
    <w:tmpl w:val="5D064A3C"/>
    <w:lvl w:ilvl="0" w:tplc="3E22FB7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CD6C10"/>
    <w:multiLevelType w:val="hybridMultilevel"/>
    <w:tmpl w:val="CA6E897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FFFFFFFF">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654695"/>
    <w:multiLevelType w:val="hybridMultilevel"/>
    <w:tmpl w:val="9606051E"/>
    <w:lvl w:ilvl="0" w:tplc="3738B6C8">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7">
    <w:nsid w:val="22D624C4"/>
    <w:multiLevelType w:val="hybridMultilevel"/>
    <w:tmpl w:val="5E92A1F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236E7782"/>
    <w:multiLevelType w:val="hybridMultilevel"/>
    <w:tmpl w:val="981CFC46"/>
    <w:lvl w:ilvl="0" w:tplc="4106E7A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DA1F7C"/>
    <w:multiLevelType w:val="hybridMultilevel"/>
    <w:tmpl w:val="D4FC6A20"/>
    <w:lvl w:ilvl="0" w:tplc="EB8040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E7001"/>
    <w:multiLevelType w:val="hybridMultilevel"/>
    <w:tmpl w:val="E8549206"/>
    <w:lvl w:ilvl="0" w:tplc="67F6AB3A">
      <w:start w:val="1"/>
      <w:numFmt w:val="decimal"/>
      <w:lvlText w:val="（%1）"/>
      <w:lvlJc w:val="left"/>
      <w:pPr>
        <w:ind w:left="1260" w:hanging="420"/>
      </w:pPr>
      <w:rPr>
        <w:rFonts w:hint="eastAsia"/>
        <w:lang w:val="en-US"/>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3669DC"/>
    <w:multiLevelType w:val="hybridMultilevel"/>
    <w:tmpl w:val="BEF8DC60"/>
    <w:lvl w:ilvl="0" w:tplc="E87A38FC">
      <w:start w:val="1"/>
      <w:numFmt w:val="decimal"/>
      <w:lvlText w:val="（%1）"/>
      <w:lvlJc w:val="left"/>
      <w:pPr>
        <w:ind w:left="1302" w:hanging="735"/>
      </w:pPr>
      <w:rPr>
        <w:rFonts w:ascii="仿宋_GB2312" w:hAnsi="宋体"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288C43EC"/>
    <w:multiLevelType w:val="hybridMultilevel"/>
    <w:tmpl w:val="F906E2FC"/>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2AFA6B79"/>
    <w:multiLevelType w:val="hybridMultilevel"/>
    <w:tmpl w:val="BB1E09A4"/>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510A7F"/>
    <w:multiLevelType w:val="hybridMultilevel"/>
    <w:tmpl w:val="984073CE"/>
    <w:lvl w:ilvl="0" w:tplc="BFB0610C">
      <w:start w:val="1"/>
      <w:numFmt w:val="bullet"/>
      <w:lvlText w:val="●"/>
      <w:lvlJc w:val="left"/>
      <w:pPr>
        <w:tabs>
          <w:tab w:val="num" w:pos="899"/>
        </w:tabs>
        <w:ind w:left="899" w:hanging="360"/>
      </w:pPr>
      <w:rPr>
        <w:rFonts w:ascii="宋体" w:eastAsia="宋体" w:hAnsi="宋体" w:cs="Times New Roman" w:hint="eastAsia"/>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15">
    <w:nsid w:val="338B298A"/>
    <w:multiLevelType w:val="hybridMultilevel"/>
    <w:tmpl w:val="92B25FAA"/>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nsid w:val="35134C11"/>
    <w:multiLevelType w:val="multilevel"/>
    <w:tmpl w:val="F3E2D304"/>
    <w:lvl w:ilvl="0">
      <w:start w:val="4"/>
      <w:numFmt w:val="decimal"/>
      <w:lvlText w:val="%1"/>
      <w:lvlJc w:val="left"/>
      <w:pPr>
        <w:tabs>
          <w:tab w:val="num" w:pos="525"/>
        </w:tabs>
        <w:ind w:left="525" w:hanging="525"/>
      </w:pPr>
      <w:rPr>
        <w:rFonts w:hint="default"/>
      </w:rPr>
    </w:lvl>
    <w:lvl w:ilvl="1">
      <w:start w:val="7"/>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6C4346F"/>
    <w:multiLevelType w:val="hybridMultilevel"/>
    <w:tmpl w:val="C86C94DC"/>
    <w:lvl w:ilvl="0" w:tplc="F5DA5B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88C20CF"/>
    <w:multiLevelType w:val="hybridMultilevel"/>
    <w:tmpl w:val="CA1C161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7153F"/>
    <w:multiLevelType w:val="hybridMultilevel"/>
    <w:tmpl w:val="E24AACF2"/>
    <w:lvl w:ilvl="0" w:tplc="1C16FB30">
      <w:start w:val="1"/>
      <w:numFmt w:val="decimalEnclosedCircle"/>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0">
    <w:nsid w:val="3E3078CE"/>
    <w:multiLevelType w:val="hybridMultilevel"/>
    <w:tmpl w:val="90581270"/>
    <w:lvl w:ilvl="0" w:tplc="E872F384">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1">
    <w:nsid w:val="3EB30D02"/>
    <w:multiLevelType w:val="hybridMultilevel"/>
    <w:tmpl w:val="26747F6A"/>
    <w:lvl w:ilvl="0" w:tplc="0409000F">
      <w:start w:val="1"/>
      <w:numFmt w:val="decimal"/>
      <w:lvlText w:val="%1."/>
      <w:lvlJc w:val="left"/>
      <w:pPr>
        <w:tabs>
          <w:tab w:val="num" w:pos="945"/>
        </w:tabs>
        <w:ind w:left="945" w:hanging="420"/>
      </w:pPr>
      <w:rPr>
        <w:rFont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F">
      <w:start w:val="1"/>
      <w:numFmt w:val="decimal"/>
      <w:lvlText w:val="%4."/>
      <w:lvlJc w:val="left"/>
      <w:pPr>
        <w:tabs>
          <w:tab w:val="num" w:pos="2205"/>
        </w:tabs>
        <w:ind w:left="2205" w:hanging="420"/>
      </w:pPr>
      <w:rPr>
        <w:rFont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2">
    <w:nsid w:val="466C711F"/>
    <w:multiLevelType w:val="multilevel"/>
    <w:tmpl w:val="D318D26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8E37C5B"/>
    <w:multiLevelType w:val="multilevel"/>
    <w:tmpl w:val="C7DCC9DE"/>
    <w:lvl w:ilvl="0">
      <w:start w:val="4"/>
      <w:numFmt w:val="decimal"/>
      <w:lvlText w:val="%1"/>
      <w:lvlJc w:val="left"/>
      <w:pPr>
        <w:tabs>
          <w:tab w:val="num" w:pos="630"/>
        </w:tabs>
        <w:ind w:left="630" w:hanging="630"/>
      </w:pPr>
      <w:rPr>
        <w:rFonts w:hint="default"/>
      </w:rPr>
    </w:lvl>
    <w:lvl w:ilvl="1">
      <w:start w:val="2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sz w:val="21"/>
        <w:szCs w:val="21"/>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A1B40FE"/>
    <w:multiLevelType w:val="hybridMultilevel"/>
    <w:tmpl w:val="42867122"/>
    <w:lvl w:ilvl="0" w:tplc="99E2D9C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4C825C88"/>
    <w:multiLevelType w:val="hybridMultilevel"/>
    <w:tmpl w:val="2EA87254"/>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3390B0C"/>
    <w:multiLevelType w:val="hybridMultilevel"/>
    <w:tmpl w:val="1F9C0D60"/>
    <w:lvl w:ilvl="0" w:tplc="58B20218">
      <w:start w:val="1"/>
      <w:numFmt w:val="bullet"/>
      <w:lvlText w:val="●"/>
      <w:lvlJc w:val="left"/>
      <w:pPr>
        <w:tabs>
          <w:tab w:val="num" w:pos="960"/>
        </w:tabs>
        <w:ind w:left="960" w:hanging="420"/>
      </w:pPr>
      <w:rPr>
        <w:rFonts w:ascii="宋体" w:eastAsia="宋体" w:hAnsi="宋体" w:cs="Times New Roman" w:hint="eastAsia"/>
        <w:lang w:val="en-US"/>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7">
    <w:nsid w:val="55777A61"/>
    <w:multiLevelType w:val="singleLevel"/>
    <w:tmpl w:val="440262E2"/>
    <w:lvl w:ilvl="0">
      <w:start w:val="1"/>
      <w:numFmt w:val="decimal"/>
      <w:lvlText w:val="%1"/>
      <w:lvlJc w:val="center"/>
      <w:pPr>
        <w:tabs>
          <w:tab w:val="num" w:pos="502"/>
        </w:tabs>
        <w:ind w:left="0" w:firstLine="142"/>
      </w:pPr>
      <w:rPr>
        <w:rFonts w:hint="eastAsia"/>
      </w:rPr>
    </w:lvl>
  </w:abstractNum>
  <w:abstractNum w:abstractNumId="28">
    <w:nsid w:val="581E4D21"/>
    <w:multiLevelType w:val="multilevel"/>
    <w:tmpl w:val="40403C28"/>
    <w:lvl w:ilvl="0">
      <w:start w:val="4"/>
      <w:numFmt w:val="decimal"/>
      <w:lvlText w:val="%1"/>
      <w:lvlJc w:val="left"/>
      <w:pPr>
        <w:tabs>
          <w:tab w:val="num" w:pos="630"/>
        </w:tabs>
        <w:ind w:left="630" w:hanging="630"/>
      </w:pPr>
      <w:rPr>
        <w:rFonts w:hint="default"/>
      </w:rPr>
    </w:lvl>
    <w:lvl w:ilvl="1">
      <w:start w:val="15"/>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D137147"/>
    <w:multiLevelType w:val="hybridMultilevel"/>
    <w:tmpl w:val="173EEEE0"/>
    <w:lvl w:ilvl="0" w:tplc="FFE0D8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DD38BC"/>
    <w:multiLevelType w:val="hybridMultilevel"/>
    <w:tmpl w:val="5F0837EC"/>
    <w:lvl w:ilvl="0" w:tplc="A86CA396">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nsid w:val="6161070C"/>
    <w:multiLevelType w:val="multilevel"/>
    <w:tmpl w:val="D39A31C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37839E0"/>
    <w:multiLevelType w:val="hybridMultilevel"/>
    <w:tmpl w:val="CB5E4E9C"/>
    <w:lvl w:ilvl="0" w:tplc="FFFFFFFF">
      <w:start w:val="1"/>
      <w:numFmt w:val="lowerLetter"/>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3">
    <w:nsid w:val="646260FA"/>
    <w:multiLevelType w:val="multilevel"/>
    <w:tmpl w:val="A15CC956"/>
    <w:lvl w:ilvl="0">
      <w:start w:val="1"/>
      <w:numFmt w:val="decimal"/>
      <w:pStyle w:val="a"/>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683C0E91"/>
    <w:multiLevelType w:val="multilevel"/>
    <w:tmpl w:val="E24AACF2"/>
    <w:lvl w:ilvl="0">
      <w:start w:val="1"/>
      <w:numFmt w:val="decimalEnclosedCircle"/>
      <w:lvlText w:val="%1"/>
      <w:lvlJc w:val="left"/>
      <w:pPr>
        <w:tabs>
          <w:tab w:val="num" w:pos="1080"/>
        </w:tabs>
        <w:ind w:left="1080" w:hanging="36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35">
    <w:nsid w:val="68B70BB7"/>
    <w:multiLevelType w:val="multilevel"/>
    <w:tmpl w:val="99D88F6A"/>
    <w:lvl w:ilvl="0">
      <w:start w:val="4"/>
      <w:numFmt w:val="decimal"/>
      <w:lvlText w:val="%1"/>
      <w:lvlJc w:val="left"/>
      <w:pPr>
        <w:tabs>
          <w:tab w:val="num" w:pos="630"/>
        </w:tabs>
        <w:ind w:left="630" w:hanging="630"/>
      </w:pPr>
      <w:rPr>
        <w:rFonts w:hint="default"/>
        <w:color w:val="FF0000"/>
      </w:rPr>
    </w:lvl>
    <w:lvl w:ilvl="1">
      <w:start w:val="12"/>
      <w:numFmt w:val="decimal"/>
      <w:lvlText w:val="%1.%2"/>
      <w:lvlJc w:val="left"/>
      <w:pPr>
        <w:tabs>
          <w:tab w:val="num" w:pos="630"/>
        </w:tabs>
        <w:ind w:left="630" w:hanging="63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FF0000"/>
      </w:rPr>
    </w:lvl>
    <w:lvl w:ilvl="4">
      <w:start w:val="1"/>
      <w:numFmt w:val="decimal"/>
      <w:lvlText w:val="%1.%2.%3.%4.%5"/>
      <w:lvlJc w:val="left"/>
      <w:pPr>
        <w:tabs>
          <w:tab w:val="num" w:pos="1080"/>
        </w:tabs>
        <w:ind w:left="1080" w:hanging="1080"/>
      </w:pPr>
      <w:rPr>
        <w:rFonts w:hint="default"/>
        <w:color w:val="FF0000"/>
      </w:rPr>
    </w:lvl>
    <w:lvl w:ilvl="5">
      <w:start w:val="1"/>
      <w:numFmt w:val="decimal"/>
      <w:lvlText w:val="%1.%2.%3.%4.%5.%6"/>
      <w:lvlJc w:val="left"/>
      <w:pPr>
        <w:tabs>
          <w:tab w:val="num" w:pos="1440"/>
        </w:tabs>
        <w:ind w:left="1440" w:hanging="1440"/>
      </w:pPr>
      <w:rPr>
        <w:rFonts w:hint="default"/>
        <w:color w:val="FF0000"/>
      </w:rPr>
    </w:lvl>
    <w:lvl w:ilvl="6">
      <w:start w:val="1"/>
      <w:numFmt w:val="decimal"/>
      <w:lvlText w:val="%1.%2.%3.%4.%5.%6.%7"/>
      <w:lvlJc w:val="left"/>
      <w:pPr>
        <w:tabs>
          <w:tab w:val="num" w:pos="1440"/>
        </w:tabs>
        <w:ind w:left="1440" w:hanging="1440"/>
      </w:pPr>
      <w:rPr>
        <w:rFonts w:hint="default"/>
        <w:color w:val="FF0000"/>
      </w:rPr>
    </w:lvl>
    <w:lvl w:ilvl="7">
      <w:start w:val="1"/>
      <w:numFmt w:val="decimal"/>
      <w:lvlText w:val="%1.%2.%3.%4.%5.%6.%7.%8"/>
      <w:lvlJc w:val="left"/>
      <w:pPr>
        <w:tabs>
          <w:tab w:val="num" w:pos="1800"/>
        </w:tabs>
        <w:ind w:left="1800" w:hanging="1800"/>
      </w:pPr>
      <w:rPr>
        <w:rFonts w:hint="default"/>
        <w:color w:val="FF0000"/>
      </w:rPr>
    </w:lvl>
    <w:lvl w:ilvl="8">
      <w:start w:val="1"/>
      <w:numFmt w:val="decimal"/>
      <w:lvlText w:val="%1.%2.%3.%4.%5.%6.%7.%8.%9"/>
      <w:lvlJc w:val="left"/>
      <w:pPr>
        <w:tabs>
          <w:tab w:val="num" w:pos="1800"/>
        </w:tabs>
        <w:ind w:left="1800" w:hanging="1800"/>
      </w:pPr>
      <w:rPr>
        <w:rFonts w:hint="default"/>
        <w:color w:val="FF0000"/>
      </w:rPr>
    </w:lvl>
  </w:abstractNum>
  <w:abstractNum w:abstractNumId="36">
    <w:nsid w:val="68E56ACE"/>
    <w:multiLevelType w:val="hybridMultilevel"/>
    <w:tmpl w:val="3DAE8C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4706F6"/>
    <w:multiLevelType w:val="hybridMultilevel"/>
    <w:tmpl w:val="A970986A"/>
    <w:lvl w:ilvl="0" w:tplc="0270F6CC">
      <w:start w:val="3"/>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8">
    <w:nsid w:val="6B6D081D"/>
    <w:multiLevelType w:val="hybridMultilevel"/>
    <w:tmpl w:val="CA664DF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EA2025"/>
    <w:multiLevelType w:val="multilevel"/>
    <w:tmpl w:val="1F7E6EDC"/>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黑体" w:eastAsia="黑体" w:hAnsi="Times New Roman" w:hint="eastAsia"/>
        <w:b w:val="0"/>
        <w:i w:val="0"/>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0">
    <w:nsid w:val="71965F4F"/>
    <w:multiLevelType w:val="hybridMultilevel"/>
    <w:tmpl w:val="9386F19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A68E132A">
      <w:start w:val="1"/>
      <w:numFmt w:val="decimal"/>
      <w:lvlText w:val="（%3）"/>
      <w:lvlJc w:val="left"/>
      <w:pPr>
        <w:ind w:left="1271" w:hanging="420"/>
      </w:pPr>
      <w:rPr>
        <w:rFonts w:hint="eastAsia"/>
        <w:lang w:val="en-US"/>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86317E"/>
    <w:multiLevelType w:val="hybridMultilevel"/>
    <w:tmpl w:val="34AAD05A"/>
    <w:lvl w:ilvl="0" w:tplc="ED104480">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9951C8C"/>
    <w:multiLevelType w:val="hybridMultilevel"/>
    <w:tmpl w:val="B5400C12"/>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3">
    <w:nsid w:val="7CA46201"/>
    <w:multiLevelType w:val="hybridMultilevel"/>
    <w:tmpl w:val="3176042E"/>
    <w:lvl w:ilvl="0" w:tplc="FFE0D858">
      <w:start w:val="1"/>
      <w:numFmt w:val="decimal"/>
      <w:lvlText w:val="（%1）"/>
      <w:lvlJc w:val="left"/>
      <w:pPr>
        <w:ind w:left="1440" w:hanging="420"/>
      </w:pPr>
      <w:rPr>
        <w:rFonts w:hint="eastAsia"/>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4">
    <w:nsid w:val="7EB6714A"/>
    <w:multiLevelType w:val="hybridMultilevel"/>
    <w:tmpl w:val="E65AA0CE"/>
    <w:lvl w:ilvl="0" w:tplc="65F04964">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7"/>
  </w:num>
  <w:num w:numId="2">
    <w:abstractNumId w:val="11"/>
  </w:num>
  <w:num w:numId="3">
    <w:abstractNumId w:val="19"/>
  </w:num>
  <w:num w:numId="4">
    <w:abstractNumId w:val="34"/>
  </w:num>
  <w:num w:numId="5">
    <w:abstractNumId w:val="6"/>
  </w:num>
  <w:num w:numId="6">
    <w:abstractNumId w:val="30"/>
  </w:num>
  <w:num w:numId="7">
    <w:abstractNumId w:val="4"/>
  </w:num>
  <w:num w:numId="8">
    <w:abstractNumId w:val="2"/>
  </w:num>
  <w:num w:numId="9">
    <w:abstractNumId w:val="39"/>
  </w:num>
  <w:num w:numId="10">
    <w:abstractNumId w:val="33"/>
  </w:num>
  <w:num w:numId="11">
    <w:abstractNumId w:val="16"/>
  </w:num>
  <w:num w:numId="12">
    <w:abstractNumId w:val="22"/>
  </w:num>
  <w:num w:numId="13">
    <w:abstractNumId w:val="35"/>
  </w:num>
  <w:num w:numId="14">
    <w:abstractNumId w:val="28"/>
  </w:num>
  <w:num w:numId="15">
    <w:abstractNumId w:val="23"/>
  </w:num>
  <w:num w:numId="16">
    <w:abstractNumId w:val="1"/>
  </w:num>
  <w:num w:numId="17">
    <w:abstractNumId w:val="31"/>
  </w:num>
  <w:num w:numId="18">
    <w:abstractNumId w:val="8"/>
  </w:num>
  <w:num w:numId="19">
    <w:abstractNumId w:val="32"/>
  </w:num>
  <w:num w:numId="20">
    <w:abstractNumId w:val="27"/>
  </w:num>
  <w:num w:numId="21">
    <w:abstractNumId w:val="15"/>
  </w:num>
  <w:num w:numId="22">
    <w:abstractNumId w:val="25"/>
  </w:num>
  <w:num w:numId="23">
    <w:abstractNumId w:val="13"/>
  </w:num>
  <w:num w:numId="24">
    <w:abstractNumId w:val="5"/>
  </w:num>
  <w:num w:numId="25">
    <w:abstractNumId w:val="38"/>
  </w:num>
  <w:num w:numId="26">
    <w:abstractNumId w:val="3"/>
  </w:num>
  <w:num w:numId="27">
    <w:abstractNumId w:val="36"/>
  </w:num>
  <w:num w:numId="28">
    <w:abstractNumId w:val="18"/>
  </w:num>
  <w:num w:numId="29">
    <w:abstractNumId w:val="40"/>
  </w:num>
  <w:num w:numId="30">
    <w:abstractNumId w:val="44"/>
  </w:num>
  <w:num w:numId="31">
    <w:abstractNumId w:val="24"/>
  </w:num>
  <w:num w:numId="32">
    <w:abstractNumId w:val="10"/>
  </w:num>
  <w:num w:numId="33">
    <w:abstractNumId w:val="42"/>
  </w:num>
  <w:num w:numId="34">
    <w:abstractNumId w:val="12"/>
  </w:num>
  <w:num w:numId="35">
    <w:abstractNumId w:val="21"/>
  </w:num>
  <w:num w:numId="36">
    <w:abstractNumId w:val="20"/>
  </w:num>
  <w:num w:numId="37">
    <w:abstractNumId w:val="7"/>
  </w:num>
  <w:num w:numId="38">
    <w:abstractNumId w:val="43"/>
  </w:num>
  <w:num w:numId="39">
    <w:abstractNumId w:val="29"/>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4"/>
  </w:num>
  <w:num w:numId="43">
    <w:abstractNumId w:val="0"/>
  </w:num>
  <w:num w:numId="44">
    <w:abstractNumId w:val="37"/>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562E"/>
    <w:rsid w:val="002A072A"/>
    <w:rsid w:val="002B20C0"/>
    <w:rsid w:val="003374D4"/>
    <w:rsid w:val="003D3592"/>
    <w:rsid w:val="009D095B"/>
    <w:rsid w:val="00AE7C1F"/>
    <w:rsid w:val="00B75BC2"/>
    <w:rsid w:val="00D056ED"/>
    <w:rsid w:val="00D06A6B"/>
    <w:rsid w:val="00F156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afterLines="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afterLines="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rPr>
  </w:style>
  <w:style w:type="character" w:customStyle="1" w:styleId="Char7">
    <w:name w:val="批注文字 Char"/>
    <w:basedOn w:val="a8"/>
    <w:link w:val="af8"/>
    <w:rsid w:val="002B20C0"/>
    <w:rPr>
      <w:rFonts w:ascii="Times New Roman" w:eastAsia="宋体" w:hAnsi="Times New Roman" w:cs="Times New Roman"/>
      <w:szCs w:val="24"/>
      <w:lang/>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rPr>
  </w:style>
  <w:style w:type="character" w:customStyle="1" w:styleId="Chara">
    <w:name w:val="标题 Char"/>
    <w:basedOn w:val="a8"/>
    <w:link w:val="afd"/>
    <w:rsid w:val="002B20C0"/>
    <w:rPr>
      <w:rFonts w:ascii="Cambria" w:eastAsia="宋体" w:hAnsi="Cambria" w:cs="Times New Roman"/>
      <w:bCs/>
      <w:sz w:val="36"/>
      <w:szCs w:val="32"/>
      <w:lang/>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11">
    <w:name w:val="列出段落1"/>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before="50" w:afterLines="50" w:after="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before="0" w:afterLines="0" w:after="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val="x-none" w:eastAsia="x-none"/>
    </w:rPr>
  </w:style>
  <w:style w:type="character" w:customStyle="1" w:styleId="Char7">
    <w:name w:val="批注文字 Char"/>
    <w:basedOn w:val="a8"/>
    <w:link w:val="af8"/>
    <w:rsid w:val="002B20C0"/>
    <w:rPr>
      <w:rFonts w:ascii="Times New Roman" w:eastAsia="宋体" w:hAnsi="Times New Roman" w:cs="Times New Roman"/>
      <w:szCs w:val="24"/>
      <w:lang w:val="x-none" w:eastAsia="x-none"/>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val="x-none" w:eastAsia="x-none"/>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val="x-none" w:eastAsia="x-none"/>
    </w:rPr>
  </w:style>
  <w:style w:type="character" w:customStyle="1" w:styleId="Chara">
    <w:name w:val="标题 Char"/>
    <w:basedOn w:val="a8"/>
    <w:link w:val="afd"/>
    <w:rsid w:val="002B20C0"/>
    <w:rPr>
      <w:rFonts w:ascii="Cambria" w:eastAsia="宋体" w:hAnsi="Cambria" w:cs="Times New Roman"/>
      <w:bCs/>
      <w:sz w:val="36"/>
      <w:szCs w:val="32"/>
      <w:lang w:val="x-none" w:eastAsia="x-none"/>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ListParagraph">
    <w:name w:val="List Paragraph"/>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1336</Words>
  <Characters>7619</Characters>
  <Application>Microsoft Office Word</Application>
  <DocSecurity>0</DocSecurity>
  <Lines>63</Lines>
  <Paragraphs>17</Paragraphs>
  <ScaleCrop>false</ScaleCrop>
  <Company>CFDA</Company>
  <LinksUpToDate>false</LinksUpToDate>
  <CharactersWithSpaces>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wxl</cp:lastModifiedBy>
  <cp:revision>2</cp:revision>
  <dcterms:created xsi:type="dcterms:W3CDTF">2017-11-14T08:30:00Z</dcterms:created>
  <dcterms:modified xsi:type="dcterms:W3CDTF">2017-11-14T08:30:00Z</dcterms:modified>
</cp:coreProperties>
</file>