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50" w:rsidRDefault="002D3913">
      <w:pPr>
        <w:ind w:firstLineChars="0" w:firstLine="0"/>
        <w:rPr>
          <w:rFonts w:ascii="方正小标宋简体" w:eastAsia="方正小标宋简体"/>
          <w:szCs w:val="44"/>
        </w:rPr>
      </w:pPr>
      <w:r>
        <w:rPr>
          <w:rFonts w:ascii="黑体" w:eastAsia="黑体" w:hAnsi="黑体" w:cs="Times New Roman" w:hint="eastAsia"/>
        </w:rPr>
        <w:t>附件</w:t>
      </w:r>
      <w:r>
        <w:rPr>
          <w:rFonts w:ascii="黑体" w:eastAsia="黑体" w:hAnsi="黑体" w:cs="Times New Roman" w:hint="eastAsia"/>
        </w:rPr>
        <w:t>1</w:t>
      </w:r>
    </w:p>
    <w:p w:rsidR="00413D50" w:rsidRDefault="002D3913">
      <w:pPr>
        <w:spacing w:beforeLines="50" w:before="156" w:line="600" w:lineRule="exact"/>
        <w:ind w:firstLineChars="0" w:firstLine="0"/>
        <w:jc w:val="center"/>
        <w:rPr>
          <w:rFonts w:eastAsia="方正小标宋_GBK" w:cs="Times New Roman"/>
          <w:color w:val="auto"/>
          <w:spacing w:val="-4"/>
          <w:sz w:val="44"/>
          <w:szCs w:val="44"/>
        </w:rPr>
      </w:pPr>
      <w:r>
        <w:rPr>
          <w:rFonts w:eastAsia="方正小标宋_GBK" w:cs="Times New Roman" w:hint="eastAsia"/>
          <w:color w:val="auto"/>
          <w:spacing w:val="-4"/>
          <w:sz w:val="44"/>
          <w:szCs w:val="44"/>
        </w:rPr>
        <w:t>射频</w:t>
      </w:r>
      <w:r>
        <w:rPr>
          <w:rFonts w:eastAsia="方正小标宋_GBK" w:cs="Times New Roman"/>
          <w:color w:val="auto"/>
          <w:spacing w:val="-4"/>
          <w:sz w:val="44"/>
          <w:szCs w:val="44"/>
        </w:rPr>
        <w:t>消融类子宫内膜去除</w:t>
      </w:r>
      <w:r>
        <w:rPr>
          <w:rFonts w:eastAsia="方正小标宋_GBK" w:cs="Times New Roman" w:hint="eastAsia"/>
          <w:color w:val="auto"/>
          <w:spacing w:val="-4"/>
          <w:sz w:val="44"/>
          <w:szCs w:val="44"/>
        </w:rPr>
        <w:t>设备注册技术</w:t>
      </w:r>
    </w:p>
    <w:p w:rsidR="00413D50" w:rsidRDefault="002D3913">
      <w:pPr>
        <w:spacing w:line="600" w:lineRule="exact"/>
        <w:ind w:firstLineChars="0" w:firstLine="0"/>
        <w:jc w:val="center"/>
        <w:rPr>
          <w:rFonts w:eastAsia="方正小标宋_GBK"/>
          <w:spacing w:val="-4"/>
          <w:szCs w:val="44"/>
        </w:rPr>
      </w:pPr>
      <w:r>
        <w:rPr>
          <w:rFonts w:eastAsia="方正小标宋_GBK" w:cs="Times New Roman" w:hint="eastAsia"/>
          <w:color w:val="auto"/>
          <w:spacing w:val="-4"/>
          <w:sz w:val="44"/>
          <w:szCs w:val="44"/>
        </w:rPr>
        <w:t>审查指导原则</w:t>
      </w:r>
      <w:bookmarkStart w:id="0" w:name="前言"/>
      <w:bookmarkStart w:id="1" w:name="_Toc344475831"/>
    </w:p>
    <w:p w:rsidR="00413D50" w:rsidRDefault="002D3913">
      <w:pPr>
        <w:spacing w:line="600" w:lineRule="exact"/>
        <w:ind w:firstLineChars="0" w:firstLine="0"/>
        <w:jc w:val="center"/>
        <w:rPr>
          <w:rFonts w:ascii="楷体_GB2312" w:eastAsia="楷体_GB2312" w:cs="Times New Roman"/>
          <w:spacing w:val="-4"/>
          <w:szCs w:val="44"/>
        </w:rPr>
      </w:pPr>
      <w:r>
        <w:rPr>
          <w:rFonts w:ascii="楷体_GB2312" w:eastAsia="楷体_GB2312" w:cs="Times New Roman" w:hint="eastAsia"/>
          <w:spacing w:val="-4"/>
          <w:szCs w:val="44"/>
        </w:rPr>
        <w:t>（征求意见稿）</w:t>
      </w:r>
    </w:p>
    <w:bookmarkEnd w:id="0"/>
    <w:bookmarkEnd w:id="1"/>
    <w:p w:rsidR="00413D50" w:rsidRDefault="00413D50">
      <w:pPr>
        <w:spacing w:line="240" w:lineRule="auto"/>
        <w:ind w:firstLineChars="221" w:firstLine="707"/>
      </w:pPr>
    </w:p>
    <w:p w:rsidR="00413D50" w:rsidRDefault="002D3913">
      <w:pPr>
        <w:spacing w:line="240" w:lineRule="auto"/>
        <w:rPr>
          <w:rFonts w:cs="Times New Roman"/>
          <w:color w:val="auto"/>
          <w:kern w:val="0"/>
        </w:rPr>
      </w:pPr>
      <w:r>
        <w:rPr>
          <w:rFonts w:cs="Times New Roman"/>
          <w:color w:val="auto"/>
          <w:kern w:val="0"/>
        </w:rPr>
        <w:t>本指导原则旨在指导注册申请人对</w:t>
      </w:r>
      <w:r>
        <w:rPr>
          <w:rFonts w:cs="Times New Roman" w:hint="eastAsia"/>
          <w:color w:val="auto"/>
          <w:kern w:val="0"/>
        </w:rPr>
        <w:t>射频消融</w:t>
      </w:r>
      <w:r>
        <w:rPr>
          <w:rFonts w:cs="Times New Roman"/>
          <w:color w:val="auto"/>
          <w:kern w:val="0"/>
        </w:rPr>
        <w:t>类</w:t>
      </w:r>
      <w:r>
        <w:rPr>
          <w:rFonts w:cs="Times New Roman" w:hint="eastAsia"/>
          <w:color w:val="auto"/>
          <w:kern w:val="0"/>
        </w:rPr>
        <w:t>子宫内膜去除</w:t>
      </w:r>
      <w:r>
        <w:rPr>
          <w:rFonts w:cs="Times New Roman"/>
        </w:rPr>
        <w:t>设备</w:t>
      </w:r>
      <w:r>
        <w:rPr>
          <w:rFonts w:cs="Times New Roman"/>
          <w:color w:val="auto"/>
          <w:kern w:val="0"/>
        </w:rPr>
        <w:t>注册申报资料的准备及撰写，同时也为技术审评部门审评注册申报资料提供参考。</w:t>
      </w:r>
    </w:p>
    <w:p w:rsidR="00413D50" w:rsidRDefault="002D3913">
      <w:pPr>
        <w:spacing w:line="240" w:lineRule="auto"/>
        <w:rPr>
          <w:rFonts w:cs="Times New Roman"/>
          <w:color w:val="auto"/>
          <w:kern w:val="0"/>
        </w:rPr>
      </w:pPr>
      <w:r>
        <w:rPr>
          <w:rFonts w:cs="Times New Roman"/>
          <w:color w:val="auto"/>
          <w:kern w:val="0"/>
        </w:rPr>
        <w:t>本指导原则是对</w:t>
      </w:r>
      <w:r>
        <w:rPr>
          <w:rFonts w:cs="Times New Roman" w:hint="eastAsia"/>
          <w:color w:val="auto"/>
          <w:kern w:val="0"/>
        </w:rPr>
        <w:t>射频消融类子宫内膜去除</w:t>
      </w:r>
      <w:r>
        <w:rPr>
          <w:rFonts w:cs="Times New Roman"/>
        </w:rPr>
        <w:t>设备</w:t>
      </w:r>
      <w:r>
        <w:rPr>
          <w:rFonts w:cs="Times New Roman" w:hint="eastAsia"/>
        </w:rPr>
        <w:t>（以下</w:t>
      </w:r>
      <w:r>
        <w:rPr>
          <w:rFonts w:cs="Times New Roman"/>
        </w:rPr>
        <w:t>简称子宫内膜去除设备</w:t>
      </w:r>
      <w:r>
        <w:rPr>
          <w:rFonts w:cs="Times New Roman" w:hint="eastAsia"/>
        </w:rPr>
        <w:t>）</w:t>
      </w:r>
      <w:r>
        <w:rPr>
          <w:rFonts w:cs="Times New Roman"/>
          <w:color w:val="auto"/>
          <w:kern w:val="0"/>
        </w:rPr>
        <w:t>的一般要求，申请人应依据产品的具体特性确定其中内容是否适用，若不适用，需具体阐述理由及相应的科学依据，并依据产品的具体特性对注册申报资料的内容进行充实和细化。</w:t>
      </w:r>
    </w:p>
    <w:p w:rsidR="00413D50" w:rsidRDefault="002D3913">
      <w:pPr>
        <w:spacing w:line="240" w:lineRule="auto"/>
        <w:rPr>
          <w:rFonts w:cs="Times New Roman"/>
          <w:color w:val="auto"/>
          <w:kern w:val="0"/>
        </w:rPr>
      </w:pPr>
      <w:r>
        <w:rPr>
          <w:rFonts w:cs="Times New Roman"/>
          <w:color w:val="auto"/>
          <w:kern w:val="0"/>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r>
        <w:rPr>
          <w:rFonts w:cs="Times New Roman" w:hint="eastAsia"/>
          <w:color w:val="auto"/>
          <w:kern w:val="0"/>
        </w:rPr>
        <w:t>本文</w:t>
      </w:r>
      <w:r>
        <w:rPr>
          <w:rFonts w:cs="Times New Roman"/>
          <w:color w:val="auto"/>
          <w:kern w:val="0"/>
        </w:rPr>
        <w:t>后所附模板仅作为参考，申请人应根据产品实际情况制定。</w:t>
      </w:r>
    </w:p>
    <w:p w:rsidR="00413D50" w:rsidRDefault="002D3913">
      <w:pPr>
        <w:spacing w:line="240" w:lineRule="auto"/>
        <w:rPr>
          <w:rFonts w:cs="Times New Roman"/>
          <w:color w:val="auto"/>
          <w:kern w:val="0"/>
        </w:rPr>
      </w:pPr>
      <w:r>
        <w:rPr>
          <w:rFonts w:cs="Times New Roman"/>
          <w:color w:val="auto"/>
          <w:kern w:val="0"/>
        </w:rPr>
        <w:t>本指导原则是在现行法规、标准体系及当前认知水平下制定的，随着法规、标准体系的不断完善和科学技术的不断发展，本指导原则相关内容也将适时进行调整。</w:t>
      </w:r>
      <w:bookmarkStart w:id="2" w:name="_Toc434250573"/>
      <w:bookmarkStart w:id="3" w:name="_Toc437263335"/>
      <w:bookmarkStart w:id="4" w:name="_Toc434250163"/>
      <w:bookmarkStart w:id="5" w:name="_Toc344475832"/>
      <w:bookmarkStart w:id="6" w:name="适用范围"/>
    </w:p>
    <w:p w:rsidR="00413D50" w:rsidRDefault="002D3913">
      <w:pPr>
        <w:spacing w:line="240" w:lineRule="auto"/>
        <w:rPr>
          <w:rFonts w:ascii="黑体" w:eastAsia="黑体" w:hAnsi="黑体" w:cs="Times New Roman"/>
          <w:bCs/>
        </w:rPr>
      </w:pPr>
      <w:r>
        <w:rPr>
          <w:rFonts w:ascii="黑体" w:eastAsia="黑体" w:hAnsi="黑体" w:cs="Times New Roman"/>
          <w:bCs/>
        </w:rPr>
        <w:lastRenderedPageBreak/>
        <w:t>一、范围</w:t>
      </w:r>
      <w:bookmarkEnd w:id="2"/>
      <w:bookmarkEnd w:id="3"/>
      <w:bookmarkEnd w:id="4"/>
      <w:bookmarkEnd w:id="5"/>
    </w:p>
    <w:bookmarkEnd w:id="6"/>
    <w:p w:rsidR="00413D50" w:rsidRDefault="002D3913">
      <w:pPr>
        <w:spacing w:line="240" w:lineRule="auto"/>
        <w:rPr>
          <w:rFonts w:ascii="仿宋_GB2312"/>
        </w:rPr>
      </w:pPr>
      <w:r>
        <w:rPr>
          <w:rFonts w:ascii="仿宋_GB2312" w:hint="eastAsia"/>
        </w:rPr>
        <w:t>本指导原则适用于利用射频消融去除子宫内膜的设备</w:t>
      </w:r>
      <w:r>
        <w:rPr>
          <w:rFonts w:ascii="仿宋_GB2312" w:hint="eastAsia"/>
        </w:rPr>
        <w:t>,</w:t>
      </w:r>
      <w:r>
        <w:rPr>
          <w:rFonts w:ascii="仿宋_GB2312" w:hint="eastAsia"/>
        </w:rPr>
        <w:t>按照</w:t>
      </w:r>
      <w:r>
        <w:rPr>
          <w:rFonts w:ascii="仿宋_GB2312"/>
        </w:rPr>
        <w:t>新的《</w:t>
      </w:r>
      <w:r>
        <w:rPr>
          <w:rFonts w:ascii="仿宋_GB2312" w:hint="eastAsia"/>
        </w:rPr>
        <w:t>医疗器械</w:t>
      </w:r>
      <w:r>
        <w:rPr>
          <w:rFonts w:ascii="仿宋_GB2312"/>
        </w:rPr>
        <w:t>分类目录》</w:t>
      </w:r>
      <w:r>
        <w:rPr>
          <w:rFonts w:ascii="仿宋_GB2312" w:hint="eastAsia"/>
        </w:rPr>
        <w:t>，</w:t>
      </w:r>
      <w:r>
        <w:rPr>
          <w:rFonts w:ascii="仿宋_GB2312"/>
        </w:rPr>
        <w:t>属于</w:t>
      </w:r>
      <w:r>
        <w:rPr>
          <w:rFonts w:ascii="仿宋_GB2312" w:hint="eastAsia"/>
        </w:rPr>
        <w:t>01</w:t>
      </w:r>
      <w:r>
        <w:rPr>
          <w:rFonts w:ascii="仿宋_GB2312" w:hint="eastAsia"/>
        </w:rPr>
        <w:t>有源</w:t>
      </w:r>
      <w:r>
        <w:rPr>
          <w:rFonts w:ascii="仿宋_GB2312"/>
        </w:rPr>
        <w:t>手术器械中</w:t>
      </w:r>
      <w:r>
        <w:rPr>
          <w:rFonts w:ascii="仿宋_GB2312" w:hint="eastAsia"/>
        </w:rPr>
        <w:t>03</w:t>
      </w:r>
      <w:r>
        <w:rPr>
          <w:rFonts w:ascii="仿宋_GB2312" w:hint="eastAsia"/>
        </w:rPr>
        <w:t>高频</w:t>
      </w:r>
      <w:r>
        <w:rPr>
          <w:rFonts w:ascii="仿宋_GB2312" w:hint="eastAsia"/>
        </w:rPr>
        <w:t>/</w:t>
      </w:r>
      <w:r>
        <w:rPr>
          <w:rFonts w:ascii="仿宋_GB2312" w:hint="eastAsia"/>
        </w:rPr>
        <w:t>射频</w:t>
      </w:r>
      <w:r>
        <w:rPr>
          <w:rFonts w:ascii="仿宋_GB2312"/>
        </w:rPr>
        <w:t>手术设备及附件。</w:t>
      </w:r>
    </w:p>
    <w:p w:rsidR="00413D50" w:rsidRDefault="002D3913">
      <w:pPr>
        <w:spacing w:line="240" w:lineRule="auto"/>
        <w:rPr>
          <w:rFonts w:ascii="仿宋_GB2312"/>
        </w:rPr>
      </w:pPr>
      <w:r>
        <w:rPr>
          <w:rFonts w:ascii="仿宋_GB2312" w:hint="eastAsia"/>
        </w:rPr>
        <w:t>本指导原则不</w:t>
      </w:r>
      <w:r>
        <w:rPr>
          <w:rFonts w:ascii="仿宋_GB2312"/>
        </w:rPr>
        <w:t>适</w:t>
      </w:r>
      <w:r>
        <w:rPr>
          <w:rFonts w:ascii="仿宋_GB2312" w:hint="eastAsia"/>
        </w:rPr>
        <w:t>用于利用热传导</w:t>
      </w:r>
      <w:r>
        <w:rPr>
          <w:rFonts w:ascii="仿宋_GB2312"/>
        </w:rPr>
        <w:t>、等离子等</w:t>
      </w:r>
      <w:r>
        <w:rPr>
          <w:rFonts w:ascii="仿宋_GB2312" w:hint="eastAsia"/>
        </w:rPr>
        <w:t>原理</w:t>
      </w:r>
      <w:r>
        <w:rPr>
          <w:rFonts w:ascii="仿宋_GB2312"/>
        </w:rPr>
        <w:t>进行子宫内膜</w:t>
      </w:r>
      <w:r>
        <w:rPr>
          <w:rFonts w:ascii="仿宋_GB2312" w:hint="eastAsia"/>
        </w:rPr>
        <w:t>去除</w:t>
      </w:r>
      <w:r>
        <w:rPr>
          <w:rFonts w:ascii="仿宋_GB2312"/>
        </w:rPr>
        <w:t>的</w:t>
      </w:r>
      <w:r>
        <w:rPr>
          <w:rFonts w:ascii="仿宋_GB2312" w:hint="eastAsia"/>
        </w:rPr>
        <w:t>设备</w:t>
      </w:r>
      <w:r>
        <w:rPr>
          <w:rFonts w:ascii="仿宋_GB2312"/>
        </w:rPr>
        <w:t>。</w:t>
      </w:r>
      <w:bookmarkStart w:id="7" w:name="OLE_LINK1"/>
      <w:bookmarkStart w:id="8" w:name="OLE_LINK2"/>
    </w:p>
    <w:p w:rsidR="00413D50" w:rsidRDefault="002D3913">
      <w:pPr>
        <w:spacing w:line="240" w:lineRule="auto"/>
        <w:rPr>
          <w:rFonts w:ascii="仿宋_GB2312"/>
        </w:rPr>
      </w:pPr>
      <w:r>
        <w:rPr>
          <w:bCs/>
        </w:rPr>
        <w:t>本指导原则不包含延续注册和变更注册申报资料的要求，延续注册和变更注册申报资料可参考本指导原则中适用的内容。</w:t>
      </w:r>
    </w:p>
    <w:p w:rsidR="00413D50" w:rsidRDefault="002D3913">
      <w:pPr>
        <w:spacing w:line="240" w:lineRule="auto"/>
        <w:rPr>
          <w:rFonts w:ascii="黑体" w:eastAsia="黑体" w:hAnsi="黑体" w:cs="Times New Roman"/>
          <w:bCs/>
        </w:rPr>
      </w:pPr>
      <w:r>
        <w:rPr>
          <w:rFonts w:ascii="黑体" w:eastAsia="黑体" w:hAnsi="黑体" w:cs="Times New Roman" w:hint="eastAsia"/>
          <w:bCs/>
        </w:rPr>
        <w:t>二</w:t>
      </w:r>
      <w:r>
        <w:rPr>
          <w:rFonts w:ascii="黑体" w:eastAsia="黑体" w:hAnsi="黑体" w:cs="Times New Roman"/>
          <w:bCs/>
        </w:rPr>
        <w:t>、医疗器械安全有效基本要求清单</w:t>
      </w:r>
      <w:bookmarkEnd w:id="7"/>
      <w:bookmarkEnd w:id="8"/>
    </w:p>
    <w:p w:rsidR="00413D50" w:rsidRDefault="002D3913">
      <w:pPr>
        <w:spacing w:line="240" w:lineRule="auto"/>
      </w:pPr>
      <w:r>
        <w:t>依据《</w:t>
      </w:r>
      <w:r>
        <w:rPr>
          <w:bCs/>
        </w:rPr>
        <w:t>医疗器械注册申报资料要求和批准证明文件格式</w:t>
      </w:r>
      <w:r>
        <w:t>》（</w:t>
      </w:r>
      <w:r>
        <w:rPr>
          <w:bCs/>
        </w:rPr>
        <w:t>国家食品药品监督管理总局</w:t>
      </w:r>
      <w:r>
        <w:t>2014</w:t>
      </w:r>
      <w:r>
        <w:t>年第</w:t>
      </w:r>
      <w:r>
        <w:t>43</w:t>
      </w:r>
      <w:r>
        <w:t>号公告）附件</w:t>
      </w:r>
      <w:r>
        <w:t>8</w:t>
      </w:r>
      <w:r>
        <w:t>，</w:t>
      </w:r>
      <w:r>
        <w:rPr>
          <w:kern w:val="0"/>
        </w:rPr>
        <w:t>注册申请人</w:t>
      </w:r>
      <w:r>
        <w:rPr>
          <w:bCs/>
        </w:rPr>
        <w:t>应</w:t>
      </w:r>
      <w:r>
        <w:rPr>
          <w:rFonts w:hint="eastAsia"/>
          <w:bCs/>
        </w:rPr>
        <w:t>明确产品</w:t>
      </w:r>
      <w:r>
        <w:rPr>
          <w:bCs/>
        </w:rPr>
        <w:t>对《医疗器械安全有效基本要求清单》</w:t>
      </w:r>
      <w:r>
        <w:rPr>
          <w:rFonts w:hint="eastAsia"/>
          <w:bCs/>
        </w:rPr>
        <w:t>中</w:t>
      </w:r>
      <w:r>
        <w:rPr>
          <w:bCs/>
        </w:rPr>
        <w:t>各项要求的适用性</w:t>
      </w:r>
      <w:r>
        <w:rPr>
          <w:rFonts w:hint="eastAsia"/>
          <w:bCs/>
        </w:rPr>
        <w:t>。</w:t>
      </w:r>
      <w:r>
        <w:rPr>
          <w:bCs/>
        </w:rPr>
        <w:t>对于</w:t>
      </w:r>
      <w:r>
        <w:rPr>
          <w:rFonts w:hint="eastAsia"/>
          <w:bCs/>
        </w:rPr>
        <w:t>不适用</w:t>
      </w:r>
      <w:r>
        <w:rPr>
          <w:bCs/>
        </w:rPr>
        <w:t>的要求，应当逐项说明不适用的理由。对于</w:t>
      </w:r>
      <w:r>
        <w:rPr>
          <w:rFonts w:hint="eastAsia"/>
          <w:bCs/>
        </w:rPr>
        <w:t>适用</w:t>
      </w:r>
      <w:r>
        <w:rPr>
          <w:bCs/>
        </w:rPr>
        <w:t>要求，应说明为符合</w:t>
      </w:r>
      <w:r>
        <w:rPr>
          <w:bCs/>
        </w:rPr>
        <w:t>要求所采用的方法</w:t>
      </w:r>
      <w:r>
        <w:rPr>
          <w:rFonts w:hint="eastAsia"/>
          <w:bCs/>
        </w:rPr>
        <w:t>以及证明</w:t>
      </w:r>
      <w:r>
        <w:rPr>
          <w:bCs/>
        </w:rPr>
        <w:t>其</w:t>
      </w:r>
      <w:r>
        <w:rPr>
          <w:rFonts w:hint="eastAsia"/>
          <w:bCs/>
        </w:rPr>
        <w:t>符合</w:t>
      </w:r>
      <w:r>
        <w:rPr>
          <w:bCs/>
        </w:rPr>
        <w:t>性的文件。</w:t>
      </w:r>
    </w:p>
    <w:p w:rsidR="00413D50" w:rsidRDefault="002D3913">
      <w:pPr>
        <w:spacing w:line="240" w:lineRule="auto"/>
        <w:rPr>
          <w:rFonts w:ascii="仿宋_GB2312"/>
        </w:rPr>
      </w:pPr>
      <w:r>
        <w:t>对于包含在产品注册申报资料中的文件，应当说明其在申报资料中的具体位置；对于未包含在产品注册申报资料中的文件，应当注明该证据文件名称及其在质量管理体系文件中的编号备查。</w:t>
      </w:r>
    </w:p>
    <w:p w:rsidR="00413D50" w:rsidRDefault="002D3913">
      <w:pPr>
        <w:spacing w:line="240" w:lineRule="auto"/>
        <w:rPr>
          <w:rFonts w:ascii="黑体" w:eastAsia="黑体" w:hAnsi="黑体"/>
        </w:rPr>
      </w:pPr>
      <w:bookmarkStart w:id="9" w:name="_Toc434250169"/>
      <w:bookmarkStart w:id="10" w:name="_Toc437263341"/>
      <w:bookmarkStart w:id="11" w:name="_Toc434250579"/>
      <w:r>
        <w:rPr>
          <w:rFonts w:ascii="黑体" w:eastAsia="黑体" w:hAnsi="黑体" w:hint="eastAsia"/>
        </w:rPr>
        <w:t>三</w:t>
      </w:r>
      <w:r>
        <w:rPr>
          <w:rFonts w:ascii="黑体" w:eastAsia="黑体" w:hAnsi="黑体"/>
        </w:rPr>
        <w:t>、注册申报资料要求</w:t>
      </w:r>
      <w:bookmarkEnd w:id="9"/>
      <w:bookmarkEnd w:id="10"/>
      <w:bookmarkEnd w:id="11"/>
    </w:p>
    <w:p w:rsidR="00413D50" w:rsidRDefault="002D3913">
      <w:pPr>
        <w:spacing w:line="240" w:lineRule="auto"/>
        <w:rPr>
          <w:rFonts w:cs="Times New Roman"/>
        </w:rPr>
      </w:pPr>
      <w:r>
        <w:rPr>
          <w:rFonts w:cs="Times New Roman"/>
        </w:rPr>
        <w:t>医疗器械的注册申报资料应依据国家食品药品监督管理总</w:t>
      </w:r>
      <w:r>
        <w:rPr>
          <w:rFonts w:cs="Times New Roman"/>
        </w:rPr>
        <w:lastRenderedPageBreak/>
        <w:t>局《关于公布医疗器械注册申报资料要求和批准证明文件格式的公告》（</w:t>
      </w:r>
      <w:r>
        <w:rPr>
          <w:rFonts w:cs="Times New Roman"/>
        </w:rPr>
        <w:t>2014</w:t>
      </w:r>
      <w:r>
        <w:rPr>
          <w:rFonts w:cs="Times New Roman"/>
        </w:rPr>
        <w:t>年第</w:t>
      </w:r>
      <w:r>
        <w:rPr>
          <w:rFonts w:cs="Times New Roman"/>
        </w:rPr>
        <w:t>43</w:t>
      </w:r>
      <w:r>
        <w:rPr>
          <w:rFonts w:cs="Times New Roman"/>
        </w:rPr>
        <w:t>号）的要求提供，以下所列相关内容是针对</w:t>
      </w:r>
      <w:r>
        <w:rPr>
          <w:rFonts w:cs="Times New Roman" w:hint="eastAsia"/>
        </w:rPr>
        <w:t>子宫内膜去除设备</w:t>
      </w:r>
      <w:r>
        <w:rPr>
          <w:rFonts w:cs="Times New Roman"/>
        </w:rPr>
        <w:t>的特点对申报资料要求的细化及补充，以及需要申请人注意的问题。申请人应当参考本部分内容，并结合产品自身特点来准备注册申报资料。</w:t>
      </w:r>
    </w:p>
    <w:p w:rsidR="00413D50" w:rsidRDefault="002D3913">
      <w:pPr>
        <w:pStyle w:val="20"/>
        <w:spacing w:line="240" w:lineRule="auto"/>
        <w:rPr>
          <w:rFonts w:ascii="楷体" w:eastAsia="楷体" w:hAnsi="楷体" w:cs="楷体"/>
        </w:rPr>
      </w:pPr>
      <w:bookmarkStart w:id="12" w:name="_Toc434250170"/>
      <w:bookmarkStart w:id="13" w:name="_Toc434250580"/>
      <w:bookmarkStart w:id="14" w:name="_Toc437263342"/>
      <w:r>
        <w:rPr>
          <w:rFonts w:ascii="楷体" w:eastAsia="楷体" w:hAnsi="楷体" w:cs="楷体" w:hint="eastAsia"/>
        </w:rPr>
        <w:t>（一）综述资料</w:t>
      </w:r>
      <w:bookmarkEnd w:id="12"/>
      <w:bookmarkEnd w:id="13"/>
      <w:bookmarkEnd w:id="14"/>
    </w:p>
    <w:p w:rsidR="00413D50" w:rsidRDefault="002D3913">
      <w:pPr>
        <w:pStyle w:val="3"/>
        <w:spacing w:line="240" w:lineRule="auto"/>
        <w:rPr>
          <w:rFonts w:ascii="Times New Roman" w:hAnsi="Times New Roman" w:cs="Times New Roman"/>
        </w:rPr>
      </w:pPr>
      <w:bookmarkStart w:id="15" w:name="_Toc434250171"/>
      <w:bookmarkStart w:id="16" w:name="_Toc434250581"/>
      <w:bookmarkStart w:id="17" w:name="_Toc437263343"/>
      <w:r>
        <w:rPr>
          <w:rFonts w:ascii="Times New Roman" w:hAnsi="Times New Roman" w:cs="Times New Roman"/>
        </w:rPr>
        <w:t xml:space="preserve">1. </w:t>
      </w:r>
      <w:bookmarkEnd w:id="15"/>
      <w:bookmarkEnd w:id="16"/>
      <w:bookmarkEnd w:id="17"/>
      <w:r>
        <w:rPr>
          <w:rFonts w:ascii="Times New Roman" w:hAnsi="Times New Roman" w:cs="Times New Roman"/>
        </w:rPr>
        <w:t>产品名称</w:t>
      </w:r>
    </w:p>
    <w:p w:rsidR="00413D50" w:rsidRDefault="002D3913">
      <w:pPr>
        <w:spacing w:line="240" w:lineRule="auto"/>
        <w:rPr>
          <w:rFonts w:cs="Times New Roman"/>
        </w:rPr>
      </w:pPr>
      <w:r>
        <w:rPr>
          <w:rFonts w:cs="Times New Roman" w:hint="eastAsia"/>
          <w:color w:val="auto"/>
          <w:kern w:val="0"/>
        </w:rPr>
        <w:t>子宫内膜去除</w:t>
      </w:r>
      <w:r>
        <w:rPr>
          <w:rFonts w:cs="Times New Roman"/>
        </w:rPr>
        <w:t>设备的产品名称应为</w:t>
      </w:r>
      <w:r>
        <w:rPr>
          <w:rFonts w:cs="Times New Roman"/>
          <w:kern w:val="0"/>
          <w:szCs w:val="21"/>
        </w:rPr>
        <w:t>通用名称，依据</w:t>
      </w:r>
      <w:r>
        <w:rPr>
          <w:rFonts w:cs="Times New Roman"/>
        </w:rPr>
        <w:t>《医疗器械通用名称命名规则》（国家食品药品监督管理局令第</w:t>
      </w:r>
      <w:r>
        <w:rPr>
          <w:rFonts w:cs="Times New Roman"/>
        </w:rPr>
        <w:t>19</w:t>
      </w:r>
      <w:r>
        <w:rPr>
          <w:rFonts w:cs="Times New Roman"/>
        </w:rPr>
        <w:t>号），建议使用</w:t>
      </w:r>
      <w:r>
        <w:rPr>
          <w:rFonts w:cs="Times New Roman"/>
        </w:rPr>
        <w:t>“</w:t>
      </w:r>
      <w:r>
        <w:rPr>
          <w:rFonts w:cs="Times New Roman" w:hint="eastAsia"/>
          <w:color w:val="auto"/>
          <w:kern w:val="0"/>
        </w:rPr>
        <w:t>子宫内膜去除</w:t>
      </w:r>
      <w:r>
        <w:rPr>
          <w:rFonts w:cs="Times New Roman"/>
        </w:rPr>
        <w:t>设备</w:t>
      </w:r>
      <w:r>
        <w:rPr>
          <w:rFonts w:cs="Times New Roman"/>
        </w:rPr>
        <w:t>”</w:t>
      </w:r>
      <w:r>
        <w:rPr>
          <w:rFonts w:cs="Times New Roman"/>
        </w:rPr>
        <w:t>作为产品名称。对于具有</w:t>
      </w:r>
      <w:r>
        <w:rPr>
          <w:rFonts w:cs="Times New Roman" w:hint="eastAsia"/>
        </w:rPr>
        <w:t>特定属性</w:t>
      </w:r>
      <w:r>
        <w:rPr>
          <w:rFonts w:cs="Times New Roman"/>
        </w:rPr>
        <w:t>的产品，可适当增加</w:t>
      </w:r>
      <w:r>
        <w:rPr>
          <w:rFonts w:cs="Times New Roman" w:hint="eastAsia"/>
        </w:rPr>
        <w:t>特征词</w:t>
      </w:r>
      <w:r>
        <w:rPr>
          <w:rFonts w:cs="Times New Roman"/>
        </w:rPr>
        <w:t>，</w:t>
      </w:r>
      <w:r>
        <w:rPr>
          <w:rFonts w:cs="Times New Roman" w:hint="eastAsia"/>
        </w:rPr>
        <w:t>如射频</w:t>
      </w:r>
      <w:r>
        <w:rPr>
          <w:rFonts w:cs="Times New Roman"/>
        </w:rPr>
        <w:t>消融类</w:t>
      </w:r>
      <w:r>
        <w:rPr>
          <w:rFonts w:cs="Times New Roman" w:hint="eastAsia"/>
        </w:rPr>
        <w:t>子宫内膜去除设备等，</w:t>
      </w:r>
      <w:r>
        <w:rPr>
          <w:rFonts w:cs="Times New Roman"/>
        </w:rPr>
        <w:t>但不应使用未体现任何技术特点、存在歧义或误导性、商业性的描述内容。</w:t>
      </w:r>
    </w:p>
    <w:p w:rsidR="00413D50" w:rsidRDefault="002D3913">
      <w:pPr>
        <w:pStyle w:val="3"/>
        <w:spacing w:line="240" w:lineRule="auto"/>
        <w:rPr>
          <w:rFonts w:ascii="Times New Roman" w:hAnsi="Times New Roman" w:cs="Times New Roman"/>
          <w:color w:val="auto"/>
          <w:kern w:val="0"/>
        </w:rPr>
      </w:pPr>
      <w:bookmarkStart w:id="18" w:name="_Toc434250582"/>
      <w:bookmarkStart w:id="19" w:name="_Toc434250172"/>
      <w:bookmarkStart w:id="20" w:name="_Toc437263344"/>
      <w:r>
        <w:rPr>
          <w:rFonts w:ascii="Times New Roman" w:hAnsi="Times New Roman" w:cs="Times New Roman"/>
          <w:color w:val="auto"/>
          <w:kern w:val="0"/>
        </w:rPr>
        <w:t xml:space="preserve">2. </w:t>
      </w:r>
      <w:r>
        <w:rPr>
          <w:rFonts w:ascii="Times New Roman" w:hAnsi="Times New Roman" w:cs="Times New Roman" w:hint="eastAsia"/>
          <w:color w:val="auto"/>
          <w:kern w:val="0"/>
        </w:rPr>
        <w:t>产品描述</w:t>
      </w:r>
      <w:bookmarkEnd w:id="18"/>
      <w:bookmarkEnd w:id="19"/>
      <w:bookmarkEnd w:id="20"/>
    </w:p>
    <w:p w:rsidR="00413D50" w:rsidRDefault="002D3913">
      <w:pPr>
        <w:spacing w:line="240" w:lineRule="auto"/>
        <w:rPr>
          <w:rFonts w:cs="Times New Roman"/>
          <w:color w:val="auto"/>
          <w:kern w:val="0"/>
        </w:rPr>
      </w:pPr>
      <w:r>
        <w:rPr>
          <w:rFonts w:cs="Times New Roman"/>
          <w:color w:val="auto"/>
          <w:kern w:val="0"/>
        </w:rPr>
        <w:t>包含</w:t>
      </w:r>
      <w:r>
        <w:rPr>
          <w:rFonts w:cs="Times New Roman" w:hint="eastAsia"/>
          <w:color w:val="auto"/>
          <w:kern w:val="0"/>
        </w:rPr>
        <w:t>但不限于</w:t>
      </w:r>
      <w:r>
        <w:rPr>
          <w:rFonts w:cs="Times New Roman"/>
          <w:color w:val="auto"/>
          <w:kern w:val="0"/>
        </w:rPr>
        <w:t>以下内容：</w:t>
      </w:r>
    </w:p>
    <w:p w:rsidR="00413D50" w:rsidRDefault="002D3913">
      <w:pPr>
        <w:spacing w:line="240" w:lineRule="auto"/>
        <w:ind w:firstLineChars="177" w:firstLine="566"/>
        <w:jc w:val="left"/>
        <w:rPr>
          <w:rFonts w:cs="Times New Roman"/>
          <w:color w:val="auto"/>
          <w:kern w:val="0"/>
        </w:rPr>
      </w:pPr>
      <w:r>
        <w:rPr>
          <w:rFonts w:cs="Times New Roman" w:hint="eastAsia"/>
          <w:color w:val="auto"/>
          <w:kern w:val="0"/>
        </w:rPr>
        <w:t>（</w:t>
      </w:r>
      <w:r>
        <w:rPr>
          <w:rFonts w:cs="Times New Roman" w:hint="eastAsia"/>
          <w:color w:val="auto"/>
          <w:kern w:val="0"/>
        </w:rPr>
        <w:t>1</w:t>
      </w:r>
      <w:r>
        <w:rPr>
          <w:rFonts w:cs="Times New Roman" w:hint="eastAsia"/>
          <w:color w:val="auto"/>
          <w:kern w:val="0"/>
        </w:rPr>
        <w:t>）应当明确申报产品的结构及组成，通常包括射频消融主机、治疗电极、脚踏开关、电源线。应当给出设备的整体及前、后面板的图示及详细说明，明确体现面板上各按键、显示、插口及标识符号的位置和名称，同时提供上述各项内容的说明列表；</w:t>
      </w:r>
    </w:p>
    <w:p w:rsidR="00413D50" w:rsidRDefault="002D3913">
      <w:pPr>
        <w:spacing w:line="240" w:lineRule="auto"/>
        <w:ind w:firstLineChars="177" w:firstLine="566"/>
        <w:jc w:val="left"/>
        <w:rPr>
          <w:rFonts w:cs="Times New Roman"/>
          <w:color w:val="auto"/>
          <w:kern w:val="0"/>
        </w:rPr>
      </w:pPr>
      <w:r>
        <w:rPr>
          <w:rFonts w:cs="Times New Roman" w:hint="eastAsia"/>
          <w:color w:val="auto"/>
          <w:kern w:val="0"/>
        </w:rPr>
        <w:t>（</w:t>
      </w:r>
      <w:r>
        <w:rPr>
          <w:rFonts w:cs="Times New Roman" w:hint="eastAsia"/>
          <w:color w:val="auto"/>
          <w:kern w:val="0"/>
        </w:rPr>
        <w:t>2</w:t>
      </w:r>
      <w:r>
        <w:rPr>
          <w:rFonts w:cs="Times New Roman" w:hint="eastAsia"/>
          <w:color w:val="auto"/>
          <w:kern w:val="0"/>
        </w:rPr>
        <w:t>）射频消融主机（射频发生器）应明确其主要组成模块</w:t>
      </w:r>
      <w:r>
        <w:rPr>
          <w:rFonts w:cs="Times New Roman" w:hint="eastAsia"/>
          <w:color w:val="auto"/>
          <w:kern w:val="0"/>
        </w:rPr>
        <w:lastRenderedPageBreak/>
        <w:t>及结构分布，通常包括：电源模块、射频模块（如射频输出模块、射频继电器模块等）、阻抗模块等（如采用集成器件，应说明该器件所集合的关键部件组成部分）。给出主要模块的结构、原理和工作方式，说明其所使用的关键元器件和工艺流程，给出设备整体的硬件</w:t>
      </w:r>
      <w:r>
        <w:rPr>
          <w:rFonts w:cs="Times New Roman" w:hint="eastAsia"/>
          <w:color w:val="auto"/>
          <w:kern w:val="0"/>
        </w:rPr>
        <w:t>结构图和元件图。产品组成中的所有部分均应列明各自的型号及规格，射频消融主机的关键部件应注明型号规格或主要参数。</w:t>
      </w:r>
    </w:p>
    <w:p w:rsidR="00413D50" w:rsidRDefault="002D3913">
      <w:pPr>
        <w:spacing w:line="240" w:lineRule="auto"/>
        <w:ind w:firstLineChars="177" w:firstLine="566"/>
        <w:jc w:val="left"/>
      </w:pPr>
      <w:r>
        <w:rPr>
          <w:rFonts w:cs="Times New Roman" w:hint="eastAsia"/>
          <w:color w:val="auto"/>
          <w:kern w:val="0"/>
        </w:rPr>
        <w:t>（</w:t>
      </w:r>
      <w:r>
        <w:rPr>
          <w:rFonts w:cs="Times New Roman" w:hint="eastAsia"/>
          <w:color w:val="auto"/>
          <w:kern w:val="0"/>
        </w:rPr>
        <w:t>3</w:t>
      </w:r>
      <w:r>
        <w:rPr>
          <w:rFonts w:cs="Times New Roman" w:hint="eastAsia"/>
          <w:color w:val="auto"/>
          <w:kern w:val="0"/>
        </w:rPr>
        <w:t>）治疗电极通常为一次性无菌使用，应进行基本描述及给出图示，并说明其预期的能量释放形式、作用方式、组成材料、结构形式、规格参数、性能指标、灭菌方式、有效期等。</w:t>
      </w:r>
    </w:p>
    <w:p w:rsidR="00413D50" w:rsidRDefault="002D3913">
      <w:pPr>
        <w:spacing w:line="240" w:lineRule="auto"/>
        <w:ind w:firstLineChars="177" w:firstLine="566"/>
        <w:jc w:val="left"/>
      </w:pPr>
      <w:r>
        <w:rPr>
          <w:rFonts w:cs="Times New Roman" w:hint="eastAsia"/>
          <w:color w:val="auto"/>
          <w:kern w:val="0"/>
        </w:rPr>
        <w:t>（</w:t>
      </w:r>
      <w:r>
        <w:rPr>
          <w:rFonts w:cs="Times New Roman" w:hint="eastAsia"/>
          <w:color w:val="auto"/>
          <w:kern w:val="0"/>
        </w:rPr>
        <w:t>4</w:t>
      </w:r>
      <w:r>
        <w:rPr>
          <w:rFonts w:cs="Times New Roman" w:hint="eastAsia"/>
          <w:color w:val="auto"/>
          <w:kern w:val="0"/>
        </w:rPr>
        <w:t>）软件结构、功能的描述，包括软件核心算法的描述等。</w:t>
      </w:r>
    </w:p>
    <w:p w:rsidR="00413D50" w:rsidRDefault="002D3913">
      <w:pPr>
        <w:pStyle w:val="3"/>
        <w:spacing w:line="240" w:lineRule="auto"/>
        <w:rPr>
          <w:rFonts w:ascii="Times New Roman" w:hAnsi="Times New Roman" w:cs="Times New Roman"/>
          <w:color w:val="auto"/>
          <w:kern w:val="0"/>
        </w:rPr>
      </w:pPr>
      <w:bookmarkStart w:id="21" w:name="_Toc434250173"/>
      <w:bookmarkStart w:id="22" w:name="_Toc437263345"/>
      <w:bookmarkStart w:id="23" w:name="_Toc434250583"/>
      <w:r>
        <w:rPr>
          <w:rFonts w:ascii="Times New Roman" w:hAnsi="Times New Roman" w:cs="Times New Roman"/>
          <w:color w:val="auto"/>
          <w:kern w:val="0"/>
        </w:rPr>
        <w:t xml:space="preserve">3. </w:t>
      </w:r>
      <w:r>
        <w:rPr>
          <w:rFonts w:ascii="Times New Roman" w:hAnsi="Times New Roman" w:cs="Times New Roman" w:hint="eastAsia"/>
          <w:color w:val="auto"/>
          <w:kern w:val="0"/>
        </w:rPr>
        <w:t>规格型号</w:t>
      </w:r>
      <w:bookmarkEnd w:id="21"/>
      <w:bookmarkEnd w:id="22"/>
      <w:bookmarkEnd w:id="23"/>
    </w:p>
    <w:p w:rsidR="00413D50" w:rsidRDefault="002D3913">
      <w:pPr>
        <w:spacing w:line="240" w:lineRule="auto"/>
        <w:rPr>
          <w:rFonts w:cs="Times New Roman"/>
          <w:color w:val="auto"/>
          <w:kern w:val="0"/>
        </w:rPr>
      </w:pPr>
      <w:r>
        <w:rPr>
          <w:rFonts w:cs="Times New Roman" w:hint="eastAsia"/>
          <w:color w:val="auto"/>
          <w:kern w:val="0"/>
        </w:rPr>
        <w:t>对于注册单元内包括多种型号设备时，应描述不同型号工作频率、额定输出功率、输出模式和功能等性能指标的差异，提供相应的对比表和说明。</w:t>
      </w:r>
    </w:p>
    <w:p w:rsidR="00413D50" w:rsidRDefault="002D3913">
      <w:pPr>
        <w:pStyle w:val="3"/>
        <w:spacing w:line="240" w:lineRule="auto"/>
        <w:rPr>
          <w:rFonts w:ascii="Times New Roman" w:hAnsi="Times New Roman" w:cs="Times New Roman"/>
          <w:color w:val="auto"/>
          <w:kern w:val="0"/>
        </w:rPr>
      </w:pPr>
      <w:bookmarkStart w:id="24" w:name="_Toc434250174"/>
      <w:bookmarkStart w:id="25" w:name="_Toc437263346"/>
      <w:bookmarkStart w:id="26" w:name="_Toc434250584"/>
      <w:r>
        <w:rPr>
          <w:rFonts w:ascii="Times New Roman" w:hAnsi="Times New Roman" w:cs="Times New Roman"/>
          <w:color w:val="auto"/>
          <w:kern w:val="0"/>
        </w:rPr>
        <w:t xml:space="preserve">4. </w:t>
      </w:r>
      <w:r>
        <w:rPr>
          <w:rFonts w:ascii="Times New Roman" w:hAnsi="Times New Roman" w:cs="Times New Roman" w:hint="eastAsia"/>
          <w:color w:val="auto"/>
          <w:kern w:val="0"/>
        </w:rPr>
        <w:t>适用范围</w:t>
      </w:r>
      <w:bookmarkEnd w:id="24"/>
      <w:bookmarkEnd w:id="25"/>
      <w:bookmarkEnd w:id="26"/>
    </w:p>
    <w:p w:rsidR="00413D50" w:rsidRDefault="002D3913">
      <w:pPr>
        <w:spacing w:line="240" w:lineRule="auto"/>
        <w:rPr>
          <w:rFonts w:cs="Times New Roman"/>
          <w:color w:val="auto"/>
          <w:kern w:val="0"/>
        </w:rPr>
      </w:pPr>
      <w:r>
        <w:rPr>
          <w:rFonts w:cs="Times New Roman" w:hint="eastAsia"/>
          <w:color w:val="auto"/>
          <w:kern w:val="0"/>
        </w:rPr>
        <w:t>子宫内膜去除设备预期</w:t>
      </w:r>
      <w:r>
        <w:rPr>
          <w:rFonts w:cs="Times New Roman" w:hint="eastAsia"/>
          <w:color w:val="auto"/>
          <w:kern w:val="0"/>
        </w:rPr>
        <w:t>在具有相应医疗环境的医疗机构中使用，如医院的病房手术室及门诊手术室。该设备用于妇女绝经前、无生育要求、由良性疾病引起的月经过多（过量子宫出血）。如还有</w:t>
      </w:r>
      <w:r>
        <w:rPr>
          <w:rFonts w:cs="Times New Roman"/>
          <w:color w:val="auto"/>
          <w:kern w:val="0"/>
        </w:rPr>
        <w:t>其他要求，请按照具体情况描述。</w:t>
      </w:r>
    </w:p>
    <w:p w:rsidR="00413D50" w:rsidRDefault="002D3913">
      <w:pPr>
        <w:pStyle w:val="3"/>
        <w:spacing w:line="240" w:lineRule="auto"/>
        <w:rPr>
          <w:rFonts w:ascii="Times New Roman" w:hAnsi="Times New Roman" w:cs="Times New Roman"/>
          <w:color w:val="auto"/>
          <w:kern w:val="0"/>
        </w:rPr>
      </w:pPr>
      <w:bookmarkStart w:id="27" w:name="_Toc437263347"/>
      <w:bookmarkStart w:id="28" w:name="_Toc434250585"/>
      <w:bookmarkStart w:id="29" w:name="_Toc434250175"/>
      <w:r>
        <w:rPr>
          <w:rFonts w:ascii="Times New Roman" w:hAnsi="Times New Roman" w:cs="Times New Roman"/>
          <w:color w:val="auto"/>
          <w:kern w:val="0"/>
        </w:rPr>
        <w:lastRenderedPageBreak/>
        <w:t xml:space="preserve">5. </w:t>
      </w:r>
      <w:r>
        <w:rPr>
          <w:rFonts w:ascii="Times New Roman" w:hAnsi="Times New Roman" w:cs="Times New Roman" w:hint="eastAsia"/>
          <w:color w:val="auto"/>
          <w:kern w:val="0"/>
        </w:rPr>
        <w:t>参考同类产品</w:t>
      </w:r>
      <w:bookmarkEnd w:id="27"/>
      <w:bookmarkEnd w:id="28"/>
      <w:bookmarkEnd w:id="29"/>
    </w:p>
    <w:p w:rsidR="00413D50" w:rsidRDefault="002D3913">
      <w:pPr>
        <w:spacing w:line="240" w:lineRule="auto"/>
        <w:rPr>
          <w:color w:val="auto"/>
          <w:kern w:val="0"/>
        </w:rPr>
      </w:pPr>
      <w:r>
        <w:rPr>
          <w:rFonts w:cs="Times New Roman" w:hint="eastAsia"/>
          <w:color w:val="auto"/>
          <w:kern w:val="0"/>
        </w:rPr>
        <w:t>如申请人参考同类产品和</w:t>
      </w:r>
      <w:r>
        <w:rPr>
          <w:rFonts w:cs="Times New Roman"/>
          <w:color w:val="auto"/>
          <w:kern w:val="0"/>
        </w:rPr>
        <w:t>/</w:t>
      </w:r>
      <w:r>
        <w:rPr>
          <w:rFonts w:cs="Times New Roman" w:hint="eastAsia"/>
          <w:color w:val="auto"/>
          <w:kern w:val="0"/>
        </w:rPr>
        <w:t>或前代产品研发，申请人应说明相关的背景情况，提供同类产品和</w:t>
      </w:r>
      <w:r>
        <w:rPr>
          <w:rFonts w:cs="Times New Roman"/>
          <w:color w:val="auto"/>
          <w:kern w:val="0"/>
        </w:rPr>
        <w:t>/</w:t>
      </w:r>
      <w:r>
        <w:rPr>
          <w:rFonts w:cs="Times New Roman" w:hint="eastAsia"/>
          <w:color w:val="auto"/>
          <w:kern w:val="0"/>
        </w:rPr>
        <w:t>或前代产品的上市情况，提供同类产品（国内外已上市）或前代产品（如有）的信息，并阐述申请注册产品的研发背景和目的，说明选择其作为研发参考的原因。可采用列表比较方式说明申请注册产品与所参考同类产品的异同。</w:t>
      </w:r>
    </w:p>
    <w:p w:rsidR="00413D50" w:rsidRDefault="002D3913">
      <w:pPr>
        <w:pStyle w:val="20"/>
        <w:spacing w:line="240" w:lineRule="auto"/>
        <w:rPr>
          <w:rFonts w:ascii="楷体" w:eastAsia="楷体" w:hAnsi="楷体" w:cs="楷体"/>
        </w:rPr>
      </w:pPr>
      <w:bookmarkStart w:id="30" w:name="_Toc437263348"/>
      <w:bookmarkStart w:id="31" w:name="_Toc434250586"/>
      <w:bookmarkStart w:id="32" w:name="_Toc434250176"/>
      <w:r>
        <w:rPr>
          <w:rFonts w:ascii="楷体" w:eastAsia="楷体" w:hAnsi="楷体" w:cs="楷体" w:hint="eastAsia"/>
        </w:rPr>
        <w:t>（二）研究资料</w:t>
      </w:r>
      <w:bookmarkEnd w:id="30"/>
      <w:bookmarkEnd w:id="31"/>
      <w:bookmarkEnd w:id="32"/>
    </w:p>
    <w:p w:rsidR="00413D50" w:rsidRDefault="002D3913">
      <w:pPr>
        <w:pStyle w:val="3"/>
        <w:spacing w:line="240" w:lineRule="auto"/>
        <w:rPr>
          <w:rFonts w:ascii="Times New Roman" w:hAnsi="Times New Roman" w:cs="Times New Roman"/>
          <w:color w:val="auto"/>
          <w:kern w:val="0"/>
        </w:rPr>
      </w:pPr>
      <w:bookmarkStart w:id="33" w:name="_Toc434250177"/>
      <w:bookmarkStart w:id="34" w:name="_Toc437263349"/>
      <w:bookmarkStart w:id="35" w:name="_Toc434250587"/>
      <w:r>
        <w:rPr>
          <w:rFonts w:ascii="Times New Roman" w:hAnsi="Times New Roman" w:cs="Times New Roman"/>
          <w:color w:val="auto"/>
          <w:kern w:val="0"/>
        </w:rPr>
        <w:t>1</w:t>
      </w:r>
      <w:r>
        <w:rPr>
          <w:rFonts w:ascii="Times New Roman" w:hAnsi="Times New Roman" w:cs="Times New Roman" w:hint="eastAsia"/>
          <w:color w:val="auto"/>
          <w:kern w:val="0"/>
        </w:rPr>
        <w:t xml:space="preserve">. </w:t>
      </w:r>
      <w:r>
        <w:rPr>
          <w:rFonts w:ascii="Times New Roman" w:hAnsi="Times New Roman" w:cs="Times New Roman" w:hint="eastAsia"/>
          <w:color w:val="auto"/>
          <w:kern w:val="0"/>
        </w:rPr>
        <w:t>性能研究</w:t>
      </w:r>
      <w:bookmarkEnd w:id="33"/>
      <w:bookmarkEnd w:id="34"/>
      <w:bookmarkEnd w:id="35"/>
    </w:p>
    <w:p w:rsidR="00413D50" w:rsidRDefault="002D3913">
      <w:pPr>
        <w:spacing w:line="240" w:lineRule="auto"/>
        <w:rPr>
          <w:rFonts w:cs="Times New Roman"/>
          <w:color w:val="auto"/>
          <w:kern w:val="0"/>
        </w:rPr>
      </w:pPr>
      <w:r>
        <w:rPr>
          <w:rFonts w:cs="Times New Roman" w:hint="eastAsia"/>
          <w:color w:val="auto"/>
          <w:kern w:val="0"/>
        </w:rPr>
        <w:t>（</w:t>
      </w:r>
      <w:r>
        <w:rPr>
          <w:rFonts w:cs="Times New Roman" w:hint="eastAsia"/>
          <w:color w:val="auto"/>
          <w:kern w:val="0"/>
        </w:rPr>
        <w:t>1</w:t>
      </w:r>
      <w:r>
        <w:rPr>
          <w:rFonts w:cs="Times New Roman" w:hint="eastAsia"/>
          <w:color w:val="auto"/>
          <w:kern w:val="0"/>
        </w:rPr>
        <w:t>）应提供射频主机的技术参数的验证报告，如工作频率</w:t>
      </w:r>
      <w:r>
        <w:rPr>
          <w:rFonts w:cs="Times New Roman"/>
          <w:color w:val="auto"/>
          <w:kern w:val="0"/>
        </w:rPr>
        <w:t>、额定</w:t>
      </w:r>
      <w:r>
        <w:rPr>
          <w:rFonts w:cs="Times New Roman" w:hint="eastAsia"/>
          <w:color w:val="auto"/>
          <w:kern w:val="0"/>
        </w:rPr>
        <w:t>输出功率，并提供主机的输出曲线图。</w:t>
      </w:r>
    </w:p>
    <w:p w:rsidR="00413D50" w:rsidRDefault="002D3913">
      <w:pPr>
        <w:spacing w:line="240" w:lineRule="auto"/>
        <w:rPr>
          <w:rFonts w:cs="Times New Roman"/>
          <w:color w:val="auto"/>
          <w:kern w:val="0"/>
        </w:rPr>
      </w:pPr>
      <w:r>
        <w:rPr>
          <w:rFonts w:cs="Times New Roman" w:hint="eastAsia"/>
          <w:color w:val="auto"/>
          <w:kern w:val="0"/>
        </w:rPr>
        <w:t>输出曲线图至少应包含能够反映整个预期负载范围内输出功率（全功率及半功率）、以及整个功率设定范围内输出功率随设定值变化的图形，同时提供图中各主要标记点所对应的数据（至少包含</w:t>
      </w:r>
      <w:r>
        <w:rPr>
          <w:rFonts w:cs="Times New Roman" w:hint="eastAsia"/>
          <w:color w:val="auto"/>
          <w:kern w:val="0"/>
        </w:rPr>
        <w:t>GB9706.4</w:t>
      </w:r>
      <w:r>
        <w:rPr>
          <w:rFonts w:cs="Times New Roman"/>
          <w:color w:val="auto"/>
          <w:kern w:val="0"/>
        </w:rPr>
        <w:t>-2009</w:t>
      </w:r>
      <w:r>
        <w:rPr>
          <w:rFonts w:cs="Times New Roman" w:hint="eastAsia"/>
          <w:color w:val="auto"/>
          <w:kern w:val="0"/>
        </w:rPr>
        <w:t>所要求的标记点）。上述图形均应当在利用高频功率计或其他仪器通过实际测试所获得试验数据的基础上绘制，而非仅依据理论计算。</w:t>
      </w:r>
    </w:p>
    <w:p w:rsidR="00413D50" w:rsidRDefault="002D3913">
      <w:pPr>
        <w:spacing w:line="240" w:lineRule="auto"/>
        <w:rPr>
          <w:rFonts w:cs="Times New Roman"/>
          <w:color w:val="000000" w:themeColor="text1"/>
          <w:kern w:val="0"/>
        </w:rPr>
      </w:pPr>
      <w:r>
        <w:rPr>
          <w:rFonts w:cs="Times New Roman" w:hint="eastAsia"/>
          <w:color w:val="auto"/>
          <w:kern w:val="0"/>
        </w:rPr>
        <w:t>（</w:t>
      </w:r>
      <w:r>
        <w:rPr>
          <w:rFonts w:cs="Times New Roman" w:hint="eastAsia"/>
          <w:color w:val="auto"/>
          <w:kern w:val="0"/>
        </w:rPr>
        <w:t>2</w:t>
      </w:r>
      <w:r>
        <w:rPr>
          <w:rFonts w:cs="Times New Roman" w:hint="eastAsia"/>
          <w:color w:val="auto"/>
          <w:kern w:val="0"/>
        </w:rPr>
        <w:t>）</w:t>
      </w:r>
      <w:r>
        <w:rPr>
          <w:rFonts w:cs="Times New Roman"/>
          <w:color w:val="auto"/>
          <w:kern w:val="0"/>
        </w:rPr>
        <w:t>明确</w:t>
      </w:r>
      <w:r>
        <w:rPr>
          <w:rFonts w:cs="Times New Roman" w:hint="eastAsia"/>
          <w:color w:val="auto"/>
          <w:kern w:val="0"/>
        </w:rPr>
        <w:t>射频</w:t>
      </w:r>
      <w:r>
        <w:rPr>
          <w:rFonts w:cs="Times New Roman"/>
          <w:color w:val="auto"/>
          <w:kern w:val="0"/>
        </w:rPr>
        <w:t>消融输出功率、作用时间及子宫腔长度和宽度大小的关联，提供相关</w:t>
      </w:r>
      <w:r>
        <w:rPr>
          <w:rFonts w:cs="Times New Roman" w:hint="eastAsia"/>
          <w:color w:val="auto"/>
          <w:kern w:val="0"/>
        </w:rPr>
        <w:t>验证</w:t>
      </w:r>
      <w:r>
        <w:rPr>
          <w:rFonts w:cs="Times New Roman"/>
          <w:color w:val="auto"/>
          <w:kern w:val="0"/>
        </w:rPr>
        <w:t>支持数据。</w:t>
      </w:r>
      <w:r>
        <w:rPr>
          <w:rFonts w:cs="Times New Roman" w:hint="eastAsia"/>
          <w:color w:val="auto"/>
          <w:kern w:val="0"/>
        </w:rPr>
        <w:t>适用</w:t>
      </w:r>
      <w:r>
        <w:rPr>
          <w:rFonts w:cs="Times New Roman"/>
          <w:color w:val="auto"/>
          <w:kern w:val="0"/>
        </w:rPr>
        <w:t>的子宫腔</w:t>
      </w:r>
      <w:r>
        <w:rPr>
          <w:rFonts w:cs="Times New Roman" w:hint="eastAsia"/>
          <w:color w:val="auto"/>
          <w:kern w:val="0"/>
        </w:rPr>
        <w:t>长度</w:t>
      </w:r>
      <w:r>
        <w:rPr>
          <w:rFonts w:cs="Times New Roman"/>
          <w:color w:val="auto"/>
          <w:kern w:val="0"/>
        </w:rPr>
        <w:t>和宽度的确</w:t>
      </w:r>
      <w:r>
        <w:rPr>
          <w:rFonts w:cs="Times New Roman" w:hint="eastAsia"/>
          <w:color w:val="auto"/>
          <w:kern w:val="0"/>
        </w:rPr>
        <w:t>定</w:t>
      </w:r>
      <w:r>
        <w:rPr>
          <w:rFonts w:cs="Times New Roman"/>
          <w:color w:val="auto"/>
          <w:kern w:val="0"/>
        </w:rPr>
        <w:t>依据，并提供相应的验证资料。</w:t>
      </w:r>
      <w:r>
        <w:rPr>
          <w:rFonts w:cs="Times New Roman" w:hint="eastAsia"/>
          <w:color w:val="000000" w:themeColor="text1"/>
          <w:kern w:val="0"/>
        </w:rPr>
        <w:t>明确</w:t>
      </w:r>
      <w:r>
        <w:rPr>
          <w:rFonts w:cs="Times New Roman"/>
          <w:color w:val="000000" w:themeColor="text1"/>
          <w:kern w:val="0"/>
        </w:rPr>
        <w:t>阻抗检测</w:t>
      </w:r>
      <w:r>
        <w:rPr>
          <w:rFonts w:cs="Times New Roman" w:hint="eastAsia"/>
          <w:color w:val="000000" w:themeColor="text1"/>
          <w:kern w:val="0"/>
        </w:rPr>
        <w:t>值</w:t>
      </w:r>
      <w:r>
        <w:rPr>
          <w:rFonts w:cs="Times New Roman"/>
          <w:color w:val="000000" w:themeColor="text1"/>
          <w:kern w:val="0"/>
        </w:rPr>
        <w:t>、</w:t>
      </w:r>
      <w:r>
        <w:rPr>
          <w:rFonts w:cs="Times New Roman" w:hint="eastAsia"/>
          <w:color w:val="000000" w:themeColor="text1"/>
          <w:kern w:val="0"/>
        </w:rPr>
        <w:t>温度</w:t>
      </w:r>
      <w:r>
        <w:rPr>
          <w:rFonts w:cs="Times New Roman"/>
          <w:color w:val="000000" w:themeColor="text1"/>
          <w:kern w:val="0"/>
        </w:rPr>
        <w:t>测量范围</w:t>
      </w:r>
      <w:r>
        <w:rPr>
          <w:rFonts w:cs="Times New Roman" w:hint="eastAsia"/>
          <w:color w:val="000000" w:themeColor="text1"/>
          <w:kern w:val="0"/>
        </w:rPr>
        <w:t>及</w:t>
      </w:r>
      <w:r>
        <w:rPr>
          <w:rFonts w:cs="Times New Roman"/>
          <w:color w:val="000000" w:themeColor="text1"/>
          <w:kern w:val="0"/>
        </w:rPr>
        <w:t>准确度（</w:t>
      </w:r>
      <w:r>
        <w:rPr>
          <w:rFonts w:cs="Times New Roman" w:hint="eastAsia"/>
          <w:color w:val="000000" w:themeColor="text1"/>
          <w:kern w:val="0"/>
        </w:rPr>
        <w:t>如有</w:t>
      </w:r>
      <w:r>
        <w:rPr>
          <w:rFonts w:cs="Times New Roman"/>
          <w:color w:val="000000" w:themeColor="text1"/>
          <w:kern w:val="0"/>
        </w:rPr>
        <w:t>）</w:t>
      </w:r>
      <w:r>
        <w:rPr>
          <w:rFonts w:cs="Times New Roman" w:hint="eastAsia"/>
          <w:color w:val="000000" w:themeColor="text1"/>
          <w:kern w:val="0"/>
        </w:rPr>
        <w:t>及其确定依据，</w:t>
      </w:r>
      <w:r>
        <w:rPr>
          <w:rFonts w:cs="Times New Roman"/>
          <w:color w:val="000000" w:themeColor="text1"/>
          <w:kern w:val="0"/>
        </w:rPr>
        <w:t>并提供</w:t>
      </w:r>
      <w:r>
        <w:rPr>
          <w:rFonts w:cs="Times New Roman" w:hint="eastAsia"/>
          <w:color w:val="000000" w:themeColor="text1"/>
          <w:kern w:val="0"/>
        </w:rPr>
        <w:t>相应</w:t>
      </w:r>
      <w:r>
        <w:rPr>
          <w:rFonts w:cs="Times New Roman"/>
          <w:color w:val="000000" w:themeColor="text1"/>
          <w:kern w:val="0"/>
        </w:rPr>
        <w:t>的验证资</w:t>
      </w:r>
      <w:bookmarkStart w:id="36" w:name="_GoBack"/>
      <w:bookmarkEnd w:id="36"/>
      <w:r>
        <w:rPr>
          <w:rFonts w:cs="Times New Roman"/>
          <w:color w:val="000000" w:themeColor="text1"/>
          <w:kern w:val="0"/>
        </w:rPr>
        <w:lastRenderedPageBreak/>
        <w:t>料</w:t>
      </w:r>
      <w:r>
        <w:rPr>
          <w:rFonts w:cs="Times New Roman" w:hint="eastAsia"/>
          <w:color w:val="000000" w:themeColor="text1"/>
          <w:kern w:val="0"/>
        </w:rPr>
        <w:t>。</w:t>
      </w:r>
    </w:p>
    <w:p w:rsidR="00413D50" w:rsidRDefault="002D3913">
      <w:pPr>
        <w:spacing w:line="240" w:lineRule="auto"/>
        <w:rPr>
          <w:rFonts w:cs="Times New Roman"/>
          <w:color w:val="auto"/>
          <w:kern w:val="0"/>
        </w:rPr>
      </w:pPr>
      <w:r>
        <w:rPr>
          <w:rFonts w:cs="Times New Roman" w:hint="eastAsia"/>
          <w:color w:val="auto"/>
          <w:kern w:val="0"/>
        </w:rPr>
        <w:t>（</w:t>
      </w:r>
      <w:r>
        <w:rPr>
          <w:rFonts w:cs="Times New Roman"/>
          <w:color w:val="auto"/>
          <w:kern w:val="0"/>
        </w:rPr>
        <w:t>3</w:t>
      </w:r>
      <w:r>
        <w:rPr>
          <w:rFonts w:cs="Times New Roman" w:hint="eastAsia"/>
          <w:color w:val="auto"/>
          <w:kern w:val="0"/>
        </w:rPr>
        <w:t>）应提供治疗电极的性能要求、尺寸及图示等，</w:t>
      </w:r>
      <w:r>
        <w:rPr>
          <w:rFonts w:cs="Times New Roman"/>
          <w:color w:val="auto"/>
          <w:kern w:val="0"/>
        </w:rPr>
        <w:t>并提供相应的验证资料</w:t>
      </w:r>
      <w:r>
        <w:rPr>
          <w:rFonts w:cs="Times New Roman" w:hint="eastAsia"/>
          <w:color w:val="auto"/>
          <w:kern w:val="0"/>
        </w:rPr>
        <w:t>。</w:t>
      </w:r>
    </w:p>
    <w:p w:rsidR="00413D50" w:rsidRDefault="002D3913">
      <w:pPr>
        <w:spacing w:line="240" w:lineRule="auto"/>
        <w:rPr>
          <w:rFonts w:cs="Times New Roman"/>
          <w:color w:val="auto"/>
          <w:kern w:val="0"/>
        </w:rPr>
      </w:pPr>
      <w:r>
        <w:rPr>
          <w:rFonts w:cs="Times New Roman" w:hint="eastAsia"/>
          <w:color w:val="auto"/>
          <w:kern w:val="0"/>
        </w:rPr>
        <w:t>（</w:t>
      </w:r>
      <w:r>
        <w:rPr>
          <w:rFonts w:cs="Times New Roman" w:hint="eastAsia"/>
          <w:color w:val="auto"/>
          <w:kern w:val="0"/>
        </w:rPr>
        <w:t>4</w:t>
      </w:r>
      <w:r>
        <w:rPr>
          <w:rFonts w:cs="Times New Roman" w:hint="eastAsia"/>
          <w:color w:val="auto"/>
          <w:kern w:val="0"/>
        </w:rPr>
        <w:t>）脚踏开关的性能要求。</w:t>
      </w:r>
    </w:p>
    <w:p w:rsidR="00413D50" w:rsidRDefault="002D3913">
      <w:pPr>
        <w:spacing w:line="240" w:lineRule="auto"/>
        <w:rPr>
          <w:rFonts w:cs="Times New Roman"/>
          <w:color w:val="auto"/>
          <w:kern w:val="0"/>
        </w:rPr>
      </w:pPr>
      <w:bookmarkStart w:id="37" w:name="_Toc434250588"/>
      <w:bookmarkStart w:id="38" w:name="_Toc434250178"/>
      <w:bookmarkStart w:id="39" w:name="_Toc437263350"/>
      <w:r>
        <w:rPr>
          <w:rFonts w:cs="Times New Roman"/>
          <w:color w:val="auto"/>
          <w:kern w:val="0"/>
        </w:rPr>
        <w:t>2</w:t>
      </w:r>
      <w:r>
        <w:rPr>
          <w:rFonts w:cs="Times New Roman" w:hint="eastAsia"/>
          <w:color w:val="auto"/>
          <w:kern w:val="0"/>
        </w:rPr>
        <w:t xml:space="preserve">. </w:t>
      </w:r>
      <w:r>
        <w:rPr>
          <w:rFonts w:cs="Times New Roman"/>
          <w:color w:val="auto"/>
          <w:kern w:val="0"/>
        </w:rPr>
        <w:t>体外模型及</w:t>
      </w:r>
      <w:r>
        <w:rPr>
          <w:rFonts w:cs="Times New Roman" w:hint="eastAsia"/>
          <w:color w:val="auto"/>
          <w:kern w:val="0"/>
        </w:rPr>
        <w:t>离体</w:t>
      </w:r>
      <w:r>
        <w:rPr>
          <w:rFonts w:cs="Times New Roman"/>
          <w:color w:val="auto"/>
          <w:kern w:val="0"/>
        </w:rPr>
        <w:t>子宫研究</w:t>
      </w:r>
    </w:p>
    <w:p w:rsidR="00413D50" w:rsidRDefault="002D3913">
      <w:pPr>
        <w:spacing w:line="240" w:lineRule="auto"/>
        <w:rPr>
          <w:rFonts w:cs="Times New Roman"/>
          <w:color w:val="auto"/>
          <w:kern w:val="0"/>
        </w:rPr>
      </w:pPr>
      <w:r>
        <w:rPr>
          <w:rFonts w:cs="Times New Roman" w:hint="eastAsia"/>
          <w:color w:val="auto"/>
          <w:kern w:val="0"/>
        </w:rPr>
        <w:t>验证利用子宫尺寸与设置参数（输出功率和输出时间）之间存在特定关系从而根据尺寸对输出参数进行设置的可行性，可采用以下验证方式：</w:t>
      </w:r>
    </w:p>
    <w:p w:rsidR="00413D50" w:rsidRDefault="002D3913">
      <w:pPr>
        <w:spacing w:line="240" w:lineRule="auto"/>
        <w:rPr>
          <w:rFonts w:cs="Times New Roman"/>
          <w:color w:val="auto"/>
          <w:kern w:val="0"/>
        </w:rPr>
      </w:pPr>
      <w:r>
        <w:rPr>
          <w:rFonts w:cs="Times New Roman" w:hint="eastAsia"/>
          <w:color w:val="auto"/>
          <w:kern w:val="0"/>
        </w:rPr>
        <w:t>（</w:t>
      </w:r>
      <w:r>
        <w:rPr>
          <w:rFonts w:cs="Times New Roman"/>
          <w:color w:val="auto"/>
          <w:kern w:val="0"/>
        </w:rPr>
        <w:t>1</w:t>
      </w:r>
      <w:r>
        <w:rPr>
          <w:rFonts w:cs="Times New Roman" w:hint="eastAsia"/>
          <w:color w:val="auto"/>
          <w:kern w:val="0"/>
        </w:rPr>
        <w:t>）模拟试验可用于研究子宫内膜去除设备热场的特性，以及不同子宫尺寸、不同输出参数（功率）时消融区域的变化。模拟试验通过对消融过程中温度场的变化，从数值分析角度探寻其规律。附录为模拟试验可参照的例子方法</w:t>
      </w:r>
      <w:r>
        <w:rPr>
          <w:rFonts w:cs="Times New Roman"/>
          <w:color w:val="auto"/>
          <w:kern w:val="0"/>
        </w:rPr>
        <w:t>举例</w:t>
      </w:r>
      <w:r>
        <w:rPr>
          <w:rFonts w:cs="Times New Roman" w:hint="eastAsia"/>
          <w:color w:val="auto"/>
          <w:kern w:val="0"/>
        </w:rPr>
        <w:t>。</w:t>
      </w:r>
    </w:p>
    <w:p w:rsidR="00413D50" w:rsidRDefault="002D3913">
      <w:pPr>
        <w:spacing w:line="240" w:lineRule="auto"/>
        <w:rPr>
          <w:rFonts w:cs="Times New Roman"/>
          <w:color w:val="auto"/>
          <w:kern w:val="0"/>
        </w:rPr>
      </w:pPr>
      <w:r>
        <w:rPr>
          <w:rFonts w:cs="Times New Roman" w:hint="eastAsia"/>
          <w:color w:val="auto"/>
          <w:kern w:val="0"/>
        </w:rPr>
        <w:t>（</w:t>
      </w:r>
      <w:r>
        <w:rPr>
          <w:rFonts w:cs="Times New Roman"/>
          <w:color w:val="auto"/>
          <w:kern w:val="0"/>
        </w:rPr>
        <w:t>2</w:t>
      </w:r>
      <w:r>
        <w:rPr>
          <w:rFonts w:cs="Times New Roman" w:hint="eastAsia"/>
          <w:color w:val="auto"/>
          <w:kern w:val="0"/>
        </w:rPr>
        <w:t>）通过在离体组织上进行热损伤试验，进一步验证上述关系的可行性。试验时应选取组织特征与子宫内膜组织在热物性、电性能参数、含水量等参数上相近的软组织（如肌肉等）进行试验，试验可模拟不同尺寸的子宫模型，使用不同的输出参数，对应产生相应的消融结果，应记录每种情况下对软组织所造成的热损伤程度，包括特定记录点的损</w:t>
      </w:r>
      <w:r>
        <w:rPr>
          <w:rFonts w:cs="Times New Roman" w:hint="eastAsia"/>
          <w:color w:val="auto"/>
          <w:kern w:val="0"/>
        </w:rPr>
        <w:t>伤深度，分析并建立损伤程度与输出能量及作用时间的量效关系。应提供相应的试验数据列表，同时提供相应的照片记录。</w:t>
      </w:r>
    </w:p>
    <w:p w:rsidR="00413D50" w:rsidRDefault="002D3913">
      <w:pPr>
        <w:spacing w:line="240" w:lineRule="auto"/>
        <w:rPr>
          <w:rFonts w:cs="Times New Roman"/>
          <w:color w:val="auto"/>
          <w:kern w:val="0"/>
        </w:rPr>
      </w:pPr>
      <w:r>
        <w:rPr>
          <w:rFonts w:cs="Times New Roman" w:hint="eastAsia"/>
          <w:color w:val="auto"/>
          <w:kern w:val="0"/>
        </w:rPr>
        <w:t>（</w:t>
      </w:r>
      <w:r>
        <w:rPr>
          <w:rFonts w:cs="Times New Roman" w:hint="eastAsia"/>
          <w:color w:val="auto"/>
          <w:kern w:val="0"/>
        </w:rPr>
        <w:t>3</w:t>
      </w:r>
      <w:r>
        <w:rPr>
          <w:rFonts w:cs="Times New Roman" w:hint="eastAsia"/>
          <w:color w:val="auto"/>
          <w:kern w:val="0"/>
        </w:rPr>
        <w:t>）活体离体子宫进一步验证消融效果，除了消融深度，</w:t>
      </w:r>
      <w:r>
        <w:rPr>
          <w:rFonts w:cs="Times New Roman" w:hint="eastAsia"/>
          <w:color w:val="auto"/>
          <w:kern w:val="0"/>
        </w:rPr>
        <w:lastRenderedPageBreak/>
        <w:t>离体子宫也能提供不同位点的消融效果，通过试验组织的切片及病理分析记录来得到组织学观察结论。</w:t>
      </w:r>
    </w:p>
    <w:bookmarkEnd w:id="37"/>
    <w:bookmarkEnd w:id="38"/>
    <w:bookmarkEnd w:id="39"/>
    <w:p w:rsidR="00413D50" w:rsidRDefault="002D3913">
      <w:pPr>
        <w:spacing w:line="240" w:lineRule="auto"/>
        <w:jc w:val="left"/>
        <w:rPr>
          <w:rFonts w:cs="Times New Roman"/>
          <w:color w:val="auto"/>
          <w:kern w:val="0"/>
        </w:rPr>
      </w:pPr>
      <w:r>
        <w:rPr>
          <w:rFonts w:cs="Times New Roman"/>
          <w:color w:val="auto"/>
          <w:kern w:val="0"/>
        </w:rPr>
        <w:t>3</w:t>
      </w:r>
      <w:bookmarkStart w:id="40" w:name="_Toc433873350"/>
      <w:r>
        <w:rPr>
          <w:rFonts w:cs="Times New Roman" w:hint="eastAsia"/>
          <w:color w:val="auto"/>
          <w:kern w:val="0"/>
        </w:rPr>
        <w:t xml:space="preserve">. </w:t>
      </w:r>
      <w:r>
        <w:rPr>
          <w:rFonts w:cs="Times New Roman" w:hint="eastAsia"/>
          <w:color w:val="auto"/>
          <w:kern w:val="0"/>
        </w:rPr>
        <w:t>生物相容性评价研究</w:t>
      </w:r>
      <w:bookmarkEnd w:id="40"/>
    </w:p>
    <w:p w:rsidR="00413D50" w:rsidRDefault="002D3913">
      <w:pPr>
        <w:spacing w:line="240" w:lineRule="auto"/>
        <w:rPr>
          <w:bCs/>
        </w:rPr>
      </w:pPr>
      <w:r>
        <w:rPr>
          <w:rFonts w:cs="Times New Roman" w:hint="eastAsia"/>
          <w:color w:val="auto"/>
          <w:kern w:val="0"/>
        </w:rPr>
        <w:t>成品的生物学评价应根据与人体接触部位、接触方式及接触时间，按</w:t>
      </w:r>
      <w:r>
        <w:rPr>
          <w:rFonts w:cs="Times New Roman"/>
          <w:color w:val="auto"/>
          <w:kern w:val="0"/>
        </w:rPr>
        <w:t>GB/T 16886.1</w:t>
      </w:r>
      <w:r>
        <w:rPr>
          <w:rFonts w:cs="Times New Roman" w:hint="eastAsia"/>
          <w:color w:val="auto"/>
          <w:kern w:val="0"/>
        </w:rPr>
        <w:t>标准的规定要求进行评价</w:t>
      </w:r>
      <w:r>
        <w:rPr>
          <w:bCs/>
        </w:rPr>
        <w:t>。</w:t>
      </w:r>
    </w:p>
    <w:p w:rsidR="00413D50" w:rsidRDefault="002D3913">
      <w:pPr>
        <w:numPr>
          <w:ilvl w:val="0"/>
          <w:numId w:val="2"/>
        </w:numPr>
        <w:spacing w:line="240" w:lineRule="auto"/>
        <w:ind w:firstLine="624"/>
        <w:rPr>
          <w:spacing w:val="-4"/>
          <w:szCs w:val="28"/>
        </w:rPr>
      </w:pPr>
      <w:r>
        <w:rPr>
          <w:spacing w:val="-4"/>
          <w:szCs w:val="28"/>
        </w:rPr>
        <w:t>灭菌</w:t>
      </w:r>
      <w:r>
        <w:rPr>
          <w:spacing w:val="-4"/>
          <w:szCs w:val="28"/>
        </w:rPr>
        <w:t>/</w:t>
      </w:r>
      <w:r>
        <w:rPr>
          <w:spacing w:val="-4"/>
          <w:szCs w:val="28"/>
        </w:rPr>
        <w:t>消毒工艺研究</w:t>
      </w:r>
    </w:p>
    <w:p w:rsidR="00413D50" w:rsidRDefault="002D3913">
      <w:pPr>
        <w:spacing w:line="240" w:lineRule="auto"/>
        <w:ind w:firstLine="624"/>
        <w:rPr>
          <w:bCs/>
        </w:rPr>
      </w:pPr>
      <w:r>
        <w:rPr>
          <w:spacing w:val="-4"/>
          <w:szCs w:val="28"/>
        </w:rPr>
        <w:t>以无菌方式提供的</w:t>
      </w:r>
      <w:r>
        <w:rPr>
          <w:rFonts w:hint="eastAsia"/>
          <w:spacing w:val="-4"/>
          <w:szCs w:val="28"/>
        </w:rPr>
        <w:t>部件</w:t>
      </w:r>
      <w:r>
        <w:rPr>
          <w:spacing w:val="-4"/>
          <w:szCs w:val="28"/>
        </w:rPr>
        <w:t>，企业应明确相应的灭菌工艺（包括灭菌方式和相关参数）和无菌保证水平（</w:t>
      </w:r>
      <w:r>
        <w:rPr>
          <w:spacing w:val="-4"/>
          <w:szCs w:val="28"/>
        </w:rPr>
        <w:t>SAL</w:t>
      </w:r>
      <w:r>
        <w:rPr>
          <w:spacing w:val="-4"/>
          <w:szCs w:val="28"/>
        </w:rPr>
        <w:t>），提交灭菌确认报告。</w:t>
      </w:r>
      <w:r>
        <w:rPr>
          <w:bCs/>
        </w:rPr>
        <w:t>对于采用辐照灭菌的器械，应当提供辐照剂量</w:t>
      </w:r>
      <w:r>
        <w:rPr>
          <w:rFonts w:hint="eastAsia"/>
          <w:bCs/>
        </w:rPr>
        <w:t>。</w:t>
      </w:r>
      <w:r>
        <w:rPr>
          <w:bCs/>
        </w:rPr>
        <w:t>对于环氧乙烷（</w:t>
      </w:r>
      <w:r>
        <w:rPr>
          <w:bCs/>
        </w:rPr>
        <w:t>EO</w:t>
      </w:r>
      <w:r>
        <w:rPr>
          <w:bCs/>
        </w:rPr>
        <w:t>）灭菌器械，应当提供</w:t>
      </w:r>
      <w:r>
        <w:rPr>
          <w:bCs/>
        </w:rPr>
        <w:t>EO</w:t>
      </w:r>
      <w:r>
        <w:rPr>
          <w:bCs/>
        </w:rPr>
        <w:t>、</w:t>
      </w:r>
      <w:r>
        <w:rPr>
          <w:bCs/>
        </w:rPr>
        <w:t>2-</w:t>
      </w:r>
      <w:r>
        <w:rPr>
          <w:bCs/>
        </w:rPr>
        <w:t>氯乙醇和乙二醇的最大残留水平及其研究资料。</w:t>
      </w:r>
    </w:p>
    <w:p w:rsidR="00413D50" w:rsidRDefault="002D3913">
      <w:pPr>
        <w:numPr>
          <w:ilvl w:val="0"/>
          <w:numId w:val="2"/>
        </w:numPr>
        <w:spacing w:line="240" w:lineRule="auto"/>
        <w:ind w:firstLine="624"/>
        <w:rPr>
          <w:spacing w:val="-4"/>
          <w:szCs w:val="28"/>
        </w:rPr>
      </w:pPr>
      <w:r>
        <w:rPr>
          <w:spacing w:val="-4"/>
          <w:szCs w:val="28"/>
        </w:rPr>
        <w:t>产品有效期和包装研究</w:t>
      </w:r>
    </w:p>
    <w:p w:rsidR="00413D50" w:rsidRDefault="002D3913">
      <w:pPr>
        <w:spacing w:line="240" w:lineRule="auto"/>
        <w:rPr>
          <w:bCs/>
        </w:rPr>
      </w:pPr>
      <w:r>
        <w:rPr>
          <w:bCs/>
        </w:rPr>
        <w:t>应分别对主机和</w:t>
      </w:r>
      <w:r>
        <w:rPr>
          <w:rFonts w:hint="eastAsia"/>
          <w:bCs/>
        </w:rPr>
        <w:t>治疗电极</w:t>
      </w:r>
      <w:r>
        <w:rPr>
          <w:bCs/>
        </w:rPr>
        <w:t>的使用期限进行研究。</w:t>
      </w:r>
    </w:p>
    <w:p w:rsidR="00413D50" w:rsidRDefault="002D3913">
      <w:pPr>
        <w:spacing w:line="240" w:lineRule="auto"/>
        <w:rPr>
          <w:bCs/>
        </w:rPr>
      </w:pPr>
      <w:r>
        <w:rPr>
          <w:bCs/>
        </w:rPr>
        <w:t>应分别明确主机、</w:t>
      </w:r>
      <w:r>
        <w:rPr>
          <w:rFonts w:hint="eastAsia"/>
          <w:bCs/>
        </w:rPr>
        <w:t>治疗电极</w:t>
      </w:r>
      <w:r>
        <w:rPr>
          <w:bCs/>
        </w:rPr>
        <w:t>的有效期研究的</w:t>
      </w:r>
      <w:r>
        <w:rPr>
          <w:rFonts w:hint="eastAsia"/>
          <w:bCs/>
        </w:rPr>
        <w:t>方向</w:t>
      </w:r>
      <w:r>
        <w:rPr>
          <w:bCs/>
        </w:rPr>
        <w:t>，对于研究中进行的测试，应描述每个测试的摘要，包括试验设计、试验结果及试验结论，同时提交测试报告作为附件。</w:t>
      </w:r>
    </w:p>
    <w:p w:rsidR="00413D50" w:rsidRDefault="002D3913">
      <w:pPr>
        <w:spacing w:line="240" w:lineRule="auto"/>
        <w:ind w:firstLine="624"/>
      </w:pPr>
      <w:r>
        <w:rPr>
          <w:spacing w:val="-4"/>
          <w:szCs w:val="28"/>
        </w:rPr>
        <w:t>应提交包装研究资料，应明确包装形式、包装材质、</w:t>
      </w:r>
      <w:r>
        <w:rPr>
          <w:rFonts w:hint="eastAsia"/>
          <w:spacing w:val="-4"/>
          <w:szCs w:val="28"/>
        </w:rPr>
        <w:t>验证</w:t>
      </w:r>
      <w:r>
        <w:rPr>
          <w:spacing w:val="-4"/>
          <w:szCs w:val="28"/>
        </w:rPr>
        <w:t>确认方案、试验结</w:t>
      </w:r>
      <w:r>
        <w:rPr>
          <w:spacing w:val="-4"/>
          <w:szCs w:val="28"/>
        </w:rPr>
        <w:t>果及结论。</w:t>
      </w:r>
    </w:p>
    <w:p w:rsidR="00413D50" w:rsidRDefault="002D3913">
      <w:pPr>
        <w:pStyle w:val="3"/>
        <w:spacing w:line="240" w:lineRule="auto"/>
        <w:rPr>
          <w:rFonts w:ascii="Times New Roman" w:hAnsi="Times New Roman" w:cs="Times New Roman"/>
        </w:rPr>
      </w:pPr>
      <w:bookmarkStart w:id="41" w:name="_Toc434250179"/>
      <w:bookmarkStart w:id="42" w:name="_Toc434250589"/>
      <w:bookmarkStart w:id="43" w:name="_Toc437263351"/>
      <w:r>
        <w:rPr>
          <w:rFonts w:ascii="Times New Roman" w:hAnsi="Times New Roman" w:cs="Times New Roman"/>
        </w:rPr>
        <w:t xml:space="preserve">6. </w:t>
      </w:r>
      <w:r>
        <w:rPr>
          <w:rFonts w:ascii="Times New Roman" w:hAnsi="Times New Roman" w:cs="Times New Roman"/>
        </w:rPr>
        <w:t>软件</w:t>
      </w:r>
      <w:r>
        <w:rPr>
          <w:rFonts w:ascii="Times New Roman" w:hAnsi="Times New Roman" w:cs="Times New Roman" w:hint="eastAsia"/>
        </w:rPr>
        <w:t>及</w:t>
      </w:r>
      <w:r>
        <w:rPr>
          <w:rFonts w:ascii="Times New Roman" w:hAnsi="Times New Roman" w:cs="Times New Roman"/>
        </w:rPr>
        <w:t>网络安全研究</w:t>
      </w:r>
      <w:bookmarkEnd w:id="41"/>
      <w:bookmarkEnd w:id="42"/>
      <w:bookmarkEnd w:id="43"/>
    </w:p>
    <w:p w:rsidR="00413D50" w:rsidRDefault="002D3913">
      <w:pPr>
        <w:spacing w:line="240" w:lineRule="auto"/>
        <w:rPr>
          <w:rFonts w:cs="Times New Roman"/>
        </w:rPr>
      </w:pPr>
      <w:r>
        <w:rPr>
          <w:rFonts w:cs="Times New Roman"/>
        </w:rPr>
        <w:t>除某些特殊情况外，</w:t>
      </w:r>
      <w:r>
        <w:rPr>
          <w:rFonts w:cs="Times New Roman" w:hint="eastAsia"/>
        </w:rPr>
        <w:t>子宫内膜</w:t>
      </w:r>
      <w:r>
        <w:rPr>
          <w:rFonts w:cs="Times New Roman"/>
        </w:rPr>
        <w:t>去除设备通常都含有嵌入式的软件组件。对于设备的软件，应按照《医疗器械软件注册技术审</w:t>
      </w:r>
      <w:r>
        <w:rPr>
          <w:rFonts w:cs="Times New Roman"/>
        </w:rPr>
        <w:lastRenderedPageBreak/>
        <w:t>查指导原则》</w:t>
      </w:r>
      <w:r>
        <w:t>（国家食品药品监督管理总局通告</w:t>
      </w:r>
      <w:r>
        <w:t>2015</w:t>
      </w:r>
      <w:r>
        <w:t>年第</w:t>
      </w:r>
      <w:r>
        <w:t>50</w:t>
      </w:r>
      <w:r>
        <w:t>号）</w:t>
      </w:r>
      <w:r>
        <w:rPr>
          <w:rFonts w:cs="Times New Roman"/>
        </w:rPr>
        <w:t>的要求，提供一份产品软件的描述文档。</w:t>
      </w:r>
    </w:p>
    <w:p w:rsidR="00413D50" w:rsidRDefault="002D3913">
      <w:pPr>
        <w:spacing w:line="240" w:lineRule="auto"/>
        <w:rPr>
          <w:rFonts w:cs="Times New Roman"/>
        </w:rPr>
      </w:pPr>
      <w:r>
        <w:rPr>
          <w:rFonts w:cs="Times New Roman" w:hint="eastAsia"/>
        </w:rPr>
        <w:t>子宫内膜</w:t>
      </w:r>
      <w:r>
        <w:rPr>
          <w:rFonts w:cs="Times New Roman"/>
        </w:rPr>
        <w:t>去除设备作为对人体直接进行热损伤的治疗类设备，其软件通常用于控制设备的</w:t>
      </w:r>
      <w:r>
        <w:rPr>
          <w:rFonts w:cs="Times New Roman" w:hint="eastAsia"/>
        </w:rPr>
        <w:t>射频</w:t>
      </w:r>
      <w:r>
        <w:rPr>
          <w:rFonts w:cs="Times New Roman"/>
        </w:rPr>
        <w:t>能量输出，若失效可能会对患者造成严重的伤害，因此其安全性级别通常应判定为</w:t>
      </w:r>
      <w:r>
        <w:rPr>
          <w:rFonts w:cs="Times New Roman"/>
        </w:rPr>
        <w:t>C</w:t>
      </w:r>
      <w:r>
        <w:rPr>
          <w:rFonts w:cs="Times New Roman"/>
        </w:rPr>
        <w:t>级。</w:t>
      </w:r>
    </w:p>
    <w:p w:rsidR="00413D50" w:rsidRDefault="002D3913">
      <w:pPr>
        <w:spacing w:line="240" w:lineRule="auto"/>
        <w:rPr>
          <w:rFonts w:cs="Times New Roman"/>
        </w:rPr>
      </w:pPr>
      <w:r>
        <w:rPr>
          <w:rFonts w:cs="Times New Roman" w:hint="eastAsia"/>
        </w:rPr>
        <w:t>子宫内膜</w:t>
      </w:r>
      <w:r>
        <w:rPr>
          <w:rFonts w:cs="Times New Roman"/>
        </w:rPr>
        <w:t>去除设备的软件作为嵌入式的软件组件，不具备独立实现软件功能的条件，其功能和风险都是包含在设备整体</w:t>
      </w:r>
      <w:r>
        <w:rPr>
          <w:rFonts w:cs="Times New Roman"/>
        </w:rPr>
        <w:t>中，因此对于需求规格、风险管理及验证确认等部分，可单独提供针对软件组件的相关技术资料，也可提供整机的相关技术资料。</w:t>
      </w:r>
    </w:p>
    <w:p w:rsidR="00413D50" w:rsidRDefault="002D3913">
      <w:pPr>
        <w:spacing w:line="240" w:lineRule="auto"/>
        <w:rPr>
          <w:rFonts w:cs="Times New Roman"/>
        </w:rPr>
      </w:pPr>
      <w:r>
        <w:t>若适用，应按照《医疗器械网络安全注册技术审查指导原则》（国家食品药品监督管理总局通告</w:t>
      </w:r>
      <w:r>
        <w:t>2017</w:t>
      </w:r>
      <w:r>
        <w:t>年第</w:t>
      </w:r>
      <w:r>
        <w:t>13</w:t>
      </w:r>
      <w:r>
        <w:t>号）的要求提交网络安全相关资料。</w:t>
      </w:r>
    </w:p>
    <w:p w:rsidR="00413D50" w:rsidRDefault="002D3913">
      <w:pPr>
        <w:pStyle w:val="20"/>
        <w:spacing w:line="240" w:lineRule="auto"/>
        <w:rPr>
          <w:rFonts w:ascii="楷体" w:eastAsia="楷体" w:hAnsi="楷体" w:cs="楷体"/>
        </w:rPr>
      </w:pPr>
      <w:bookmarkStart w:id="44" w:name="_Toc434250180"/>
      <w:bookmarkStart w:id="45" w:name="_Toc434250590"/>
      <w:bookmarkStart w:id="46" w:name="_Toc437263352"/>
      <w:r>
        <w:rPr>
          <w:rFonts w:ascii="楷体" w:eastAsia="楷体" w:hAnsi="楷体" w:cs="楷体" w:hint="eastAsia"/>
        </w:rPr>
        <w:t>（三）</w:t>
      </w:r>
      <w:bookmarkStart w:id="47" w:name="_Toc433873354"/>
      <w:r>
        <w:rPr>
          <w:rFonts w:ascii="楷体" w:eastAsia="楷体" w:hAnsi="楷体" w:cs="楷体" w:hint="eastAsia"/>
        </w:rPr>
        <w:t>产品风险分析资料</w:t>
      </w:r>
      <w:bookmarkEnd w:id="47"/>
    </w:p>
    <w:p w:rsidR="00413D50" w:rsidRDefault="002D3913">
      <w:pPr>
        <w:spacing w:line="240" w:lineRule="auto"/>
      </w:pPr>
      <w:r>
        <w:t>应按照</w:t>
      </w:r>
      <w:r>
        <w:t>YY/T 0316</w:t>
      </w:r>
      <w:r>
        <w:rPr>
          <w:rFonts w:hint="eastAsia"/>
        </w:rPr>
        <w:t>—</w:t>
      </w:r>
      <w:r>
        <w:t>2016</w:t>
      </w:r>
      <w:r>
        <w:t>《医疗器械</w:t>
      </w:r>
      <w:r>
        <w:t xml:space="preserve"> </w:t>
      </w:r>
      <w:r>
        <w:t>风险管理对医疗器械的应用》标准的要求，针对</w:t>
      </w:r>
      <w:r>
        <w:rPr>
          <w:rFonts w:hint="eastAsia"/>
        </w:rPr>
        <w:t>子宫内膜去除设备</w:t>
      </w:r>
      <w:r>
        <w:t>的安全特征，从能量危害、生物学和化学危害、操作危害、信息危害等方面，对产品风险进行全面分析并阐述相应的防范措施</w:t>
      </w:r>
      <w:r>
        <w:rPr>
          <w:rFonts w:hint="eastAsia"/>
        </w:rPr>
        <w:t>。</w:t>
      </w:r>
    </w:p>
    <w:p w:rsidR="00413D50" w:rsidRDefault="002D3913">
      <w:pPr>
        <w:pStyle w:val="20"/>
        <w:spacing w:line="240" w:lineRule="auto"/>
        <w:rPr>
          <w:rFonts w:ascii="楷体" w:eastAsia="楷体" w:hAnsi="楷体" w:cs="楷体"/>
        </w:rPr>
      </w:pPr>
      <w:r>
        <w:rPr>
          <w:rFonts w:ascii="楷体" w:eastAsia="楷体" w:hAnsi="楷体" w:cs="楷体" w:hint="eastAsia"/>
        </w:rPr>
        <w:t>（四）产品技术要求</w:t>
      </w:r>
      <w:bookmarkEnd w:id="44"/>
      <w:bookmarkEnd w:id="45"/>
      <w:bookmarkEnd w:id="46"/>
    </w:p>
    <w:p w:rsidR="00413D50" w:rsidRDefault="002D3913">
      <w:pPr>
        <w:spacing w:line="240" w:lineRule="auto"/>
        <w:rPr>
          <w:rFonts w:cs="Times New Roman"/>
        </w:rPr>
      </w:pPr>
      <w:r>
        <w:rPr>
          <w:rFonts w:cs="Times New Roman" w:hint="eastAsia"/>
        </w:rPr>
        <w:t>申请人应依据《关于发布医疗器械产品技术要求编写指导原则的通告》（国家食品药品监督管理总局通告</w:t>
      </w:r>
      <w:r>
        <w:rPr>
          <w:rFonts w:cs="Times New Roman"/>
        </w:rPr>
        <w:t>2014</w:t>
      </w:r>
      <w:r>
        <w:rPr>
          <w:rFonts w:cs="Times New Roman" w:hint="eastAsia"/>
        </w:rPr>
        <w:t>年第</w:t>
      </w:r>
      <w:r>
        <w:rPr>
          <w:rFonts w:cs="Times New Roman"/>
        </w:rPr>
        <w:t>9</w:t>
      </w:r>
      <w:r>
        <w:rPr>
          <w:rFonts w:cs="Times New Roman" w:hint="eastAsia"/>
        </w:rPr>
        <w:t>号）的要求编写产品技术要求。</w:t>
      </w:r>
    </w:p>
    <w:p w:rsidR="00413D50" w:rsidRDefault="002D3913">
      <w:pPr>
        <w:pStyle w:val="3"/>
        <w:spacing w:line="240" w:lineRule="auto"/>
        <w:rPr>
          <w:rFonts w:ascii="Times New Roman" w:hAnsi="Times New Roman" w:cs="Times New Roman"/>
        </w:rPr>
      </w:pPr>
      <w:bookmarkStart w:id="48" w:name="_Toc434250181"/>
      <w:bookmarkStart w:id="49" w:name="_Toc437263353"/>
      <w:bookmarkStart w:id="50" w:name="_Toc434250591"/>
      <w:r>
        <w:rPr>
          <w:rFonts w:ascii="Times New Roman" w:hAnsi="Times New Roman" w:cs="Times New Roman"/>
        </w:rPr>
        <w:lastRenderedPageBreak/>
        <w:t xml:space="preserve">1. </w:t>
      </w:r>
      <w:r>
        <w:rPr>
          <w:rFonts w:ascii="Times New Roman" w:hAnsi="Times New Roman" w:cs="Times New Roman" w:hint="eastAsia"/>
        </w:rPr>
        <w:t>术语定义</w:t>
      </w:r>
      <w:bookmarkEnd w:id="48"/>
      <w:bookmarkEnd w:id="49"/>
      <w:bookmarkEnd w:id="50"/>
    </w:p>
    <w:p w:rsidR="00413D50" w:rsidRDefault="002D3913">
      <w:pPr>
        <w:spacing w:line="240" w:lineRule="auto"/>
        <w:rPr>
          <w:rFonts w:cs="Times New Roman"/>
        </w:rPr>
      </w:pPr>
      <w:r>
        <w:rPr>
          <w:rFonts w:cs="Times New Roman" w:hint="eastAsia"/>
        </w:rPr>
        <w:t>医疗器械产品技术要求中应采用规范、通用的术语，应当符合工程技术、临床医学等方面的专业标准及规范。对于标准中已经列明的术语原则上不应修改或另行制定，对于标准中未列明的术语应当在产品技术要求列明并释义。</w:t>
      </w:r>
    </w:p>
    <w:p w:rsidR="00413D50" w:rsidRDefault="002D3913">
      <w:pPr>
        <w:pStyle w:val="3"/>
        <w:spacing w:line="240" w:lineRule="auto"/>
        <w:rPr>
          <w:rFonts w:ascii="Times New Roman" w:hAnsi="Times New Roman" w:cs="Times New Roman"/>
        </w:rPr>
      </w:pPr>
      <w:bookmarkStart w:id="51" w:name="_Toc434250182"/>
      <w:bookmarkStart w:id="52" w:name="_Toc434250592"/>
      <w:bookmarkStart w:id="53" w:name="_Toc437263354"/>
      <w:r>
        <w:rPr>
          <w:rFonts w:ascii="Times New Roman" w:hAnsi="Times New Roman" w:cs="Times New Roman"/>
        </w:rPr>
        <w:t xml:space="preserve">2. </w:t>
      </w:r>
      <w:r>
        <w:rPr>
          <w:rFonts w:ascii="Times New Roman" w:hAnsi="Times New Roman" w:cs="Times New Roman"/>
        </w:rPr>
        <w:t>产品型号</w:t>
      </w:r>
      <w:r>
        <w:rPr>
          <w:rFonts w:ascii="Times New Roman" w:hAnsi="Times New Roman" w:cs="Times New Roman"/>
        </w:rPr>
        <w:t>/</w:t>
      </w:r>
      <w:r>
        <w:rPr>
          <w:rFonts w:ascii="Times New Roman" w:hAnsi="Times New Roman" w:cs="Times New Roman"/>
        </w:rPr>
        <w:t>规格</w:t>
      </w:r>
      <w:bookmarkEnd w:id="51"/>
      <w:bookmarkEnd w:id="52"/>
      <w:bookmarkEnd w:id="53"/>
    </w:p>
    <w:p w:rsidR="00413D50" w:rsidRDefault="002D3913">
      <w:pPr>
        <w:spacing w:line="240" w:lineRule="auto"/>
        <w:rPr>
          <w:rFonts w:cs="Times New Roman"/>
        </w:rPr>
      </w:pPr>
      <w:r>
        <w:rPr>
          <w:rFonts w:cs="Times New Roman"/>
        </w:rPr>
        <w:t>应参照综述资料中规格型号部分的要求</w:t>
      </w:r>
      <w:r>
        <w:rPr>
          <w:rFonts w:cs="Times New Roman" w:hint="eastAsia"/>
        </w:rPr>
        <w:t>列明</w:t>
      </w:r>
      <w:r>
        <w:rPr>
          <w:rFonts w:cs="Times New Roman"/>
        </w:rPr>
        <w:t>。</w:t>
      </w:r>
      <w:r>
        <w:rPr>
          <w:rFonts w:cs="Times New Roman" w:hint="eastAsia"/>
        </w:rPr>
        <w:t>包含但不限于</w:t>
      </w:r>
      <w:r>
        <w:rPr>
          <w:rFonts w:cs="Times New Roman"/>
        </w:rPr>
        <w:t>：</w:t>
      </w:r>
    </w:p>
    <w:p w:rsidR="00413D50" w:rsidRDefault="002D3913">
      <w:pPr>
        <w:spacing w:line="240" w:lineRule="auto"/>
        <w:rPr>
          <w:rFonts w:cs="Times New Roman"/>
        </w:rPr>
      </w:pPr>
      <w:r>
        <w:rPr>
          <w:rFonts w:cs="Times New Roman" w:hint="eastAsia"/>
        </w:rPr>
        <w:t>（</w:t>
      </w:r>
      <w:r>
        <w:rPr>
          <w:rFonts w:cs="Times New Roman" w:hint="eastAsia"/>
        </w:rPr>
        <w:t>1</w:t>
      </w:r>
      <w:r>
        <w:rPr>
          <w:rFonts w:cs="Times New Roman" w:hint="eastAsia"/>
        </w:rPr>
        <w:t>）应当列明申报产品主机的规格型号以及其命名规则和划分说明</w:t>
      </w:r>
      <w:r>
        <w:rPr>
          <w:rFonts w:cs="Times New Roman"/>
        </w:rPr>
        <w:t>(</w:t>
      </w:r>
      <w:r>
        <w:rPr>
          <w:rFonts w:cs="Times New Roman" w:hint="eastAsia"/>
        </w:rPr>
        <w:t>如适用</w:t>
      </w:r>
      <w:r>
        <w:rPr>
          <w:rFonts w:cs="Times New Roman"/>
        </w:rPr>
        <w:t>)</w:t>
      </w:r>
      <w:r>
        <w:rPr>
          <w:rFonts w:cs="Times New Roman" w:hint="eastAsia"/>
        </w:rPr>
        <w:t>。</w:t>
      </w:r>
    </w:p>
    <w:p w:rsidR="00413D50" w:rsidRDefault="002D3913">
      <w:pPr>
        <w:spacing w:line="240" w:lineRule="auto"/>
        <w:rPr>
          <w:rFonts w:cs="Times New Roman"/>
        </w:rPr>
      </w:pPr>
      <w:r>
        <w:rPr>
          <w:rFonts w:cs="Times New Roman" w:hint="eastAsia"/>
        </w:rPr>
        <w:t>（</w:t>
      </w:r>
      <w:r>
        <w:rPr>
          <w:rFonts w:cs="Times New Roman" w:hint="eastAsia"/>
        </w:rPr>
        <w:t>2</w:t>
      </w:r>
      <w:r>
        <w:rPr>
          <w:rFonts w:cs="Times New Roman" w:hint="eastAsia"/>
        </w:rPr>
        <w:t>）电</w:t>
      </w:r>
      <w:r>
        <w:rPr>
          <w:rFonts w:cs="Times New Roman" w:hint="eastAsia"/>
        </w:rPr>
        <w:t>极的材料、结构图示及规格尺寸等；</w:t>
      </w:r>
    </w:p>
    <w:p w:rsidR="00413D50" w:rsidRDefault="002D3913">
      <w:pPr>
        <w:spacing w:line="240" w:lineRule="auto"/>
      </w:pPr>
      <w:r>
        <w:rPr>
          <w:rFonts w:hint="eastAsia"/>
        </w:rPr>
        <w:t>（</w:t>
      </w:r>
      <w:r>
        <w:rPr>
          <w:rFonts w:hint="eastAsia"/>
        </w:rPr>
        <w:t>3</w:t>
      </w:r>
      <w:r>
        <w:rPr>
          <w:rFonts w:hint="eastAsia"/>
        </w:rPr>
        <w:t>）</w:t>
      </w:r>
      <w:r>
        <w:t>软件发布版本号</w:t>
      </w:r>
      <w:r>
        <w:rPr>
          <w:rFonts w:hint="eastAsia"/>
        </w:rPr>
        <w:t>及</w:t>
      </w:r>
      <w:r>
        <w:t>完整版本号命名规则。</w:t>
      </w:r>
    </w:p>
    <w:p w:rsidR="00413D50" w:rsidRDefault="002D3913">
      <w:pPr>
        <w:pStyle w:val="3"/>
        <w:spacing w:line="240" w:lineRule="auto"/>
        <w:rPr>
          <w:rFonts w:ascii="Times New Roman" w:hAnsi="Times New Roman" w:cs="Times New Roman"/>
        </w:rPr>
      </w:pPr>
      <w:bookmarkStart w:id="54" w:name="_Toc434250183"/>
      <w:bookmarkStart w:id="55" w:name="_Toc434250593"/>
      <w:bookmarkStart w:id="56" w:name="_Toc437263355"/>
      <w:r>
        <w:rPr>
          <w:rFonts w:ascii="Times New Roman" w:hAnsi="Times New Roman" w:cs="Times New Roman"/>
        </w:rPr>
        <w:t xml:space="preserve">3. </w:t>
      </w:r>
      <w:r>
        <w:rPr>
          <w:rFonts w:ascii="Times New Roman" w:hAnsi="Times New Roman" w:cs="Times New Roman" w:hint="eastAsia"/>
        </w:rPr>
        <w:t>性能指标及检验方法</w:t>
      </w:r>
      <w:bookmarkEnd w:id="54"/>
      <w:bookmarkEnd w:id="55"/>
      <w:bookmarkEnd w:id="56"/>
    </w:p>
    <w:p w:rsidR="00413D50" w:rsidRDefault="002D3913">
      <w:pPr>
        <w:spacing w:line="240" w:lineRule="auto"/>
        <w:rPr>
          <w:rFonts w:cs="Times New Roman"/>
        </w:rPr>
      </w:pPr>
      <w:r>
        <w:rPr>
          <w:rFonts w:cs="Times New Roman" w:hint="eastAsia"/>
        </w:rPr>
        <w:t>产品性能指标及检验方法是产品注册检验的依据，应能够全面反映产品的客观情况。对于子宫内膜去除设备，产品性能指标通常包括输出参数、设备功能、脚踏开关、附件性能、电气安全和</w:t>
      </w:r>
      <w:r>
        <w:rPr>
          <w:rFonts w:cs="Times New Roman"/>
        </w:rPr>
        <w:t>电磁兼容性</w:t>
      </w:r>
      <w:r>
        <w:rPr>
          <w:rFonts w:cs="Times New Roman" w:hint="eastAsia"/>
        </w:rPr>
        <w:t>、环境试验、无菌等。</w:t>
      </w:r>
    </w:p>
    <w:p w:rsidR="00413D50" w:rsidRDefault="002D3913">
      <w:pPr>
        <w:spacing w:line="240" w:lineRule="auto"/>
        <w:ind w:left="640" w:firstLineChars="0" w:firstLine="0"/>
        <w:rPr>
          <w:rFonts w:cs="Times New Roman"/>
        </w:rPr>
      </w:pPr>
      <w:r>
        <w:rPr>
          <w:rFonts w:ascii="仿宋" w:hAnsi="仿宋" w:cs="Times New Roman" w:hint="eastAsia"/>
        </w:rPr>
        <w:t>（</w:t>
      </w:r>
      <w:r>
        <w:rPr>
          <w:rFonts w:ascii="仿宋" w:hAnsi="仿宋" w:cs="Times New Roman" w:hint="eastAsia"/>
        </w:rPr>
        <w:t>1</w:t>
      </w:r>
      <w:r>
        <w:rPr>
          <w:rFonts w:ascii="仿宋" w:hAnsi="仿宋" w:cs="Times New Roman" w:hint="eastAsia"/>
        </w:rPr>
        <w:t>）明确输出参数</w:t>
      </w:r>
    </w:p>
    <w:p w:rsidR="00413D50" w:rsidRDefault="002D3913">
      <w:pPr>
        <w:pStyle w:val="aff1"/>
        <w:spacing w:line="240" w:lineRule="auto"/>
        <w:ind w:left="0" w:firstLineChars="265" w:firstLine="848"/>
        <w:rPr>
          <w:rFonts w:cs="Times New Roman"/>
        </w:rPr>
      </w:pPr>
      <w:r>
        <w:rPr>
          <w:rFonts w:cs="Times New Roman" w:hint="eastAsia"/>
        </w:rPr>
        <w:t>①工作频率。工作频率也称为基础频率，是子宫内膜去除设备的基本输出频率。对于固定工作频率的设备而言，其额定频率应为确定的标称数值，允差范围不应大于</w:t>
      </w:r>
      <w:r>
        <w:rPr>
          <w:rFonts w:cs="Times New Roman"/>
        </w:rPr>
        <w:t>±10%</w:t>
      </w:r>
      <w:r>
        <w:rPr>
          <w:rFonts w:cs="Times New Roman" w:hint="eastAsia"/>
        </w:rPr>
        <w:t>。</w:t>
      </w:r>
    </w:p>
    <w:p w:rsidR="00413D50" w:rsidRDefault="002D3913">
      <w:pPr>
        <w:spacing w:line="240" w:lineRule="auto"/>
        <w:ind w:firstLineChars="221" w:firstLine="707"/>
        <w:rPr>
          <w:rFonts w:cs="Times New Roman"/>
        </w:rPr>
      </w:pPr>
      <w:r>
        <w:rPr>
          <w:rFonts w:cs="Times New Roman" w:hint="eastAsia"/>
        </w:rPr>
        <w:t>②额定输出功率及额定负载。额定功率与额定负载的定义</w:t>
      </w:r>
      <w:r>
        <w:rPr>
          <w:rFonts w:cs="Times New Roman" w:hint="eastAsia"/>
        </w:rPr>
        <w:lastRenderedPageBreak/>
        <w:t>见</w:t>
      </w:r>
      <w:r>
        <w:rPr>
          <w:rFonts w:cs="Times New Roman"/>
        </w:rPr>
        <w:t>GB 9706.4</w:t>
      </w:r>
      <w:r>
        <w:rPr>
          <w:rFonts w:cs="Times New Roman" w:hint="eastAsia"/>
        </w:rPr>
        <w:t>—</w:t>
      </w:r>
      <w:r>
        <w:rPr>
          <w:rFonts w:cs="Times New Roman"/>
        </w:rPr>
        <w:t>2009</w:t>
      </w:r>
      <w:r>
        <w:rPr>
          <w:rFonts w:cs="Times New Roman" w:hint="eastAsia"/>
        </w:rPr>
        <w:t>标准第</w:t>
      </w:r>
      <w:r>
        <w:rPr>
          <w:rFonts w:cs="Times New Roman"/>
        </w:rPr>
        <w:t>2.12.110</w:t>
      </w:r>
      <w:r>
        <w:rPr>
          <w:rFonts w:cs="Times New Roman" w:hint="eastAsia"/>
        </w:rPr>
        <w:t>和</w:t>
      </w:r>
      <w:r>
        <w:rPr>
          <w:rFonts w:cs="Times New Roman"/>
        </w:rPr>
        <w:t>2.12.111</w:t>
      </w:r>
      <w:r>
        <w:rPr>
          <w:rFonts w:cs="Times New Roman" w:hint="eastAsia"/>
        </w:rPr>
        <w:t>。在额定负载下，每个输出模式的额定功率不应超过其标称值的</w:t>
      </w:r>
      <w:r>
        <w:rPr>
          <w:rFonts w:cs="Times New Roman"/>
        </w:rPr>
        <w:t>±20%</w:t>
      </w:r>
      <w:r>
        <w:rPr>
          <w:rFonts w:cs="Times New Roman" w:hint="eastAsia"/>
        </w:rPr>
        <w:t>。若申请人所宣称的额定负载为一段范围，则该范围内对于额定功率的要求均适用，试验时应注意覆盖全部额定负载范围。</w:t>
      </w:r>
    </w:p>
    <w:p w:rsidR="00413D50" w:rsidRDefault="002D3913">
      <w:pPr>
        <w:spacing w:line="240" w:lineRule="auto"/>
        <w:ind w:firstLineChars="221" w:firstLine="707"/>
        <w:rPr>
          <w:rFonts w:cs="Times New Roman"/>
        </w:rPr>
      </w:pPr>
      <w:r>
        <w:rPr>
          <w:rFonts w:ascii="仿宋_GB2312" w:cs="Times New Roman"/>
        </w:rPr>
        <w:sym w:font="Wingdings 2" w:char="F06C"/>
      </w:r>
      <w:r>
        <w:rPr>
          <w:rFonts w:cs="Times New Roman" w:hint="eastAsia"/>
        </w:rPr>
        <w:t>射频</w:t>
      </w:r>
      <w:r>
        <w:rPr>
          <w:rFonts w:cs="Times New Roman"/>
        </w:rPr>
        <w:t>输出模式。应</w:t>
      </w:r>
      <w:r>
        <w:rPr>
          <w:rFonts w:cs="Times New Roman" w:hint="eastAsia"/>
        </w:rPr>
        <w:t>明确</w:t>
      </w:r>
      <w:r>
        <w:rPr>
          <w:rFonts w:cs="Times New Roman"/>
        </w:rPr>
        <w:t>输出波形。</w:t>
      </w:r>
    </w:p>
    <w:p w:rsidR="00413D50" w:rsidRDefault="002D3913">
      <w:pPr>
        <w:pStyle w:val="4"/>
        <w:spacing w:line="24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）设备功能</w:t>
      </w:r>
    </w:p>
    <w:p w:rsidR="00413D50" w:rsidRDefault="002D3913">
      <w:pPr>
        <w:spacing w:line="240" w:lineRule="auto"/>
        <w:rPr>
          <w:rFonts w:cs="Times New Roman"/>
        </w:rPr>
      </w:pPr>
      <w:r>
        <w:rPr>
          <w:rFonts w:cs="Times New Roman" w:hint="eastAsia"/>
        </w:rPr>
        <w:t>子宫内膜去除设备还可能具有某些特定的安全或辅助功能。安全专用标准中所规定的相关功能要求无需在本部分重复列明。可能具有的功能如：阻抗监测功能、温度测量功能、定时功能、抽吸功能</w:t>
      </w:r>
      <w:r>
        <w:rPr>
          <w:rFonts w:cs="Times New Roman"/>
        </w:rPr>
        <w:t>（</w:t>
      </w:r>
      <w:r>
        <w:rPr>
          <w:rFonts w:cs="Times New Roman" w:hint="eastAsia"/>
        </w:rPr>
        <w:t>用于子宫体腔内产生的蒸气和湿气</w:t>
      </w:r>
      <w:r>
        <w:rPr>
          <w:rFonts w:cs="Times New Roman"/>
        </w:rPr>
        <w:t>）</w:t>
      </w:r>
      <w:r>
        <w:rPr>
          <w:rFonts w:cs="Times New Roman" w:hint="eastAsia"/>
        </w:rPr>
        <w:t>等。申请人可依据设备自身特点制定相应的要求及试验方法。</w:t>
      </w:r>
    </w:p>
    <w:p w:rsidR="00413D50" w:rsidRDefault="002D3913">
      <w:pPr>
        <w:spacing w:line="240" w:lineRule="auto"/>
        <w:rPr>
          <w:rFonts w:cs="Times New Roman"/>
        </w:rPr>
      </w:pPr>
      <w:r>
        <w:rPr>
          <w:rFonts w:cs="Times New Roman"/>
        </w:rPr>
        <w:fldChar w:fldCharType="begin"/>
      </w:r>
      <w:r>
        <w:rPr>
          <w:rFonts w:cs="Times New Roman"/>
        </w:rPr>
        <w:instrText xml:space="preserve"> = 1 \* GB3 </w:instrText>
      </w:r>
      <w:r>
        <w:rPr>
          <w:rFonts w:cs="Times New Roman"/>
        </w:rPr>
        <w:fldChar w:fldCharType="separate"/>
      </w:r>
      <w:r>
        <w:rPr>
          <w:rFonts w:cs="Times New Roman" w:hint="eastAsia"/>
        </w:rPr>
        <w:t>①</w:t>
      </w:r>
      <w:r>
        <w:rPr>
          <w:rFonts w:cs="Times New Roman"/>
        </w:rPr>
        <w:fldChar w:fldCharType="end"/>
      </w:r>
      <w:r>
        <w:rPr>
          <w:rFonts w:cs="Times New Roman" w:hint="eastAsia"/>
        </w:rPr>
        <w:t>阻抗监测功能。设备需具有阻抗监测功能，应明确阻抗范围和准确度，并规定阻抗控制值，在超过阻抗范围时，具有自动切断射频输出及提示的功能。</w:t>
      </w:r>
    </w:p>
    <w:p w:rsidR="00413D50" w:rsidRDefault="002D3913">
      <w:pPr>
        <w:spacing w:line="240" w:lineRule="auto"/>
        <w:rPr>
          <w:rFonts w:cs="Times New Roman"/>
        </w:rPr>
      </w:pPr>
      <w:r>
        <w:rPr>
          <w:rFonts w:cs="Times New Roman"/>
        </w:rPr>
        <w:fldChar w:fldCharType="begin"/>
      </w:r>
      <w:r>
        <w:rPr>
          <w:rFonts w:cs="Times New Roman"/>
        </w:rPr>
        <w:instrText xml:space="preserve"> = 2 \* GB3 </w:instrText>
      </w:r>
      <w:r>
        <w:rPr>
          <w:rFonts w:cs="Times New Roman"/>
        </w:rPr>
        <w:fldChar w:fldCharType="separate"/>
      </w:r>
      <w:r>
        <w:rPr>
          <w:rFonts w:cs="Times New Roman" w:hint="eastAsia"/>
        </w:rPr>
        <w:t>②</w:t>
      </w:r>
      <w:r>
        <w:rPr>
          <w:rFonts w:cs="Times New Roman"/>
        </w:rPr>
        <w:fldChar w:fldCharType="end"/>
      </w:r>
      <w:r>
        <w:rPr>
          <w:rFonts w:cs="Times New Roman" w:hint="eastAsia"/>
        </w:rPr>
        <w:t>温度检测功能。设备可具有温度测量功能，应规定温度测量</w:t>
      </w:r>
      <w:r>
        <w:rPr>
          <w:rFonts w:cs="Times New Roman" w:hint="eastAsia"/>
        </w:rPr>
        <w:t>的范围及准确度。</w:t>
      </w:r>
    </w:p>
    <w:p w:rsidR="00413D50" w:rsidRDefault="002D3913">
      <w:pPr>
        <w:spacing w:line="240" w:lineRule="auto"/>
        <w:ind w:firstLineChars="177" w:firstLine="566"/>
        <w:rPr>
          <w:rFonts w:cs="Times New Roman"/>
        </w:rPr>
      </w:pPr>
      <w:r>
        <w:rPr>
          <w:rFonts w:cs="Times New Roman"/>
        </w:rPr>
        <w:t xml:space="preserve"> </w:t>
      </w:r>
      <w:r>
        <w:rPr>
          <w:rFonts w:cs="Times New Roman"/>
        </w:rPr>
        <w:fldChar w:fldCharType="begin"/>
      </w:r>
      <w:r>
        <w:rPr>
          <w:rFonts w:cs="Times New Roman"/>
        </w:rPr>
        <w:instrText xml:space="preserve"> = 3 \* GB3 </w:instrText>
      </w:r>
      <w:r>
        <w:rPr>
          <w:rFonts w:cs="Times New Roman"/>
        </w:rPr>
        <w:fldChar w:fldCharType="separate"/>
      </w:r>
      <w:r>
        <w:rPr>
          <w:rFonts w:cs="Times New Roman" w:hint="eastAsia"/>
        </w:rPr>
        <w:t>③</w:t>
      </w:r>
      <w:r>
        <w:rPr>
          <w:rFonts w:cs="Times New Roman"/>
        </w:rPr>
        <w:fldChar w:fldCharType="end"/>
      </w:r>
      <w:r>
        <w:rPr>
          <w:rFonts w:cs="Times New Roman" w:hint="eastAsia"/>
        </w:rPr>
        <w:t>定时功能。如时间可由操作者设定，则应规定时间的设定范围及误差；若不能设定，则应考虑规定设备的最大输出时间及误差。</w:t>
      </w:r>
    </w:p>
    <w:p w:rsidR="00413D50" w:rsidRDefault="002D3913">
      <w:pPr>
        <w:spacing w:line="240" w:lineRule="auto"/>
        <w:rPr>
          <w:rFonts w:cs="Times New Roman"/>
        </w:rPr>
      </w:pPr>
      <w:r>
        <w:rPr>
          <w:rFonts w:cs="Times New Roman"/>
        </w:rPr>
        <w:fldChar w:fldCharType="begin"/>
      </w:r>
      <w:r>
        <w:rPr>
          <w:rFonts w:cs="Times New Roman"/>
        </w:rPr>
        <w:instrText xml:space="preserve"> = 4 \* GB3 </w:instrText>
      </w:r>
      <w:r>
        <w:rPr>
          <w:rFonts w:cs="Times New Roman"/>
        </w:rPr>
        <w:fldChar w:fldCharType="separate"/>
      </w:r>
      <w:r>
        <w:rPr>
          <w:rFonts w:cs="Times New Roman" w:hint="eastAsia"/>
        </w:rPr>
        <w:t>④</w:t>
      </w:r>
      <w:r>
        <w:rPr>
          <w:rFonts w:cs="Times New Roman"/>
        </w:rPr>
        <w:fldChar w:fldCharType="end"/>
      </w:r>
      <w:r>
        <w:rPr>
          <w:rFonts w:cs="Times New Roman" w:hint="eastAsia"/>
        </w:rPr>
        <w:t>抽吸功能。用于抽吸子宫体腔内产生的蒸气和湿气。应考虑规定抽吸负压范围、流量及相应误差。</w:t>
      </w:r>
    </w:p>
    <w:p w:rsidR="00413D50" w:rsidRDefault="002D3913">
      <w:pPr>
        <w:pStyle w:val="4"/>
        <w:spacing w:line="240" w:lineRule="auto"/>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3</w:t>
      </w:r>
      <w:r>
        <w:rPr>
          <w:rFonts w:ascii="Times New Roman" w:hAnsi="Times New Roman" w:cs="Times New Roman" w:hint="eastAsia"/>
        </w:rPr>
        <w:t>）脚踏开关</w:t>
      </w:r>
    </w:p>
    <w:p w:rsidR="00413D50" w:rsidRDefault="002D3913">
      <w:pPr>
        <w:spacing w:line="240" w:lineRule="auto"/>
        <w:rPr>
          <w:rFonts w:cs="Times New Roman"/>
        </w:rPr>
      </w:pPr>
      <w:r>
        <w:rPr>
          <w:rFonts w:cs="Times New Roman" w:hint="eastAsia"/>
        </w:rPr>
        <w:t>脚踏开关作为子宫内膜去除设备发生器的主要配件，除通用和专用安全标准中相关条款的规定外，其性能还应符合行业标准的要求，即</w:t>
      </w:r>
      <w:r>
        <w:rPr>
          <w:rFonts w:cs="Times New Roman"/>
        </w:rPr>
        <w:t>YY 1057</w:t>
      </w:r>
      <w:r>
        <w:rPr>
          <w:rFonts w:cs="Times New Roman" w:hint="eastAsia"/>
        </w:rPr>
        <w:t>—</w:t>
      </w:r>
      <w:r>
        <w:rPr>
          <w:rFonts w:cs="Times New Roman" w:hint="eastAsia"/>
        </w:rPr>
        <w:t>2016</w:t>
      </w:r>
      <w:r>
        <w:rPr>
          <w:rFonts w:cs="Times New Roman" w:hint="eastAsia"/>
        </w:rPr>
        <w:t>《医用脚踏开关通用技术条件》中各项性能。</w:t>
      </w:r>
    </w:p>
    <w:p w:rsidR="00413D50" w:rsidRDefault="002D3913">
      <w:pPr>
        <w:pStyle w:val="4"/>
        <w:spacing w:line="24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）附件性能</w:t>
      </w:r>
    </w:p>
    <w:p w:rsidR="00413D50" w:rsidRDefault="002D3913">
      <w:pPr>
        <w:spacing w:line="240" w:lineRule="auto"/>
        <w:rPr>
          <w:rFonts w:cs="Times New Roman"/>
        </w:rPr>
      </w:pPr>
      <w:r>
        <w:rPr>
          <w:rFonts w:cs="Times New Roman" w:hint="eastAsia"/>
        </w:rPr>
        <w:t>子宫内膜去</w:t>
      </w:r>
      <w:r>
        <w:rPr>
          <w:rFonts w:cs="Times New Roman" w:hint="eastAsia"/>
        </w:rPr>
        <w:t>除设备常见的附件是治疗电极。对于治疗电极而言，其主要性能指标包括但不限于：①电极打开的长度、宽度及其精确度；②电极的导管直径及其精确度；</w:t>
      </w:r>
      <w:bookmarkStart w:id="57" w:name="_Hlk512675047"/>
      <w:r>
        <w:rPr>
          <w:rFonts w:cs="Times New Roman" w:hint="eastAsia"/>
        </w:rPr>
        <w:t>③</w:t>
      </w:r>
      <w:bookmarkEnd w:id="57"/>
      <w:r>
        <w:rPr>
          <w:rFonts w:cs="Times New Roman" w:hint="eastAsia"/>
        </w:rPr>
        <w:t>电缆长度</w:t>
      </w:r>
      <w:r>
        <w:rPr>
          <w:rFonts w:cs="Times New Roman"/>
        </w:rPr>
        <w:t>；</w:t>
      </w:r>
      <w:r>
        <w:rPr>
          <w:rFonts w:cs="Times New Roman"/>
        </w:rPr>
        <w:sym w:font="Wingdings 2" w:char="F06D"/>
      </w:r>
      <w:r>
        <w:rPr>
          <w:rFonts w:cs="Times New Roman" w:hint="eastAsia"/>
        </w:rPr>
        <w:t>电极</w:t>
      </w:r>
      <w:r>
        <w:rPr>
          <w:rFonts w:cs="Times New Roman"/>
        </w:rPr>
        <w:t>硬度、表面粗糙度；</w:t>
      </w:r>
      <w:r>
        <w:rPr>
          <w:rFonts w:cs="Times New Roman"/>
        </w:rPr>
        <w:sym w:font="Wingdings 2" w:char="F06E"/>
      </w:r>
      <w:r>
        <w:rPr>
          <w:rFonts w:cs="Times New Roman" w:hint="eastAsia"/>
        </w:rPr>
        <w:t>无菌。</w:t>
      </w:r>
      <w:r>
        <w:rPr>
          <w:rFonts w:cs="Times New Roman" w:hint="eastAsia"/>
        </w:rPr>
        <w:t xml:space="preserve">  </w:t>
      </w:r>
      <w:r>
        <w:rPr>
          <w:rFonts w:cs="Times New Roman"/>
        </w:rPr>
        <w:t xml:space="preserve"> </w:t>
      </w:r>
    </w:p>
    <w:p w:rsidR="00413D50" w:rsidRDefault="002D3913">
      <w:pPr>
        <w:pStyle w:val="4"/>
        <w:spacing w:line="24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）电气安全和</w:t>
      </w:r>
      <w:r>
        <w:rPr>
          <w:rFonts w:ascii="Times New Roman" w:hAnsi="Times New Roman" w:cs="Times New Roman"/>
        </w:rPr>
        <w:t>电磁兼容</w:t>
      </w:r>
    </w:p>
    <w:p w:rsidR="00413D50" w:rsidRDefault="002D3913">
      <w:pPr>
        <w:spacing w:line="240" w:lineRule="auto"/>
        <w:rPr>
          <w:rFonts w:cs="Times New Roman"/>
        </w:rPr>
      </w:pPr>
      <w:r>
        <w:rPr>
          <w:rFonts w:cs="Times New Roman" w:hint="eastAsia"/>
        </w:rPr>
        <w:t>应分别列明申报产品组成中各部分所应符合的安全标准，按照标准所规定的试验方法进行检验。</w:t>
      </w:r>
    </w:p>
    <w:p w:rsidR="00413D50" w:rsidRDefault="002D3913">
      <w:pPr>
        <w:spacing w:line="240" w:lineRule="auto"/>
        <w:rPr>
          <w:rFonts w:cs="Times New Roman"/>
        </w:rPr>
      </w:pPr>
      <w:r>
        <w:rPr>
          <w:rFonts w:cs="Times New Roman" w:hint="eastAsia"/>
        </w:rPr>
        <w:t>子宫内膜去除设备及附件都应当满足</w:t>
      </w:r>
      <w:r>
        <w:rPr>
          <w:rFonts w:cs="Times New Roman"/>
        </w:rPr>
        <w:t>GB 9706.1</w:t>
      </w:r>
      <w:r>
        <w:rPr>
          <w:rFonts w:cs="Times New Roman" w:hint="eastAsia"/>
        </w:rPr>
        <w:t>—</w:t>
      </w:r>
      <w:r>
        <w:rPr>
          <w:rFonts w:cs="Times New Roman"/>
        </w:rPr>
        <w:t>2007</w:t>
      </w:r>
      <w:r>
        <w:rPr>
          <w:rFonts w:cs="Times New Roman" w:hint="eastAsia"/>
        </w:rPr>
        <w:t>及</w:t>
      </w:r>
      <w:r>
        <w:rPr>
          <w:rFonts w:cs="Times New Roman"/>
        </w:rPr>
        <w:t>GB 9706.4</w:t>
      </w:r>
      <w:r>
        <w:rPr>
          <w:rFonts w:cs="Times New Roman" w:hint="eastAsia"/>
        </w:rPr>
        <w:t>—</w:t>
      </w:r>
      <w:r>
        <w:rPr>
          <w:rFonts w:cs="Times New Roman"/>
        </w:rPr>
        <w:t>2009</w:t>
      </w:r>
      <w:r>
        <w:rPr>
          <w:rFonts w:cs="Times New Roman" w:hint="eastAsia"/>
        </w:rPr>
        <w:t>标准的要求</w:t>
      </w:r>
    </w:p>
    <w:p w:rsidR="00413D50" w:rsidRDefault="002D3913">
      <w:pPr>
        <w:spacing w:line="240" w:lineRule="auto"/>
        <w:rPr>
          <w:rFonts w:cs="Times New Roman"/>
        </w:rPr>
      </w:pPr>
      <w:r>
        <w:rPr>
          <w:rFonts w:cs="Times New Roman" w:hint="eastAsia"/>
        </w:rPr>
        <w:t>子宫内膜去除设备的电磁兼容性能应满足</w:t>
      </w:r>
      <w:r>
        <w:rPr>
          <w:rFonts w:cs="Times New Roman"/>
        </w:rPr>
        <w:t>YY 0505</w:t>
      </w:r>
      <w:r>
        <w:rPr>
          <w:rFonts w:cs="Times New Roman" w:hint="eastAsia"/>
        </w:rPr>
        <w:t>—</w:t>
      </w:r>
      <w:r>
        <w:rPr>
          <w:rFonts w:cs="Times New Roman"/>
        </w:rPr>
        <w:t>2012</w:t>
      </w:r>
      <w:r>
        <w:rPr>
          <w:rFonts w:cs="Times New Roman" w:hint="eastAsia"/>
        </w:rPr>
        <w:t>《医用电气设备</w:t>
      </w:r>
      <w:r>
        <w:rPr>
          <w:rFonts w:cs="Times New Roman"/>
        </w:rPr>
        <w:t xml:space="preserve"> </w:t>
      </w:r>
      <w:r>
        <w:rPr>
          <w:rFonts w:cs="Times New Roman" w:hint="eastAsia"/>
        </w:rPr>
        <w:t>第</w:t>
      </w:r>
      <w:r>
        <w:rPr>
          <w:rFonts w:cs="Times New Roman"/>
        </w:rPr>
        <w:t>1-2</w:t>
      </w:r>
      <w:r>
        <w:rPr>
          <w:rFonts w:cs="Times New Roman" w:hint="eastAsia"/>
        </w:rPr>
        <w:t>部分</w:t>
      </w:r>
      <w:r>
        <w:rPr>
          <w:rFonts w:cs="Times New Roman"/>
        </w:rPr>
        <w:t xml:space="preserve"> </w:t>
      </w:r>
      <w:r>
        <w:rPr>
          <w:rFonts w:cs="Times New Roman" w:hint="eastAsia"/>
        </w:rPr>
        <w:t>安全通用要求并列标准</w:t>
      </w:r>
      <w:r>
        <w:rPr>
          <w:rFonts w:cs="Times New Roman"/>
        </w:rPr>
        <w:t xml:space="preserve"> </w:t>
      </w:r>
      <w:r>
        <w:rPr>
          <w:rFonts w:cs="Times New Roman" w:hint="eastAsia"/>
        </w:rPr>
        <w:t>电磁兼容</w:t>
      </w:r>
      <w:r>
        <w:rPr>
          <w:rFonts w:cs="Times New Roman"/>
        </w:rPr>
        <w:t xml:space="preserve"> </w:t>
      </w:r>
      <w:r>
        <w:rPr>
          <w:rFonts w:cs="Times New Roman" w:hint="eastAsia"/>
        </w:rPr>
        <w:t>要求和试验》及</w:t>
      </w:r>
      <w:r>
        <w:rPr>
          <w:rFonts w:cs="Times New Roman"/>
        </w:rPr>
        <w:t>GB 9706.4</w:t>
      </w:r>
      <w:r>
        <w:rPr>
          <w:rFonts w:cs="Times New Roman" w:hint="eastAsia"/>
        </w:rPr>
        <w:t>—</w:t>
      </w:r>
      <w:r>
        <w:rPr>
          <w:rFonts w:cs="Times New Roman"/>
        </w:rPr>
        <w:t>2009</w:t>
      </w:r>
      <w:r>
        <w:rPr>
          <w:rFonts w:cs="Times New Roman" w:hint="eastAsia"/>
        </w:rPr>
        <w:t>标准第</w:t>
      </w:r>
      <w:r>
        <w:rPr>
          <w:rFonts w:cs="Times New Roman"/>
        </w:rPr>
        <w:t>36</w:t>
      </w:r>
      <w:r>
        <w:rPr>
          <w:rFonts w:cs="Times New Roman" w:hint="eastAsia"/>
        </w:rPr>
        <w:t>章的要求。</w:t>
      </w:r>
    </w:p>
    <w:p w:rsidR="00413D50" w:rsidRDefault="002D3913">
      <w:pPr>
        <w:spacing w:line="240" w:lineRule="auto"/>
        <w:rPr>
          <w:rFonts w:cs="Times New Roman"/>
        </w:rPr>
      </w:pPr>
      <w:r>
        <w:rPr>
          <w:rFonts w:cs="Times New Roman" w:hint="eastAsia"/>
        </w:rPr>
        <w:t>（</w:t>
      </w:r>
      <w:r>
        <w:rPr>
          <w:rFonts w:cs="Times New Roman"/>
        </w:rPr>
        <w:t>6</w:t>
      </w:r>
      <w:r>
        <w:rPr>
          <w:rFonts w:cs="Times New Roman" w:hint="eastAsia"/>
        </w:rPr>
        <w:t>）环境试验</w:t>
      </w:r>
    </w:p>
    <w:p w:rsidR="00413D50" w:rsidRDefault="002D3913">
      <w:pPr>
        <w:spacing w:line="240" w:lineRule="auto"/>
        <w:rPr>
          <w:rFonts w:cs="Times New Roman"/>
        </w:rPr>
      </w:pPr>
      <w:r>
        <w:rPr>
          <w:rFonts w:cs="Times New Roman" w:hint="eastAsia"/>
        </w:rPr>
        <w:t>设备的环境试验应按照</w:t>
      </w:r>
      <w:r>
        <w:rPr>
          <w:rFonts w:cs="Times New Roman"/>
        </w:rPr>
        <w:t>GB/T 14710</w:t>
      </w:r>
      <w:r>
        <w:rPr>
          <w:rFonts w:cs="Times New Roman" w:hint="eastAsia"/>
        </w:rPr>
        <w:t>—</w:t>
      </w:r>
      <w:r>
        <w:rPr>
          <w:rFonts w:cs="Times New Roman"/>
        </w:rPr>
        <w:t>2009</w:t>
      </w:r>
      <w:r>
        <w:rPr>
          <w:rFonts w:cs="Times New Roman" w:hint="eastAsia"/>
        </w:rPr>
        <w:t>《医用电器环境要求及试验方法》所规定的项目进行。</w:t>
      </w:r>
    </w:p>
    <w:p w:rsidR="00413D50" w:rsidRDefault="002D3913">
      <w:pPr>
        <w:spacing w:line="240" w:lineRule="auto"/>
        <w:rPr>
          <w:rFonts w:cs="Times New Roman"/>
        </w:rPr>
      </w:pPr>
      <w:r>
        <w:rPr>
          <w:rFonts w:cs="Times New Roman" w:hint="eastAsia"/>
        </w:rPr>
        <w:lastRenderedPageBreak/>
        <w:t>环境试验的测试项目应当依据设备的功能和特点来考虑。</w:t>
      </w:r>
    </w:p>
    <w:p w:rsidR="00413D50" w:rsidRDefault="002D3913">
      <w:pPr>
        <w:spacing w:line="240" w:lineRule="auto"/>
        <w:rPr>
          <w:rFonts w:cs="Times New Roman"/>
        </w:rPr>
      </w:pPr>
      <w:r>
        <w:rPr>
          <w:rFonts w:cs="Times New Roman" w:hint="eastAsia"/>
        </w:rPr>
        <w:t>（</w:t>
      </w:r>
      <w:r>
        <w:rPr>
          <w:rFonts w:cs="Times New Roman"/>
        </w:rPr>
        <w:t>7</w:t>
      </w:r>
      <w:r>
        <w:rPr>
          <w:rFonts w:cs="Times New Roman" w:hint="eastAsia"/>
        </w:rPr>
        <w:t>）无菌</w:t>
      </w:r>
      <w:r>
        <w:rPr>
          <w:rFonts w:cs="Times New Roman" w:hint="eastAsia"/>
        </w:rPr>
        <w:t xml:space="preserve">   </w:t>
      </w:r>
    </w:p>
    <w:p w:rsidR="00413D50" w:rsidRDefault="002D3913">
      <w:pPr>
        <w:spacing w:line="240" w:lineRule="auto"/>
        <w:rPr>
          <w:rFonts w:cs="Times New Roman"/>
        </w:rPr>
      </w:pPr>
      <w:r>
        <w:rPr>
          <w:rFonts w:cs="Times New Roman" w:hint="eastAsia"/>
        </w:rPr>
        <w:t>需按照</w:t>
      </w:r>
      <w:r>
        <w:rPr>
          <w:rFonts w:cs="Times New Roman"/>
        </w:rPr>
        <w:t>GB/T 14233.2-2005</w:t>
      </w:r>
      <w:r>
        <w:rPr>
          <w:rFonts w:cs="Times New Roman" w:hint="eastAsia"/>
        </w:rPr>
        <w:t>《医用输液、输血、注射器具检验方法第</w:t>
      </w:r>
      <w:r>
        <w:rPr>
          <w:rFonts w:cs="Times New Roman"/>
        </w:rPr>
        <w:t>2</w:t>
      </w:r>
      <w:r>
        <w:rPr>
          <w:rFonts w:cs="Times New Roman" w:hint="eastAsia"/>
        </w:rPr>
        <w:t>部分：生物学试验方法》所规定的项目进行无菌检测。</w:t>
      </w:r>
      <w:r>
        <w:rPr>
          <w:rFonts w:cs="Times New Roman"/>
        </w:rPr>
        <w:t xml:space="preserve"> </w:t>
      </w:r>
    </w:p>
    <w:p w:rsidR="00413D50" w:rsidRDefault="002D3913">
      <w:pPr>
        <w:spacing w:line="240" w:lineRule="auto"/>
        <w:rPr>
          <w:rFonts w:cs="Times New Roman"/>
        </w:rPr>
      </w:pPr>
      <w:r>
        <w:rPr>
          <w:rFonts w:cs="Times New Roman" w:hint="eastAsia"/>
        </w:rPr>
        <w:t>（</w:t>
      </w:r>
      <w:r>
        <w:rPr>
          <w:rFonts w:cs="Times New Roman"/>
        </w:rPr>
        <w:t>8</w:t>
      </w:r>
      <w:r>
        <w:rPr>
          <w:rFonts w:cs="Times New Roman" w:hint="eastAsia"/>
        </w:rPr>
        <w:t>）环氧乙烷残留量（如适用）</w:t>
      </w:r>
    </w:p>
    <w:p w:rsidR="00413D50" w:rsidRDefault="002D3913">
      <w:pPr>
        <w:pStyle w:val="3"/>
        <w:spacing w:line="240" w:lineRule="auto"/>
        <w:rPr>
          <w:rFonts w:ascii="Times New Roman" w:hAnsi="Times New Roman" w:cs="Times New Roman"/>
        </w:rPr>
      </w:pPr>
      <w:r>
        <w:rPr>
          <w:rFonts w:cs="Times New Roman" w:hint="eastAsia"/>
        </w:rPr>
        <w:t>环氧乙烷残留量方面，需按照</w:t>
      </w:r>
      <w:r>
        <w:rPr>
          <w:rFonts w:cs="Times New Roman"/>
        </w:rPr>
        <w:t>GB/T 14233.1-2008</w:t>
      </w:r>
      <w:r>
        <w:rPr>
          <w:rFonts w:cs="Times New Roman" w:hint="eastAsia"/>
        </w:rPr>
        <w:t>《医用输液、输血、注射器具检验方法</w:t>
      </w:r>
      <w:r>
        <w:rPr>
          <w:rFonts w:cs="Times New Roman"/>
        </w:rPr>
        <w:t xml:space="preserve"> </w:t>
      </w:r>
      <w:r>
        <w:rPr>
          <w:rFonts w:cs="Times New Roman" w:hint="eastAsia"/>
        </w:rPr>
        <w:t>第</w:t>
      </w:r>
      <w:r>
        <w:rPr>
          <w:rFonts w:cs="Times New Roman"/>
        </w:rPr>
        <w:t>1</w:t>
      </w:r>
      <w:r>
        <w:rPr>
          <w:rFonts w:cs="Times New Roman" w:hint="eastAsia"/>
        </w:rPr>
        <w:t>部分：化学分析方法》所规定的项目进行环氧乙烷残留量检测。</w:t>
      </w:r>
    </w:p>
    <w:p w:rsidR="00413D50" w:rsidRDefault="002D3913">
      <w:pPr>
        <w:spacing w:line="240" w:lineRule="auto"/>
        <w:rPr>
          <w:rFonts w:cs="Times New Roman"/>
        </w:rPr>
      </w:pPr>
      <w:r>
        <w:rPr>
          <w:rFonts w:cs="Times New Roman" w:hint="eastAsia"/>
        </w:rPr>
        <w:t>（</w:t>
      </w:r>
      <w:r>
        <w:rPr>
          <w:rFonts w:cs="Times New Roman"/>
        </w:rPr>
        <w:t>9</w:t>
      </w:r>
      <w:r>
        <w:rPr>
          <w:rFonts w:cs="Times New Roman" w:hint="eastAsia"/>
        </w:rPr>
        <w:t>）应列明产品的基本安全特征。其中：防进液程度应针对发生器及脚踏开关分别说明；运行模式若为</w:t>
      </w:r>
      <w:r>
        <w:rPr>
          <w:rFonts w:cs="Times New Roman"/>
        </w:rPr>
        <w:t>“</w:t>
      </w:r>
      <w:r>
        <w:rPr>
          <w:rFonts w:cs="Times New Roman" w:hint="eastAsia"/>
        </w:rPr>
        <w:t>间歇加载连续运行</w:t>
      </w:r>
      <w:r>
        <w:rPr>
          <w:rFonts w:cs="Times New Roman"/>
        </w:rPr>
        <w:t>”</w:t>
      </w:r>
      <w:r>
        <w:rPr>
          <w:rFonts w:cs="Times New Roman" w:hint="eastAsia"/>
        </w:rPr>
        <w:t>则应标明持续率；绝缘图及绝缘列表中应用部分的基准电压应依据设备的最大输出电压来计算。</w:t>
      </w:r>
    </w:p>
    <w:p w:rsidR="00413D50" w:rsidRDefault="002D3913">
      <w:pPr>
        <w:pStyle w:val="20"/>
        <w:spacing w:line="240" w:lineRule="auto"/>
        <w:rPr>
          <w:rFonts w:ascii="楷体" w:eastAsia="楷体" w:hAnsi="楷体" w:cs="楷体"/>
        </w:rPr>
      </w:pPr>
      <w:r>
        <w:rPr>
          <w:rFonts w:ascii="楷体" w:eastAsia="楷体" w:hAnsi="楷体" w:cs="楷体" w:hint="eastAsia"/>
        </w:rPr>
        <w:t>（五）注册单元划分原则</w:t>
      </w:r>
    </w:p>
    <w:p w:rsidR="00413D50" w:rsidRDefault="002D3913">
      <w:pPr>
        <w:spacing w:line="240" w:lineRule="auto"/>
        <w:rPr>
          <w:rFonts w:cs="Times New Roman"/>
        </w:rPr>
      </w:pPr>
      <w:r>
        <w:rPr>
          <w:rFonts w:cs="Times New Roman"/>
        </w:rPr>
        <w:t>注册单元划分应</w:t>
      </w:r>
      <w:r>
        <w:rPr>
          <w:rFonts w:cs="Times New Roman" w:hint="eastAsia"/>
        </w:rPr>
        <w:t>按照《医疗</w:t>
      </w:r>
      <w:r>
        <w:rPr>
          <w:rFonts w:cs="Times New Roman"/>
        </w:rPr>
        <w:t>器械注册单元划分</w:t>
      </w:r>
      <w:r>
        <w:rPr>
          <w:rFonts w:cs="Times New Roman" w:hint="eastAsia"/>
        </w:rPr>
        <w:t>指导</w:t>
      </w:r>
      <w:r>
        <w:rPr>
          <w:rFonts w:cs="Times New Roman"/>
        </w:rPr>
        <w:t>原则</w:t>
      </w:r>
      <w:r>
        <w:rPr>
          <w:rFonts w:cs="Times New Roman" w:hint="eastAsia"/>
        </w:rPr>
        <w:t>》进行</w:t>
      </w:r>
      <w:r>
        <w:rPr>
          <w:rFonts w:cs="Times New Roman"/>
        </w:rPr>
        <w:t>。</w:t>
      </w:r>
      <w:r>
        <w:rPr>
          <w:rFonts w:ascii="仿宋_GB2312" w:hint="eastAsia"/>
        </w:rPr>
        <w:t>子宫内膜去除设备</w:t>
      </w:r>
      <w:r>
        <w:rPr>
          <w:rFonts w:cs="Times New Roman"/>
        </w:rPr>
        <w:t>的</w:t>
      </w:r>
      <w:r>
        <w:rPr>
          <w:rFonts w:cs="Times New Roman" w:hint="eastAsia"/>
        </w:rPr>
        <w:t>注册单元原则上以</w:t>
      </w:r>
      <w:r>
        <w:rPr>
          <w:rFonts w:cs="Times New Roman"/>
        </w:rPr>
        <w:t>产品的</w:t>
      </w:r>
      <w:r>
        <w:rPr>
          <w:rFonts w:cs="Times New Roman" w:hint="eastAsia"/>
        </w:rPr>
        <w:t>电击防护</w:t>
      </w:r>
      <w:r>
        <w:rPr>
          <w:rFonts w:cs="Times New Roman"/>
        </w:rPr>
        <w:t>类型和性能指标</w:t>
      </w:r>
      <w:r>
        <w:rPr>
          <w:rFonts w:cs="Times New Roman" w:hint="eastAsia"/>
        </w:rPr>
        <w:t>作为</w:t>
      </w:r>
      <w:r>
        <w:rPr>
          <w:rFonts w:cs="Times New Roman"/>
        </w:rPr>
        <w:t>划分依据。</w:t>
      </w:r>
    </w:p>
    <w:p w:rsidR="00413D50" w:rsidRDefault="002D3913">
      <w:pPr>
        <w:spacing w:line="240" w:lineRule="auto"/>
        <w:ind w:firstLineChars="0"/>
        <w:rPr>
          <w:rFonts w:cs="Times New Roman"/>
        </w:rPr>
      </w:pPr>
      <w:r>
        <w:rPr>
          <w:rFonts w:cs="Times New Roman"/>
        </w:rPr>
        <w:t>不同的</w:t>
      </w:r>
      <w:r>
        <w:rPr>
          <w:rFonts w:cs="Times New Roman" w:hint="eastAsia"/>
        </w:rPr>
        <w:t>电击</w:t>
      </w:r>
      <w:r>
        <w:rPr>
          <w:rFonts w:cs="Times New Roman"/>
        </w:rPr>
        <w:t>防护类型的子宫内膜去除设备应作为不同注册单元进行</w:t>
      </w:r>
      <w:r>
        <w:rPr>
          <w:rFonts w:cs="Times New Roman"/>
        </w:rPr>
        <w:t>注册。如</w:t>
      </w:r>
      <w:r>
        <w:rPr>
          <w:rFonts w:cs="Times New Roman" w:hint="eastAsia"/>
        </w:rPr>
        <w:t>电击</w:t>
      </w:r>
      <w:r>
        <w:rPr>
          <w:rFonts w:cs="Times New Roman"/>
        </w:rPr>
        <w:t>防护类型分别为</w:t>
      </w:r>
      <w:r>
        <w:rPr>
          <w:rFonts w:cs="Times New Roman"/>
        </w:rPr>
        <w:t>BF</w:t>
      </w:r>
      <w:r>
        <w:rPr>
          <w:rFonts w:cs="Times New Roman"/>
        </w:rPr>
        <w:t>型和</w:t>
      </w:r>
      <w:r>
        <w:rPr>
          <w:rFonts w:cs="Times New Roman"/>
        </w:rPr>
        <w:t>CF</w:t>
      </w:r>
      <w:r>
        <w:rPr>
          <w:rFonts w:cs="Times New Roman"/>
        </w:rPr>
        <w:t>型的子宫内膜去除设备应</w:t>
      </w:r>
      <w:r>
        <w:rPr>
          <w:rFonts w:cs="Times New Roman" w:hint="eastAsia"/>
        </w:rPr>
        <w:t>划分为</w:t>
      </w:r>
      <w:r>
        <w:rPr>
          <w:rFonts w:cs="Times New Roman"/>
        </w:rPr>
        <w:t>不同的注册单元。</w:t>
      </w:r>
      <w:r>
        <w:rPr>
          <w:color w:val="000000" w:themeColor="text1"/>
        </w:rPr>
        <w:t>主要性能指标不能覆盖</w:t>
      </w:r>
      <w:r>
        <w:rPr>
          <w:rFonts w:hint="eastAsia"/>
          <w:color w:val="000000" w:themeColor="text1"/>
        </w:rPr>
        <w:t>、有较大差异的，应考虑划分不同注册单元</w:t>
      </w:r>
      <w:r>
        <w:rPr>
          <w:color w:val="000000" w:themeColor="text1"/>
        </w:rPr>
        <w:t>。</w:t>
      </w:r>
    </w:p>
    <w:p w:rsidR="00413D50" w:rsidRDefault="002D3913">
      <w:pPr>
        <w:pStyle w:val="20"/>
        <w:spacing w:line="240" w:lineRule="auto"/>
        <w:rPr>
          <w:rFonts w:ascii="楷体" w:eastAsia="楷体" w:hAnsi="楷体" w:cs="楷体"/>
        </w:rPr>
      </w:pPr>
      <w:r>
        <w:rPr>
          <w:rFonts w:ascii="楷体" w:eastAsia="楷体" w:hAnsi="楷体" w:cs="楷体" w:hint="eastAsia"/>
        </w:rPr>
        <w:t>（六）检验产品的典型性</w:t>
      </w:r>
    </w:p>
    <w:p w:rsidR="00413D50" w:rsidRDefault="002D3913">
      <w:pPr>
        <w:spacing w:line="240" w:lineRule="auto"/>
        <w:rPr>
          <w:rFonts w:cs="Times New Roman"/>
        </w:rPr>
      </w:pPr>
      <w:r>
        <w:rPr>
          <w:rFonts w:cs="Times New Roman"/>
        </w:rPr>
        <w:lastRenderedPageBreak/>
        <w:t>依据《医疗器械注册管理办法》第十九条：</w:t>
      </w:r>
      <w:r>
        <w:rPr>
          <w:rFonts w:cs="Times New Roman"/>
        </w:rPr>
        <w:t>“</w:t>
      </w:r>
      <w:r>
        <w:rPr>
          <w:rFonts w:cs="Times New Roman"/>
        </w:rPr>
        <w:t>同一注册单元内所检验的产品应当能够代表本注册单元内其他产品的安全性和有效性。</w:t>
      </w:r>
      <w:r>
        <w:rPr>
          <w:rFonts w:cs="Times New Roman"/>
        </w:rPr>
        <w:t>”</w:t>
      </w:r>
      <w:r>
        <w:rPr>
          <w:rFonts w:ascii="仿宋_GB2312" w:hint="eastAsia"/>
        </w:rPr>
        <w:t>子宫内膜去除设备</w:t>
      </w:r>
      <w:r>
        <w:rPr>
          <w:rFonts w:cs="Times New Roman"/>
        </w:rPr>
        <w:t>检验产品典型性型号的选取，应依据注册单元内所有型号的差异和注册检验项目来决定。</w:t>
      </w:r>
    </w:p>
    <w:p w:rsidR="00413D50" w:rsidRDefault="002D3913">
      <w:pPr>
        <w:spacing w:line="240" w:lineRule="auto"/>
        <w:rPr>
          <w:rFonts w:cs="Times New Roman"/>
          <w:spacing w:val="2"/>
        </w:rPr>
      </w:pPr>
      <w:r>
        <w:rPr>
          <w:rFonts w:ascii="仿宋_GB2312" w:hint="eastAsia"/>
        </w:rPr>
        <w:t>子宫内膜去除设备</w:t>
      </w:r>
      <w:r>
        <w:rPr>
          <w:rFonts w:cs="Times New Roman"/>
        </w:rPr>
        <w:t>所涉及的注册检验主要包括输出特性、电气安全、电磁兼容等方面，因此进行注册检验时至少应选取本注册单元中结构最复杂、功能最全面、</w:t>
      </w:r>
      <w:r>
        <w:rPr>
          <w:rFonts w:cs="Times New Roman" w:hint="eastAsia"/>
        </w:rPr>
        <w:t>风险最高、</w:t>
      </w:r>
      <w:r>
        <w:rPr>
          <w:rFonts w:cs="Times New Roman"/>
        </w:rPr>
        <w:t>额定输出功率最大的型号（或几个型号的组合）进行，同时考虑结构、功能、模</w:t>
      </w:r>
      <w:r>
        <w:rPr>
          <w:rFonts w:cs="Times New Roman"/>
          <w:spacing w:val="2"/>
        </w:rPr>
        <w:t>式的删减对于电磁兼容性能的影响，来确定是否需增加相应的其他型号一并作为典型型号。对于缺少必要的理论和</w:t>
      </w:r>
      <w:r>
        <w:rPr>
          <w:rFonts w:cs="Times New Roman"/>
          <w:spacing w:val="2"/>
        </w:rPr>
        <w:t>/</w:t>
      </w:r>
      <w:r>
        <w:rPr>
          <w:rFonts w:cs="Times New Roman"/>
          <w:spacing w:val="2"/>
        </w:rPr>
        <w:t>或试验数据作为依据的情况，电磁兼容检验应当涵盖申报单元中的全部型号。</w:t>
      </w:r>
      <w:r>
        <w:rPr>
          <w:rFonts w:cs="Times New Roman" w:hint="eastAsia"/>
          <w:spacing w:val="2"/>
        </w:rPr>
        <w:t>关于应用</w:t>
      </w:r>
      <w:r>
        <w:rPr>
          <w:rFonts w:cs="Times New Roman"/>
          <w:spacing w:val="2"/>
        </w:rPr>
        <w:t>部分</w:t>
      </w:r>
      <w:r>
        <w:rPr>
          <w:rFonts w:cs="Times New Roman" w:hint="eastAsia"/>
          <w:spacing w:val="2"/>
        </w:rPr>
        <w:t>的</w:t>
      </w:r>
      <w:r>
        <w:rPr>
          <w:rFonts w:cs="Times New Roman"/>
          <w:spacing w:val="2"/>
        </w:rPr>
        <w:t>典型性选取应考虑</w:t>
      </w:r>
      <w:r>
        <w:rPr>
          <w:rFonts w:cs="Times New Roman" w:hint="eastAsia"/>
          <w:spacing w:val="2"/>
        </w:rPr>
        <w:t>其</w:t>
      </w:r>
      <w:r>
        <w:rPr>
          <w:rFonts w:cs="Times New Roman"/>
          <w:spacing w:val="2"/>
        </w:rPr>
        <w:t>差异对安全有效性的影响。</w:t>
      </w:r>
    </w:p>
    <w:p w:rsidR="00413D50" w:rsidRDefault="002D3913">
      <w:pPr>
        <w:pStyle w:val="20"/>
        <w:spacing w:line="240" w:lineRule="auto"/>
        <w:rPr>
          <w:rFonts w:ascii="楷体" w:eastAsia="楷体" w:hAnsi="楷体" w:cs="楷体"/>
        </w:rPr>
      </w:pPr>
      <w:bookmarkStart w:id="58" w:name="_Toc434250185"/>
      <w:bookmarkStart w:id="59" w:name="_Toc434250595"/>
      <w:bookmarkStart w:id="60" w:name="_Toc437263357"/>
      <w:r>
        <w:rPr>
          <w:rFonts w:ascii="楷体" w:eastAsia="楷体" w:hAnsi="楷体" w:cs="楷体" w:hint="eastAsia"/>
        </w:rPr>
        <w:t>（七）临床评价资料</w:t>
      </w:r>
      <w:bookmarkEnd w:id="58"/>
      <w:bookmarkEnd w:id="59"/>
      <w:bookmarkEnd w:id="60"/>
    </w:p>
    <w:p w:rsidR="00413D50" w:rsidRDefault="002D3913">
      <w:pPr>
        <w:spacing w:line="240" w:lineRule="auto"/>
      </w:pPr>
      <w:r>
        <w:rPr>
          <w:rFonts w:hint="eastAsia"/>
        </w:rPr>
        <w:t>参见《子宫</w:t>
      </w:r>
      <w:r>
        <w:t>内膜去除（</w:t>
      </w:r>
      <w:r>
        <w:rPr>
          <w:rFonts w:hint="eastAsia"/>
        </w:rPr>
        <w:t>热传导</w:t>
      </w:r>
      <w:r>
        <w:t>、射频消融）</w:t>
      </w:r>
      <w:r>
        <w:rPr>
          <w:rFonts w:hint="eastAsia"/>
        </w:rPr>
        <w:t>设备</w:t>
      </w:r>
      <w:r>
        <w:t>临床</w:t>
      </w:r>
      <w:r>
        <w:rPr>
          <w:rFonts w:hint="eastAsia"/>
        </w:rPr>
        <w:t>评价</w:t>
      </w:r>
      <w:r>
        <w:t>技术审查指</w:t>
      </w:r>
      <w:r>
        <w:t>导原则</w:t>
      </w:r>
      <w:r>
        <w:rPr>
          <w:rFonts w:hint="eastAsia"/>
        </w:rPr>
        <w:t>》。</w:t>
      </w:r>
    </w:p>
    <w:p w:rsidR="00413D50" w:rsidRDefault="002D3913">
      <w:pPr>
        <w:pStyle w:val="20"/>
        <w:spacing w:line="240" w:lineRule="auto"/>
        <w:rPr>
          <w:rFonts w:ascii="楷体" w:eastAsia="楷体" w:hAnsi="楷体" w:cs="楷体"/>
        </w:rPr>
      </w:pPr>
      <w:bookmarkStart w:id="61" w:name="_Toc434250189"/>
      <w:bookmarkStart w:id="62" w:name="_Toc434250599"/>
      <w:bookmarkStart w:id="63" w:name="_Toc437263361"/>
      <w:r>
        <w:rPr>
          <w:rFonts w:ascii="楷体" w:eastAsia="楷体" w:hAnsi="楷体" w:cs="楷体" w:hint="eastAsia"/>
        </w:rPr>
        <w:t>（八）产品说明书及标签样稿</w:t>
      </w:r>
      <w:bookmarkEnd w:id="61"/>
      <w:bookmarkEnd w:id="62"/>
      <w:bookmarkEnd w:id="63"/>
    </w:p>
    <w:p w:rsidR="00413D50" w:rsidRDefault="002D3913">
      <w:pPr>
        <w:spacing w:line="240" w:lineRule="auto"/>
        <w:rPr>
          <w:rFonts w:cs="Times New Roman"/>
        </w:rPr>
      </w:pPr>
      <w:r>
        <w:rPr>
          <w:rFonts w:cs="Times New Roman" w:hint="eastAsia"/>
        </w:rPr>
        <w:t>子宫内膜</w:t>
      </w:r>
      <w:r>
        <w:rPr>
          <w:rFonts w:cs="Times New Roman"/>
        </w:rPr>
        <w:t>去除设备的产品说明书及标签样稿应符合《医疗器械说明书和标签管理规定》（国家食品药品监督管理总局令第</w:t>
      </w:r>
      <w:r>
        <w:rPr>
          <w:rFonts w:cs="Times New Roman"/>
        </w:rPr>
        <w:t>6</w:t>
      </w:r>
      <w:r>
        <w:rPr>
          <w:rFonts w:cs="Times New Roman"/>
        </w:rPr>
        <w:t>号）以及相关国家标准、行业标准的规定。除上述内容外，产品说明书至少还应包括以下内容</w:t>
      </w:r>
      <w:r>
        <w:rPr>
          <w:rFonts w:cs="Times New Roman" w:hint="eastAsia"/>
        </w:rPr>
        <w:t>：</w:t>
      </w:r>
    </w:p>
    <w:p w:rsidR="00413D50" w:rsidRDefault="002D3913">
      <w:pPr>
        <w:spacing w:line="240" w:lineRule="auto"/>
        <w:rPr>
          <w:rFonts w:cs="Times New Roman"/>
        </w:rPr>
      </w:pPr>
      <w:r>
        <w:rPr>
          <w:rFonts w:cs="Times New Roman" w:hint="eastAsia"/>
        </w:rPr>
        <w:lastRenderedPageBreak/>
        <w:t>1</w:t>
      </w:r>
      <w:r>
        <w:rPr>
          <w:rFonts w:cs="Times New Roman" w:hint="eastAsia"/>
        </w:rPr>
        <w:t>、</w:t>
      </w:r>
      <w:r>
        <w:rPr>
          <w:rFonts w:cs="Times New Roman"/>
        </w:rPr>
        <w:t>注意事项</w:t>
      </w:r>
      <w:r>
        <w:rPr>
          <w:rFonts w:cs="Times New Roman" w:hint="eastAsia"/>
        </w:rPr>
        <w:t>：</w:t>
      </w:r>
    </w:p>
    <w:p w:rsidR="00413D50" w:rsidRDefault="002D3913">
      <w:pPr>
        <w:spacing w:line="240" w:lineRule="auto"/>
        <w:rPr>
          <w:rFonts w:cs="Times New Roman"/>
        </w:rPr>
      </w:pPr>
      <w:bookmarkStart w:id="64" w:name="OLE_LINK16"/>
      <w:bookmarkStart w:id="65" w:name="OLE_LINK17"/>
      <w:bookmarkStart w:id="66" w:name="_Toc434250191"/>
      <w:bookmarkStart w:id="67" w:name="_Toc434250601"/>
      <w:bookmarkStart w:id="68" w:name="_Toc437263365"/>
      <w:r>
        <w:rPr>
          <w:rFonts w:cs="Times New Roman" w:hint="eastAsia"/>
        </w:rPr>
        <w:t>（</w:t>
      </w:r>
      <w:r>
        <w:rPr>
          <w:rFonts w:cs="Times New Roman" w:hint="eastAsia"/>
        </w:rPr>
        <w:t>1</w:t>
      </w:r>
      <w:r>
        <w:rPr>
          <w:rFonts w:cs="Times New Roman" w:hint="eastAsia"/>
        </w:rPr>
        <w:t>）手术期间，特别是在子宫严重前倾，后屈或侧面移位的情况下，很可能发生插入错误，请确保装置正确放置在子宫腔内；</w:t>
      </w:r>
    </w:p>
    <w:p w:rsidR="00413D50" w:rsidRDefault="002D3913">
      <w:pPr>
        <w:spacing w:line="240" w:lineRule="auto"/>
        <w:rPr>
          <w:rFonts w:cs="Times New Roman"/>
        </w:rPr>
      </w:pPr>
      <w:r>
        <w:rPr>
          <w:rFonts w:cs="Times New Roman" w:hint="eastAsia"/>
        </w:rPr>
        <w:t>（</w:t>
      </w:r>
      <w:r>
        <w:rPr>
          <w:rFonts w:cs="Times New Roman" w:hint="eastAsia"/>
        </w:rPr>
        <w:t>2</w:t>
      </w:r>
      <w:r>
        <w:rPr>
          <w:rFonts w:cs="Times New Roman" w:hint="eastAsia"/>
        </w:rPr>
        <w:t>）只有确保电极已置于子宫内正确的位置并充分展开后，才可以激活射频输出；当不接触组织时不要延长不必要的使用子宫内膜消融仪的时间，否则将可能导致周围</w:t>
      </w:r>
      <w:r>
        <w:rPr>
          <w:rFonts w:cs="Times New Roman" w:hint="eastAsia"/>
        </w:rPr>
        <w:t>组织损伤；</w:t>
      </w:r>
    </w:p>
    <w:p w:rsidR="00413D50" w:rsidRDefault="002D3913">
      <w:pPr>
        <w:spacing w:line="240" w:lineRule="auto"/>
        <w:rPr>
          <w:rFonts w:cs="Times New Roman"/>
        </w:rPr>
      </w:pPr>
      <w:r>
        <w:rPr>
          <w:rFonts w:cs="Times New Roman" w:hint="eastAsia"/>
        </w:rPr>
        <w:t>（</w:t>
      </w:r>
      <w:r>
        <w:rPr>
          <w:rFonts w:cs="Times New Roman" w:hint="eastAsia"/>
        </w:rPr>
        <w:t>3</w:t>
      </w:r>
      <w:r>
        <w:rPr>
          <w:rFonts w:cs="Times New Roman" w:hint="eastAsia"/>
        </w:rPr>
        <w:t>）在正确操作设置中出现明显的低输出或者子宫内膜消融仪的功能性错误，可能是由于电极的连接故障造成的。因此，因检查一次性双极消融电极的连接；</w:t>
      </w:r>
    </w:p>
    <w:p w:rsidR="00413D50" w:rsidRDefault="002D3913">
      <w:pPr>
        <w:spacing w:line="240" w:lineRule="auto"/>
        <w:rPr>
          <w:rFonts w:cs="Times New Roman"/>
        </w:rPr>
      </w:pPr>
      <w:r>
        <w:rPr>
          <w:rFonts w:cs="Times New Roman" w:hint="eastAsia"/>
        </w:rPr>
        <w:t>（</w:t>
      </w:r>
      <w:r>
        <w:rPr>
          <w:rFonts w:cs="Times New Roman" w:hint="eastAsia"/>
        </w:rPr>
        <w:t>4</w:t>
      </w:r>
      <w:r>
        <w:rPr>
          <w:rFonts w:cs="Times New Roman" w:hint="eastAsia"/>
        </w:rPr>
        <w:t>）该设备必须由在子宫腔内手术（如</w:t>
      </w:r>
      <w:r>
        <w:rPr>
          <w:rFonts w:cs="Times New Roman"/>
        </w:rPr>
        <w:t>IUD</w:t>
      </w:r>
      <w:r>
        <w:rPr>
          <w:rFonts w:cs="Times New Roman" w:hint="eastAsia"/>
        </w:rPr>
        <w:t>放环手术或自动扩刮术）方面具有足够经验、且接受过充分的</w:t>
      </w:r>
      <w:r>
        <w:rPr>
          <w:rFonts w:cs="Times New Roman"/>
        </w:rPr>
        <w:t>CAG-100</w:t>
      </w:r>
      <w:r>
        <w:rPr>
          <w:rFonts w:cs="Times New Roman" w:hint="eastAsia"/>
        </w:rPr>
        <w:t>型手术子宫内膜去除术操作培训的医生操作；</w:t>
      </w:r>
    </w:p>
    <w:p w:rsidR="00413D50" w:rsidRDefault="002D3913">
      <w:pPr>
        <w:spacing w:line="240" w:lineRule="auto"/>
        <w:rPr>
          <w:rFonts w:cs="Times New Roman"/>
        </w:rPr>
      </w:pPr>
      <w:r>
        <w:rPr>
          <w:rFonts w:cs="Times New Roman" w:hint="eastAsia"/>
        </w:rPr>
        <w:t>（</w:t>
      </w:r>
      <w:r>
        <w:rPr>
          <w:rFonts w:cs="Times New Roman" w:hint="eastAsia"/>
        </w:rPr>
        <w:t>5</w:t>
      </w:r>
      <w:r>
        <w:rPr>
          <w:rFonts w:cs="Times New Roman" w:hint="eastAsia"/>
        </w:rPr>
        <w:t>）在准备为患者进行治疗前，请检查与子宫内膜去除设备主机和电极连接的集液瓶，确保吸液管未发生扭结或折弯</w:t>
      </w:r>
      <w:r>
        <w:rPr>
          <w:rFonts w:cs="Times New Roman" w:hint="eastAsia"/>
        </w:rPr>
        <w:t>;</w:t>
      </w:r>
    </w:p>
    <w:p w:rsidR="00413D50" w:rsidRDefault="002D3913">
      <w:pPr>
        <w:spacing w:line="240" w:lineRule="auto"/>
        <w:rPr>
          <w:rFonts w:cs="Times New Roman"/>
        </w:rPr>
      </w:pPr>
      <w:r>
        <w:rPr>
          <w:rFonts w:cs="Times New Roman" w:hint="eastAsia"/>
        </w:rPr>
        <w:t>（</w:t>
      </w:r>
      <w:r>
        <w:rPr>
          <w:rFonts w:cs="Times New Roman" w:hint="eastAsia"/>
        </w:rPr>
        <w:t>6</w:t>
      </w:r>
      <w:r>
        <w:rPr>
          <w:rFonts w:cs="Times New Roman" w:hint="eastAsia"/>
        </w:rPr>
        <w:t>）接受子宫内膜去除术后再接受激素替代治疗的患者，注意药物治疗方案的调整</w:t>
      </w:r>
      <w:r>
        <w:rPr>
          <w:rFonts w:cs="Times New Roman" w:hint="eastAsia"/>
        </w:rPr>
        <w:t>;</w:t>
      </w:r>
    </w:p>
    <w:p w:rsidR="00413D50" w:rsidRDefault="002D3913">
      <w:pPr>
        <w:spacing w:line="240" w:lineRule="auto"/>
        <w:rPr>
          <w:rFonts w:cs="Times New Roman"/>
        </w:rPr>
      </w:pPr>
      <w:r>
        <w:rPr>
          <w:rFonts w:cs="Times New Roman" w:hint="eastAsia"/>
        </w:rPr>
        <w:t>（</w:t>
      </w:r>
      <w:r>
        <w:rPr>
          <w:rFonts w:cs="Times New Roman" w:hint="eastAsia"/>
        </w:rPr>
        <w:t>7</w:t>
      </w:r>
      <w:r>
        <w:rPr>
          <w:rFonts w:cs="Times New Roman" w:hint="eastAsia"/>
        </w:rPr>
        <w:t>）小心取出电极组件，检查附件是否齐全，是否有损坏</w:t>
      </w:r>
      <w:r>
        <w:rPr>
          <w:rFonts w:cs="Times New Roman" w:hint="eastAsia"/>
        </w:rPr>
        <w:t>;</w:t>
      </w:r>
    </w:p>
    <w:p w:rsidR="00413D50" w:rsidRDefault="002D3913">
      <w:pPr>
        <w:spacing w:line="240" w:lineRule="auto"/>
        <w:rPr>
          <w:rFonts w:cs="Times New Roman"/>
        </w:rPr>
      </w:pPr>
      <w:r>
        <w:rPr>
          <w:rFonts w:cs="Times New Roman" w:hint="eastAsia"/>
        </w:rPr>
        <w:t>（</w:t>
      </w:r>
      <w:r>
        <w:rPr>
          <w:rFonts w:cs="Times New Roman" w:hint="eastAsia"/>
        </w:rPr>
        <w:t>8</w:t>
      </w:r>
      <w:r>
        <w:rPr>
          <w:rFonts w:cs="Times New Roman" w:hint="eastAsia"/>
        </w:rPr>
        <w:t>）根据产品特性，应当提示操作者、使用者注意的其他事项。</w:t>
      </w:r>
    </w:p>
    <w:p w:rsidR="00413D50" w:rsidRDefault="002D3913">
      <w:pPr>
        <w:overflowPunct w:val="0"/>
        <w:adjustRightInd w:val="0"/>
        <w:snapToGrid w:val="0"/>
        <w:spacing w:line="240" w:lineRule="auto"/>
        <w:rPr>
          <w:rFonts w:cs="Times New Roman"/>
        </w:rPr>
      </w:pPr>
      <w:r>
        <w:rPr>
          <w:rFonts w:cs="Times New Roman"/>
        </w:rPr>
        <w:t>2</w:t>
      </w:r>
      <w:r>
        <w:rPr>
          <w:rFonts w:cs="Times New Roman" w:hint="eastAsia"/>
        </w:rPr>
        <w:t>、</w:t>
      </w:r>
      <w:r>
        <w:rPr>
          <w:rFonts w:cs="Times New Roman"/>
        </w:rPr>
        <w:t>警告：</w:t>
      </w:r>
    </w:p>
    <w:p w:rsidR="00413D50" w:rsidRDefault="002D3913">
      <w:pPr>
        <w:spacing w:line="240" w:lineRule="auto"/>
        <w:ind w:left="283"/>
        <w:rPr>
          <w:rFonts w:cs="Times New Roman"/>
        </w:rPr>
      </w:pPr>
      <w:r>
        <w:rPr>
          <w:rFonts w:cs="Times New Roman" w:hint="eastAsia"/>
        </w:rPr>
        <w:t>（</w:t>
      </w:r>
      <w:r>
        <w:rPr>
          <w:rFonts w:cs="Times New Roman" w:hint="eastAsia"/>
        </w:rPr>
        <w:t>1</w:t>
      </w:r>
      <w:r>
        <w:rPr>
          <w:rFonts w:cs="Times New Roman" w:hint="eastAsia"/>
        </w:rPr>
        <w:t>）在一次手术访视期间，手术只执行一次，如在同一手</w:t>
      </w:r>
      <w:r>
        <w:rPr>
          <w:rFonts w:cs="Times New Roman" w:hint="eastAsia"/>
        </w:rPr>
        <w:lastRenderedPageBreak/>
        <w:t>术访视期间进行多个治疗周期，则可能发生肠道热损伤；</w:t>
      </w:r>
    </w:p>
    <w:p w:rsidR="00413D50" w:rsidRDefault="002D3913">
      <w:pPr>
        <w:spacing w:line="240" w:lineRule="auto"/>
        <w:ind w:left="283"/>
        <w:rPr>
          <w:rFonts w:cs="Times New Roman"/>
        </w:rPr>
      </w:pPr>
      <w:r>
        <w:rPr>
          <w:rFonts w:cs="Times New Roman" w:hint="eastAsia"/>
        </w:rPr>
        <w:t>（</w:t>
      </w:r>
      <w:r>
        <w:rPr>
          <w:rFonts w:cs="Times New Roman" w:hint="eastAsia"/>
        </w:rPr>
        <w:t>2</w:t>
      </w:r>
      <w:r>
        <w:rPr>
          <w:rFonts w:cs="Times New Roman" w:hint="eastAsia"/>
        </w:rPr>
        <w:t>）当进行宫深探测器探测、扩张或插入电极附件时，注意避免子宫穿孔；</w:t>
      </w:r>
    </w:p>
    <w:p w:rsidR="00413D50" w:rsidRDefault="002D3913">
      <w:pPr>
        <w:spacing w:line="240" w:lineRule="auto"/>
        <w:ind w:left="283"/>
        <w:rPr>
          <w:rFonts w:cs="Times New Roman"/>
        </w:rPr>
      </w:pPr>
      <w:r>
        <w:rPr>
          <w:rFonts w:cs="Times New Roman" w:hint="eastAsia"/>
        </w:rPr>
        <w:t>（</w:t>
      </w:r>
      <w:r>
        <w:rPr>
          <w:rFonts w:cs="Times New Roman" w:hint="eastAsia"/>
        </w:rPr>
        <w:t>3</w:t>
      </w:r>
      <w:r>
        <w:rPr>
          <w:rFonts w:cs="Times New Roman" w:hint="eastAsia"/>
        </w:rPr>
        <w:t>）若电极难以插入宫颈管，请采取临床判断措施以确定是否需要进一步扩张；</w:t>
      </w:r>
    </w:p>
    <w:p w:rsidR="00413D50" w:rsidRDefault="002D3913">
      <w:pPr>
        <w:spacing w:line="240" w:lineRule="auto"/>
        <w:ind w:left="283"/>
        <w:rPr>
          <w:rFonts w:cs="Times New Roman"/>
        </w:rPr>
      </w:pPr>
      <w:r>
        <w:rPr>
          <w:rFonts w:cs="Times New Roman" w:hint="eastAsia"/>
        </w:rPr>
        <w:t>（</w:t>
      </w:r>
      <w:r>
        <w:rPr>
          <w:rFonts w:cs="Times New Roman" w:hint="eastAsia"/>
        </w:rPr>
        <w:t>4</w:t>
      </w:r>
      <w:r>
        <w:rPr>
          <w:rFonts w:cs="Times New Roman" w:hint="eastAsia"/>
        </w:rPr>
        <w:t>）如果怀疑已发生子宫穿孔，出现大出血、应激休克等情况时候，应立即终止手术，密切观察生命体征，对症处理</w:t>
      </w:r>
      <w:r>
        <w:rPr>
          <w:rFonts w:cs="Times New Roman" w:hint="eastAsia"/>
        </w:rPr>
        <w:t>;</w:t>
      </w:r>
    </w:p>
    <w:p w:rsidR="00413D50" w:rsidRDefault="002D3913">
      <w:pPr>
        <w:spacing w:line="240" w:lineRule="auto"/>
        <w:ind w:left="283"/>
        <w:rPr>
          <w:rFonts w:cs="Times New Roman"/>
        </w:rPr>
      </w:pPr>
      <w:r>
        <w:rPr>
          <w:rFonts w:cs="Times New Roman" w:hint="eastAsia"/>
        </w:rPr>
        <w:t>（</w:t>
      </w:r>
      <w:r>
        <w:rPr>
          <w:rFonts w:cs="Times New Roman" w:hint="eastAsia"/>
        </w:rPr>
        <w:t>5</w:t>
      </w:r>
      <w:r>
        <w:rPr>
          <w:rFonts w:cs="Times New Roman" w:hint="eastAsia"/>
        </w:rPr>
        <w:t>）对于由于怀疑子宫壁穿孔而终止手术的患者，应考虑立即进行穿孔检查；</w:t>
      </w:r>
    </w:p>
    <w:p w:rsidR="00413D50" w:rsidRDefault="002D3913">
      <w:pPr>
        <w:spacing w:line="240" w:lineRule="auto"/>
        <w:ind w:left="283"/>
        <w:rPr>
          <w:rFonts w:cs="Times New Roman"/>
        </w:rPr>
      </w:pPr>
      <w:r>
        <w:rPr>
          <w:rFonts w:cs="Times New Roman" w:hint="eastAsia"/>
        </w:rPr>
        <w:t>（</w:t>
      </w:r>
      <w:r>
        <w:rPr>
          <w:rFonts w:cs="Times New Roman" w:hint="eastAsia"/>
        </w:rPr>
        <w:t>6</w:t>
      </w:r>
      <w:r>
        <w:rPr>
          <w:rFonts w:cs="Times New Roman" w:hint="eastAsia"/>
        </w:rPr>
        <w:t>）如设备有完整性评估程序，也要考虑在程序失败或者无法检测所有可能情况下发生子宫穿孔情况时采取的措施；</w:t>
      </w:r>
    </w:p>
    <w:p w:rsidR="00413D50" w:rsidRDefault="002D3913">
      <w:pPr>
        <w:spacing w:line="240" w:lineRule="auto"/>
        <w:ind w:left="283"/>
        <w:rPr>
          <w:rFonts w:cs="Times New Roman"/>
        </w:rPr>
      </w:pPr>
      <w:r>
        <w:rPr>
          <w:rFonts w:cs="Times New Roman" w:hint="eastAsia"/>
        </w:rPr>
        <w:t>（</w:t>
      </w:r>
      <w:r>
        <w:rPr>
          <w:rFonts w:cs="Times New Roman" w:hint="eastAsia"/>
        </w:rPr>
        <w:t>7</w:t>
      </w:r>
      <w:r>
        <w:rPr>
          <w:rFonts w:cs="Times New Roman" w:hint="eastAsia"/>
        </w:rPr>
        <w:t>）子宫内膜去除术不是绝育手术，应告知患者采用适当的节育方法</w:t>
      </w:r>
      <w:r>
        <w:rPr>
          <w:rFonts w:cs="Times New Roman" w:hint="eastAsia"/>
        </w:rPr>
        <w:t>;</w:t>
      </w:r>
    </w:p>
    <w:p w:rsidR="00413D50" w:rsidRDefault="002D3913">
      <w:pPr>
        <w:spacing w:line="240" w:lineRule="auto"/>
        <w:ind w:left="283"/>
        <w:rPr>
          <w:rFonts w:cs="Times New Roman"/>
        </w:rPr>
      </w:pPr>
      <w:r>
        <w:rPr>
          <w:rFonts w:cs="Times New Roman" w:hint="eastAsia"/>
        </w:rPr>
        <w:t>（</w:t>
      </w:r>
      <w:r>
        <w:rPr>
          <w:rFonts w:cs="Times New Roman" w:hint="eastAsia"/>
        </w:rPr>
        <w:t>8</w:t>
      </w:r>
      <w:r>
        <w:rPr>
          <w:rFonts w:cs="Times New Roman" w:hint="eastAsia"/>
        </w:rPr>
        <w:t>）子宫内膜去除术并不能消除子宫内膜增生或子宫内膜腺癌的可能性，而且还可能妨碍到医生检测或诊断到此类病变；</w:t>
      </w:r>
    </w:p>
    <w:p w:rsidR="00413D50" w:rsidRDefault="002D3913">
      <w:pPr>
        <w:spacing w:line="240" w:lineRule="auto"/>
        <w:ind w:left="283"/>
        <w:rPr>
          <w:rFonts w:cs="Times New Roman"/>
        </w:rPr>
      </w:pPr>
      <w:r>
        <w:rPr>
          <w:rFonts w:cs="Times New Roman" w:hint="eastAsia"/>
        </w:rPr>
        <w:t>（</w:t>
      </w:r>
      <w:r>
        <w:rPr>
          <w:rFonts w:cs="Times New Roman" w:hint="eastAsia"/>
        </w:rPr>
        <w:t>9</w:t>
      </w:r>
      <w:r>
        <w:rPr>
          <w:rFonts w:cs="Times New Roman" w:hint="eastAsia"/>
        </w:rPr>
        <w:t>）子宫内膜去除术仅用于不想生育的妇女，而且术后怀孕机率会显著降低，在去除术后怀孕对母亲和胎儿都非常危险；</w:t>
      </w:r>
    </w:p>
    <w:p w:rsidR="00413D50" w:rsidRDefault="002D3913">
      <w:pPr>
        <w:spacing w:line="240" w:lineRule="auto"/>
        <w:ind w:left="283"/>
        <w:rPr>
          <w:rFonts w:cs="Times New Roman"/>
        </w:rPr>
      </w:pPr>
      <w:r>
        <w:rPr>
          <w:rFonts w:cs="Times New Roman" w:hint="eastAsia"/>
        </w:rPr>
        <w:t>（</w:t>
      </w:r>
      <w:r>
        <w:rPr>
          <w:rFonts w:cs="Times New Roman" w:hint="eastAsia"/>
        </w:rPr>
        <w:t>10</w:t>
      </w:r>
      <w:r>
        <w:rPr>
          <w:rFonts w:cs="Times New Roman" w:hint="eastAsia"/>
        </w:rPr>
        <w:t>）对于曾经进行过子宫内膜去除术和经过输卵管</w:t>
      </w:r>
      <w:r>
        <w:rPr>
          <w:rFonts w:cs="Times New Roman" w:hint="eastAsia"/>
        </w:rPr>
        <w:t>结扎手术的患者，患术后输卵管绝育综合征者（这可能需要进行子</w:t>
      </w:r>
      <w:r>
        <w:rPr>
          <w:rFonts w:cs="Times New Roman" w:hint="eastAsia"/>
        </w:rPr>
        <w:lastRenderedPageBreak/>
        <w:t>宫去除术）的风险会升高，这种情况可能在手术后</w:t>
      </w:r>
      <w:r>
        <w:rPr>
          <w:rFonts w:cs="Times New Roman"/>
        </w:rPr>
        <w:t>10</w:t>
      </w:r>
      <w:r>
        <w:rPr>
          <w:rFonts w:cs="Times New Roman" w:hint="eastAsia"/>
        </w:rPr>
        <w:t>年才出现；</w:t>
      </w:r>
    </w:p>
    <w:p w:rsidR="00413D50" w:rsidRDefault="002D3913">
      <w:pPr>
        <w:spacing w:line="240" w:lineRule="auto"/>
        <w:ind w:left="283"/>
        <w:rPr>
          <w:rFonts w:cs="Times New Roman"/>
        </w:rPr>
      </w:pPr>
      <w:r>
        <w:rPr>
          <w:rFonts w:cs="Times New Roman" w:hint="eastAsia"/>
        </w:rPr>
        <w:t>（</w:t>
      </w:r>
      <w:r>
        <w:rPr>
          <w:rFonts w:cs="Times New Roman" w:hint="eastAsia"/>
        </w:rPr>
        <w:t>11</w:t>
      </w:r>
      <w:r>
        <w:rPr>
          <w:rFonts w:cs="Times New Roman" w:hint="eastAsia"/>
        </w:rPr>
        <w:t>）有子宫严重前倾，后屈或侧面移位的患者在进行任何子宫内手术期间子宫壁穿孔风险更高；</w:t>
      </w:r>
    </w:p>
    <w:p w:rsidR="00413D50" w:rsidRDefault="002D3913">
      <w:pPr>
        <w:spacing w:line="240" w:lineRule="auto"/>
        <w:ind w:left="283"/>
        <w:rPr>
          <w:rFonts w:cs="Times New Roman"/>
        </w:rPr>
      </w:pPr>
      <w:r>
        <w:rPr>
          <w:rFonts w:cs="Times New Roman" w:hint="eastAsia"/>
        </w:rPr>
        <w:t>（</w:t>
      </w:r>
      <w:r>
        <w:rPr>
          <w:rFonts w:cs="Times New Roman" w:hint="eastAsia"/>
        </w:rPr>
        <w:t>12</w:t>
      </w:r>
      <w:r>
        <w:rPr>
          <w:rFonts w:cs="Times New Roman" w:hint="eastAsia"/>
        </w:rPr>
        <w:t>）对于体内植入心脏起搏器或其他活性植入装置的患者，因为干扰心脏起搏器的操作所以可能存在危害，并且可能损坏心脏起搏器，当计划对体内植入心脏起搏器的患者进行子宫内膜去除手术时，应咨询心脏起搏制造商，以取得更多信息。</w:t>
      </w:r>
    </w:p>
    <w:p w:rsidR="00413D50" w:rsidRDefault="002D3913">
      <w:pPr>
        <w:spacing w:line="240" w:lineRule="auto"/>
        <w:rPr>
          <w:rFonts w:cs="Times New Roman"/>
          <w:bCs/>
        </w:rPr>
      </w:pPr>
      <w:r>
        <w:rPr>
          <w:rFonts w:eastAsia="黑体" w:hint="eastAsia"/>
          <w:bCs/>
        </w:rPr>
        <w:t>四、参考文献</w:t>
      </w:r>
    </w:p>
    <w:p w:rsidR="00413D50" w:rsidRDefault="002D3913">
      <w:pPr>
        <w:spacing w:line="240" w:lineRule="auto"/>
      </w:pPr>
      <w:bookmarkStart w:id="69" w:name="_Ref455122128"/>
      <w:r>
        <w:t>（一）《医疗器械监督管理条例》（国务院令第</w:t>
      </w:r>
      <w:r>
        <w:t>680</w:t>
      </w:r>
      <w:r>
        <w:t>号）</w:t>
      </w:r>
      <w:bookmarkEnd w:id="69"/>
    </w:p>
    <w:p w:rsidR="00413D50" w:rsidRDefault="002D3913">
      <w:pPr>
        <w:spacing w:line="240" w:lineRule="auto"/>
      </w:pPr>
      <w:bookmarkStart w:id="70" w:name="_Ref455122141"/>
      <w:r>
        <w:t>（二）《医疗器械注</w:t>
      </w:r>
      <w:r>
        <w:t>册管理办法》（国家食品药品监督管理总局令第</w:t>
      </w:r>
      <w:r>
        <w:t>4</w:t>
      </w:r>
      <w:r>
        <w:t>号）</w:t>
      </w:r>
      <w:bookmarkEnd w:id="70"/>
    </w:p>
    <w:p w:rsidR="00413D50" w:rsidRDefault="002D3913">
      <w:pPr>
        <w:spacing w:line="240" w:lineRule="auto"/>
      </w:pPr>
      <w:r>
        <w:t>（三）</w:t>
      </w:r>
      <w:bookmarkStart w:id="71" w:name="_Ref455123912"/>
      <w:r>
        <w:t>《医疗器械通用名称命名规则》（国家食品药品监督管理总局令第</w:t>
      </w:r>
      <w:r>
        <w:t>19</w:t>
      </w:r>
      <w:r>
        <w:t>号）</w:t>
      </w:r>
      <w:bookmarkEnd w:id="71"/>
    </w:p>
    <w:p w:rsidR="00413D50" w:rsidRDefault="002D3913">
      <w:pPr>
        <w:spacing w:line="240" w:lineRule="auto"/>
      </w:pPr>
      <w:r>
        <w:rPr>
          <w:rFonts w:hint="eastAsia"/>
        </w:rPr>
        <w:t>（四）</w:t>
      </w:r>
      <w:r>
        <w:t xml:space="preserve">GB 9706.1-2007 </w:t>
      </w:r>
      <w:r>
        <w:t>医用电气设备第</w:t>
      </w:r>
      <w:r>
        <w:t>1</w:t>
      </w:r>
      <w:r>
        <w:t>部分：安全通用要求</w:t>
      </w:r>
    </w:p>
    <w:p w:rsidR="00413D50" w:rsidRDefault="002D3913">
      <w:pPr>
        <w:spacing w:line="240" w:lineRule="auto"/>
      </w:pPr>
      <w:bookmarkStart w:id="72" w:name="_Ref455127285"/>
      <w:bookmarkStart w:id="73" w:name="_Ref455122145"/>
      <w:r>
        <w:t>（五）</w:t>
      </w:r>
      <w:bookmarkStart w:id="74" w:name="_Ref455152996"/>
      <w:bookmarkEnd w:id="72"/>
      <w:r>
        <w:t xml:space="preserve">GB 9706.4-2009 </w:t>
      </w:r>
      <w:r>
        <w:t>医用电气设备第</w:t>
      </w:r>
      <w:r>
        <w:t>2</w:t>
      </w:r>
      <w:r>
        <w:rPr>
          <w:rFonts w:hint="eastAsia"/>
        </w:rPr>
        <w:t>-</w:t>
      </w:r>
      <w:r>
        <w:t>2</w:t>
      </w:r>
      <w:r>
        <w:t>部分：</w:t>
      </w:r>
      <w:r>
        <w:rPr>
          <w:rFonts w:hint="eastAsia"/>
        </w:rPr>
        <w:t>高频手术</w:t>
      </w:r>
      <w:r>
        <w:t>设备安全专用要求</w:t>
      </w:r>
      <w:bookmarkEnd w:id="74"/>
    </w:p>
    <w:p w:rsidR="00413D50" w:rsidRDefault="002D3913">
      <w:pPr>
        <w:spacing w:line="240" w:lineRule="auto"/>
      </w:pPr>
      <w:r>
        <w:t>（六）</w:t>
      </w:r>
      <w:r>
        <w:t xml:space="preserve">YY 0505-2012 </w:t>
      </w:r>
      <w:r>
        <w:t>医用电气设备第</w:t>
      </w:r>
      <w:r>
        <w:t>1-2</w:t>
      </w:r>
      <w:r>
        <w:t>部分：安全通用要求并列标准：电磁兼容要求和试验</w:t>
      </w:r>
    </w:p>
    <w:p w:rsidR="00413D50" w:rsidRDefault="002D3913">
      <w:pPr>
        <w:spacing w:line="240" w:lineRule="auto"/>
      </w:pPr>
      <w:r>
        <w:t>（七）</w:t>
      </w:r>
      <w:r>
        <w:t>GB/T 16886.1</w:t>
      </w:r>
      <w:r>
        <w:rPr>
          <w:rFonts w:hint="eastAsia"/>
        </w:rPr>
        <w:t>—</w:t>
      </w:r>
      <w:r>
        <w:t>2011</w:t>
      </w:r>
      <w:r>
        <w:t>医疗器械生物学评价第</w:t>
      </w:r>
      <w:r>
        <w:t>1</w:t>
      </w:r>
      <w:r>
        <w:t>部分：</w:t>
      </w:r>
      <w:r>
        <w:lastRenderedPageBreak/>
        <w:t>风险管理过程中的评价与试验</w:t>
      </w:r>
    </w:p>
    <w:p w:rsidR="00413D50" w:rsidRDefault="002D3913">
      <w:pPr>
        <w:spacing w:line="240" w:lineRule="auto"/>
      </w:pPr>
      <w:bookmarkStart w:id="75" w:name="_Ref455126350"/>
      <w:r>
        <w:t>（</w:t>
      </w:r>
      <w:r>
        <w:rPr>
          <w:rFonts w:hint="eastAsia"/>
        </w:rPr>
        <w:t>八</w:t>
      </w:r>
      <w:r>
        <w:t>）</w:t>
      </w:r>
      <w:bookmarkEnd w:id="75"/>
      <w:r>
        <w:t>GB/T 16886.5</w:t>
      </w:r>
      <w:r>
        <w:rPr>
          <w:rFonts w:hint="eastAsia"/>
        </w:rPr>
        <w:t>—</w:t>
      </w:r>
      <w:r>
        <w:t>2003</w:t>
      </w:r>
      <w:r>
        <w:t>医疗器械生物学评价第</w:t>
      </w:r>
      <w:r>
        <w:t>5</w:t>
      </w:r>
      <w:r>
        <w:t>部分：体外细胞毒性试验</w:t>
      </w:r>
    </w:p>
    <w:p w:rsidR="00413D50" w:rsidRDefault="002D3913">
      <w:pPr>
        <w:spacing w:line="240" w:lineRule="auto"/>
      </w:pPr>
      <w:bookmarkStart w:id="76" w:name="_Ref461004634"/>
      <w:r>
        <w:t>（</w:t>
      </w:r>
      <w:r>
        <w:rPr>
          <w:rFonts w:hint="eastAsia"/>
        </w:rPr>
        <w:t>九</w:t>
      </w:r>
      <w:r>
        <w:t>）</w:t>
      </w:r>
      <w:bookmarkEnd w:id="76"/>
      <w:r>
        <w:t>GB/T 16886.10</w:t>
      </w:r>
      <w:r>
        <w:rPr>
          <w:rFonts w:hint="eastAsia"/>
        </w:rPr>
        <w:t>—</w:t>
      </w:r>
      <w:r>
        <w:t>2005</w:t>
      </w:r>
      <w:r>
        <w:t>医疗器械生物学评价第</w:t>
      </w:r>
      <w:r>
        <w:t>10</w:t>
      </w:r>
      <w:r>
        <w:t>部分：刺激与迟发型超敏反应试验</w:t>
      </w:r>
    </w:p>
    <w:p w:rsidR="00413D50" w:rsidRDefault="002D3913">
      <w:pPr>
        <w:spacing w:line="240" w:lineRule="auto"/>
      </w:pPr>
      <w:bookmarkStart w:id="77" w:name="_Ref460872199"/>
      <w:r>
        <w:t>（十）</w:t>
      </w:r>
      <w:r>
        <w:t xml:space="preserve">GB/T 14710-2009 </w:t>
      </w:r>
      <w:r>
        <w:t>医用电器环境要求及试验方法</w:t>
      </w:r>
      <w:bookmarkEnd w:id="77"/>
    </w:p>
    <w:p w:rsidR="00413D50" w:rsidRDefault="002D3913">
      <w:pPr>
        <w:spacing w:line="240" w:lineRule="auto"/>
      </w:pPr>
      <w:r>
        <w:rPr>
          <w:rFonts w:cs="Times New Roman" w:hint="eastAsia"/>
        </w:rPr>
        <w:t>（十一）</w:t>
      </w:r>
      <w:r>
        <w:rPr>
          <w:rFonts w:cs="Times New Roman"/>
        </w:rPr>
        <w:t>GB/T 14233.2-2005</w:t>
      </w:r>
      <w:r>
        <w:rPr>
          <w:rFonts w:cs="Times New Roman" w:hint="eastAsia"/>
        </w:rPr>
        <w:t>《医用输液、输血、注射器具检验方法</w:t>
      </w:r>
      <w:r>
        <w:rPr>
          <w:rFonts w:cs="Times New Roman"/>
        </w:rPr>
        <w:t xml:space="preserve"> </w:t>
      </w:r>
      <w:r>
        <w:rPr>
          <w:rFonts w:cs="Times New Roman" w:hint="eastAsia"/>
        </w:rPr>
        <w:t>第</w:t>
      </w:r>
      <w:r>
        <w:rPr>
          <w:rFonts w:cs="Times New Roman"/>
        </w:rPr>
        <w:t>2</w:t>
      </w:r>
      <w:r>
        <w:rPr>
          <w:rFonts w:cs="Times New Roman" w:hint="eastAsia"/>
        </w:rPr>
        <w:t>部分：生物学试验方法》</w:t>
      </w:r>
    </w:p>
    <w:p w:rsidR="00413D50" w:rsidRDefault="002D3913">
      <w:pPr>
        <w:spacing w:line="240" w:lineRule="auto"/>
        <w:rPr>
          <w:rFonts w:cs="Times New Roman"/>
        </w:rPr>
      </w:pPr>
      <w:bookmarkStart w:id="78" w:name="_Ref455498191"/>
      <w:r>
        <w:rPr>
          <w:rFonts w:cs="Times New Roman" w:hint="eastAsia"/>
        </w:rPr>
        <w:t>（十二）</w:t>
      </w:r>
      <w:r>
        <w:rPr>
          <w:rFonts w:cs="Times New Roman"/>
        </w:rPr>
        <w:t>YY 1057</w:t>
      </w:r>
      <w:r>
        <w:rPr>
          <w:rFonts w:cs="Times New Roman" w:hint="eastAsia"/>
        </w:rPr>
        <w:t>—</w:t>
      </w:r>
      <w:r>
        <w:rPr>
          <w:rFonts w:cs="Times New Roman" w:hint="eastAsia"/>
        </w:rPr>
        <w:t>2016</w:t>
      </w:r>
      <w:r>
        <w:rPr>
          <w:rFonts w:cs="Times New Roman" w:hint="eastAsia"/>
        </w:rPr>
        <w:t>《医用脚踏开关通用技术条件》</w:t>
      </w:r>
    </w:p>
    <w:p w:rsidR="00413D50" w:rsidRDefault="002D3913">
      <w:pPr>
        <w:spacing w:line="240" w:lineRule="auto"/>
        <w:ind w:left="640" w:firstLineChars="0" w:firstLine="0"/>
      </w:pPr>
      <w:r>
        <w:rPr>
          <w:rFonts w:hint="eastAsia"/>
        </w:rPr>
        <w:t>（十三）</w:t>
      </w:r>
      <w:r>
        <w:t xml:space="preserve">YY/T 0287-2003 </w:t>
      </w:r>
      <w:r>
        <w:t>医疗器械质量管理体系用于法规的要求</w:t>
      </w:r>
      <w:bookmarkEnd w:id="78"/>
    </w:p>
    <w:p w:rsidR="00413D50" w:rsidRDefault="002D3913">
      <w:pPr>
        <w:spacing w:line="240" w:lineRule="auto"/>
      </w:pPr>
      <w:bookmarkStart w:id="79" w:name="_Ref455497091"/>
      <w:r>
        <w:t>（十</w:t>
      </w:r>
      <w:r>
        <w:rPr>
          <w:rFonts w:hint="eastAsia"/>
        </w:rPr>
        <w:t>四</w:t>
      </w:r>
      <w:r>
        <w:t>）</w:t>
      </w:r>
      <w:r>
        <w:t xml:space="preserve">YY/T 0316-2016 </w:t>
      </w:r>
      <w:r>
        <w:t>医疗器械风险管理对医疗器械的应用</w:t>
      </w:r>
      <w:bookmarkEnd w:id="79"/>
    </w:p>
    <w:p w:rsidR="00413D50" w:rsidRDefault="002D3913">
      <w:pPr>
        <w:spacing w:line="240" w:lineRule="auto"/>
      </w:pPr>
      <w:r>
        <w:t>（十</w:t>
      </w:r>
      <w:r>
        <w:rPr>
          <w:rFonts w:hint="eastAsia"/>
        </w:rPr>
        <w:t>五</w:t>
      </w:r>
      <w:r>
        <w:t>）《医疗器械注册申报资料要求和批准证明文件格式》（国家食品药品监督管理总局公告</w:t>
      </w:r>
      <w:r>
        <w:t>2014</w:t>
      </w:r>
      <w:r>
        <w:t>年第</w:t>
      </w:r>
      <w:r>
        <w:t>43</w:t>
      </w:r>
      <w:r>
        <w:t>号）</w:t>
      </w:r>
      <w:bookmarkEnd w:id="73"/>
    </w:p>
    <w:p w:rsidR="00413D50" w:rsidRDefault="002D3913">
      <w:pPr>
        <w:spacing w:line="240" w:lineRule="auto"/>
      </w:pPr>
      <w:bookmarkStart w:id="80" w:name="_Ref455122194"/>
      <w:r>
        <w:t>（十</w:t>
      </w:r>
      <w:r>
        <w:rPr>
          <w:rFonts w:hint="eastAsia"/>
        </w:rPr>
        <w:t>六</w:t>
      </w:r>
      <w:r>
        <w:t>）《医疗器械软件注册技术审查指导原则》（国家食品药品监督管理总局通告</w:t>
      </w:r>
      <w:r>
        <w:t>2015</w:t>
      </w:r>
      <w:r>
        <w:t>年第</w:t>
      </w:r>
      <w:r>
        <w:t>50</w:t>
      </w:r>
      <w:r>
        <w:t>号）</w:t>
      </w:r>
      <w:bookmarkEnd w:id="80"/>
    </w:p>
    <w:p w:rsidR="00413D50" w:rsidRDefault="002D3913">
      <w:pPr>
        <w:spacing w:line="240" w:lineRule="auto"/>
        <w:rPr>
          <w:kern w:val="0"/>
        </w:rPr>
      </w:pPr>
      <w:r>
        <w:t>（</w:t>
      </w:r>
      <w:r>
        <w:rPr>
          <w:rFonts w:hint="eastAsia"/>
        </w:rPr>
        <w:t>十七</w:t>
      </w:r>
      <w:r>
        <w:t>）</w:t>
      </w:r>
      <w:r>
        <w:rPr>
          <w:rFonts w:hint="eastAsia"/>
        </w:rPr>
        <w:t>《</w:t>
      </w:r>
      <w:r>
        <w:rPr>
          <w:kern w:val="0"/>
        </w:rPr>
        <w:t>医疗器械网络安全注册技术审查指导原则</w:t>
      </w:r>
      <w:r>
        <w:rPr>
          <w:rFonts w:hint="eastAsia"/>
        </w:rPr>
        <w:t>》</w:t>
      </w:r>
      <w:r>
        <w:rPr>
          <w:kern w:val="0"/>
        </w:rPr>
        <w:t>（国家食品药品监督管理总局通告</w:t>
      </w:r>
      <w:r>
        <w:rPr>
          <w:kern w:val="0"/>
        </w:rPr>
        <w:t>2017</w:t>
      </w:r>
      <w:r>
        <w:rPr>
          <w:kern w:val="0"/>
        </w:rPr>
        <w:t>年第</w:t>
      </w:r>
      <w:r>
        <w:rPr>
          <w:kern w:val="0"/>
        </w:rPr>
        <w:t>13</w:t>
      </w:r>
      <w:r>
        <w:rPr>
          <w:kern w:val="0"/>
        </w:rPr>
        <w:t>号）</w:t>
      </w:r>
    </w:p>
    <w:p w:rsidR="00413D50" w:rsidRDefault="002D3913">
      <w:pPr>
        <w:spacing w:line="240" w:lineRule="auto"/>
      </w:pPr>
      <w:r>
        <w:rPr>
          <w:rFonts w:hint="eastAsia"/>
        </w:rPr>
        <w:t>（十八）</w:t>
      </w:r>
      <w:bookmarkStart w:id="81" w:name="_Ref455123852"/>
      <w:r>
        <w:t>《医疗器械生物学评价和审查指南》（国食药监械</w:t>
      </w:r>
      <w:r>
        <w:rPr>
          <w:rFonts w:hint="eastAsia"/>
        </w:rPr>
        <w:t>〔</w:t>
      </w:r>
      <w:r>
        <w:t>2007</w:t>
      </w:r>
      <w:r>
        <w:rPr>
          <w:rFonts w:hint="eastAsia"/>
        </w:rPr>
        <w:t>〕</w:t>
      </w:r>
      <w:r>
        <w:t>345</w:t>
      </w:r>
      <w:r>
        <w:t>号）</w:t>
      </w:r>
      <w:bookmarkEnd w:id="81"/>
    </w:p>
    <w:p w:rsidR="00413D50" w:rsidRDefault="002D3913">
      <w:pPr>
        <w:spacing w:line="240" w:lineRule="auto"/>
        <w:rPr>
          <w:rFonts w:eastAsia="华文中宋" w:cs="Times New Roman"/>
          <w:szCs w:val="24"/>
        </w:rPr>
      </w:pPr>
      <w:r>
        <w:rPr>
          <w:rFonts w:hint="eastAsia"/>
        </w:rPr>
        <w:lastRenderedPageBreak/>
        <w:t>（十九）</w:t>
      </w:r>
      <w:r>
        <w:rPr>
          <w:rFonts w:eastAsia="华文中宋" w:cs="Times New Roman"/>
          <w:szCs w:val="24"/>
        </w:rPr>
        <w:t>Hu Tao, Tang Panhao, Xiao Jiahua. Three-Dimens</w:t>
      </w:r>
      <w:r>
        <w:rPr>
          <w:rFonts w:eastAsia="华文中宋" w:cs="Times New Roman"/>
          <w:szCs w:val="24"/>
        </w:rPr>
        <w:t>ional Finite-Element Analyses of Multiple Electrodes Bipolar RF Global Endometrial Ablation [J]. Proc. of SPIE, 2015, 93</w:t>
      </w:r>
      <w:r>
        <w:rPr>
          <w:rFonts w:eastAsia="华文中宋" w:cs="Times New Roman" w:hint="eastAsia"/>
          <w:szCs w:val="24"/>
        </w:rPr>
        <w:t>26</w:t>
      </w:r>
      <w:r>
        <w:rPr>
          <w:rFonts w:eastAsia="华文中宋" w:cs="Times New Roman"/>
          <w:szCs w:val="24"/>
        </w:rPr>
        <w:t>: 93</w:t>
      </w:r>
      <w:r>
        <w:rPr>
          <w:rFonts w:eastAsia="华文中宋" w:cs="Times New Roman" w:hint="eastAsia"/>
          <w:szCs w:val="24"/>
        </w:rPr>
        <w:t>26</w:t>
      </w:r>
      <w:r>
        <w:rPr>
          <w:rFonts w:eastAsia="华文中宋" w:cs="Times New Roman"/>
          <w:szCs w:val="24"/>
        </w:rPr>
        <w:t>0V1~10.</w:t>
      </w:r>
    </w:p>
    <w:p w:rsidR="00413D50" w:rsidRDefault="002D3913">
      <w:pPr>
        <w:spacing w:line="240" w:lineRule="auto"/>
        <w:outlineLvl w:val="0"/>
      </w:pPr>
      <w:r>
        <w:rPr>
          <w:rFonts w:ascii="黑体" w:eastAsia="黑体" w:hAnsi="黑体" w:hint="eastAsia"/>
          <w:bCs/>
        </w:rPr>
        <w:t>七</w:t>
      </w:r>
      <w:r>
        <w:rPr>
          <w:rFonts w:ascii="黑体" w:eastAsia="黑体" w:hAnsi="黑体"/>
          <w:bCs/>
        </w:rPr>
        <w:t>、</w:t>
      </w:r>
      <w:r>
        <w:rPr>
          <w:rFonts w:ascii="黑体" w:eastAsia="黑体" w:hAnsi="黑体" w:hint="eastAsia"/>
          <w:bCs/>
        </w:rPr>
        <w:t>起草</w:t>
      </w:r>
      <w:r>
        <w:rPr>
          <w:rFonts w:ascii="黑体" w:eastAsia="黑体" w:hAnsi="黑体"/>
          <w:bCs/>
        </w:rPr>
        <w:t>单位</w:t>
      </w:r>
    </w:p>
    <w:p w:rsidR="00413D50" w:rsidRDefault="002D3913">
      <w:pPr>
        <w:widowControl/>
        <w:spacing w:line="240" w:lineRule="auto"/>
      </w:pPr>
      <w:r>
        <w:rPr>
          <w:rFonts w:hint="eastAsia"/>
        </w:rPr>
        <w:t>国家食品药品监督管理总局医疗器械技术审评中心。</w:t>
      </w:r>
    </w:p>
    <w:p w:rsidR="00413D50" w:rsidRDefault="00413D50">
      <w:pPr>
        <w:spacing w:line="240" w:lineRule="auto"/>
      </w:pPr>
    </w:p>
    <w:p w:rsidR="00413D50" w:rsidRDefault="00413D50">
      <w:pPr>
        <w:spacing w:line="240" w:lineRule="auto"/>
      </w:pPr>
    </w:p>
    <w:p w:rsidR="00413D50" w:rsidRDefault="002D3913">
      <w:pPr>
        <w:spacing w:line="240" w:lineRule="auto"/>
      </w:pPr>
      <w:r>
        <w:t>附录：</w:t>
      </w:r>
      <w:r>
        <w:rPr>
          <w:rFonts w:hint="eastAsia"/>
        </w:rPr>
        <w:t>模拟试</w:t>
      </w:r>
      <w:r>
        <w:t>验</w:t>
      </w:r>
      <w:r>
        <w:rPr>
          <w:rFonts w:hint="eastAsia"/>
        </w:rPr>
        <w:t>举例</w:t>
      </w:r>
    </w:p>
    <w:p w:rsidR="00413D50" w:rsidRDefault="002D3913">
      <w:pPr>
        <w:spacing w:line="240" w:lineRule="auto"/>
      </w:pPr>
      <w:r>
        <w:br w:type="page"/>
      </w:r>
    </w:p>
    <w:p w:rsidR="00413D50" w:rsidRDefault="002D3913">
      <w:pPr>
        <w:spacing w:line="240" w:lineRule="auto"/>
        <w:ind w:firstLineChars="0" w:firstLine="0"/>
        <w:rPr>
          <w:rFonts w:eastAsia="黑体"/>
        </w:rPr>
      </w:pPr>
      <w:r>
        <w:rPr>
          <w:rFonts w:ascii="黑体" w:eastAsia="黑体" w:hAnsi="黑体" w:cs="Times New Roman" w:hint="eastAsia"/>
          <w:bCs/>
          <w:color w:val="auto"/>
          <w:kern w:val="44"/>
          <w:szCs w:val="44"/>
        </w:rPr>
        <w:lastRenderedPageBreak/>
        <w:t>附录</w:t>
      </w:r>
      <w:r>
        <w:rPr>
          <w:rFonts w:ascii="黑体" w:eastAsia="黑体" w:hAnsi="黑体" w:cs="Times New Roman"/>
          <w:bCs/>
          <w:color w:val="auto"/>
          <w:kern w:val="44"/>
          <w:szCs w:val="44"/>
        </w:rPr>
        <w:t xml:space="preserve"> </w:t>
      </w:r>
      <w:r>
        <w:rPr>
          <w:rFonts w:eastAsia="黑体"/>
        </w:rPr>
        <w:t xml:space="preserve">            </w:t>
      </w:r>
    </w:p>
    <w:p w:rsidR="00413D50" w:rsidRDefault="002D3913">
      <w:pPr>
        <w:spacing w:line="240" w:lineRule="auto"/>
        <w:ind w:firstLineChars="850" w:firstLine="2720"/>
        <w:rPr>
          <w:rFonts w:ascii="方正小标宋简体" w:eastAsia="方正小标宋简体"/>
          <w:kern w:val="0"/>
          <w:sz w:val="44"/>
          <w:szCs w:val="44"/>
        </w:rPr>
      </w:pPr>
      <w:r>
        <w:rPr>
          <w:rFonts w:eastAsia="黑体"/>
        </w:rPr>
        <w:t xml:space="preserve"> </w:t>
      </w:r>
      <w:r>
        <w:rPr>
          <w:rFonts w:ascii="方正小标宋_GBK" w:eastAsia="方正小标宋_GBK" w:cs="Times New Roman" w:hint="eastAsia"/>
          <w:bCs/>
          <w:color w:val="auto"/>
          <w:kern w:val="44"/>
          <w:sz w:val="44"/>
          <w:szCs w:val="44"/>
        </w:rPr>
        <w:t>模拟试验举例</w:t>
      </w:r>
    </w:p>
    <w:p w:rsidR="00413D50" w:rsidRDefault="00413D50">
      <w:pPr>
        <w:spacing w:line="240" w:lineRule="auto"/>
        <w:ind w:firstLineChars="0" w:firstLine="0"/>
        <w:rPr>
          <w:rFonts w:ascii="仿宋_GB2312" w:cs="Times New Roman"/>
        </w:rPr>
      </w:pPr>
    </w:p>
    <w:p w:rsidR="00413D50" w:rsidRDefault="002D3913">
      <w:pPr>
        <w:spacing w:line="240" w:lineRule="auto"/>
        <w:jc w:val="left"/>
        <w:rPr>
          <w:rFonts w:ascii="仿宋_GB2312" w:cs="Times New Roman"/>
        </w:rPr>
      </w:pPr>
      <w:r>
        <w:rPr>
          <w:rFonts w:ascii="仿宋_GB2312" w:cs="Times New Roman" w:hint="eastAsia"/>
        </w:rPr>
        <w:t>该模拟</w:t>
      </w:r>
      <w:r>
        <w:rPr>
          <w:rFonts w:ascii="仿宋_GB2312" w:cs="Times New Roman"/>
        </w:rPr>
        <w:t>试验主要</w:t>
      </w:r>
      <w:r>
        <w:rPr>
          <w:rFonts w:ascii="仿宋_GB2312" w:cs="Times New Roman" w:hint="eastAsia"/>
        </w:rPr>
        <w:t>根据</w:t>
      </w:r>
      <w:r>
        <w:rPr>
          <w:rFonts w:ascii="仿宋_GB2312" w:cs="Times New Roman"/>
        </w:rPr>
        <w:t>电极和子宫内膜的组织特性</w:t>
      </w:r>
      <w:r>
        <w:rPr>
          <w:rFonts w:ascii="仿宋_GB2312" w:cs="Times New Roman" w:hint="eastAsia"/>
        </w:rPr>
        <w:t>建立</w:t>
      </w:r>
      <w:r>
        <w:rPr>
          <w:rFonts w:ascii="仿宋_GB2312" w:cs="Times New Roman"/>
        </w:rPr>
        <w:t>有限元模型，以生物热方程为基础，利用有限元方法分析靶向组织的温度和损伤随子宫大小和射频功率变化的变化。</w:t>
      </w:r>
    </w:p>
    <w:p w:rsidR="00413D50" w:rsidRDefault="002D3913">
      <w:pPr>
        <w:spacing w:line="240" w:lineRule="auto"/>
        <w:jc w:val="left"/>
      </w:pPr>
      <w:r>
        <w:rPr>
          <w:rFonts w:ascii="仿宋_GB2312" w:cs="Times New Roman" w:hint="eastAsia"/>
        </w:rPr>
        <w:t>使用子宫内膜组织的热、电等物性参数，建立了立体的子宫体腔模型，然后建立一次性电极的模型，置于模拟的子宫体腔中。模型完成后，模拟子宫内膜去除设备和电极的工作方式，按照射频能量的输出顺序，控制软件，向模拟电极输入能量，形成电极产生的电场图，</w:t>
      </w:r>
      <w:r>
        <w:rPr>
          <w:rFonts w:ascii="仿宋_GB2312" w:cs="Times New Roman"/>
        </w:rPr>
        <w:t>并进行网格划分</w:t>
      </w:r>
      <w:r>
        <w:rPr>
          <w:rFonts w:ascii="仿宋_GB2312" w:cs="Times New Roman" w:hint="eastAsia"/>
        </w:rPr>
        <w:t>。控制计算机对模拟过程进行计算，经过一定时间和次数的迭代后，控制模拟结束。根据计算结果，得到整个消融区域的温度场，给出的电势图和电场分布图。确立某个温度（提供</w:t>
      </w:r>
      <w:r>
        <w:rPr>
          <w:rFonts w:ascii="仿宋_GB2312" w:cs="Times New Roman"/>
        </w:rPr>
        <w:t>依据</w:t>
      </w:r>
      <w:r>
        <w:rPr>
          <w:rFonts w:ascii="仿宋_GB2312" w:cs="Times New Roman" w:hint="eastAsia"/>
        </w:rPr>
        <w:t>）作为边界线后，建立等温线和等温曲面作为判断消融范围的依据，根据温度场，测得消融深度和消融面积。进行有限元模拟分析的结果，不同宽度子宫腔在不同电压下的温度曲线（至少应</w:t>
      </w:r>
      <w:r>
        <w:rPr>
          <w:rFonts w:ascii="仿宋_GB2312" w:cs="Times New Roman"/>
        </w:rPr>
        <w:t>包含温度最高</w:t>
      </w:r>
      <w:r>
        <w:rPr>
          <w:rFonts w:ascii="仿宋_GB2312" w:cs="Times New Roman" w:hint="eastAsia"/>
        </w:rPr>
        <w:t>和</w:t>
      </w:r>
      <w:r>
        <w:rPr>
          <w:rFonts w:ascii="仿宋_GB2312" w:cs="Times New Roman"/>
        </w:rPr>
        <w:t>最低点</w:t>
      </w:r>
      <w:r>
        <w:rPr>
          <w:rFonts w:ascii="仿宋_GB2312" w:cs="Times New Roman" w:hint="eastAsia"/>
        </w:rPr>
        <w:t>）。最终建立不同的子宫体腔尺寸（宫腔宽度和长度，以子宫体腔长度）和电压（模拟能量输出的参数），导致的不同消融结果（消融深度和消融面积）的关系</w:t>
      </w:r>
      <w:r>
        <w:rPr>
          <w:rFonts w:ascii="仿宋_GB2312" w:cs="Times New Roman"/>
        </w:rPr>
        <w:t>。</w:t>
      </w:r>
      <w:bookmarkEnd w:id="64"/>
      <w:bookmarkEnd w:id="65"/>
      <w:bookmarkEnd w:id="66"/>
      <w:bookmarkEnd w:id="67"/>
      <w:bookmarkEnd w:id="68"/>
    </w:p>
    <w:sectPr w:rsidR="00413D50">
      <w:headerReference w:type="even" r:id="rId9"/>
      <w:headerReference w:type="default" r:id="rId10"/>
      <w:footerReference w:type="even" r:id="rId11"/>
      <w:footerReference w:type="default" r:id="rId12"/>
      <w:headerReference w:type="first" r:id="rId13"/>
      <w:footerReference w:type="first" r:id="rId14"/>
      <w:pgSz w:w="11906" w:h="16838"/>
      <w:pgMar w:top="1758" w:right="1531" w:bottom="1588" w:left="1531"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913" w:rsidRDefault="002D3913">
      <w:pPr>
        <w:spacing w:line="240" w:lineRule="auto"/>
      </w:pPr>
      <w:r>
        <w:separator/>
      </w:r>
    </w:p>
  </w:endnote>
  <w:endnote w:type="continuationSeparator" w:id="0">
    <w:p w:rsidR="002D3913" w:rsidRDefault="002D3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onospace">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50" w:rsidRDefault="00413D50">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974212"/>
      <w:docPartObj>
        <w:docPartGallery w:val="AutoText"/>
      </w:docPartObj>
    </w:sdtPr>
    <w:sdtEndPr/>
    <w:sdtContent>
      <w:p w:rsidR="00413D50" w:rsidRDefault="002D3913" w:rsidP="006B2881">
        <w:pPr>
          <w:pStyle w:val="ad"/>
          <w:spacing w:line="240" w:lineRule="exact"/>
          <w:ind w:firstLine="360"/>
          <w:jc w:val="right"/>
        </w:pPr>
        <w:r>
          <w:fldChar w:fldCharType="begin"/>
        </w:r>
        <w:r>
          <w:instrText xml:space="preserve"> PAGE   \* MERGEFORMAT </w:instrText>
        </w:r>
        <w:r>
          <w:fldChar w:fldCharType="separate"/>
        </w:r>
        <w:r w:rsidR="006B2881">
          <w:rPr>
            <w:noProof/>
          </w:rPr>
          <w:t>- 19 -</w:t>
        </w:r>
        <w:r>
          <w:fldChar w:fldCharType="end"/>
        </w:r>
      </w:p>
    </w:sdtContent>
  </w:sdt>
  <w:p w:rsidR="00413D50" w:rsidRDefault="00413D50">
    <w:pPr>
      <w:pStyle w:val="ad"/>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50" w:rsidRDefault="00413D50">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913" w:rsidRDefault="002D3913">
      <w:pPr>
        <w:spacing w:line="240" w:lineRule="auto"/>
      </w:pPr>
      <w:r>
        <w:separator/>
      </w:r>
    </w:p>
  </w:footnote>
  <w:footnote w:type="continuationSeparator" w:id="0">
    <w:p w:rsidR="002D3913" w:rsidRDefault="002D39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50" w:rsidRDefault="00413D50">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50" w:rsidRDefault="00413D50">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50" w:rsidRDefault="00413D50">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7F1E3B"/>
    <w:multiLevelType w:val="singleLevel"/>
    <w:tmpl w:val="C47F1E3B"/>
    <w:lvl w:ilvl="0">
      <w:start w:val="4"/>
      <w:numFmt w:val="decimal"/>
      <w:suff w:val="space"/>
      <w:lvlText w:val="%1."/>
      <w:lvlJc w:val="left"/>
    </w:lvl>
  </w:abstractNum>
  <w:abstractNum w:abstractNumId="1" w15:restartNumberingAfterBreak="0">
    <w:nsid w:val="60A204F5"/>
    <w:multiLevelType w:val="multilevel"/>
    <w:tmpl w:val="60A204F5"/>
    <w:lvl w:ilvl="0">
      <w:start w:val="2"/>
      <w:numFmt w:val="japaneseCounting"/>
      <w:pStyle w:val="1"/>
      <w:lvlText w:val="%1、"/>
      <w:lvlJc w:val="left"/>
      <w:pPr>
        <w:ind w:left="1363" w:hanging="72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36"/>
    <w:rsid w:val="00007E47"/>
    <w:rsid w:val="0002491F"/>
    <w:rsid w:val="00082478"/>
    <w:rsid w:val="000C74D4"/>
    <w:rsid w:val="000D0CDB"/>
    <w:rsid w:val="00121B0B"/>
    <w:rsid w:val="001256D2"/>
    <w:rsid w:val="00137634"/>
    <w:rsid w:val="001804DB"/>
    <w:rsid w:val="0019766F"/>
    <w:rsid w:val="001E591D"/>
    <w:rsid w:val="001E66EB"/>
    <w:rsid w:val="001E6777"/>
    <w:rsid w:val="002559E4"/>
    <w:rsid w:val="00296F22"/>
    <w:rsid w:val="002C2EEB"/>
    <w:rsid w:val="002D3913"/>
    <w:rsid w:val="002D3949"/>
    <w:rsid w:val="003526DC"/>
    <w:rsid w:val="0039736D"/>
    <w:rsid w:val="003D1F8C"/>
    <w:rsid w:val="003E0E40"/>
    <w:rsid w:val="00413D50"/>
    <w:rsid w:val="00430465"/>
    <w:rsid w:val="004623AA"/>
    <w:rsid w:val="004909E5"/>
    <w:rsid w:val="004F797A"/>
    <w:rsid w:val="005315C7"/>
    <w:rsid w:val="0053233A"/>
    <w:rsid w:val="005F0C6A"/>
    <w:rsid w:val="006203A4"/>
    <w:rsid w:val="006A6012"/>
    <w:rsid w:val="006B2881"/>
    <w:rsid w:val="006E3B2C"/>
    <w:rsid w:val="0074571D"/>
    <w:rsid w:val="00746EDE"/>
    <w:rsid w:val="00751E32"/>
    <w:rsid w:val="00762CC1"/>
    <w:rsid w:val="0082118D"/>
    <w:rsid w:val="00824FBC"/>
    <w:rsid w:val="008618A0"/>
    <w:rsid w:val="00895F36"/>
    <w:rsid w:val="008A1C39"/>
    <w:rsid w:val="008A2910"/>
    <w:rsid w:val="009310BC"/>
    <w:rsid w:val="00946985"/>
    <w:rsid w:val="0097569B"/>
    <w:rsid w:val="009A392B"/>
    <w:rsid w:val="009E1765"/>
    <w:rsid w:val="009E176D"/>
    <w:rsid w:val="009E361F"/>
    <w:rsid w:val="00A018A3"/>
    <w:rsid w:val="00A11570"/>
    <w:rsid w:val="00A12C6F"/>
    <w:rsid w:val="00A15859"/>
    <w:rsid w:val="00A30837"/>
    <w:rsid w:val="00A33039"/>
    <w:rsid w:val="00A7266F"/>
    <w:rsid w:val="00A84CCE"/>
    <w:rsid w:val="00A858F1"/>
    <w:rsid w:val="00A87507"/>
    <w:rsid w:val="00AA1A1F"/>
    <w:rsid w:val="00B15924"/>
    <w:rsid w:val="00BC2895"/>
    <w:rsid w:val="00BC6029"/>
    <w:rsid w:val="00BF7FD9"/>
    <w:rsid w:val="00C077E1"/>
    <w:rsid w:val="00C22C13"/>
    <w:rsid w:val="00C51111"/>
    <w:rsid w:val="00C614B9"/>
    <w:rsid w:val="00D04774"/>
    <w:rsid w:val="00D17F84"/>
    <w:rsid w:val="00D21C69"/>
    <w:rsid w:val="00D3232B"/>
    <w:rsid w:val="00D814A2"/>
    <w:rsid w:val="00E05641"/>
    <w:rsid w:val="00E6642B"/>
    <w:rsid w:val="00EB440C"/>
    <w:rsid w:val="00EB689C"/>
    <w:rsid w:val="00F10A72"/>
    <w:rsid w:val="00F3248A"/>
    <w:rsid w:val="00F732D9"/>
    <w:rsid w:val="00F8690E"/>
    <w:rsid w:val="00FA59E8"/>
    <w:rsid w:val="00FD3253"/>
    <w:rsid w:val="00FE7BB8"/>
    <w:rsid w:val="4464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403D4-8E06-4A16-B15C-F795BB25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0" w:qFormat="1"/>
    <w:lsdException w:name="Emphasis" w:uiPriority="0" w:qFormat="1"/>
    <w:lsdException w:name="Document Map" w:semiHidden="1" w:uiPriority="0"/>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uiPriority="0"/>
    <w:lsdException w:name="HTML Code" w:uiPriority="0" w:qFormat="1"/>
    <w:lsdException w:name="HTML Definition" w:uiPriority="0"/>
    <w:lsdException w:name="HTML Keyboard" w:uiPriority="0" w:qFormat="1"/>
    <w:lsdException w:name="HTML Preformatted" w:semiHidden="1" w:unhideWhenUsed="1"/>
    <w:lsdException w:name="HTML Sample" w:uiPriority="0" w:qFormat="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120" w:lineRule="auto"/>
      <w:ind w:firstLineChars="200" w:firstLine="640"/>
      <w:jc w:val="both"/>
    </w:pPr>
    <w:rPr>
      <w:rFonts w:ascii="Times New Roman" w:eastAsia="仿宋_GB2312" w:hAnsi="Times New Roman" w:cs="仿宋_GB2312"/>
      <w:color w:val="000000"/>
      <w:kern w:val="2"/>
      <w:sz w:val="32"/>
      <w:szCs w:val="32"/>
    </w:rPr>
  </w:style>
  <w:style w:type="paragraph" w:styleId="1">
    <w:name w:val="heading 1"/>
    <w:basedOn w:val="2"/>
    <w:next w:val="a"/>
    <w:link w:val="10"/>
    <w:qFormat/>
    <w:pPr>
      <w:keepNext/>
      <w:keepLines/>
      <w:numPr>
        <w:numId w:val="1"/>
      </w:numPr>
      <w:spacing w:line="600" w:lineRule="exact"/>
      <w:ind w:firstLineChars="0" w:firstLine="643"/>
      <w:jc w:val="left"/>
      <w:outlineLvl w:val="0"/>
    </w:pPr>
    <w:rPr>
      <w:rFonts w:ascii="黑体" w:eastAsia="黑体" w:hAnsi="黑体" w:cs="Times New Roman"/>
      <w:bCs/>
    </w:rPr>
  </w:style>
  <w:style w:type="paragraph" w:styleId="20">
    <w:name w:val="heading 2"/>
    <w:basedOn w:val="2"/>
    <w:next w:val="a"/>
    <w:link w:val="21"/>
    <w:qFormat/>
    <w:pPr>
      <w:spacing w:line="600" w:lineRule="exact"/>
      <w:ind w:firstLine="640"/>
      <w:outlineLvl w:val="1"/>
    </w:pPr>
    <w:rPr>
      <w:rFonts w:ascii="楷体_GB2312" w:eastAsia="楷体_GB2312" w:cs="Times New Roman"/>
      <w:bCs/>
    </w:rPr>
  </w:style>
  <w:style w:type="paragraph" w:styleId="3">
    <w:name w:val="heading 3"/>
    <w:basedOn w:val="2"/>
    <w:next w:val="a"/>
    <w:link w:val="30"/>
    <w:qFormat/>
    <w:pPr>
      <w:spacing w:line="360" w:lineRule="auto"/>
      <w:ind w:firstLine="640"/>
      <w:outlineLvl w:val="2"/>
    </w:pPr>
    <w:rPr>
      <w:rFonts w:ascii="仿宋" w:hAnsi="仿宋" w:cs="仿宋"/>
    </w:rPr>
  </w:style>
  <w:style w:type="paragraph" w:styleId="4">
    <w:name w:val="heading 4"/>
    <w:basedOn w:val="2"/>
    <w:next w:val="a"/>
    <w:link w:val="40"/>
    <w:qFormat/>
    <w:pPr>
      <w:spacing w:line="360" w:lineRule="auto"/>
      <w:ind w:firstLine="640"/>
      <w:outlineLvl w:val="3"/>
    </w:pPr>
    <w:rPr>
      <w:rFonts w:ascii="仿宋" w:hAnsi="仿宋" w:cs="仿宋"/>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列出段落2"/>
    <w:basedOn w:val="a"/>
    <w:qFormat/>
    <w:pPr>
      <w:ind w:firstLine="420"/>
    </w:pPr>
  </w:style>
  <w:style w:type="paragraph" w:styleId="a3">
    <w:name w:val="annotation subject"/>
    <w:basedOn w:val="a4"/>
    <w:next w:val="a4"/>
    <w:link w:val="a5"/>
    <w:semiHidden/>
    <w:rPr>
      <w:b/>
      <w:bCs/>
    </w:rPr>
  </w:style>
  <w:style w:type="paragraph" w:styleId="a4">
    <w:name w:val="annotation text"/>
    <w:basedOn w:val="a"/>
    <w:link w:val="a6"/>
    <w:semiHidden/>
    <w:qFormat/>
    <w:pPr>
      <w:jc w:val="left"/>
    </w:pPr>
  </w:style>
  <w:style w:type="paragraph" w:styleId="a7">
    <w:name w:val="Document Map"/>
    <w:basedOn w:val="a"/>
    <w:link w:val="a8"/>
    <w:semiHidden/>
    <w:pPr>
      <w:shd w:val="clear" w:color="auto" w:fill="000080"/>
    </w:pPr>
    <w:rPr>
      <w:rFonts w:eastAsia="宋体" w:cs="Times New Roman"/>
      <w:color w:val="auto"/>
      <w:kern w:val="0"/>
      <w:sz w:val="2"/>
      <w:szCs w:val="20"/>
    </w:rPr>
  </w:style>
  <w:style w:type="paragraph" w:styleId="31">
    <w:name w:val="toc 3"/>
    <w:basedOn w:val="a"/>
    <w:next w:val="a"/>
    <w:uiPriority w:val="39"/>
    <w:qFormat/>
    <w:pPr>
      <w:widowControl/>
      <w:tabs>
        <w:tab w:val="right" w:leader="dot" w:pos="8302"/>
      </w:tabs>
      <w:spacing w:line="276" w:lineRule="auto"/>
      <w:ind w:left="1080" w:firstLineChars="0" w:hanging="2"/>
      <w:jc w:val="left"/>
    </w:pPr>
    <w:rPr>
      <w:rFonts w:ascii="Calibri" w:hAnsi="Calibri" w:cs="Calibri"/>
      <w:kern w:val="0"/>
      <w:sz w:val="22"/>
      <w:szCs w:val="22"/>
    </w:rPr>
  </w:style>
  <w:style w:type="paragraph" w:styleId="a9">
    <w:name w:val="Plain Text"/>
    <w:basedOn w:val="a"/>
    <w:link w:val="aa"/>
    <w:qFormat/>
    <w:rPr>
      <w:rFonts w:ascii="宋体" w:hAnsi="Courier New" w:cs="Courier New"/>
    </w:rPr>
  </w:style>
  <w:style w:type="paragraph" w:styleId="ab">
    <w:name w:val="Balloon Text"/>
    <w:basedOn w:val="a"/>
    <w:link w:val="ac"/>
    <w:semiHidden/>
    <w:rPr>
      <w:rFonts w:eastAsia="宋体" w:cs="Times New Roman"/>
      <w:color w:val="auto"/>
      <w:kern w:val="0"/>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widowControl/>
      <w:tabs>
        <w:tab w:val="right" w:leader="dot" w:pos="8302"/>
      </w:tabs>
      <w:spacing w:line="276" w:lineRule="auto"/>
      <w:ind w:firstLineChars="0" w:firstLine="0"/>
      <w:jc w:val="left"/>
    </w:pPr>
    <w:rPr>
      <w:rFonts w:ascii="Calibri" w:hAnsi="Calibri" w:cs="Calibri"/>
      <w:kern w:val="0"/>
      <w:sz w:val="22"/>
      <w:szCs w:val="22"/>
    </w:rPr>
  </w:style>
  <w:style w:type="paragraph" w:styleId="af1">
    <w:name w:val="footnote text"/>
    <w:basedOn w:val="a"/>
    <w:link w:val="af2"/>
    <w:semiHidden/>
    <w:qFormat/>
    <w:pPr>
      <w:snapToGrid w:val="0"/>
      <w:jc w:val="left"/>
    </w:pPr>
    <w:rPr>
      <w:sz w:val="18"/>
      <w:szCs w:val="18"/>
    </w:rPr>
  </w:style>
  <w:style w:type="paragraph" w:styleId="22">
    <w:name w:val="toc 2"/>
    <w:basedOn w:val="a"/>
    <w:next w:val="a"/>
    <w:uiPriority w:val="39"/>
    <w:pPr>
      <w:widowControl/>
      <w:tabs>
        <w:tab w:val="right" w:leader="dot" w:pos="8302"/>
      </w:tabs>
      <w:spacing w:line="276" w:lineRule="auto"/>
      <w:ind w:left="540" w:firstLineChars="0" w:firstLine="0"/>
      <w:jc w:val="left"/>
    </w:pPr>
    <w:rPr>
      <w:rFonts w:ascii="Calibri" w:hAnsi="Calibri" w:cs="Calibri"/>
      <w:kern w:val="0"/>
      <w:sz w:val="22"/>
      <w:szCs w:val="22"/>
    </w:rPr>
  </w:style>
  <w:style w:type="paragraph" w:styleId="af3">
    <w:name w:val="Normal (Web)"/>
    <w:basedOn w:val="a"/>
    <w:pPr>
      <w:jc w:val="left"/>
    </w:pPr>
    <w:rPr>
      <w:kern w:val="0"/>
      <w:sz w:val="24"/>
      <w:szCs w:val="24"/>
    </w:rPr>
  </w:style>
  <w:style w:type="paragraph" w:styleId="af4">
    <w:name w:val="Title"/>
    <w:basedOn w:val="a"/>
    <w:next w:val="a"/>
    <w:link w:val="af5"/>
    <w:uiPriority w:val="99"/>
    <w:qFormat/>
    <w:pPr>
      <w:spacing w:line="360" w:lineRule="auto"/>
      <w:jc w:val="center"/>
    </w:pPr>
    <w:rPr>
      <w:rFonts w:ascii="宋体" w:eastAsia="宋体" w:hAnsi="宋体" w:cs="Times New Roman"/>
      <w:b/>
      <w:bCs/>
      <w:color w:val="auto"/>
      <w:kern w:val="0"/>
      <w:sz w:val="36"/>
      <w:szCs w:val="36"/>
    </w:rPr>
  </w:style>
  <w:style w:type="character" w:styleId="af6">
    <w:name w:val="Strong"/>
    <w:qFormat/>
    <w:rPr>
      <w:rFonts w:cs="Times New Roman"/>
      <w:b/>
      <w:bCs/>
    </w:rPr>
  </w:style>
  <w:style w:type="character" w:styleId="af7">
    <w:name w:val="page number"/>
    <w:rPr>
      <w:rFonts w:cs="Times New Roman"/>
    </w:rPr>
  </w:style>
  <w:style w:type="character" w:styleId="af8">
    <w:name w:val="FollowedHyperlink"/>
    <w:rPr>
      <w:rFonts w:cs="Times New Roman"/>
      <w:color w:val="0000FF"/>
      <w:u w:val="none"/>
    </w:rPr>
  </w:style>
  <w:style w:type="character" w:styleId="af9">
    <w:name w:val="Emphasis"/>
    <w:qFormat/>
    <w:rPr>
      <w:rFonts w:cs="Times New Roman"/>
      <w:color w:val="auto"/>
    </w:rPr>
  </w:style>
  <w:style w:type="character" w:styleId="HTML">
    <w:name w:val="HTML Definition"/>
    <w:rPr>
      <w:rFonts w:cs="Times New Roman"/>
      <w:i/>
      <w:iCs/>
    </w:rPr>
  </w:style>
  <w:style w:type="character" w:styleId="afa">
    <w:name w:val="Hyperlink"/>
    <w:uiPriority w:val="99"/>
    <w:rPr>
      <w:rFonts w:cs="Times New Roman"/>
      <w:color w:val="0000FF"/>
      <w:u w:val="none"/>
    </w:rPr>
  </w:style>
  <w:style w:type="character" w:styleId="HTML0">
    <w:name w:val="HTML Code"/>
    <w:qFormat/>
    <w:rPr>
      <w:rFonts w:ascii="monospace" w:hAnsi="monospace" w:cs="monospace"/>
      <w:sz w:val="21"/>
      <w:szCs w:val="21"/>
    </w:rPr>
  </w:style>
  <w:style w:type="character" w:styleId="afb">
    <w:name w:val="annotation reference"/>
    <w:semiHidden/>
    <w:rPr>
      <w:sz w:val="21"/>
      <w:szCs w:val="21"/>
    </w:rPr>
  </w:style>
  <w:style w:type="character" w:styleId="HTML1">
    <w:name w:val="HTML Cite"/>
    <w:rPr>
      <w:rFonts w:cs="Times New Roman"/>
    </w:rPr>
  </w:style>
  <w:style w:type="character" w:styleId="afc">
    <w:name w:val="footnote reference"/>
    <w:semiHidden/>
    <w:qFormat/>
    <w:rPr>
      <w:vertAlign w:val="superscript"/>
    </w:rPr>
  </w:style>
  <w:style w:type="character" w:styleId="HTML2">
    <w:name w:val="HTML Keyboard"/>
    <w:qFormat/>
    <w:rPr>
      <w:rFonts w:ascii="monospace" w:hAnsi="monospace" w:cs="monospace"/>
      <w:sz w:val="21"/>
      <w:szCs w:val="21"/>
    </w:rPr>
  </w:style>
  <w:style w:type="character" w:styleId="HTML3">
    <w:name w:val="HTML Sample"/>
    <w:qFormat/>
    <w:rPr>
      <w:rFonts w:ascii="monospace" w:hAnsi="monospace" w:cs="monospace"/>
      <w:sz w:val="21"/>
      <w:szCs w:val="21"/>
    </w:rPr>
  </w:style>
  <w:style w:type="table" w:styleId="afd">
    <w:name w:val="Table Grid"/>
    <w:basedOn w:val="a1"/>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0"/>
    <w:link w:val="af"/>
    <w:rPr>
      <w:sz w:val="18"/>
      <w:szCs w:val="18"/>
    </w:rPr>
  </w:style>
  <w:style w:type="character" w:customStyle="1" w:styleId="ae">
    <w:name w:val="页脚 字符"/>
    <w:basedOn w:val="a0"/>
    <w:link w:val="ad"/>
    <w:uiPriority w:val="99"/>
    <w:rPr>
      <w:sz w:val="18"/>
      <w:szCs w:val="18"/>
    </w:rPr>
  </w:style>
  <w:style w:type="character" w:customStyle="1" w:styleId="10">
    <w:name w:val="标题 1 字符"/>
    <w:basedOn w:val="a0"/>
    <w:link w:val="1"/>
    <w:rPr>
      <w:rFonts w:ascii="黑体" w:eastAsia="黑体" w:hAnsi="黑体" w:cs="Times New Roman"/>
      <w:bCs/>
      <w:color w:val="000000"/>
      <w:sz w:val="32"/>
      <w:szCs w:val="32"/>
    </w:rPr>
  </w:style>
  <w:style w:type="character" w:customStyle="1" w:styleId="21">
    <w:name w:val="标题 2 字符"/>
    <w:basedOn w:val="a0"/>
    <w:link w:val="20"/>
    <w:qFormat/>
    <w:rPr>
      <w:rFonts w:ascii="楷体_GB2312" w:eastAsia="楷体_GB2312" w:hAnsi="Times New Roman" w:cs="Times New Roman"/>
      <w:bCs/>
      <w:color w:val="000000"/>
      <w:sz w:val="32"/>
      <w:szCs w:val="32"/>
    </w:rPr>
  </w:style>
  <w:style w:type="character" w:customStyle="1" w:styleId="30">
    <w:name w:val="标题 3 字符"/>
    <w:basedOn w:val="a0"/>
    <w:link w:val="3"/>
    <w:rPr>
      <w:rFonts w:ascii="仿宋" w:eastAsia="仿宋_GB2312" w:hAnsi="仿宋" w:cs="仿宋"/>
      <w:color w:val="000000"/>
      <w:sz w:val="32"/>
      <w:szCs w:val="32"/>
    </w:rPr>
  </w:style>
  <w:style w:type="character" w:customStyle="1" w:styleId="40">
    <w:name w:val="标题 4 字符"/>
    <w:basedOn w:val="a0"/>
    <w:link w:val="4"/>
    <w:qFormat/>
    <w:rPr>
      <w:rFonts w:ascii="仿宋" w:eastAsia="仿宋_GB2312" w:hAnsi="仿宋" w:cs="仿宋"/>
      <w:color w:val="000000"/>
      <w:sz w:val="32"/>
      <w:szCs w:val="32"/>
    </w:rPr>
  </w:style>
  <w:style w:type="paragraph" w:customStyle="1" w:styleId="Afe">
    <w:name w:val="正文 A"/>
    <w:pPr>
      <w:widowControl w:val="0"/>
      <w:spacing w:line="120" w:lineRule="auto"/>
      <w:ind w:firstLineChars="200" w:firstLine="200"/>
      <w:jc w:val="both"/>
    </w:pPr>
    <w:rPr>
      <w:rFonts w:ascii="Times New Roman" w:eastAsia="宋体" w:hAnsi="Times New Roman" w:cs="Times New Roman"/>
      <w:color w:val="000000"/>
      <w:kern w:val="2"/>
      <w:sz w:val="21"/>
      <w:szCs w:val="21"/>
    </w:rPr>
  </w:style>
  <w:style w:type="paragraph" w:customStyle="1" w:styleId="Default">
    <w:name w:val="Default"/>
    <w:qFormat/>
    <w:pPr>
      <w:widowControl w:val="0"/>
      <w:autoSpaceDE w:val="0"/>
      <w:autoSpaceDN w:val="0"/>
      <w:adjustRightInd w:val="0"/>
      <w:spacing w:line="120" w:lineRule="auto"/>
      <w:ind w:firstLineChars="200" w:firstLine="200"/>
      <w:jc w:val="center"/>
    </w:pPr>
    <w:rPr>
      <w:rFonts w:ascii="黑体" w:eastAsia="黑体" w:hAnsi="Times New Roman" w:cs="黑体"/>
      <w:color w:val="000000"/>
      <w:sz w:val="24"/>
      <w:szCs w:val="24"/>
    </w:rPr>
  </w:style>
  <w:style w:type="paragraph" w:customStyle="1" w:styleId="12">
    <w:name w:val="列出段落1"/>
    <w:basedOn w:val="a"/>
    <w:qFormat/>
    <w:pPr>
      <w:ind w:firstLine="420"/>
    </w:pPr>
  </w:style>
  <w:style w:type="paragraph" w:customStyle="1" w:styleId="aff">
    <w:name w:val="字母编号列项（一级）"/>
    <w:pPr>
      <w:spacing w:line="120" w:lineRule="auto"/>
      <w:ind w:leftChars="200" w:left="840" w:hangingChars="200" w:hanging="420"/>
      <w:jc w:val="both"/>
    </w:pPr>
    <w:rPr>
      <w:rFonts w:ascii="宋体" w:eastAsia="宋体" w:hAnsi="Times New Roman" w:cs="宋体"/>
    </w:rPr>
  </w:style>
  <w:style w:type="character" w:customStyle="1" w:styleId="small">
    <w:name w:val="small"/>
    <w:qFormat/>
    <w:rPr>
      <w:rFonts w:cs="Times New Roman"/>
      <w:b/>
      <w:bCs/>
      <w:sz w:val="21"/>
      <w:szCs w:val="21"/>
    </w:rPr>
  </w:style>
  <w:style w:type="character" w:customStyle="1" w:styleId="sr-only8">
    <w:name w:val="sr-only8"/>
    <w:qFormat/>
    <w:rPr>
      <w:rFonts w:cs="Times New Roman"/>
      <w:color w:val="000000"/>
    </w:rPr>
  </w:style>
  <w:style w:type="character" w:customStyle="1" w:styleId="icon-caret-right">
    <w:name w:val="icon-caret-right"/>
    <w:rPr>
      <w:rFonts w:cs="Times New Roman"/>
      <w:color w:val="auto"/>
    </w:rPr>
  </w:style>
  <w:style w:type="paragraph" w:customStyle="1" w:styleId="TOC1">
    <w:name w:val="TOC 标题1"/>
    <w:basedOn w:val="1"/>
    <w:next w:val="a"/>
    <w:qFormat/>
    <w:pPr>
      <w:widowControl/>
      <w:spacing w:before="480" w:line="276" w:lineRule="auto"/>
      <w:outlineLvl w:val="9"/>
    </w:pPr>
    <w:rPr>
      <w:rFonts w:ascii="Cambria" w:eastAsia="宋体" w:hAnsi="Cambria" w:cs="Cambria"/>
      <w:color w:val="365F91"/>
      <w:kern w:val="0"/>
      <w:sz w:val="28"/>
      <w:szCs w:val="28"/>
    </w:rPr>
  </w:style>
  <w:style w:type="character" w:customStyle="1" w:styleId="ac">
    <w:name w:val="批注框文本 字符"/>
    <w:basedOn w:val="a0"/>
    <w:link w:val="ab"/>
    <w:semiHidden/>
    <w:qFormat/>
    <w:rPr>
      <w:rFonts w:ascii="Times New Roman" w:eastAsia="宋体" w:hAnsi="Times New Roman" w:cs="Times New Roman"/>
      <w:kern w:val="0"/>
      <w:sz w:val="18"/>
      <w:szCs w:val="18"/>
    </w:rPr>
  </w:style>
  <w:style w:type="character" w:customStyle="1" w:styleId="af5">
    <w:name w:val="标题 字符"/>
    <w:basedOn w:val="a0"/>
    <w:link w:val="af4"/>
    <w:uiPriority w:val="99"/>
    <w:rPr>
      <w:rFonts w:ascii="宋体" w:eastAsia="宋体" w:hAnsi="宋体" w:cs="Times New Roman"/>
      <w:b/>
      <w:bCs/>
      <w:kern w:val="0"/>
      <w:sz w:val="36"/>
      <w:szCs w:val="36"/>
    </w:rPr>
  </w:style>
  <w:style w:type="character" w:customStyle="1" w:styleId="13">
    <w:name w:val="书籍标题1"/>
    <w:qFormat/>
    <w:rPr>
      <w:rFonts w:eastAsia="仿宋_GB2312" w:cs="Times New Roman"/>
      <w:b/>
      <w:bCs/>
      <w:sz w:val="52"/>
      <w:szCs w:val="52"/>
    </w:rPr>
  </w:style>
  <w:style w:type="character" w:customStyle="1" w:styleId="a8">
    <w:name w:val="文档结构图 字符"/>
    <w:basedOn w:val="a0"/>
    <w:link w:val="a7"/>
    <w:semiHidden/>
    <w:qFormat/>
    <w:rPr>
      <w:rFonts w:ascii="Times New Roman" w:eastAsia="宋体" w:hAnsi="Times New Roman" w:cs="Times New Roman"/>
      <w:kern w:val="0"/>
      <w:sz w:val="2"/>
      <w:szCs w:val="20"/>
      <w:shd w:val="clear" w:color="auto" w:fill="000080"/>
    </w:rPr>
  </w:style>
  <w:style w:type="character" w:customStyle="1" w:styleId="aa">
    <w:name w:val="纯文本 字符"/>
    <w:basedOn w:val="a0"/>
    <w:link w:val="a9"/>
    <w:rPr>
      <w:rFonts w:ascii="宋体" w:eastAsia="仿宋_GB2312" w:hAnsi="Courier New" w:cs="Courier New"/>
      <w:color w:val="000000"/>
      <w:sz w:val="32"/>
      <w:szCs w:val="32"/>
    </w:rPr>
  </w:style>
  <w:style w:type="table" w:customStyle="1" w:styleId="14">
    <w:name w:val="浅色底纹1"/>
    <w:basedOn w:val="a1"/>
    <w:uiPriority w:val="60"/>
    <w:rPr>
      <w:rFonts w:ascii="Calibri" w:eastAsia="宋体" w:hAnsi="Calibri" w:cs="Times New Roman"/>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3">
    <w:name w:val="浅色底纹2"/>
    <w:basedOn w:val="a1"/>
    <w:uiPriority w:val="60"/>
    <w:qFormat/>
    <w:rPr>
      <w:rFonts w:ascii="Calibri" w:eastAsia="宋体" w:hAnsi="Calibri" w:cs="Times New Roman"/>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24">
    <w:name w:val="书籍标题2"/>
    <w:uiPriority w:val="99"/>
    <w:qFormat/>
    <w:rPr>
      <w:b/>
      <w:bCs/>
      <w:color w:val="auto"/>
      <w:sz w:val="52"/>
      <w:szCs w:val="52"/>
    </w:rPr>
  </w:style>
  <w:style w:type="character" w:customStyle="1" w:styleId="a6">
    <w:name w:val="批注文字 字符"/>
    <w:basedOn w:val="a0"/>
    <w:link w:val="a4"/>
    <w:semiHidden/>
    <w:qFormat/>
    <w:rPr>
      <w:rFonts w:ascii="Times New Roman" w:eastAsia="仿宋_GB2312" w:hAnsi="Times New Roman" w:cs="仿宋_GB2312"/>
      <w:color w:val="000000"/>
      <w:sz w:val="32"/>
      <w:szCs w:val="32"/>
    </w:rPr>
  </w:style>
  <w:style w:type="character" w:customStyle="1" w:styleId="a5">
    <w:name w:val="批注主题 字符"/>
    <w:basedOn w:val="a6"/>
    <w:link w:val="a3"/>
    <w:semiHidden/>
    <w:qFormat/>
    <w:rPr>
      <w:rFonts w:ascii="Times New Roman" w:eastAsia="仿宋_GB2312" w:hAnsi="Times New Roman" w:cs="仿宋_GB2312"/>
      <w:b/>
      <w:bCs/>
      <w:color w:val="000000"/>
      <w:sz w:val="32"/>
      <w:szCs w:val="32"/>
    </w:rPr>
  </w:style>
  <w:style w:type="paragraph" w:customStyle="1" w:styleId="TOC2">
    <w:name w:val="TOC 标题2"/>
    <w:basedOn w:val="1"/>
    <w:next w:val="a"/>
    <w:uiPriority w:val="39"/>
    <w:qFormat/>
    <w:pPr>
      <w:widowControl/>
      <w:spacing w:before="480" w:line="276" w:lineRule="auto"/>
      <w:ind w:firstLine="0"/>
      <w:outlineLvl w:val="9"/>
    </w:pPr>
    <w:rPr>
      <w:rFonts w:ascii="Cambria" w:eastAsia="宋体" w:hAnsi="Cambria"/>
      <w:color w:val="365F91"/>
      <w:kern w:val="0"/>
      <w:sz w:val="28"/>
      <w:szCs w:val="28"/>
    </w:rPr>
  </w:style>
  <w:style w:type="character" w:customStyle="1" w:styleId="af2">
    <w:name w:val="脚注文本 字符"/>
    <w:basedOn w:val="a0"/>
    <w:link w:val="af1"/>
    <w:semiHidden/>
    <w:qFormat/>
    <w:rPr>
      <w:rFonts w:ascii="Times New Roman" w:eastAsia="仿宋_GB2312" w:hAnsi="Times New Roman" w:cs="仿宋_GB2312"/>
      <w:color w:val="000000"/>
      <w:sz w:val="18"/>
      <w:szCs w:val="18"/>
    </w:rPr>
  </w:style>
  <w:style w:type="paragraph" w:customStyle="1" w:styleId="aff0">
    <w:name w:val="样式 标题 + (中文) 宋体 自动设置"/>
    <w:basedOn w:val="af4"/>
    <w:qFormat/>
    <w:pPr>
      <w:ind w:firstLineChars="0" w:firstLine="0"/>
    </w:pPr>
    <w:rPr>
      <w:rFonts w:eastAsia="方正小标宋_GBK"/>
      <w:b w:val="0"/>
      <w:sz w:val="44"/>
      <w:szCs w:val="20"/>
    </w:rPr>
  </w:style>
  <w:style w:type="paragraph" w:styleId="aff1">
    <w:name w:val="List Paragraph"/>
    <w:basedOn w:val="a"/>
    <w:uiPriority w:val="34"/>
    <w:qFormat/>
    <w:pPr>
      <w:ind w:left="720"/>
      <w:contextualSpacing/>
    </w:pPr>
  </w:style>
  <w:style w:type="paragraph" w:customStyle="1" w:styleId="15">
    <w:name w:val="修订1"/>
    <w:hidden/>
    <w:uiPriority w:val="99"/>
    <w:semiHidden/>
    <w:qFormat/>
    <w:rPr>
      <w:rFonts w:ascii="Times New Roman" w:eastAsia="仿宋_GB2312" w:hAnsi="Times New Roman" w:cs="仿宋_GB2312"/>
      <w:color w:val="000000"/>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BF44FA-BDBA-4A02-BD20-A6342428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1297</Words>
  <Characters>7398</Characters>
  <Application>Microsoft Office Word</Application>
  <DocSecurity>0</DocSecurity>
  <Lines>61</Lines>
  <Paragraphs>17</Paragraphs>
  <ScaleCrop>false</ScaleCrop>
  <Company>CMDE</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王雅文</dc:creator>
  <cp:lastModifiedBy>贾静</cp:lastModifiedBy>
  <cp:revision>7</cp:revision>
  <cp:lastPrinted>2018-10-25T07:39:00Z</cp:lastPrinted>
  <dcterms:created xsi:type="dcterms:W3CDTF">2018-10-26T05:14:00Z</dcterms:created>
  <dcterms:modified xsi:type="dcterms:W3CDTF">2018-10-26T08:40:00Z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