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BA9" w:rsidRPr="00A1360E" w:rsidRDefault="00A41BA9" w:rsidP="00903F68">
      <w:pPr>
        <w:jc w:val="center"/>
        <w:rPr>
          <w:rFonts w:ascii="Times New Roman" w:eastAsia="方正小标宋简体" w:hAnsi="Times New Roman" w:cs="Arial"/>
          <w:color w:val="333333"/>
          <w:sz w:val="44"/>
          <w:szCs w:val="44"/>
          <w:shd w:val="clear" w:color="auto" w:fill="FFFFFF"/>
        </w:rPr>
      </w:pPr>
      <w:r w:rsidRPr="00A1360E">
        <w:rPr>
          <w:rFonts w:ascii="Times New Roman" w:eastAsia="方正小标宋简体" w:hAnsi="Times New Roman" w:cs="Arial" w:hint="eastAsia"/>
          <w:color w:val="333333"/>
          <w:sz w:val="44"/>
          <w:szCs w:val="44"/>
          <w:shd w:val="clear" w:color="auto" w:fill="FFFFFF"/>
        </w:rPr>
        <w:t>无源</w:t>
      </w:r>
      <w:r w:rsidR="00903F68" w:rsidRPr="00A1360E">
        <w:rPr>
          <w:rFonts w:ascii="Times New Roman" w:eastAsia="方正小标宋简体" w:hAnsi="Times New Roman" w:cs="Arial" w:hint="eastAsia"/>
          <w:color w:val="333333"/>
          <w:sz w:val="44"/>
          <w:szCs w:val="44"/>
          <w:shd w:val="clear" w:color="auto" w:fill="FFFFFF"/>
        </w:rPr>
        <w:t>医疗器械</w:t>
      </w:r>
      <w:r w:rsidRPr="00A1360E">
        <w:rPr>
          <w:rFonts w:ascii="Times New Roman" w:eastAsia="方正小标宋简体" w:hAnsi="Times New Roman" w:cs="Arial" w:hint="eastAsia"/>
          <w:color w:val="333333"/>
          <w:sz w:val="44"/>
          <w:szCs w:val="44"/>
          <w:shd w:val="clear" w:color="auto" w:fill="FFFFFF"/>
        </w:rPr>
        <w:t>产品原材料</w:t>
      </w:r>
      <w:r w:rsidR="004B0C21">
        <w:rPr>
          <w:rFonts w:ascii="Times New Roman" w:eastAsia="方正小标宋简体" w:hAnsi="Times New Roman" w:cs="Arial" w:hint="eastAsia"/>
          <w:color w:val="333333"/>
          <w:sz w:val="44"/>
          <w:szCs w:val="44"/>
          <w:shd w:val="clear" w:color="auto" w:fill="FFFFFF"/>
        </w:rPr>
        <w:t>变化</w:t>
      </w:r>
    </w:p>
    <w:p w:rsidR="00903F68" w:rsidRPr="00A1360E" w:rsidRDefault="00F07B6E" w:rsidP="00903F68">
      <w:pPr>
        <w:jc w:val="center"/>
        <w:rPr>
          <w:rFonts w:ascii="Times New Roman" w:eastAsia="方正小标宋简体" w:hAnsi="Times New Roman" w:cs="Arial"/>
          <w:color w:val="333333"/>
          <w:sz w:val="44"/>
          <w:szCs w:val="44"/>
          <w:shd w:val="clear" w:color="auto" w:fill="FFFFFF"/>
        </w:rPr>
      </w:pPr>
      <w:r>
        <w:rPr>
          <w:rFonts w:ascii="Times New Roman" w:eastAsia="方正小标宋简体" w:hAnsi="Times New Roman" w:cs="Arial" w:hint="eastAsia"/>
          <w:color w:val="333333"/>
          <w:sz w:val="44"/>
          <w:szCs w:val="44"/>
          <w:shd w:val="clear" w:color="auto" w:fill="FFFFFF"/>
        </w:rPr>
        <w:t>评价指南</w:t>
      </w:r>
    </w:p>
    <w:p w:rsidR="00426E8A" w:rsidRPr="00A1360E" w:rsidRDefault="00426E8A" w:rsidP="00426E8A">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医疗器械</w:t>
      </w:r>
      <w:r w:rsidR="00B54885">
        <w:rPr>
          <w:rFonts w:ascii="Times New Roman" w:eastAsia="仿宋_GB2312" w:hAnsi="Times New Roman" w:hint="eastAsia"/>
          <w:sz w:val="32"/>
          <w:szCs w:val="32"/>
        </w:rPr>
        <w:t>产品获批上市后，</w:t>
      </w:r>
      <w:r w:rsidR="00AE51E3">
        <w:rPr>
          <w:rFonts w:ascii="Times New Roman" w:eastAsia="仿宋_GB2312" w:hAnsi="Times New Roman" w:hint="eastAsia"/>
          <w:sz w:val="32"/>
          <w:szCs w:val="32"/>
        </w:rPr>
        <w:t>持证人</w:t>
      </w:r>
      <w:r w:rsidRPr="00A1360E">
        <w:rPr>
          <w:rFonts w:ascii="Times New Roman" w:eastAsia="仿宋_GB2312" w:hAnsi="Times New Roman" w:hint="eastAsia"/>
          <w:sz w:val="32"/>
          <w:szCs w:val="32"/>
        </w:rPr>
        <w:t>为</w:t>
      </w:r>
      <w:r w:rsidR="00CD2D23">
        <w:rPr>
          <w:rFonts w:ascii="Times New Roman" w:eastAsia="仿宋_GB2312" w:hAnsi="Times New Roman" w:hint="eastAsia"/>
          <w:sz w:val="32"/>
          <w:szCs w:val="32"/>
        </w:rPr>
        <w:t>进一步提高产品质量，常需要对产品的</w:t>
      </w:r>
      <w:r w:rsidR="002F7134">
        <w:rPr>
          <w:rFonts w:ascii="Times New Roman" w:eastAsia="仿宋_GB2312" w:hAnsi="Times New Roman" w:hint="eastAsia"/>
          <w:sz w:val="32"/>
          <w:szCs w:val="32"/>
        </w:rPr>
        <w:t>生产设备、原材料、生产工艺、检验方法、质量控制标准等进行</w:t>
      </w:r>
      <w:r w:rsidR="00CD2D23" w:rsidRPr="00A1360E">
        <w:rPr>
          <w:rFonts w:ascii="Times New Roman" w:eastAsia="仿宋_GB2312" w:hAnsi="Times New Roman" w:hint="eastAsia"/>
          <w:sz w:val="32"/>
          <w:szCs w:val="32"/>
        </w:rPr>
        <w:t>改变</w:t>
      </w:r>
      <w:r w:rsidR="00CD2D23">
        <w:rPr>
          <w:rFonts w:ascii="Times New Roman" w:eastAsia="仿宋_GB2312" w:hAnsi="Times New Roman" w:hint="eastAsia"/>
          <w:sz w:val="32"/>
          <w:szCs w:val="32"/>
        </w:rPr>
        <w:t>。</w:t>
      </w:r>
      <w:r w:rsidR="00AE51E3">
        <w:rPr>
          <w:rFonts w:ascii="Times New Roman" w:eastAsia="仿宋_GB2312" w:hAnsi="Times New Roman" w:hint="eastAsia"/>
          <w:sz w:val="32"/>
          <w:szCs w:val="32"/>
        </w:rPr>
        <w:t>持证人</w:t>
      </w:r>
      <w:r w:rsidR="00CD2D23" w:rsidRPr="00A1360E">
        <w:rPr>
          <w:rFonts w:ascii="Times New Roman" w:eastAsia="仿宋_GB2312" w:hAnsi="Times New Roman" w:hint="eastAsia"/>
          <w:sz w:val="32"/>
          <w:szCs w:val="32"/>
        </w:rPr>
        <w:t>建立有效的变更控制程序是确保</w:t>
      </w:r>
      <w:r w:rsidR="00B55B64">
        <w:rPr>
          <w:rFonts w:ascii="Times New Roman" w:eastAsia="仿宋_GB2312" w:hAnsi="Times New Roman" w:hint="eastAsia"/>
          <w:sz w:val="32"/>
          <w:szCs w:val="32"/>
        </w:rPr>
        <w:t>生产管理体系</w:t>
      </w:r>
      <w:r w:rsidR="00CD2D23" w:rsidRPr="00A1360E">
        <w:rPr>
          <w:rFonts w:ascii="Times New Roman" w:eastAsia="仿宋_GB2312" w:hAnsi="Times New Roman" w:hint="eastAsia"/>
          <w:sz w:val="32"/>
          <w:szCs w:val="32"/>
        </w:rPr>
        <w:t>持续改进</w:t>
      </w:r>
      <w:r w:rsidR="00CD2D23">
        <w:rPr>
          <w:rFonts w:ascii="Times New Roman" w:eastAsia="仿宋_GB2312" w:hAnsi="Times New Roman" w:hint="eastAsia"/>
          <w:sz w:val="32"/>
          <w:szCs w:val="32"/>
        </w:rPr>
        <w:t>以</w:t>
      </w:r>
      <w:r w:rsidR="002F7134">
        <w:rPr>
          <w:rFonts w:ascii="Times New Roman" w:eastAsia="仿宋_GB2312" w:hAnsi="Times New Roman" w:hint="eastAsia"/>
          <w:sz w:val="32"/>
          <w:szCs w:val="32"/>
        </w:rPr>
        <w:t>实现</w:t>
      </w:r>
      <w:r w:rsidR="00CD2D23" w:rsidRPr="00A1360E">
        <w:rPr>
          <w:rFonts w:ascii="Times New Roman" w:eastAsia="仿宋_GB2312" w:hAnsi="Times New Roman" w:hint="eastAsia"/>
          <w:sz w:val="32"/>
          <w:szCs w:val="32"/>
        </w:rPr>
        <w:t>生产高质量产品的关键</w:t>
      </w:r>
      <w:r w:rsidR="00CD2D23">
        <w:rPr>
          <w:rFonts w:ascii="Times New Roman" w:eastAsia="仿宋_GB2312" w:hAnsi="Times New Roman" w:hint="eastAsia"/>
          <w:sz w:val="32"/>
          <w:szCs w:val="32"/>
        </w:rPr>
        <w:t>，</w:t>
      </w:r>
      <w:r w:rsidR="002F7134">
        <w:rPr>
          <w:rFonts w:ascii="Times New Roman" w:eastAsia="仿宋_GB2312" w:hAnsi="Times New Roman" w:hint="eastAsia"/>
          <w:sz w:val="32"/>
          <w:szCs w:val="32"/>
        </w:rPr>
        <w:t>也是医疗器械质量管理体系中的</w:t>
      </w:r>
      <w:r w:rsidR="0037114B" w:rsidRPr="00A1360E">
        <w:rPr>
          <w:rFonts w:ascii="Times New Roman" w:eastAsia="仿宋_GB2312" w:hAnsi="Times New Roman" w:hint="eastAsia"/>
          <w:sz w:val="32"/>
          <w:szCs w:val="32"/>
        </w:rPr>
        <w:t>重要环节</w:t>
      </w:r>
      <w:r w:rsidR="00887E51">
        <w:rPr>
          <w:rFonts w:ascii="Times New Roman" w:eastAsia="仿宋_GB2312" w:hAnsi="Times New Roman" w:hint="eastAsia"/>
          <w:sz w:val="32"/>
          <w:szCs w:val="32"/>
        </w:rPr>
        <w:t>。根据</w:t>
      </w:r>
      <w:r w:rsidR="0040662B">
        <w:rPr>
          <w:rFonts w:ascii="Times New Roman" w:eastAsia="仿宋_GB2312" w:hAnsi="Times New Roman" w:hint="eastAsia"/>
          <w:sz w:val="32"/>
          <w:szCs w:val="32"/>
        </w:rPr>
        <w:t>质量管理体系</w:t>
      </w:r>
      <w:r w:rsidR="00887E51">
        <w:rPr>
          <w:rFonts w:ascii="Times New Roman" w:eastAsia="仿宋_GB2312" w:hAnsi="Times New Roman" w:hint="eastAsia"/>
          <w:sz w:val="32"/>
          <w:szCs w:val="32"/>
        </w:rPr>
        <w:t>要求，</w:t>
      </w:r>
      <w:r w:rsidR="00AE51E3">
        <w:rPr>
          <w:rFonts w:ascii="Times New Roman" w:eastAsia="仿宋_GB2312" w:hAnsi="Times New Roman" w:hint="eastAsia"/>
          <w:sz w:val="32"/>
          <w:szCs w:val="32"/>
        </w:rPr>
        <w:t>持证人</w:t>
      </w:r>
      <w:r w:rsidR="00031889">
        <w:rPr>
          <w:rFonts w:ascii="Times New Roman" w:eastAsia="仿宋_GB2312" w:hAnsi="Times New Roman" w:hint="eastAsia"/>
          <w:sz w:val="32"/>
          <w:szCs w:val="32"/>
        </w:rPr>
        <w:t>应对变化</w:t>
      </w:r>
      <w:r w:rsidR="000B0C77">
        <w:rPr>
          <w:rFonts w:ascii="Times New Roman" w:eastAsia="仿宋_GB2312" w:hAnsi="Times New Roman" w:hint="eastAsia"/>
          <w:sz w:val="32"/>
          <w:szCs w:val="32"/>
        </w:rPr>
        <w:t>对最终医疗器械产品</w:t>
      </w:r>
      <w:r w:rsidR="00FA7DCF" w:rsidRPr="00A1360E">
        <w:rPr>
          <w:rFonts w:ascii="Times New Roman" w:eastAsia="仿宋_GB2312" w:hAnsi="Times New Roman" w:hint="eastAsia"/>
          <w:sz w:val="32"/>
          <w:szCs w:val="32"/>
        </w:rPr>
        <w:t>可能</w:t>
      </w:r>
      <w:r w:rsidR="00031889">
        <w:rPr>
          <w:rFonts w:ascii="Times New Roman" w:eastAsia="仿宋_GB2312" w:hAnsi="Times New Roman" w:hint="eastAsia"/>
          <w:sz w:val="32"/>
          <w:szCs w:val="32"/>
        </w:rPr>
        <w:t>带来的影响进行充分评估，并实施有效的变更控制，以将变化</w:t>
      </w:r>
      <w:r w:rsidR="00B8413F">
        <w:rPr>
          <w:rFonts w:ascii="Times New Roman" w:eastAsia="仿宋_GB2312" w:hAnsi="Times New Roman" w:hint="eastAsia"/>
          <w:sz w:val="32"/>
          <w:szCs w:val="32"/>
        </w:rPr>
        <w:t>引起的</w:t>
      </w:r>
      <w:r w:rsidR="00FA7DCF" w:rsidRPr="00A1360E">
        <w:rPr>
          <w:rFonts w:ascii="Times New Roman" w:eastAsia="仿宋_GB2312" w:hAnsi="Times New Roman" w:hint="eastAsia"/>
          <w:sz w:val="32"/>
          <w:szCs w:val="32"/>
        </w:rPr>
        <w:t>风险降低至可接受范围。</w:t>
      </w:r>
    </w:p>
    <w:p w:rsidR="00477ED9" w:rsidRDefault="00477ED9" w:rsidP="000F2253">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一般来说，变更</w:t>
      </w:r>
      <w:r w:rsidR="00B55B64">
        <w:rPr>
          <w:rFonts w:ascii="Times New Roman" w:eastAsia="仿宋_GB2312" w:hAnsi="Times New Roman" w:hint="eastAsia"/>
          <w:sz w:val="32"/>
          <w:szCs w:val="32"/>
        </w:rPr>
        <w:t>控制</w:t>
      </w:r>
      <w:r w:rsidR="00031889">
        <w:rPr>
          <w:rFonts w:ascii="Times New Roman" w:eastAsia="仿宋_GB2312" w:hAnsi="Times New Roman" w:hint="eastAsia"/>
          <w:sz w:val="32"/>
          <w:szCs w:val="32"/>
        </w:rPr>
        <w:t>程序包括变更</w:t>
      </w:r>
      <w:r w:rsidRPr="00A1360E">
        <w:rPr>
          <w:rFonts w:ascii="Times New Roman" w:eastAsia="仿宋_GB2312" w:hAnsi="Times New Roman" w:hint="eastAsia"/>
          <w:sz w:val="32"/>
          <w:szCs w:val="32"/>
        </w:rPr>
        <w:t>的发起、分析、评审、验证、确认、审批、实施等环节，其中，根据不同</w:t>
      </w:r>
      <w:r>
        <w:rPr>
          <w:rFonts w:ascii="Times New Roman" w:eastAsia="仿宋_GB2312" w:hAnsi="Times New Roman" w:hint="eastAsia"/>
          <w:sz w:val="32"/>
          <w:szCs w:val="32"/>
        </w:rPr>
        <w:t>变化内容</w:t>
      </w:r>
      <w:r w:rsidRPr="00A1360E">
        <w:rPr>
          <w:rFonts w:ascii="Times New Roman" w:eastAsia="仿宋_GB2312" w:hAnsi="Times New Roman" w:hint="eastAsia"/>
          <w:sz w:val="32"/>
          <w:szCs w:val="32"/>
        </w:rPr>
        <w:t>进行分析、验证和确认是企业</w:t>
      </w:r>
      <w:r w:rsidR="00E83E8A">
        <w:rPr>
          <w:rFonts w:ascii="Times New Roman" w:eastAsia="仿宋_GB2312" w:hAnsi="Times New Roman" w:hint="eastAsia"/>
          <w:sz w:val="32"/>
          <w:szCs w:val="32"/>
        </w:rPr>
        <w:t>应着重完成工作，对需进行</w:t>
      </w:r>
      <w:proofErr w:type="gramStart"/>
      <w:r w:rsidR="00E83E8A">
        <w:rPr>
          <w:rFonts w:ascii="Times New Roman" w:eastAsia="仿宋_GB2312" w:hAnsi="Times New Roman" w:hint="eastAsia"/>
          <w:sz w:val="32"/>
          <w:szCs w:val="32"/>
        </w:rPr>
        <w:t>审评审批</w:t>
      </w:r>
      <w:proofErr w:type="gramEnd"/>
      <w:r w:rsidR="00E83E8A">
        <w:rPr>
          <w:rFonts w:ascii="Times New Roman" w:eastAsia="仿宋_GB2312" w:hAnsi="Times New Roman" w:hint="eastAsia"/>
          <w:sz w:val="32"/>
          <w:szCs w:val="32"/>
        </w:rPr>
        <w:t>的变更事项</w:t>
      </w:r>
      <w:r w:rsidRPr="00A1360E">
        <w:rPr>
          <w:rFonts w:ascii="Times New Roman" w:eastAsia="仿宋_GB2312" w:hAnsi="Times New Roman" w:hint="eastAsia"/>
          <w:sz w:val="32"/>
          <w:szCs w:val="32"/>
        </w:rPr>
        <w:t>，</w:t>
      </w:r>
      <w:r w:rsidR="002F7134">
        <w:rPr>
          <w:rFonts w:ascii="Times New Roman" w:eastAsia="仿宋_GB2312" w:hAnsi="Times New Roman" w:hint="eastAsia"/>
          <w:sz w:val="32"/>
          <w:szCs w:val="32"/>
        </w:rPr>
        <w:t>这</w:t>
      </w:r>
      <w:r w:rsidRPr="00A1360E">
        <w:rPr>
          <w:rFonts w:ascii="Times New Roman" w:eastAsia="仿宋_GB2312" w:hAnsi="Times New Roman" w:hint="eastAsia"/>
          <w:sz w:val="32"/>
          <w:szCs w:val="32"/>
        </w:rPr>
        <w:t>也是技术审评环节</w:t>
      </w:r>
      <w:r w:rsidR="002F7134">
        <w:rPr>
          <w:rFonts w:ascii="Times New Roman" w:eastAsia="仿宋_GB2312" w:hAnsi="Times New Roman" w:hint="eastAsia"/>
          <w:sz w:val="32"/>
          <w:szCs w:val="32"/>
        </w:rPr>
        <w:t>的</w:t>
      </w:r>
      <w:r w:rsidRPr="00A1360E">
        <w:rPr>
          <w:rFonts w:ascii="Times New Roman" w:eastAsia="仿宋_GB2312" w:hAnsi="Times New Roman" w:hint="eastAsia"/>
          <w:sz w:val="32"/>
          <w:szCs w:val="32"/>
        </w:rPr>
        <w:t>重点关注。</w:t>
      </w:r>
    </w:p>
    <w:p w:rsidR="000F2253" w:rsidRPr="00A1360E" w:rsidRDefault="0037114B" w:rsidP="000F2253">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由于</w:t>
      </w:r>
      <w:r w:rsidR="000F2253" w:rsidRPr="00A1360E">
        <w:rPr>
          <w:rFonts w:ascii="Times New Roman" w:eastAsia="仿宋_GB2312" w:hAnsi="Times New Roman" w:hint="eastAsia"/>
          <w:sz w:val="32"/>
          <w:szCs w:val="32"/>
        </w:rPr>
        <w:t>原材料是医疗器械产品实现其预期功能的重要载体，也是其安全性和有效性的重要保障</w:t>
      </w:r>
      <w:r w:rsidRPr="00A1360E">
        <w:rPr>
          <w:rFonts w:ascii="Times New Roman" w:eastAsia="仿宋_GB2312" w:hAnsi="Times New Roman" w:hint="eastAsia"/>
          <w:sz w:val="32"/>
          <w:szCs w:val="32"/>
        </w:rPr>
        <w:t>，</w:t>
      </w:r>
      <w:r w:rsidR="007E7A6B">
        <w:rPr>
          <w:rFonts w:ascii="Times New Roman" w:eastAsia="仿宋_GB2312" w:hAnsi="Times New Roman" w:hint="eastAsia"/>
          <w:sz w:val="32"/>
          <w:szCs w:val="32"/>
        </w:rPr>
        <w:t>使得</w:t>
      </w:r>
      <w:r w:rsidRPr="00A1360E">
        <w:rPr>
          <w:rFonts w:ascii="Times New Roman" w:eastAsia="仿宋_GB2312" w:hAnsi="Times New Roman" w:hint="eastAsia"/>
          <w:sz w:val="32"/>
          <w:szCs w:val="32"/>
        </w:rPr>
        <w:t>医疗器械原材料</w:t>
      </w:r>
      <w:r w:rsidR="000F2253" w:rsidRPr="00A1360E">
        <w:rPr>
          <w:rFonts w:ascii="Times New Roman" w:eastAsia="仿宋_GB2312" w:hAnsi="Times New Roman" w:hint="eastAsia"/>
          <w:sz w:val="32"/>
          <w:szCs w:val="32"/>
        </w:rPr>
        <w:t>的变更</w:t>
      </w:r>
      <w:r w:rsidRPr="00A1360E">
        <w:rPr>
          <w:rFonts w:ascii="Times New Roman" w:eastAsia="仿宋_GB2312" w:hAnsi="Times New Roman" w:hint="eastAsia"/>
          <w:sz w:val="32"/>
          <w:szCs w:val="32"/>
        </w:rPr>
        <w:t>控制</w:t>
      </w:r>
      <w:r w:rsidR="002F7134">
        <w:rPr>
          <w:rFonts w:ascii="Times New Roman" w:eastAsia="仿宋_GB2312" w:hAnsi="Times New Roman" w:hint="eastAsia"/>
          <w:sz w:val="32"/>
          <w:szCs w:val="32"/>
        </w:rPr>
        <w:t>在各项变更事项中</w:t>
      </w:r>
      <w:r w:rsidR="00477ED9">
        <w:rPr>
          <w:rFonts w:ascii="Times New Roman" w:eastAsia="仿宋_GB2312" w:hAnsi="Times New Roman" w:hint="eastAsia"/>
          <w:sz w:val="32"/>
          <w:szCs w:val="32"/>
        </w:rPr>
        <w:t>显得尤为</w:t>
      </w:r>
      <w:r w:rsidRPr="00A1360E">
        <w:rPr>
          <w:rFonts w:ascii="Times New Roman" w:eastAsia="仿宋_GB2312" w:hAnsi="Times New Roman" w:hint="eastAsia"/>
          <w:sz w:val="32"/>
          <w:szCs w:val="32"/>
        </w:rPr>
        <w:t>重要。</w:t>
      </w:r>
    </w:p>
    <w:p w:rsidR="00CE48CB" w:rsidRPr="00A1360E" w:rsidRDefault="00CE48CB" w:rsidP="00CE48CB">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本</w:t>
      </w:r>
      <w:r w:rsidR="00F07B6E">
        <w:rPr>
          <w:rFonts w:ascii="Times New Roman" w:eastAsia="仿宋_GB2312" w:hAnsi="Times New Roman" w:hint="eastAsia"/>
          <w:sz w:val="32"/>
          <w:szCs w:val="32"/>
        </w:rPr>
        <w:t>指南</w:t>
      </w:r>
      <w:r w:rsidRPr="00A1360E">
        <w:rPr>
          <w:rFonts w:ascii="Times New Roman" w:eastAsia="仿宋_GB2312" w:hAnsi="Times New Roman" w:hint="eastAsia"/>
          <w:sz w:val="32"/>
          <w:szCs w:val="32"/>
        </w:rPr>
        <w:t>旨在给出系统的、具有指导意义的</w:t>
      </w:r>
      <w:r w:rsidR="002F7134">
        <w:rPr>
          <w:rFonts w:ascii="Times New Roman" w:eastAsia="仿宋_GB2312" w:hAnsi="Times New Roman" w:hint="eastAsia"/>
          <w:sz w:val="32"/>
          <w:szCs w:val="32"/>
        </w:rPr>
        <w:t>无源医疗器械</w:t>
      </w:r>
      <w:r w:rsidR="00BA71DE" w:rsidRPr="00A1360E">
        <w:rPr>
          <w:rFonts w:ascii="Times New Roman" w:eastAsia="仿宋_GB2312" w:hAnsi="Times New Roman" w:hint="eastAsia"/>
          <w:sz w:val="32"/>
          <w:szCs w:val="32"/>
        </w:rPr>
        <w:t>产品</w:t>
      </w:r>
      <w:r w:rsidR="000B0C77">
        <w:rPr>
          <w:rFonts w:ascii="Times New Roman" w:eastAsia="仿宋_GB2312" w:hAnsi="Times New Roman" w:hint="eastAsia"/>
          <w:sz w:val="32"/>
          <w:szCs w:val="32"/>
        </w:rPr>
        <w:t>原</w:t>
      </w:r>
      <w:r w:rsidR="00BA71DE" w:rsidRPr="00A1360E">
        <w:rPr>
          <w:rFonts w:ascii="Times New Roman" w:eastAsia="仿宋_GB2312" w:hAnsi="Times New Roman" w:hint="eastAsia"/>
          <w:sz w:val="32"/>
          <w:szCs w:val="32"/>
        </w:rPr>
        <w:t>材料</w:t>
      </w:r>
      <w:r w:rsidR="00DD0BB8">
        <w:rPr>
          <w:rFonts w:ascii="Times New Roman" w:eastAsia="仿宋_GB2312" w:hAnsi="Times New Roman" w:hint="eastAsia"/>
          <w:sz w:val="32"/>
          <w:szCs w:val="32"/>
        </w:rPr>
        <w:t>变化</w:t>
      </w:r>
      <w:r w:rsidR="002F7134">
        <w:rPr>
          <w:rFonts w:ascii="Times New Roman" w:eastAsia="仿宋_GB2312" w:hAnsi="Times New Roman" w:hint="eastAsia"/>
          <w:sz w:val="32"/>
          <w:szCs w:val="32"/>
        </w:rPr>
        <w:t>进行</w:t>
      </w:r>
      <w:r w:rsidR="000B0C77">
        <w:rPr>
          <w:rFonts w:ascii="Times New Roman" w:eastAsia="仿宋_GB2312" w:hAnsi="Times New Roman" w:hint="eastAsia"/>
          <w:sz w:val="32"/>
          <w:szCs w:val="32"/>
        </w:rPr>
        <w:t>风险分析</w:t>
      </w:r>
      <w:r w:rsidR="00BA71DE" w:rsidRPr="00A1360E">
        <w:rPr>
          <w:rFonts w:ascii="Times New Roman" w:eastAsia="仿宋_GB2312" w:hAnsi="Times New Roman" w:hint="eastAsia"/>
          <w:sz w:val="32"/>
          <w:szCs w:val="32"/>
        </w:rPr>
        <w:t>的</w:t>
      </w:r>
      <w:r w:rsidRPr="00A1360E">
        <w:rPr>
          <w:rFonts w:ascii="Times New Roman" w:eastAsia="仿宋_GB2312" w:hAnsi="Times New Roman" w:hint="eastAsia"/>
          <w:sz w:val="32"/>
          <w:szCs w:val="32"/>
        </w:rPr>
        <w:t>指南性文件，用于指导</w:t>
      </w:r>
      <w:r w:rsidR="00AE51E3">
        <w:rPr>
          <w:rFonts w:ascii="Times New Roman" w:eastAsia="仿宋_GB2312" w:hAnsi="Times New Roman" w:hint="eastAsia"/>
          <w:sz w:val="32"/>
          <w:szCs w:val="32"/>
        </w:rPr>
        <w:t>持证人</w:t>
      </w:r>
      <w:r w:rsidRPr="00A1360E">
        <w:rPr>
          <w:rFonts w:ascii="Times New Roman" w:eastAsia="仿宋_GB2312" w:hAnsi="Times New Roman" w:hint="eastAsia"/>
          <w:sz w:val="32"/>
          <w:szCs w:val="32"/>
        </w:rPr>
        <w:t>规范相关产品的研究开发</w:t>
      </w:r>
      <w:r w:rsidR="00B55B64">
        <w:rPr>
          <w:rFonts w:ascii="Times New Roman" w:eastAsia="仿宋_GB2312" w:hAnsi="Times New Roman" w:hint="eastAsia"/>
          <w:sz w:val="32"/>
          <w:szCs w:val="32"/>
        </w:rPr>
        <w:t>、</w:t>
      </w:r>
      <w:r w:rsidRPr="00A1360E">
        <w:rPr>
          <w:rFonts w:ascii="Times New Roman" w:eastAsia="仿宋_GB2312" w:hAnsi="Times New Roman" w:hint="eastAsia"/>
          <w:sz w:val="32"/>
          <w:szCs w:val="32"/>
        </w:rPr>
        <w:t>注册申报</w:t>
      </w:r>
      <w:r w:rsidR="00B55B64">
        <w:rPr>
          <w:rFonts w:ascii="Times New Roman" w:eastAsia="仿宋_GB2312" w:hAnsi="Times New Roman" w:hint="eastAsia"/>
          <w:sz w:val="32"/>
          <w:szCs w:val="32"/>
        </w:rPr>
        <w:t>及质量控制</w:t>
      </w:r>
      <w:r w:rsidRPr="00A1360E">
        <w:rPr>
          <w:rFonts w:ascii="Times New Roman" w:eastAsia="仿宋_GB2312" w:hAnsi="Times New Roman" w:hint="eastAsia"/>
          <w:sz w:val="32"/>
          <w:szCs w:val="32"/>
        </w:rPr>
        <w:t>，同时也用于指导监管部门对相关</w:t>
      </w:r>
      <w:r w:rsidR="00477ED9">
        <w:rPr>
          <w:rFonts w:ascii="Times New Roman" w:eastAsia="仿宋_GB2312" w:hAnsi="Times New Roman" w:hint="eastAsia"/>
          <w:sz w:val="32"/>
          <w:szCs w:val="32"/>
        </w:rPr>
        <w:t>原材料变更</w:t>
      </w:r>
      <w:r w:rsidR="00B55B64">
        <w:rPr>
          <w:rFonts w:ascii="Times New Roman" w:eastAsia="仿宋_GB2312" w:hAnsi="Times New Roman" w:hint="eastAsia"/>
          <w:sz w:val="32"/>
          <w:szCs w:val="32"/>
        </w:rPr>
        <w:t>引起的变更申请</w:t>
      </w:r>
      <w:r w:rsidR="00477ED9">
        <w:rPr>
          <w:rFonts w:ascii="Times New Roman" w:eastAsia="仿宋_GB2312" w:hAnsi="Times New Roman" w:hint="eastAsia"/>
          <w:sz w:val="32"/>
          <w:szCs w:val="32"/>
        </w:rPr>
        <w:t>的</w:t>
      </w:r>
      <w:r w:rsidRPr="00A1360E">
        <w:rPr>
          <w:rFonts w:ascii="Times New Roman" w:eastAsia="仿宋_GB2312" w:hAnsi="Times New Roman" w:hint="eastAsia"/>
          <w:sz w:val="32"/>
          <w:szCs w:val="32"/>
        </w:rPr>
        <w:t>注</w:t>
      </w:r>
      <w:r w:rsidRPr="00A1360E">
        <w:rPr>
          <w:rFonts w:ascii="Times New Roman" w:eastAsia="仿宋_GB2312" w:hAnsi="Times New Roman" w:hint="eastAsia"/>
          <w:sz w:val="32"/>
          <w:szCs w:val="32"/>
        </w:rPr>
        <w:lastRenderedPageBreak/>
        <w:t>册审评。</w:t>
      </w:r>
    </w:p>
    <w:p w:rsidR="00CE48CB" w:rsidRPr="00A1360E" w:rsidRDefault="00CE48CB" w:rsidP="00CE48CB">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本</w:t>
      </w:r>
      <w:r w:rsidR="00F07B6E">
        <w:rPr>
          <w:rFonts w:ascii="Times New Roman" w:eastAsia="仿宋_GB2312" w:hAnsi="Times New Roman" w:hint="eastAsia"/>
          <w:sz w:val="32"/>
          <w:szCs w:val="32"/>
        </w:rPr>
        <w:t>指南</w:t>
      </w:r>
      <w:r w:rsidRPr="00A1360E">
        <w:rPr>
          <w:rFonts w:ascii="Times New Roman" w:eastAsia="仿宋_GB2312" w:hAnsi="Times New Roman" w:hint="eastAsia"/>
          <w:sz w:val="32"/>
          <w:szCs w:val="32"/>
        </w:rPr>
        <w:t>系对</w:t>
      </w:r>
      <w:r w:rsidR="004F7A51">
        <w:rPr>
          <w:rFonts w:ascii="Times New Roman" w:eastAsia="仿宋_GB2312" w:hAnsi="Times New Roman" w:hint="eastAsia"/>
          <w:sz w:val="32"/>
          <w:szCs w:val="32"/>
        </w:rPr>
        <w:t>无源</w:t>
      </w:r>
      <w:r w:rsidR="000B0C77">
        <w:rPr>
          <w:rFonts w:ascii="Times New Roman" w:eastAsia="仿宋_GB2312" w:hAnsi="Times New Roman" w:hint="eastAsia"/>
          <w:sz w:val="32"/>
          <w:szCs w:val="32"/>
        </w:rPr>
        <w:t>医疗器械产品</w:t>
      </w:r>
      <w:r w:rsidR="00BA71DE" w:rsidRPr="00A1360E">
        <w:rPr>
          <w:rFonts w:ascii="Times New Roman" w:eastAsia="仿宋_GB2312" w:hAnsi="Times New Roman" w:hint="eastAsia"/>
          <w:sz w:val="32"/>
          <w:szCs w:val="32"/>
        </w:rPr>
        <w:t>原材料</w:t>
      </w:r>
      <w:r w:rsidR="00DD0BB8">
        <w:rPr>
          <w:rFonts w:ascii="Times New Roman" w:eastAsia="仿宋_GB2312" w:hAnsi="Times New Roman" w:hint="eastAsia"/>
          <w:sz w:val="32"/>
          <w:szCs w:val="32"/>
        </w:rPr>
        <w:t>变化</w:t>
      </w:r>
      <w:r w:rsidRPr="00A1360E">
        <w:rPr>
          <w:rFonts w:ascii="Times New Roman" w:eastAsia="仿宋_GB2312" w:hAnsi="Times New Roman" w:hint="eastAsia"/>
          <w:sz w:val="32"/>
          <w:szCs w:val="32"/>
        </w:rPr>
        <w:t>的一般</w:t>
      </w:r>
      <w:r w:rsidR="00CF2D08">
        <w:rPr>
          <w:rFonts w:ascii="Times New Roman" w:eastAsia="仿宋_GB2312" w:hAnsi="Times New Roman" w:hint="eastAsia"/>
          <w:sz w:val="32"/>
          <w:szCs w:val="32"/>
        </w:rPr>
        <w:t>评价流程</w:t>
      </w:r>
      <w:r w:rsidRPr="00A1360E">
        <w:rPr>
          <w:rFonts w:ascii="Times New Roman" w:eastAsia="仿宋_GB2312" w:hAnsi="Times New Roman" w:hint="eastAsia"/>
          <w:sz w:val="32"/>
          <w:szCs w:val="32"/>
        </w:rPr>
        <w:t>，</w:t>
      </w:r>
      <w:r w:rsidR="00CF2D08">
        <w:rPr>
          <w:rFonts w:ascii="Times New Roman" w:eastAsia="仿宋_GB2312" w:hAnsi="Times New Roman" w:hint="eastAsia"/>
          <w:sz w:val="32"/>
          <w:szCs w:val="32"/>
        </w:rPr>
        <w:t>并结合相关示例进行概述，</w:t>
      </w:r>
      <w:r w:rsidR="00AE51E3">
        <w:rPr>
          <w:rFonts w:ascii="Times New Roman" w:eastAsia="仿宋_GB2312" w:hAnsi="Times New Roman" w:hint="eastAsia"/>
          <w:sz w:val="32"/>
          <w:szCs w:val="32"/>
        </w:rPr>
        <w:t>持证人</w:t>
      </w:r>
      <w:r w:rsidRPr="00A1360E">
        <w:rPr>
          <w:rFonts w:ascii="Times New Roman" w:eastAsia="仿宋_GB2312" w:hAnsi="Times New Roman" w:hint="eastAsia"/>
          <w:sz w:val="32"/>
          <w:szCs w:val="32"/>
        </w:rPr>
        <w:t>应依据具体产品的特性对注册申报资料的内容进行充实和细化</w:t>
      </w:r>
      <w:r w:rsidR="000B0C77">
        <w:rPr>
          <w:rFonts w:ascii="Times New Roman" w:eastAsia="仿宋_GB2312" w:hAnsi="Times New Roman" w:hint="eastAsia"/>
          <w:sz w:val="32"/>
          <w:szCs w:val="32"/>
        </w:rPr>
        <w:t>，</w:t>
      </w:r>
      <w:r w:rsidRPr="00A1360E">
        <w:rPr>
          <w:rFonts w:ascii="Times New Roman" w:eastAsia="仿宋_GB2312" w:hAnsi="Times New Roman" w:hint="eastAsia"/>
          <w:sz w:val="32"/>
          <w:szCs w:val="32"/>
        </w:rPr>
        <w:t>还应依据具体产品的特性确定其中的具体内容是否适用，若不适用，需详细阐述其理由及相应的科学依据。</w:t>
      </w:r>
    </w:p>
    <w:p w:rsidR="00CE48CB" w:rsidRPr="00A1360E" w:rsidRDefault="00CE48CB" w:rsidP="00CE48CB">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本</w:t>
      </w:r>
      <w:r w:rsidR="00F07B6E">
        <w:rPr>
          <w:rFonts w:ascii="Times New Roman" w:eastAsia="仿宋_GB2312" w:hAnsi="Times New Roman" w:hint="eastAsia"/>
          <w:sz w:val="32"/>
          <w:szCs w:val="32"/>
        </w:rPr>
        <w:t>指南</w:t>
      </w:r>
      <w:r w:rsidRPr="00A1360E">
        <w:rPr>
          <w:rFonts w:ascii="Times New Roman" w:eastAsia="仿宋_GB2312" w:hAnsi="Times New Roman" w:hint="eastAsia"/>
          <w:sz w:val="32"/>
          <w:szCs w:val="32"/>
        </w:rPr>
        <w:t>是对</w:t>
      </w:r>
      <w:r w:rsidR="00AE51E3">
        <w:rPr>
          <w:rFonts w:ascii="Times New Roman" w:eastAsia="仿宋_GB2312" w:hAnsi="Times New Roman" w:hint="eastAsia"/>
          <w:sz w:val="32"/>
          <w:szCs w:val="32"/>
        </w:rPr>
        <w:t>持证人</w:t>
      </w:r>
      <w:r w:rsidRPr="00A1360E">
        <w:rPr>
          <w:rFonts w:ascii="Times New Roman" w:eastAsia="仿宋_GB2312" w:hAnsi="Times New Roman" w:hint="eastAsia"/>
          <w:sz w:val="32"/>
          <w:szCs w:val="32"/>
        </w:rPr>
        <w:t>和审查人员的指导性文件，不包括注册审批所涉及的行政事项，亦不作为法规强制执行，如果有能够满足相关法规要求的其它方法，也可以采用，但是需要提供详细的研究资料和验证资料。应在遵循相关法规的前提下使用本</w:t>
      </w:r>
      <w:r w:rsidR="00F07B6E">
        <w:rPr>
          <w:rFonts w:ascii="Times New Roman" w:eastAsia="仿宋_GB2312" w:hAnsi="Times New Roman" w:hint="eastAsia"/>
          <w:sz w:val="32"/>
          <w:szCs w:val="32"/>
        </w:rPr>
        <w:t>指南</w:t>
      </w:r>
      <w:r w:rsidRPr="00A1360E">
        <w:rPr>
          <w:rFonts w:ascii="Times New Roman" w:eastAsia="仿宋_GB2312" w:hAnsi="Times New Roman" w:hint="eastAsia"/>
          <w:sz w:val="32"/>
          <w:szCs w:val="32"/>
        </w:rPr>
        <w:t>。</w:t>
      </w:r>
    </w:p>
    <w:p w:rsidR="00EE79BF" w:rsidRPr="00A1360E" w:rsidRDefault="00CE48CB" w:rsidP="00CE48CB">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本</w:t>
      </w:r>
      <w:r w:rsidR="00F07B6E">
        <w:rPr>
          <w:rFonts w:ascii="Times New Roman" w:eastAsia="仿宋_GB2312" w:hAnsi="Times New Roman" w:hint="eastAsia"/>
          <w:sz w:val="32"/>
          <w:szCs w:val="32"/>
        </w:rPr>
        <w:t>指南</w:t>
      </w:r>
      <w:r w:rsidRPr="00A1360E">
        <w:rPr>
          <w:rFonts w:ascii="Times New Roman" w:eastAsia="仿宋_GB2312" w:hAnsi="Times New Roman" w:hint="eastAsia"/>
          <w:sz w:val="32"/>
          <w:szCs w:val="32"/>
        </w:rPr>
        <w:t>是在现行法规和标准体系以及当前认知水平下制订的，随着法规和标准的不断完善，以及科学技术的不断发展，本</w:t>
      </w:r>
      <w:r w:rsidR="00F07B6E">
        <w:rPr>
          <w:rFonts w:ascii="Times New Roman" w:eastAsia="仿宋_GB2312" w:hAnsi="Times New Roman" w:hint="eastAsia"/>
          <w:sz w:val="32"/>
          <w:szCs w:val="32"/>
        </w:rPr>
        <w:t>指南</w:t>
      </w:r>
      <w:r w:rsidRPr="00A1360E">
        <w:rPr>
          <w:rFonts w:ascii="Times New Roman" w:eastAsia="仿宋_GB2312" w:hAnsi="Times New Roman" w:hint="eastAsia"/>
          <w:sz w:val="32"/>
          <w:szCs w:val="32"/>
        </w:rPr>
        <w:t>相关内容也将进行</w:t>
      </w:r>
      <w:r w:rsidR="00E67A1E">
        <w:rPr>
          <w:rFonts w:ascii="Times New Roman" w:eastAsia="仿宋_GB2312" w:hAnsi="Times New Roman" w:hint="eastAsia"/>
          <w:sz w:val="32"/>
          <w:szCs w:val="32"/>
        </w:rPr>
        <w:t>适当</w:t>
      </w:r>
      <w:r w:rsidRPr="00A1360E">
        <w:rPr>
          <w:rFonts w:ascii="Times New Roman" w:eastAsia="仿宋_GB2312" w:hAnsi="Times New Roman" w:hint="eastAsia"/>
          <w:sz w:val="32"/>
          <w:szCs w:val="32"/>
        </w:rPr>
        <w:t>的调整。</w:t>
      </w:r>
    </w:p>
    <w:p w:rsidR="004551BA" w:rsidRPr="00A1360E" w:rsidRDefault="004551BA" w:rsidP="006456A7">
      <w:pPr>
        <w:ind w:firstLineChars="200" w:firstLine="640"/>
        <w:rPr>
          <w:rFonts w:ascii="Times New Roman" w:eastAsia="黑体" w:hAnsi="Times New Roman"/>
          <w:sz w:val="32"/>
          <w:szCs w:val="32"/>
        </w:rPr>
      </w:pPr>
      <w:r w:rsidRPr="00A1360E">
        <w:rPr>
          <w:rFonts w:ascii="Times New Roman" w:eastAsia="黑体" w:hAnsi="黑体" w:hint="eastAsia"/>
          <w:sz w:val="32"/>
          <w:szCs w:val="32"/>
        </w:rPr>
        <w:t>一、</w:t>
      </w:r>
      <w:r w:rsidR="0011718F" w:rsidRPr="00A1360E">
        <w:rPr>
          <w:rFonts w:ascii="Times New Roman" w:eastAsia="黑体" w:hAnsi="黑体" w:hint="eastAsia"/>
          <w:sz w:val="32"/>
          <w:szCs w:val="32"/>
        </w:rPr>
        <w:t>适用范围</w:t>
      </w:r>
    </w:p>
    <w:p w:rsidR="006456A7" w:rsidRPr="00A1360E" w:rsidRDefault="006456A7" w:rsidP="006456A7">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本</w:t>
      </w:r>
      <w:r w:rsidR="00F07B6E">
        <w:rPr>
          <w:rFonts w:ascii="Times New Roman" w:eastAsia="仿宋_GB2312" w:hAnsi="Times New Roman" w:hint="eastAsia"/>
          <w:sz w:val="32"/>
          <w:szCs w:val="32"/>
        </w:rPr>
        <w:t>指南</w:t>
      </w:r>
      <w:r w:rsidR="00047224" w:rsidRPr="00A1360E">
        <w:rPr>
          <w:rFonts w:ascii="Times New Roman" w:eastAsia="仿宋_GB2312" w:hAnsi="Times New Roman" w:hint="eastAsia"/>
          <w:sz w:val="32"/>
          <w:szCs w:val="32"/>
        </w:rPr>
        <w:t>仅针对无源医疗器械产品原材料</w:t>
      </w:r>
      <w:r w:rsidR="00DD0BB8">
        <w:rPr>
          <w:rFonts w:ascii="Times New Roman" w:eastAsia="仿宋_GB2312" w:hAnsi="Times New Roman" w:hint="eastAsia"/>
          <w:sz w:val="32"/>
          <w:szCs w:val="32"/>
        </w:rPr>
        <w:t>变化</w:t>
      </w:r>
      <w:r w:rsidR="00047224" w:rsidRPr="00A1360E">
        <w:rPr>
          <w:rFonts w:ascii="Times New Roman" w:eastAsia="仿宋_GB2312" w:hAnsi="Times New Roman" w:hint="eastAsia"/>
          <w:sz w:val="32"/>
          <w:szCs w:val="32"/>
        </w:rPr>
        <w:t>的要求，</w:t>
      </w:r>
      <w:r w:rsidRPr="00A1360E">
        <w:rPr>
          <w:rFonts w:ascii="Times New Roman" w:eastAsia="仿宋_GB2312" w:hAnsi="Times New Roman" w:hint="eastAsia"/>
          <w:sz w:val="32"/>
          <w:szCs w:val="32"/>
        </w:rPr>
        <w:t>不适用于</w:t>
      </w:r>
      <w:r w:rsidR="00047224" w:rsidRPr="00A1360E">
        <w:rPr>
          <w:rFonts w:ascii="Times New Roman" w:eastAsia="仿宋_GB2312" w:hAnsi="Times New Roman" w:hint="eastAsia"/>
          <w:sz w:val="32"/>
          <w:szCs w:val="32"/>
        </w:rPr>
        <w:t>无源医疗器械产品的适用范围、规格型号等</w:t>
      </w:r>
      <w:r w:rsidR="005F0DDA" w:rsidRPr="00A1360E">
        <w:rPr>
          <w:rFonts w:ascii="Times New Roman" w:eastAsia="仿宋_GB2312" w:hAnsi="Times New Roman" w:hint="eastAsia"/>
          <w:sz w:val="32"/>
          <w:szCs w:val="32"/>
        </w:rPr>
        <w:t>非</w:t>
      </w:r>
      <w:r w:rsidR="000B0C77">
        <w:rPr>
          <w:rFonts w:ascii="Times New Roman" w:eastAsia="仿宋_GB2312" w:hAnsi="Times New Roman" w:hint="eastAsia"/>
          <w:sz w:val="32"/>
          <w:szCs w:val="32"/>
        </w:rPr>
        <w:t>原</w:t>
      </w:r>
      <w:r w:rsidR="005F0DDA" w:rsidRPr="00A1360E">
        <w:rPr>
          <w:rFonts w:ascii="Times New Roman" w:eastAsia="仿宋_GB2312" w:hAnsi="Times New Roman" w:hint="eastAsia"/>
          <w:sz w:val="32"/>
          <w:szCs w:val="32"/>
        </w:rPr>
        <w:t>材料</w:t>
      </w:r>
      <w:r w:rsidR="000B0C77">
        <w:rPr>
          <w:rFonts w:ascii="Times New Roman" w:eastAsia="仿宋_GB2312" w:hAnsi="Times New Roman" w:hint="eastAsia"/>
          <w:sz w:val="32"/>
          <w:szCs w:val="32"/>
        </w:rPr>
        <w:t>改变</w:t>
      </w:r>
      <w:r w:rsidR="00047224" w:rsidRPr="00A1360E">
        <w:rPr>
          <w:rFonts w:ascii="Times New Roman" w:eastAsia="仿宋_GB2312" w:hAnsi="Times New Roman" w:hint="eastAsia"/>
          <w:sz w:val="32"/>
          <w:szCs w:val="32"/>
        </w:rPr>
        <w:t>的其他变更，也不适用于</w:t>
      </w:r>
      <w:r w:rsidRPr="00A1360E">
        <w:rPr>
          <w:rFonts w:ascii="Times New Roman" w:eastAsia="仿宋_GB2312" w:hAnsi="Times New Roman" w:hint="eastAsia"/>
          <w:sz w:val="32"/>
          <w:szCs w:val="32"/>
        </w:rPr>
        <w:t>有源医疗器械及诊断试剂产品。</w:t>
      </w:r>
    </w:p>
    <w:p w:rsidR="00135D1F" w:rsidRPr="00A1360E" w:rsidRDefault="00135D1F" w:rsidP="006456A7">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其他</w:t>
      </w:r>
      <w:r w:rsidR="00E67A1E">
        <w:rPr>
          <w:rFonts w:ascii="Times New Roman" w:eastAsia="仿宋_GB2312" w:hAnsi="Times New Roman" w:hint="eastAsia"/>
          <w:sz w:val="32"/>
          <w:szCs w:val="32"/>
        </w:rPr>
        <w:t>因</w:t>
      </w:r>
      <w:r w:rsidRPr="00A1360E">
        <w:rPr>
          <w:rFonts w:ascii="Times New Roman" w:eastAsia="仿宋_GB2312" w:hAnsi="Times New Roman" w:hint="eastAsia"/>
          <w:sz w:val="32"/>
          <w:szCs w:val="32"/>
        </w:rPr>
        <w:t>生产工艺的改变</w:t>
      </w:r>
      <w:r w:rsidR="00E67A1E">
        <w:rPr>
          <w:rFonts w:ascii="Times New Roman" w:eastAsia="仿宋_GB2312" w:hAnsi="Times New Roman" w:hint="eastAsia"/>
          <w:sz w:val="32"/>
          <w:szCs w:val="32"/>
        </w:rPr>
        <w:t>而带来最终产品的</w:t>
      </w:r>
      <w:r w:rsidR="00E67A1E" w:rsidRPr="00A1360E">
        <w:rPr>
          <w:rFonts w:ascii="Times New Roman" w:eastAsia="仿宋_GB2312" w:hAnsi="Times New Roman" w:hint="eastAsia"/>
          <w:sz w:val="32"/>
          <w:szCs w:val="32"/>
        </w:rPr>
        <w:t>生物相容性和物理特性等</w:t>
      </w:r>
      <w:r w:rsidR="00E67A1E">
        <w:rPr>
          <w:rFonts w:ascii="Times New Roman" w:eastAsia="仿宋_GB2312" w:hAnsi="Times New Roman" w:hint="eastAsia"/>
          <w:sz w:val="32"/>
          <w:szCs w:val="32"/>
        </w:rPr>
        <w:t>的改变，</w:t>
      </w:r>
      <w:r w:rsidR="00DD0A6D">
        <w:rPr>
          <w:rFonts w:ascii="Times New Roman" w:eastAsia="仿宋_GB2312" w:hAnsi="Times New Roman" w:hint="eastAsia"/>
          <w:sz w:val="32"/>
          <w:szCs w:val="32"/>
        </w:rPr>
        <w:t>也可以参考本指南</w:t>
      </w:r>
      <w:r w:rsidR="00E67A1E" w:rsidRPr="00A1360E">
        <w:rPr>
          <w:rFonts w:ascii="Times New Roman" w:eastAsia="仿宋_GB2312" w:hAnsi="Times New Roman" w:hint="eastAsia"/>
          <w:sz w:val="32"/>
          <w:szCs w:val="32"/>
        </w:rPr>
        <w:t>执行</w:t>
      </w:r>
      <w:r w:rsidR="00CF2D08">
        <w:rPr>
          <w:rFonts w:ascii="Times New Roman" w:eastAsia="仿宋_GB2312" w:hAnsi="Times New Roman" w:hint="eastAsia"/>
          <w:sz w:val="32"/>
          <w:szCs w:val="32"/>
        </w:rPr>
        <w:t>，</w:t>
      </w:r>
      <w:r w:rsidR="00D944D1" w:rsidRPr="00A1360E">
        <w:rPr>
          <w:rFonts w:ascii="Times New Roman" w:eastAsia="仿宋_GB2312" w:hAnsi="Times New Roman" w:hint="eastAsia"/>
          <w:sz w:val="32"/>
          <w:szCs w:val="32"/>
        </w:rPr>
        <w:t>比如</w:t>
      </w:r>
      <w:r w:rsidR="000B0C77" w:rsidRPr="00A1360E">
        <w:rPr>
          <w:rFonts w:ascii="Times New Roman" w:eastAsia="仿宋_GB2312" w:hAnsi="Times New Roman" w:hint="eastAsia"/>
          <w:sz w:val="32"/>
          <w:szCs w:val="32"/>
        </w:rPr>
        <w:t>对金属</w:t>
      </w:r>
      <w:r w:rsidR="003D2258">
        <w:rPr>
          <w:rFonts w:ascii="Times New Roman" w:eastAsia="仿宋_GB2312" w:hAnsi="Times New Roman" w:hint="eastAsia"/>
          <w:sz w:val="32"/>
          <w:szCs w:val="32"/>
        </w:rPr>
        <w:t>骨科</w:t>
      </w:r>
      <w:r w:rsidR="000B0C77" w:rsidRPr="00A1360E">
        <w:rPr>
          <w:rFonts w:ascii="Times New Roman" w:eastAsia="仿宋_GB2312" w:hAnsi="Times New Roman" w:hint="eastAsia"/>
          <w:sz w:val="32"/>
          <w:szCs w:val="32"/>
        </w:rPr>
        <w:t>材料</w:t>
      </w:r>
      <w:r w:rsidR="00CF2D08">
        <w:rPr>
          <w:rFonts w:ascii="Times New Roman" w:eastAsia="仿宋_GB2312" w:hAnsi="Times New Roman" w:hint="eastAsia"/>
          <w:sz w:val="32"/>
          <w:szCs w:val="32"/>
        </w:rPr>
        <w:t>喷砂</w:t>
      </w:r>
      <w:r w:rsidR="000B0C77" w:rsidRPr="00A1360E">
        <w:rPr>
          <w:rFonts w:ascii="Times New Roman" w:eastAsia="仿宋_GB2312" w:hAnsi="Times New Roman" w:hint="eastAsia"/>
          <w:sz w:val="32"/>
          <w:szCs w:val="32"/>
        </w:rPr>
        <w:t>工艺的改变</w:t>
      </w:r>
      <w:r w:rsidR="003D2258">
        <w:rPr>
          <w:rFonts w:ascii="Times New Roman" w:eastAsia="仿宋_GB2312" w:hAnsi="Times New Roman" w:hint="eastAsia"/>
          <w:sz w:val="32"/>
          <w:szCs w:val="32"/>
        </w:rPr>
        <w:t>、</w:t>
      </w:r>
      <w:r w:rsidR="003D2258" w:rsidRPr="003D2258">
        <w:rPr>
          <w:rFonts w:ascii="Times New Roman" w:eastAsia="仿宋_GB2312" w:hAnsi="Times New Roman"/>
          <w:sz w:val="32"/>
          <w:szCs w:val="32"/>
        </w:rPr>
        <w:t>牙种植体的表面</w:t>
      </w:r>
      <w:r w:rsidR="003D2258">
        <w:rPr>
          <w:rFonts w:ascii="Times New Roman" w:eastAsia="仿宋_GB2312" w:hAnsi="Times New Roman"/>
          <w:sz w:val="32"/>
          <w:szCs w:val="32"/>
        </w:rPr>
        <w:t>酸蚀处理工艺的改变</w:t>
      </w:r>
      <w:r w:rsidR="002F7134">
        <w:rPr>
          <w:rFonts w:ascii="Times New Roman" w:eastAsia="仿宋_GB2312" w:hAnsi="Times New Roman" w:hint="eastAsia"/>
          <w:sz w:val="32"/>
          <w:szCs w:val="32"/>
        </w:rPr>
        <w:t>等</w:t>
      </w:r>
      <w:r w:rsidR="00E67A1E">
        <w:rPr>
          <w:rFonts w:ascii="Times New Roman" w:eastAsia="仿宋_GB2312" w:hAnsi="Times New Roman" w:hint="eastAsia"/>
          <w:sz w:val="32"/>
          <w:szCs w:val="32"/>
        </w:rPr>
        <w:t>。</w:t>
      </w:r>
    </w:p>
    <w:p w:rsidR="00A75D96" w:rsidRDefault="00CD2D23" w:rsidP="0011718F">
      <w:pPr>
        <w:ind w:firstLineChars="200" w:firstLine="640"/>
        <w:rPr>
          <w:rFonts w:ascii="Times New Roman" w:eastAsia="仿宋_GB2312" w:hAnsi="Times New Roman"/>
          <w:sz w:val="32"/>
          <w:szCs w:val="32"/>
        </w:rPr>
      </w:pPr>
      <w:r>
        <w:rPr>
          <w:rFonts w:ascii="仿宋_GB2312" w:eastAsia="仿宋_GB2312" w:hint="eastAsia"/>
          <w:sz w:val="32"/>
          <w:szCs w:val="32"/>
        </w:rPr>
        <w:lastRenderedPageBreak/>
        <w:t>本</w:t>
      </w:r>
      <w:r w:rsidR="00F07B6E">
        <w:rPr>
          <w:rFonts w:ascii="仿宋_GB2312" w:eastAsia="仿宋_GB2312" w:hint="eastAsia"/>
          <w:sz w:val="32"/>
          <w:szCs w:val="32"/>
        </w:rPr>
        <w:t>指南</w:t>
      </w:r>
      <w:r>
        <w:rPr>
          <w:rFonts w:ascii="仿宋_GB2312" w:eastAsia="仿宋_GB2312" w:hint="eastAsia"/>
          <w:sz w:val="32"/>
          <w:szCs w:val="32"/>
        </w:rPr>
        <w:t>不对</w:t>
      </w:r>
      <w:r w:rsidR="00E638FB">
        <w:rPr>
          <w:rFonts w:ascii="仿宋_GB2312" w:eastAsia="仿宋_GB2312" w:hint="eastAsia"/>
          <w:sz w:val="32"/>
          <w:szCs w:val="32"/>
        </w:rPr>
        <w:t>因材料变更而导致的注册形式以及</w:t>
      </w:r>
      <w:r w:rsidR="00E67A1E">
        <w:rPr>
          <w:rFonts w:ascii="Times New Roman" w:eastAsia="仿宋_GB2312" w:hAnsi="Times New Roman" w:hint="eastAsia"/>
          <w:sz w:val="32"/>
          <w:szCs w:val="32"/>
        </w:rPr>
        <w:t>是否需要进行注册审批</w:t>
      </w:r>
      <w:r w:rsidR="00A75D96">
        <w:rPr>
          <w:rFonts w:ascii="Times New Roman" w:eastAsia="仿宋_GB2312" w:hAnsi="Times New Roman" w:hint="eastAsia"/>
          <w:sz w:val="32"/>
          <w:szCs w:val="32"/>
        </w:rPr>
        <w:t>进行界定</w:t>
      </w:r>
      <w:r w:rsidR="00E638FB">
        <w:rPr>
          <w:rFonts w:ascii="Times New Roman" w:eastAsia="仿宋_GB2312" w:hAnsi="Times New Roman" w:hint="eastAsia"/>
          <w:sz w:val="32"/>
          <w:szCs w:val="32"/>
        </w:rPr>
        <w:t>，企业应参考</w:t>
      </w:r>
      <w:r w:rsidR="00DD0A6D">
        <w:rPr>
          <w:rFonts w:ascii="Times New Roman" w:eastAsia="仿宋_GB2312" w:hAnsi="Times New Roman" w:hint="eastAsia"/>
          <w:sz w:val="32"/>
          <w:szCs w:val="32"/>
        </w:rPr>
        <w:t>《医疗器械注册管理办法》《医疗器械注册单元划分指导原则》等</w:t>
      </w:r>
      <w:r w:rsidR="00E638FB">
        <w:rPr>
          <w:rFonts w:ascii="Times New Roman" w:eastAsia="仿宋_GB2312" w:hAnsi="Times New Roman" w:hint="eastAsia"/>
          <w:sz w:val="32"/>
          <w:szCs w:val="32"/>
        </w:rPr>
        <w:t>相关法规及指南要求并根据企业产品变化情形进行判定</w:t>
      </w:r>
      <w:r w:rsidR="0011718F" w:rsidRPr="00A1360E">
        <w:rPr>
          <w:rFonts w:ascii="Times New Roman" w:eastAsia="仿宋_GB2312" w:hAnsi="Times New Roman" w:hint="eastAsia"/>
          <w:sz w:val="32"/>
          <w:szCs w:val="32"/>
        </w:rPr>
        <w:t>。</w:t>
      </w:r>
    </w:p>
    <w:p w:rsidR="0011718F" w:rsidRPr="00A1360E" w:rsidRDefault="0011718F" w:rsidP="0011718F">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由于不同产品的风险差异及篇幅所限，本</w:t>
      </w:r>
      <w:r w:rsidR="00F07B6E">
        <w:rPr>
          <w:rFonts w:ascii="Times New Roman" w:eastAsia="仿宋_GB2312" w:hAnsi="Times New Roman" w:hint="eastAsia"/>
          <w:sz w:val="32"/>
          <w:szCs w:val="32"/>
        </w:rPr>
        <w:t>指南</w:t>
      </w:r>
      <w:r w:rsidRPr="00A1360E">
        <w:rPr>
          <w:rFonts w:ascii="Times New Roman" w:eastAsia="仿宋_GB2312" w:hAnsi="Times New Roman" w:hint="eastAsia"/>
          <w:sz w:val="32"/>
          <w:szCs w:val="32"/>
        </w:rPr>
        <w:t>亦不可能将所有产品的</w:t>
      </w:r>
      <w:r w:rsidR="00161CDE" w:rsidRPr="00A1360E">
        <w:rPr>
          <w:rFonts w:ascii="Times New Roman" w:eastAsia="仿宋_GB2312" w:hAnsi="Times New Roman" w:hint="eastAsia"/>
          <w:sz w:val="32"/>
          <w:szCs w:val="32"/>
        </w:rPr>
        <w:t>所有材料</w:t>
      </w:r>
      <w:r w:rsidR="004F7A51">
        <w:rPr>
          <w:rFonts w:ascii="Times New Roman" w:eastAsia="仿宋_GB2312" w:hAnsi="Times New Roman" w:hint="eastAsia"/>
          <w:sz w:val="32"/>
          <w:szCs w:val="32"/>
        </w:rPr>
        <w:t>变化的</w:t>
      </w:r>
      <w:r w:rsidRPr="00A1360E">
        <w:rPr>
          <w:rFonts w:ascii="Times New Roman" w:eastAsia="仿宋_GB2312" w:hAnsi="Times New Roman" w:hint="eastAsia"/>
          <w:sz w:val="32"/>
          <w:szCs w:val="32"/>
        </w:rPr>
        <w:t>事项进行穷举，</w:t>
      </w:r>
      <w:r w:rsidR="00E638FB">
        <w:rPr>
          <w:rFonts w:ascii="Times New Roman" w:eastAsia="仿宋_GB2312" w:hAnsi="Times New Roman" w:hint="eastAsia"/>
          <w:sz w:val="32"/>
          <w:szCs w:val="32"/>
        </w:rPr>
        <w:t>仅对因材料变化而应进行的评价思路进行阐述，</w:t>
      </w:r>
      <w:r w:rsidR="00DD0A6D">
        <w:rPr>
          <w:rFonts w:ascii="Times New Roman" w:eastAsia="仿宋_GB2312" w:hAnsi="Times New Roman" w:hint="eastAsia"/>
          <w:sz w:val="32"/>
          <w:szCs w:val="32"/>
        </w:rPr>
        <w:t>希望通过对不同变更事项进行分析</w:t>
      </w:r>
      <w:r w:rsidRPr="00A1360E">
        <w:rPr>
          <w:rFonts w:ascii="Times New Roman" w:eastAsia="仿宋_GB2312" w:hAnsi="Times New Roman" w:hint="eastAsia"/>
          <w:sz w:val="32"/>
          <w:szCs w:val="32"/>
        </w:rPr>
        <w:t>，</w:t>
      </w:r>
      <w:r w:rsidR="00C207BE" w:rsidRPr="00A1360E">
        <w:rPr>
          <w:rFonts w:ascii="Times New Roman" w:eastAsia="仿宋_GB2312" w:hAnsi="Times New Roman" w:hint="eastAsia"/>
          <w:sz w:val="32"/>
          <w:szCs w:val="32"/>
        </w:rPr>
        <w:t>帮助</w:t>
      </w:r>
      <w:r w:rsidR="00AE51E3">
        <w:rPr>
          <w:rFonts w:ascii="Times New Roman" w:eastAsia="仿宋_GB2312" w:hAnsi="Times New Roman" w:hint="eastAsia"/>
          <w:sz w:val="32"/>
          <w:szCs w:val="32"/>
        </w:rPr>
        <w:t>持证人</w:t>
      </w:r>
      <w:r w:rsidR="00C207BE" w:rsidRPr="00A1360E">
        <w:rPr>
          <w:rFonts w:ascii="Times New Roman" w:eastAsia="仿宋_GB2312" w:hAnsi="Times New Roman" w:hint="eastAsia"/>
          <w:sz w:val="32"/>
          <w:szCs w:val="32"/>
        </w:rPr>
        <w:t>更好地</w:t>
      </w:r>
      <w:r w:rsidRPr="00A1360E">
        <w:rPr>
          <w:rFonts w:ascii="Times New Roman" w:eastAsia="仿宋_GB2312" w:hAnsi="Times New Roman" w:hint="eastAsia"/>
          <w:sz w:val="32"/>
          <w:szCs w:val="32"/>
        </w:rPr>
        <w:t>做好相关</w:t>
      </w:r>
      <w:r w:rsidR="00DD0A6D">
        <w:rPr>
          <w:rFonts w:ascii="Times New Roman" w:eastAsia="仿宋_GB2312" w:hAnsi="Times New Roman" w:hint="eastAsia"/>
          <w:sz w:val="32"/>
          <w:szCs w:val="32"/>
        </w:rPr>
        <w:t>分析及验证</w:t>
      </w:r>
      <w:r w:rsidRPr="00A1360E">
        <w:rPr>
          <w:rFonts w:ascii="Times New Roman" w:eastAsia="仿宋_GB2312" w:hAnsi="Times New Roman" w:hint="eastAsia"/>
          <w:sz w:val="32"/>
          <w:szCs w:val="32"/>
        </w:rPr>
        <w:t>工作。对未列举到的</w:t>
      </w:r>
      <w:r w:rsidR="001C42F5">
        <w:rPr>
          <w:rFonts w:ascii="Times New Roman" w:eastAsia="仿宋_GB2312" w:hAnsi="Times New Roman" w:hint="eastAsia"/>
          <w:sz w:val="32"/>
          <w:szCs w:val="32"/>
        </w:rPr>
        <w:t>材料变化</w:t>
      </w:r>
      <w:r w:rsidRPr="00A1360E">
        <w:rPr>
          <w:rFonts w:ascii="Times New Roman" w:eastAsia="仿宋_GB2312" w:hAnsi="Times New Roman" w:hint="eastAsia"/>
          <w:sz w:val="32"/>
          <w:szCs w:val="32"/>
        </w:rPr>
        <w:t>情形，</w:t>
      </w:r>
      <w:r w:rsidR="00AE51E3">
        <w:rPr>
          <w:rFonts w:ascii="Times New Roman" w:eastAsia="仿宋_GB2312" w:hAnsi="Times New Roman" w:hint="eastAsia"/>
          <w:sz w:val="32"/>
          <w:szCs w:val="32"/>
        </w:rPr>
        <w:t>持证人</w:t>
      </w:r>
      <w:r w:rsidRPr="00A1360E">
        <w:rPr>
          <w:rFonts w:ascii="Times New Roman" w:eastAsia="仿宋_GB2312" w:hAnsi="Times New Roman" w:hint="eastAsia"/>
          <w:sz w:val="32"/>
          <w:szCs w:val="32"/>
        </w:rPr>
        <w:t>可</w:t>
      </w:r>
      <w:r w:rsidR="00E638FB">
        <w:rPr>
          <w:rFonts w:ascii="Times New Roman" w:eastAsia="仿宋_GB2312" w:hAnsi="Times New Roman" w:hint="eastAsia"/>
          <w:sz w:val="32"/>
          <w:szCs w:val="32"/>
        </w:rPr>
        <w:t>按照评价流程图要求</w:t>
      </w:r>
      <w:r w:rsidR="00DD0A6D">
        <w:rPr>
          <w:rFonts w:ascii="Times New Roman" w:eastAsia="仿宋_GB2312" w:hAnsi="Times New Roman" w:hint="eastAsia"/>
          <w:sz w:val="32"/>
          <w:szCs w:val="32"/>
        </w:rPr>
        <w:t>参考相关示例并根据企业产品特点参考</w:t>
      </w:r>
      <w:r w:rsidRPr="00A1360E">
        <w:rPr>
          <w:rFonts w:ascii="Times New Roman" w:eastAsia="仿宋_GB2312" w:hAnsi="Times New Roman" w:hint="eastAsia"/>
          <w:sz w:val="32"/>
          <w:szCs w:val="32"/>
        </w:rPr>
        <w:t>执行。</w:t>
      </w:r>
    </w:p>
    <w:p w:rsidR="006456A7" w:rsidRPr="00A1360E" w:rsidRDefault="00161CDE" w:rsidP="006456A7">
      <w:pPr>
        <w:ind w:firstLineChars="200" w:firstLine="640"/>
        <w:rPr>
          <w:rFonts w:ascii="Times New Roman" w:eastAsia="黑体" w:hAnsi="Times New Roman"/>
          <w:sz w:val="32"/>
          <w:szCs w:val="32"/>
        </w:rPr>
      </w:pPr>
      <w:r w:rsidRPr="00A1360E">
        <w:rPr>
          <w:rFonts w:ascii="Times New Roman" w:eastAsia="黑体" w:hAnsi="黑体" w:hint="eastAsia"/>
          <w:sz w:val="32"/>
          <w:szCs w:val="32"/>
        </w:rPr>
        <w:t>二、基本原则</w:t>
      </w:r>
    </w:p>
    <w:p w:rsidR="00E04083" w:rsidRDefault="00AE51E3" w:rsidP="001E01FD">
      <w:pPr>
        <w:ind w:firstLineChars="200" w:firstLine="640"/>
        <w:rPr>
          <w:rFonts w:ascii="Times New Roman" w:eastAsia="仿宋_GB2312"/>
          <w:color w:val="000000"/>
          <w:kern w:val="0"/>
          <w:sz w:val="32"/>
          <w:szCs w:val="32"/>
        </w:rPr>
      </w:pPr>
      <w:r>
        <w:rPr>
          <w:rFonts w:ascii="Times New Roman" w:eastAsia="仿宋_GB2312" w:hAnsi="Times New Roman" w:hint="eastAsia"/>
          <w:sz w:val="32"/>
          <w:szCs w:val="32"/>
        </w:rPr>
        <w:t>持证人</w:t>
      </w:r>
      <w:r w:rsidR="006456A7" w:rsidRPr="00A1360E">
        <w:rPr>
          <w:rFonts w:ascii="Times New Roman" w:eastAsia="仿宋_GB2312" w:hint="eastAsia"/>
          <w:color w:val="000000"/>
          <w:kern w:val="0"/>
          <w:sz w:val="32"/>
          <w:szCs w:val="32"/>
        </w:rPr>
        <w:t>在</w:t>
      </w:r>
      <w:r w:rsidR="006456A7" w:rsidRPr="00A1360E">
        <w:rPr>
          <w:rFonts w:ascii="Times New Roman" w:eastAsia="仿宋_GB2312"/>
          <w:color w:val="000000"/>
          <w:kern w:val="0"/>
          <w:sz w:val="32"/>
          <w:szCs w:val="32"/>
        </w:rPr>
        <w:t>医疗器械</w:t>
      </w:r>
      <w:r w:rsidR="00D76B84">
        <w:rPr>
          <w:rFonts w:ascii="Times New Roman" w:eastAsia="仿宋_GB2312"/>
          <w:color w:val="000000"/>
          <w:kern w:val="0"/>
          <w:sz w:val="32"/>
          <w:szCs w:val="32"/>
        </w:rPr>
        <w:t>原</w:t>
      </w:r>
      <w:r w:rsidR="006456A7" w:rsidRPr="00A1360E">
        <w:rPr>
          <w:rFonts w:ascii="Times New Roman" w:eastAsia="仿宋_GB2312"/>
          <w:color w:val="000000"/>
          <w:kern w:val="0"/>
          <w:sz w:val="32"/>
          <w:szCs w:val="32"/>
        </w:rPr>
        <w:t>材料</w:t>
      </w:r>
      <w:r w:rsidR="00477ED9">
        <w:rPr>
          <w:rFonts w:ascii="Times New Roman" w:eastAsia="仿宋_GB2312"/>
          <w:color w:val="000000"/>
          <w:kern w:val="0"/>
          <w:sz w:val="32"/>
          <w:szCs w:val="32"/>
        </w:rPr>
        <w:t>变化</w:t>
      </w:r>
      <w:r w:rsidR="006456A7" w:rsidRPr="00A1360E">
        <w:rPr>
          <w:rFonts w:ascii="Times New Roman" w:eastAsia="仿宋_GB2312"/>
          <w:color w:val="000000"/>
          <w:kern w:val="0"/>
          <w:sz w:val="32"/>
          <w:szCs w:val="32"/>
        </w:rPr>
        <w:t>时应</w:t>
      </w:r>
      <w:r w:rsidR="002F7134">
        <w:rPr>
          <w:rFonts w:ascii="Times New Roman" w:eastAsia="仿宋_GB2312"/>
          <w:color w:val="000000"/>
          <w:kern w:val="0"/>
          <w:sz w:val="32"/>
          <w:szCs w:val="32"/>
        </w:rPr>
        <w:t>严格</w:t>
      </w:r>
      <w:r w:rsidR="006456A7" w:rsidRPr="00A1360E">
        <w:rPr>
          <w:rFonts w:ascii="Times New Roman" w:eastAsia="仿宋_GB2312"/>
          <w:color w:val="000000"/>
          <w:kern w:val="0"/>
          <w:sz w:val="32"/>
          <w:szCs w:val="32"/>
        </w:rPr>
        <w:t>遵循企业设计开发及变更控制要求</w:t>
      </w:r>
      <w:r w:rsidR="00EE5853">
        <w:rPr>
          <w:rFonts w:ascii="Times New Roman" w:eastAsia="仿宋_GB2312" w:hint="eastAsia"/>
          <w:color w:val="000000"/>
          <w:kern w:val="0"/>
          <w:sz w:val="32"/>
          <w:szCs w:val="32"/>
        </w:rPr>
        <w:t>。</w:t>
      </w:r>
      <w:r w:rsidR="006456A7" w:rsidRPr="00A1360E">
        <w:rPr>
          <w:rFonts w:ascii="Times New Roman" w:eastAsia="仿宋_GB2312" w:hint="eastAsia"/>
          <w:color w:val="000000"/>
          <w:kern w:val="0"/>
          <w:sz w:val="32"/>
          <w:szCs w:val="32"/>
        </w:rPr>
        <w:t>变更</w:t>
      </w:r>
      <w:r w:rsidR="00204773">
        <w:rPr>
          <w:rFonts w:ascii="Times New Roman" w:eastAsia="仿宋_GB2312" w:hint="eastAsia"/>
          <w:color w:val="000000"/>
          <w:kern w:val="0"/>
          <w:sz w:val="32"/>
          <w:szCs w:val="32"/>
        </w:rPr>
        <w:t>控制</w:t>
      </w:r>
      <w:r w:rsidR="006456A7" w:rsidRPr="00A1360E">
        <w:rPr>
          <w:rFonts w:ascii="Times New Roman" w:eastAsia="仿宋_GB2312" w:hint="eastAsia"/>
          <w:color w:val="000000"/>
          <w:kern w:val="0"/>
          <w:sz w:val="32"/>
          <w:szCs w:val="32"/>
        </w:rPr>
        <w:t>应</w:t>
      </w:r>
      <w:r w:rsidR="00204773">
        <w:rPr>
          <w:rFonts w:ascii="Times New Roman" w:eastAsia="仿宋_GB2312" w:hint="eastAsia"/>
          <w:color w:val="000000"/>
          <w:kern w:val="0"/>
          <w:sz w:val="32"/>
          <w:szCs w:val="32"/>
        </w:rPr>
        <w:t>符合质量管理体系中</w:t>
      </w:r>
      <w:r w:rsidR="006456A7" w:rsidRPr="00A1360E">
        <w:rPr>
          <w:rFonts w:ascii="Times New Roman" w:eastAsia="仿宋_GB2312"/>
          <w:color w:val="000000"/>
          <w:kern w:val="0"/>
          <w:sz w:val="32"/>
          <w:szCs w:val="32"/>
        </w:rPr>
        <w:t>风险</w:t>
      </w:r>
      <w:r w:rsidR="006456A7" w:rsidRPr="00A1360E">
        <w:rPr>
          <w:rFonts w:ascii="Times New Roman" w:eastAsia="仿宋_GB2312" w:hint="eastAsia"/>
          <w:color w:val="000000"/>
          <w:kern w:val="0"/>
          <w:sz w:val="32"/>
          <w:szCs w:val="32"/>
        </w:rPr>
        <w:t>管理</w:t>
      </w:r>
      <w:r w:rsidR="00204773">
        <w:rPr>
          <w:rFonts w:ascii="Times New Roman" w:eastAsia="仿宋_GB2312" w:hint="eastAsia"/>
          <w:color w:val="000000"/>
          <w:kern w:val="0"/>
          <w:sz w:val="32"/>
          <w:szCs w:val="32"/>
        </w:rPr>
        <w:t>程序要求</w:t>
      </w:r>
      <w:r w:rsidR="00362C62">
        <w:rPr>
          <w:rFonts w:ascii="Times New Roman" w:eastAsia="仿宋_GB2312" w:hint="eastAsia"/>
          <w:color w:val="000000"/>
          <w:kern w:val="0"/>
          <w:sz w:val="32"/>
          <w:szCs w:val="32"/>
        </w:rPr>
        <w:t>，</w:t>
      </w:r>
      <w:r w:rsidR="00204773">
        <w:rPr>
          <w:rFonts w:ascii="Times New Roman" w:eastAsia="仿宋_GB2312" w:hint="eastAsia"/>
          <w:color w:val="000000"/>
          <w:kern w:val="0"/>
          <w:sz w:val="32"/>
          <w:szCs w:val="32"/>
        </w:rPr>
        <w:t>特别是</w:t>
      </w:r>
      <w:r w:rsidR="00362C62">
        <w:rPr>
          <w:rFonts w:ascii="Times New Roman" w:eastAsia="仿宋_GB2312" w:hint="eastAsia"/>
          <w:color w:val="000000"/>
          <w:kern w:val="0"/>
          <w:sz w:val="32"/>
          <w:szCs w:val="32"/>
        </w:rPr>
        <w:t>风险分析、风险评价、风险控制以及再</w:t>
      </w:r>
      <w:r w:rsidR="00204773">
        <w:rPr>
          <w:rFonts w:ascii="Times New Roman" w:eastAsia="仿宋_GB2312" w:hint="eastAsia"/>
          <w:color w:val="000000"/>
          <w:kern w:val="0"/>
          <w:sz w:val="32"/>
          <w:szCs w:val="32"/>
        </w:rPr>
        <w:t>评价</w:t>
      </w:r>
      <w:r w:rsidR="00362C62">
        <w:rPr>
          <w:rFonts w:ascii="Times New Roman" w:eastAsia="仿宋_GB2312" w:hint="eastAsia"/>
          <w:color w:val="000000"/>
          <w:kern w:val="0"/>
          <w:sz w:val="32"/>
          <w:szCs w:val="32"/>
        </w:rPr>
        <w:t>等，针对风险控制</w:t>
      </w:r>
      <w:r w:rsidR="00204773">
        <w:rPr>
          <w:rFonts w:ascii="Times New Roman" w:eastAsia="仿宋_GB2312" w:hint="eastAsia"/>
          <w:color w:val="000000"/>
          <w:kern w:val="0"/>
          <w:sz w:val="32"/>
          <w:szCs w:val="32"/>
        </w:rPr>
        <w:t>措施</w:t>
      </w:r>
      <w:r w:rsidR="00362C62">
        <w:rPr>
          <w:rFonts w:ascii="Times New Roman" w:eastAsia="仿宋_GB2312" w:hint="eastAsia"/>
          <w:color w:val="000000"/>
          <w:kern w:val="0"/>
          <w:sz w:val="32"/>
          <w:szCs w:val="32"/>
        </w:rPr>
        <w:t>，应</w:t>
      </w:r>
      <w:r w:rsidR="004E403C">
        <w:rPr>
          <w:rFonts w:ascii="Times New Roman" w:eastAsia="仿宋_GB2312" w:hint="eastAsia"/>
          <w:color w:val="000000"/>
          <w:kern w:val="0"/>
          <w:sz w:val="32"/>
          <w:szCs w:val="32"/>
        </w:rPr>
        <w:t>制定有效的风险控制方案并对方案</w:t>
      </w:r>
      <w:r w:rsidR="00204773">
        <w:rPr>
          <w:rFonts w:ascii="Times New Roman" w:eastAsia="仿宋_GB2312" w:hint="eastAsia"/>
          <w:color w:val="000000"/>
          <w:kern w:val="0"/>
          <w:sz w:val="32"/>
          <w:szCs w:val="32"/>
        </w:rPr>
        <w:t>的有效性进行验证</w:t>
      </w:r>
      <w:r w:rsidR="004E403C">
        <w:rPr>
          <w:rFonts w:ascii="Times New Roman" w:eastAsia="仿宋_GB2312" w:hint="eastAsia"/>
          <w:color w:val="000000"/>
          <w:kern w:val="0"/>
          <w:sz w:val="32"/>
          <w:szCs w:val="32"/>
        </w:rPr>
        <w:t>分析</w:t>
      </w:r>
      <w:r w:rsidR="006456A7" w:rsidRPr="00A1360E">
        <w:rPr>
          <w:rFonts w:ascii="Times New Roman" w:eastAsia="仿宋_GB2312" w:hint="eastAsia"/>
          <w:color w:val="000000"/>
          <w:kern w:val="0"/>
          <w:sz w:val="32"/>
          <w:szCs w:val="32"/>
        </w:rPr>
        <w:t>（其中包括确认活动）。</w:t>
      </w:r>
      <w:r w:rsidR="004E403C">
        <w:rPr>
          <w:rFonts w:ascii="Times New Roman" w:eastAsia="仿宋_GB2312" w:hint="eastAsia"/>
          <w:color w:val="000000"/>
          <w:kern w:val="0"/>
          <w:sz w:val="32"/>
          <w:szCs w:val="32"/>
        </w:rPr>
        <w:t>在采取风险控制措施后，对于任何剩余风险，都应使用风险管理计划中规定的准则进行评价，如果剩余风险使用这些准则判断为不可接受，则应采取进一步的风险控制措施</w:t>
      </w:r>
      <w:r w:rsidR="00204773">
        <w:rPr>
          <w:rFonts w:ascii="Times New Roman" w:eastAsia="仿宋_GB2312" w:hint="eastAsia"/>
          <w:color w:val="000000"/>
          <w:kern w:val="0"/>
          <w:sz w:val="32"/>
          <w:szCs w:val="32"/>
        </w:rPr>
        <w:t>或进行风险受益分析</w:t>
      </w:r>
      <w:r w:rsidR="004E403C">
        <w:rPr>
          <w:rFonts w:ascii="Times New Roman" w:eastAsia="仿宋_GB2312" w:hint="eastAsia"/>
          <w:color w:val="000000"/>
          <w:kern w:val="0"/>
          <w:sz w:val="32"/>
          <w:szCs w:val="32"/>
        </w:rPr>
        <w:t>。</w:t>
      </w:r>
    </w:p>
    <w:p w:rsidR="00EE5853" w:rsidRPr="00EE5853" w:rsidRDefault="00EE5853" w:rsidP="0073593B">
      <w:pPr>
        <w:snapToGrid w:val="0"/>
        <w:spacing w:line="360" w:lineRule="auto"/>
        <w:ind w:firstLineChars="200" w:firstLine="640"/>
        <w:contextualSpacing/>
        <w:rPr>
          <w:rFonts w:ascii="Times New Roman" w:eastAsia="仿宋_GB2312"/>
          <w:color w:val="000000"/>
          <w:kern w:val="0"/>
          <w:sz w:val="32"/>
          <w:szCs w:val="32"/>
        </w:rPr>
      </w:pPr>
      <w:r>
        <w:rPr>
          <w:rFonts w:ascii="Times New Roman" w:eastAsia="仿宋_GB2312" w:hint="eastAsia"/>
          <w:color w:val="000000"/>
          <w:kern w:val="0"/>
          <w:sz w:val="32"/>
          <w:szCs w:val="32"/>
        </w:rPr>
        <w:t>变更控制</w:t>
      </w:r>
      <w:r w:rsidR="00DD0A6D">
        <w:rPr>
          <w:rFonts w:ascii="Times New Roman" w:eastAsia="仿宋_GB2312" w:hint="eastAsia"/>
          <w:color w:val="000000"/>
          <w:kern w:val="0"/>
          <w:sz w:val="32"/>
          <w:szCs w:val="32"/>
        </w:rPr>
        <w:t>还</w:t>
      </w:r>
      <w:r>
        <w:rPr>
          <w:rFonts w:ascii="Times New Roman" w:eastAsia="仿宋_GB2312" w:hint="eastAsia"/>
          <w:color w:val="000000"/>
          <w:kern w:val="0"/>
          <w:sz w:val="32"/>
          <w:szCs w:val="32"/>
        </w:rPr>
        <w:t>应充分考虑</w:t>
      </w:r>
      <w:r w:rsidRPr="00EE5853">
        <w:rPr>
          <w:rFonts w:ascii="Times New Roman" w:eastAsia="仿宋_GB2312" w:hint="eastAsia"/>
          <w:color w:val="000000"/>
          <w:kern w:val="0"/>
          <w:sz w:val="32"/>
          <w:szCs w:val="32"/>
        </w:rPr>
        <w:t>医疗器械安全有效基本要求清单</w:t>
      </w:r>
      <w:r>
        <w:rPr>
          <w:rFonts w:ascii="Times New Roman" w:eastAsia="仿宋_GB2312" w:hint="eastAsia"/>
          <w:color w:val="000000"/>
          <w:kern w:val="0"/>
          <w:sz w:val="32"/>
          <w:szCs w:val="32"/>
        </w:rPr>
        <w:t>中的基本要求。</w:t>
      </w:r>
      <w:r w:rsidRPr="00EE5853">
        <w:rPr>
          <w:rFonts w:ascii="Times New Roman" w:eastAsia="仿宋_GB2312" w:hint="eastAsia"/>
          <w:color w:val="000000"/>
          <w:kern w:val="0"/>
          <w:sz w:val="32"/>
          <w:szCs w:val="32"/>
        </w:rPr>
        <w:t>清单以</w:t>
      </w:r>
      <w:r>
        <w:rPr>
          <w:rFonts w:ascii="Times New Roman" w:eastAsia="仿宋_GB2312" w:hint="eastAsia"/>
          <w:color w:val="000000"/>
          <w:kern w:val="0"/>
          <w:sz w:val="32"/>
          <w:szCs w:val="32"/>
        </w:rPr>
        <w:t>基本要求</w:t>
      </w:r>
      <w:r w:rsidRPr="00EE5853">
        <w:rPr>
          <w:rFonts w:ascii="Times New Roman" w:eastAsia="仿宋_GB2312" w:hint="eastAsia"/>
          <w:color w:val="000000"/>
          <w:kern w:val="0"/>
          <w:sz w:val="32"/>
          <w:szCs w:val="32"/>
        </w:rPr>
        <w:t>、采用的方法、客观证</w:t>
      </w:r>
      <w:r>
        <w:rPr>
          <w:rFonts w:ascii="Times New Roman" w:eastAsia="仿宋_GB2312" w:hint="eastAsia"/>
          <w:color w:val="000000"/>
          <w:kern w:val="0"/>
          <w:sz w:val="32"/>
          <w:szCs w:val="32"/>
        </w:rPr>
        <w:t>据</w:t>
      </w:r>
      <w:r>
        <w:rPr>
          <w:rFonts w:ascii="Times New Roman" w:eastAsia="仿宋_GB2312" w:hint="eastAsia"/>
          <w:color w:val="000000"/>
          <w:kern w:val="0"/>
          <w:sz w:val="32"/>
          <w:szCs w:val="32"/>
        </w:rPr>
        <w:lastRenderedPageBreak/>
        <w:t>三个方面，企业应对照清单，考虑变更是否对基本要求造成影响，适当时应通过一定的方法证明其不会带来新的风险。</w:t>
      </w:r>
    </w:p>
    <w:p w:rsidR="006456A7" w:rsidRPr="00A1360E" w:rsidRDefault="00235919" w:rsidP="0073593B">
      <w:pPr>
        <w:snapToGrid w:val="0"/>
        <w:spacing w:line="360" w:lineRule="auto"/>
        <w:ind w:firstLineChars="200" w:firstLine="640"/>
        <w:contextualSpacing/>
        <w:rPr>
          <w:rFonts w:ascii="Times New Roman" w:eastAsia="仿宋_GB2312" w:hAnsi="Times New Roman"/>
          <w:color w:val="000000"/>
          <w:kern w:val="0"/>
          <w:sz w:val="32"/>
          <w:szCs w:val="32"/>
        </w:rPr>
      </w:pPr>
      <w:r w:rsidRPr="00235919">
        <w:rPr>
          <w:rFonts w:ascii="Times New Roman" w:eastAsia="仿宋_GB2312" w:hint="eastAsia"/>
          <w:color w:val="000000"/>
          <w:kern w:val="0"/>
          <w:sz w:val="32"/>
          <w:szCs w:val="32"/>
        </w:rPr>
        <w:t>实验室研究</w:t>
      </w:r>
      <w:r w:rsidR="002F7134">
        <w:rPr>
          <w:rFonts w:ascii="Times New Roman" w:eastAsia="仿宋_GB2312" w:hint="eastAsia"/>
          <w:color w:val="000000"/>
          <w:kern w:val="0"/>
          <w:sz w:val="32"/>
          <w:szCs w:val="32"/>
        </w:rPr>
        <w:t>、</w:t>
      </w:r>
      <w:r w:rsidR="00D944D1" w:rsidRPr="00A1360E">
        <w:rPr>
          <w:rFonts w:ascii="Times New Roman" w:eastAsia="仿宋_GB2312" w:hint="eastAsia"/>
          <w:color w:val="000000"/>
          <w:kern w:val="0"/>
          <w:sz w:val="32"/>
          <w:szCs w:val="32"/>
        </w:rPr>
        <w:t>生物学相容性评价</w:t>
      </w:r>
      <w:r w:rsidR="006456A7" w:rsidRPr="00A1360E">
        <w:rPr>
          <w:rFonts w:ascii="Times New Roman" w:eastAsia="仿宋_GB2312" w:hint="eastAsia"/>
          <w:color w:val="000000"/>
          <w:kern w:val="0"/>
          <w:sz w:val="32"/>
          <w:szCs w:val="32"/>
        </w:rPr>
        <w:t>或</w:t>
      </w:r>
      <w:r w:rsidR="006518E5">
        <w:rPr>
          <w:rFonts w:ascii="Times New Roman" w:eastAsia="仿宋_GB2312" w:hint="eastAsia"/>
          <w:color w:val="000000"/>
          <w:kern w:val="0"/>
          <w:sz w:val="32"/>
          <w:szCs w:val="32"/>
        </w:rPr>
        <w:t>临床评价</w:t>
      </w:r>
      <w:r w:rsidR="006456A7" w:rsidRPr="00A1360E">
        <w:rPr>
          <w:rFonts w:ascii="Times New Roman" w:eastAsia="仿宋_GB2312" w:hint="eastAsia"/>
          <w:color w:val="000000"/>
          <w:kern w:val="0"/>
          <w:sz w:val="32"/>
          <w:szCs w:val="32"/>
        </w:rPr>
        <w:t>等均是</w:t>
      </w:r>
      <w:r w:rsidR="00204773">
        <w:rPr>
          <w:rFonts w:ascii="Times New Roman" w:eastAsia="仿宋_GB2312" w:hint="eastAsia"/>
          <w:color w:val="000000"/>
          <w:kern w:val="0"/>
          <w:sz w:val="32"/>
          <w:szCs w:val="32"/>
        </w:rPr>
        <w:t>评价</w:t>
      </w:r>
      <w:r w:rsidR="00E67A1E">
        <w:rPr>
          <w:rFonts w:ascii="Times New Roman" w:eastAsia="仿宋_GB2312" w:hint="eastAsia"/>
          <w:color w:val="000000"/>
          <w:kern w:val="0"/>
          <w:sz w:val="32"/>
          <w:szCs w:val="32"/>
        </w:rPr>
        <w:t>并</w:t>
      </w:r>
      <w:r w:rsidR="00204773">
        <w:rPr>
          <w:rFonts w:ascii="Times New Roman" w:eastAsia="仿宋_GB2312" w:hint="eastAsia"/>
          <w:color w:val="000000"/>
          <w:kern w:val="0"/>
          <w:sz w:val="32"/>
          <w:szCs w:val="32"/>
        </w:rPr>
        <w:t>验证</w:t>
      </w:r>
      <w:r w:rsidR="006456A7" w:rsidRPr="00A1360E">
        <w:rPr>
          <w:rFonts w:ascii="Times New Roman" w:eastAsia="仿宋_GB2312" w:hint="eastAsia"/>
          <w:color w:val="000000"/>
          <w:kern w:val="0"/>
          <w:sz w:val="32"/>
          <w:szCs w:val="32"/>
        </w:rPr>
        <w:t>风险控制</w:t>
      </w:r>
      <w:r w:rsidR="006456A7" w:rsidRPr="00A1360E">
        <w:rPr>
          <w:rFonts w:ascii="Times New Roman" w:eastAsia="仿宋_GB2312"/>
          <w:color w:val="000000"/>
          <w:kern w:val="0"/>
          <w:sz w:val="32"/>
          <w:szCs w:val="32"/>
        </w:rPr>
        <w:t>措施有效性</w:t>
      </w:r>
      <w:r w:rsidR="006456A7" w:rsidRPr="00A1360E">
        <w:rPr>
          <w:rFonts w:ascii="Times New Roman" w:eastAsia="仿宋_GB2312" w:hint="eastAsia"/>
          <w:color w:val="000000"/>
          <w:kern w:val="0"/>
          <w:sz w:val="32"/>
          <w:szCs w:val="32"/>
        </w:rPr>
        <w:t>的手段</w:t>
      </w:r>
      <w:r w:rsidR="00CF0685">
        <w:rPr>
          <w:rFonts w:ascii="Times New Roman" w:eastAsia="仿宋_GB2312" w:hint="eastAsia"/>
          <w:color w:val="000000"/>
          <w:kern w:val="0"/>
          <w:sz w:val="32"/>
          <w:szCs w:val="32"/>
        </w:rPr>
        <w:t>。</w:t>
      </w:r>
      <w:r w:rsidR="00AE51E3">
        <w:rPr>
          <w:rFonts w:ascii="Times New Roman" w:eastAsia="仿宋_GB2312" w:hint="eastAsia"/>
          <w:color w:val="000000"/>
          <w:kern w:val="0"/>
          <w:sz w:val="32"/>
          <w:szCs w:val="32"/>
        </w:rPr>
        <w:t>持证人</w:t>
      </w:r>
      <w:r w:rsidR="006456A7" w:rsidRPr="00A1360E">
        <w:rPr>
          <w:rFonts w:ascii="Times New Roman" w:eastAsia="仿宋_GB2312" w:hint="eastAsia"/>
          <w:color w:val="000000"/>
          <w:kern w:val="0"/>
          <w:sz w:val="32"/>
          <w:szCs w:val="32"/>
        </w:rPr>
        <w:t>宜尽可能的</w:t>
      </w:r>
      <w:r w:rsidR="006456A7" w:rsidRPr="00A1360E">
        <w:rPr>
          <w:rFonts w:ascii="Times New Roman" w:eastAsia="仿宋_GB2312"/>
          <w:color w:val="000000"/>
          <w:kern w:val="0"/>
          <w:sz w:val="32"/>
          <w:szCs w:val="32"/>
        </w:rPr>
        <w:t>通过前期研究（</w:t>
      </w:r>
      <w:r w:rsidR="006456A7" w:rsidRPr="00A1360E">
        <w:rPr>
          <w:rFonts w:ascii="Times New Roman" w:eastAsia="仿宋_GB2312" w:hint="eastAsia"/>
          <w:color w:val="000000"/>
          <w:kern w:val="0"/>
          <w:sz w:val="32"/>
          <w:szCs w:val="32"/>
        </w:rPr>
        <w:t>如</w:t>
      </w:r>
      <w:r w:rsidRPr="00235919">
        <w:rPr>
          <w:rFonts w:ascii="Times New Roman" w:eastAsia="仿宋_GB2312" w:hint="eastAsia"/>
          <w:color w:val="000000"/>
          <w:kern w:val="0"/>
          <w:sz w:val="32"/>
          <w:szCs w:val="32"/>
        </w:rPr>
        <w:t>实验室研究</w:t>
      </w:r>
      <w:r w:rsidR="006456A7" w:rsidRPr="00A1360E">
        <w:rPr>
          <w:rFonts w:ascii="Times New Roman" w:eastAsia="仿宋_GB2312" w:hint="eastAsia"/>
          <w:color w:val="000000"/>
          <w:kern w:val="0"/>
          <w:sz w:val="32"/>
          <w:szCs w:val="32"/>
        </w:rPr>
        <w:t>等</w:t>
      </w:r>
      <w:r w:rsidR="006456A7" w:rsidRPr="00A1360E">
        <w:rPr>
          <w:rFonts w:ascii="Times New Roman" w:eastAsia="仿宋_GB2312"/>
          <w:color w:val="000000"/>
          <w:kern w:val="0"/>
          <w:sz w:val="32"/>
          <w:szCs w:val="32"/>
        </w:rPr>
        <w:t>）</w:t>
      </w:r>
      <w:r w:rsidR="006456A7" w:rsidRPr="00A1360E">
        <w:rPr>
          <w:rFonts w:ascii="Times New Roman" w:eastAsia="仿宋_GB2312" w:hint="eastAsia"/>
          <w:color w:val="000000"/>
          <w:kern w:val="0"/>
          <w:sz w:val="32"/>
          <w:szCs w:val="32"/>
        </w:rPr>
        <w:t>对</w:t>
      </w:r>
      <w:r w:rsidR="006456A7" w:rsidRPr="00A1360E">
        <w:rPr>
          <w:rFonts w:ascii="Times New Roman" w:eastAsia="仿宋_GB2312"/>
          <w:color w:val="000000"/>
          <w:kern w:val="0"/>
          <w:sz w:val="32"/>
          <w:szCs w:val="32"/>
        </w:rPr>
        <w:t>已识别风险</w:t>
      </w:r>
      <w:r w:rsidR="006456A7" w:rsidRPr="00A1360E">
        <w:rPr>
          <w:rFonts w:ascii="Times New Roman" w:eastAsia="仿宋_GB2312" w:hint="eastAsia"/>
          <w:color w:val="000000"/>
          <w:kern w:val="0"/>
          <w:sz w:val="32"/>
          <w:szCs w:val="32"/>
        </w:rPr>
        <w:t>所实施控制</w:t>
      </w:r>
      <w:r w:rsidR="006456A7" w:rsidRPr="00A1360E">
        <w:rPr>
          <w:rFonts w:ascii="Times New Roman" w:eastAsia="仿宋_GB2312"/>
          <w:color w:val="000000"/>
          <w:kern w:val="0"/>
          <w:sz w:val="32"/>
          <w:szCs w:val="32"/>
        </w:rPr>
        <w:t>措施</w:t>
      </w:r>
      <w:r w:rsidR="006456A7" w:rsidRPr="00A1360E">
        <w:rPr>
          <w:rFonts w:ascii="Times New Roman" w:eastAsia="仿宋_GB2312" w:hint="eastAsia"/>
          <w:color w:val="000000"/>
          <w:kern w:val="0"/>
          <w:sz w:val="32"/>
          <w:szCs w:val="32"/>
        </w:rPr>
        <w:t>的</w:t>
      </w:r>
      <w:r w:rsidR="006456A7" w:rsidRPr="00A1360E">
        <w:rPr>
          <w:rFonts w:ascii="Times New Roman" w:eastAsia="仿宋_GB2312"/>
          <w:color w:val="000000"/>
          <w:kern w:val="0"/>
          <w:sz w:val="32"/>
          <w:szCs w:val="32"/>
        </w:rPr>
        <w:t>有效性</w:t>
      </w:r>
      <w:r w:rsidR="006456A7" w:rsidRPr="00A1360E">
        <w:rPr>
          <w:rFonts w:ascii="Times New Roman" w:eastAsia="仿宋_GB2312" w:hint="eastAsia"/>
          <w:color w:val="000000"/>
          <w:kern w:val="0"/>
          <w:sz w:val="32"/>
          <w:szCs w:val="32"/>
        </w:rPr>
        <w:t>进行验证，只有在</w:t>
      </w:r>
      <w:r w:rsidRPr="00235919">
        <w:rPr>
          <w:rFonts w:ascii="Times New Roman" w:eastAsia="仿宋_GB2312" w:hint="eastAsia"/>
          <w:color w:val="000000"/>
          <w:kern w:val="0"/>
          <w:sz w:val="32"/>
          <w:szCs w:val="32"/>
        </w:rPr>
        <w:t>实验室研究</w:t>
      </w:r>
      <w:r w:rsidR="006456A7" w:rsidRPr="00A1360E">
        <w:rPr>
          <w:rFonts w:ascii="Times New Roman" w:eastAsia="仿宋_GB2312"/>
          <w:color w:val="000000"/>
          <w:kern w:val="0"/>
          <w:sz w:val="32"/>
          <w:szCs w:val="32"/>
        </w:rPr>
        <w:t>不足</w:t>
      </w:r>
      <w:r w:rsidR="006456A7" w:rsidRPr="00A1360E">
        <w:rPr>
          <w:rFonts w:ascii="Times New Roman" w:eastAsia="仿宋_GB2312" w:hint="eastAsia"/>
          <w:color w:val="000000"/>
          <w:kern w:val="0"/>
          <w:sz w:val="32"/>
          <w:szCs w:val="32"/>
        </w:rPr>
        <w:t>时，才考虑</w:t>
      </w:r>
      <w:r w:rsidR="006456A7" w:rsidRPr="00A1360E">
        <w:rPr>
          <w:rFonts w:ascii="Times New Roman" w:eastAsia="仿宋_GB2312"/>
          <w:color w:val="000000"/>
          <w:kern w:val="0"/>
          <w:sz w:val="32"/>
          <w:szCs w:val="32"/>
        </w:rPr>
        <w:t>通过动物实验</w:t>
      </w:r>
      <w:r w:rsidR="006456A7" w:rsidRPr="00A1360E">
        <w:rPr>
          <w:rFonts w:ascii="Times New Roman" w:eastAsia="仿宋_GB2312" w:hint="eastAsia"/>
          <w:color w:val="000000"/>
          <w:kern w:val="0"/>
          <w:sz w:val="32"/>
          <w:szCs w:val="32"/>
        </w:rPr>
        <w:t>开展进一步验证，</w:t>
      </w:r>
      <w:r w:rsidR="001C42F5">
        <w:rPr>
          <w:rFonts w:ascii="Times New Roman" w:eastAsia="仿宋_GB2312" w:hint="eastAsia"/>
          <w:color w:val="000000"/>
          <w:kern w:val="0"/>
          <w:sz w:val="32"/>
          <w:szCs w:val="32"/>
        </w:rPr>
        <w:t>必要</w:t>
      </w:r>
      <w:r w:rsidR="006518E5">
        <w:rPr>
          <w:rFonts w:ascii="Times New Roman" w:eastAsia="仿宋_GB2312" w:hint="eastAsia"/>
          <w:color w:val="000000"/>
          <w:kern w:val="0"/>
          <w:sz w:val="32"/>
          <w:szCs w:val="32"/>
        </w:rPr>
        <w:t>时还应进行临床评价</w:t>
      </w:r>
      <w:r w:rsidR="00CF0685">
        <w:rPr>
          <w:rFonts w:ascii="Times New Roman" w:eastAsia="仿宋_GB2312" w:hint="eastAsia"/>
          <w:color w:val="000000"/>
          <w:kern w:val="0"/>
          <w:sz w:val="32"/>
          <w:szCs w:val="32"/>
        </w:rPr>
        <w:t>，对于</w:t>
      </w:r>
      <w:r w:rsidR="00031889">
        <w:rPr>
          <w:rFonts w:ascii="Times New Roman" w:eastAsia="仿宋_GB2312" w:hint="eastAsia"/>
          <w:color w:val="000000"/>
          <w:kern w:val="0"/>
          <w:sz w:val="32"/>
          <w:szCs w:val="32"/>
        </w:rPr>
        <w:t>动物实验</w:t>
      </w:r>
      <w:r w:rsidR="00CF0685">
        <w:rPr>
          <w:rFonts w:ascii="Times New Roman" w:eastAsia="仿宋_GB2312" w:hint="eastAsia"/>
          <w:color w:val="000000"/>
          <w:kern w:val="0"/>
          <w:sz w:val="32"/>
          <w:szCs w:val="32"/>
        </w:rPr>
        <w:t>研究和</w:t>
      </w:r>
      <w:r w:rsidR="006518E5">
        <w:rPr>
          <w:rFonts w:ascii="Times New Roman" w:eastAsia="仿宋_GB2312" w:hint="eastAsia"/>
          <w:color w:val="000000"/>
          <w:kern w:val="0"/>
          <w:sz w:val="32"/>
          <w:szCs w:val="32"/>
        </w:rPr>
        <w:t>临床评价</w:t>
      </w:r>
      <w:r w:rsidR="00CF0685">
        <w:rPr>
          <w:rFonts w:ascii="Times New Roman" w:eastAsia="仿宋_GB2312" w:hint="eastAsia"/>
          <w:color w:val="000000"/>
          <w:kern w:val="0"/>
          <w:sz w:val="32"/>
          <w:szCs w:val="32"/>
        </w:rPr>
        <w:t>的决策可参考相关指南规定</w:t>
      </w:r>
      <w:r w:rsidR="006456A7" w:rsidRPr="00A1360E">
        <w:rPr>
          <w:rFonts w:ascii="Times New Roman" w:eastAsia="仿宋_GB2312"/>
          <w:color w:val="000000"/>
          <w:kern w:val="0"/>
          <w:sz w:val="32"/>
          <w:szCs w:val="32"/>
        </w:rPr>
        <w:t>。</w:t>
      </w:r>
    </w:p>
    <w:p w:rsidR="00364FE6" w:rsidRPr="00A1360E" w:rsidRDefault="00364FE6" w:rsidP="0040662B">
      <w:pPr>
        <w:snapToGrid w:val="0"/>
        <w:spacing w:line="360" w:lineRule="auto"/>
        <w:ind w:firstLineChars="200" w:firstLine="640"/>
        <w:contextualSpacing/>
        <w:rPr>
          <w:rFonts w:ascii="Times New Roman" w:eastAsia="黑体" w:hAnsi="Times New Roman"/>
          <w:sz w:val="32"/>
          <w:szCs w:val="32"/>
        </w:rPr>
      </w:pPr>
      <w:r w:rsidRPr="00A1360E">
        <w:rPr>
          <w:rFonts w:ascii="Times New Roman" w:eastAsia="黑体" w:hAnsi="黑体" w:hint="eastAsia"/>
          <w:sz w:val="32"/>
          <w:szCs w:val="32"/>
        </w:rPr>
        <w:t>三、变更</w:t>
      </w:r>
      <w:r w:rsidR="00EA42FF" w:rsidRPr="00A1360E">
        <w:rPr>
          <w:rFonts w:ascii="Times New Roman" w:eastAsia="黑体" w:hAnsi="黑体" w:hint="eastAsia"/>
          <w:sz w:val="32"/>
          <w:szCs w:val="32"/>
        </w:rPr>
        <w:t>决策评估路径</w:t>
      </w:r>
    </w:p>
    <w:p w:rsidR="00283F3E" w:rsidRPr="00283F3E" w:rsidRDefault="00283F3E" w:rsidP="0040662B">
      <w:pPr>
        <w:snapToGrid w:val="0"/>
        <w:spacing w:line="360" w:lineRule="auto"/>
        <w:ind w:firstLineChars="200" w:firstLine="640"/>
        <w:contextualSpacing/>
        <w:rPr>
          <w:rFonts w:ascii="Times New Roman" w:eastAsia="仿宋_GB2312"/>
          <w:color w:val="000000"/>
          <w:kern w:val="0"/>
          <w:sz w:val="32"/>
          <w:szCs w:val="32"/>
        </w:rPr>
      </w:pPr>
      <w:r>
        <w:rPr>
          <w:rFonts w:ascii="Times New Roman" w:eastAsia="仿宋_GB2312" w:hint="eastAsia"/>
          <w:color w:val="000000"/>
          <w:kern w:val="0"/>
          <w:sz w:val="32"/>
          <w:szCs w:val="32"/>
        </w:rPr>
        <w:t>需要明确的是医疗器械的种类多样，所用材料也各有不同，即便是同一种原材料的改变，其在同一器械中发挥的作用不同，当材料改变时对产品的风险影响也各不相同，需要进行评估的方法也会有所差异。因此，想通过一个通用的路径评估所有材料改变带来的风险是不大现实的，但可以通过某些相似的方法进行简化。本</w:t>
      </w:r>
      <w:r w:rsidR="00F07B6E">
        <w:rPr>
          <w:rFonts w:ascii="Times New Roman" w:eastAsia="仿宋_GB2312" w:hint="eastAsia"/>
          <w:color w:val="000000"/>
          <w:kern w:val="0"/>
          <w:sz w:val="32"/>
          <w:szCs w:val="32"/>
        </w:rPr>
        <w:t>指南</w:t>
      </w:r>
      <w:r>
        <w:rPr>
          <w:rFonts w:ascii="Times New Roman" w:eastAsia="仿宋_GB2312" w:hint="eastAsia"/>
          <w:color w:val="000000"/>
          <w:kern w:val="0"/>
          <w:sz w:val="32"/>
          <w:szCs w:val="32"/>
        </w:rPr>
        <w:t>即对常用的路径进行了描述。</w:t>
      </w:r>
    </w:p>
    <w:p w:rsidR="00574A52" w:rsidRDefault="00574A52" w:rsidP="00574A52">
      <w:pPr>
        <w:snapToGrid w:val="0"/>
        <w:spacing w:line="360" w:lineRule="auto"/>
        <w:ind w:firstLineChars="200" w:firstLine="640"/>
        <w:rPr>
          <w:rFonts w:ascii="Times New Roman" w:eastAsia="仿宋_GB2312"/>
          <w:color w:val="000000"/>
          <w:kern w:val="0"/>
          <w:sz w:val="32"/>
          <w:szCs w:val="32"/>
        </w:rPr>
      </w:pPr>
      <w:r>
        <w:rPr>
          <w:rFonts w:ascii="Times New Roman" w:eastAsia="仿宋_GB2312" w:hint="eastAsia"/>
          <w:color w:val="000000"/>
          <w:kern w:val="0"/>
          <w:sz w:val="32"/>
          <w:szCs w:val="32"/>
        </w:rPr>
        <w:t>评价的基本</w:t>
      </w:r>
      <w:r w:rsidR="00546DE9">
        <w:rPr>
          <w:rFonts w:ascii="Times New Roman" w:eastAsia="仿宋_GB2312" w:hint="eastAsia"/>
          <w:color w:val="000000"/>
          <w:kern w:val="0"/>
          <w:sz w:val="32"/>
          <w:szCs w:val="32"/>
        </w:rPr>
        <w:t>原则</w:t>
      </w:r>
      <w:r w:rsidR="00BD5383">
        <w:rPr>
          <w:rFonts w:ascii="Times New Roman" w:eastAsia="仿宋_GB2312" w:hint="eastAsia"/>
          <w:color w:val="000000"/>
          <w:kern w:val="0"/>
          <w:sz w:val="32"/>
          <w:szCs w:val="32"/>
        </w:rPr>
        <w:t>要</w:t>
      </w:r>
      <w:r>
        <w:rPr>
          <w:rFonts w:ascii="Times New Roman" w:eastAsia="仿宋_GB2312" w:hint="eastAsia"/>
          <w:color w:val="000000"/>
          <w:kern w:val="0"/>
          <w:sz w:val="32"/>
          <w:szCs w:val="32"/>
        </w:rPr>
        <w:t>基于风险管理的要求进行，即首先</w:t>
      </w:r>
      <w:r w:rsidRPr="00574A52">
        <w:rPr>
          <w:rFonts w:ascii="Times New Roman" w:eastAsia="仿宋_GB2312" w:hint="eastAsia"/>
          <w:color w:val="000000"/>
          <w:kern w:val="0"/>
          <w:sz w:val="32"/>
          <w:szCs w:val="32"/>
        </w:rPr>
        <w:t>根据</w:t>
      </w:r>
      <w:r>
        <w:rPr>
          <w:rFonts w:ascii="Times New Roman" w:eastAsia="仿宋_GB2312" w:hint="eastAsia"/>
          <w:color w:val="000000"/>
          <w:kern w:val="0"/>
          <w:sz w:val="32"/>
          <w:szCs w:val="32"/>
        </w:rPr>
        <w:t>医疗</w:t>
      </w:r>
      <w:r w:rsidRPr="00574A52">
        <w:rPr>
          <w:rFonts w:ascii="Times New Roman" w:eastAsia="仿宋_GB2312" w:hint="eastAsia"/>
          <w:color w:val="000000"/>
          <w:kern w:val="0"/>
          <w:sz w:val="32"/>
          <w:szCs w:val="32"/>
        </w:rPr>
        <w:t>器械自身的特性和预期用途，</w:t>
      </w:r>
      <w:r w:rsidR="00A84413">
        <w:rPr>
          <w:rFonts w:ascii="Times New Roman" w:eastAsia="仿宋_GB2312" w:hint="eastAsia"/>
          <w:color w:val="000000"/>
          <w:kern w:val="0"/>
          <w:sz w:val="32"/>
          <w:szCs w:val="32"/>
        </w:rPr>
        <w:t>并对照</w:t>
      </w:r>
      <w:r w:rsidR="00BA1B41" w:rsidRPr="00BA1B41">
        <w:rPr>
          <w:rFonts w:ascii="Times New Roman" w:eastAsia="仿宋_GB2312" w:hint="eastAsia"/>
          <w:color w:val="000000"/>
          <w:kern w:val="0"/>
          <w:sz w:val="32"/>
          <w:szCs w:val="32"/>
        </w:rPr>
        <w:t>医疗器械安全有效基本要求清单</w:t>
      </w:r>
      <w:r w:rsidRPr="00574A52">
        <w:rPr>
          <w:rFonts w:ascii="Times New Roman" w:eastAsia="仿宋_GB2312" w:hint="eastAsia"/>
          <w:color w:val="000000"/>
          <w:kern w:val="0"/>
          <w:sz w:val="32"/>
          <w:szCs w:val="32"/>
        </w:rPr>
        <w:t>识别所有</w:t>
      </w:r>
      <w:r>
        <w:rPr>
          <w:rFonts w:ascii="Times New Roman" w:eastAsia="仿宋_GB2312" w:hint="eastAsia"/>
          <w:color w:val="000000"/>
          <w:kern w:val="0"/>
          <w:sz w:val="32"/>
          <w:szCs w:val="32"/>
        </w:rPr>
        <w:t>变更</w:t>
      </w:r>
      <w:r w:rsidR="00A84413">
        <w:rPr>
          <w:rFonts w:ascii="Times New Roman" w:eastAsia="仿宋_GB2312" w:hint="eastAsia"/>
          <w:color w:val="000000"/>
          <w:kern w:val="0"/>
          <w:sz w:val="32"/>
          <w:szCs w:val="32"/>
        </w:rPr>
        <w:t>可能</w:t>
      </w:r>
      <w:r>
        <w:rPr>
          <w:rFonts w:ascii="Times New Roman" w:eastAsia="仿宋_GB2312" w:hint="eastAsia"/>
          <w:color w:val="000000"/>
          <w:kern w:val="0"/>
          <w:sz w:val="32"/>
          <w:szCs w:val="32"/>
        </w:rPr>
        <w:t>带来</w:t>
      </w:r>
      <w:r w:rsidRPr="00574A52">
        <w:rPr>
          <w:rFonts w:ascii="Times New Roman" w:eastAsia="仿宋_GB2312" w:hint="eastAsia"/>
          <w:color w:val="000000"/>
          <w:kern w:val="0"/>
          <w:sz w:val="32"/>
          <w:szCs w:val="32"/>
        </w:rPr>
        <w:t>的危害或风险事件，然后对每种风</w:t>
      </w:r>
      <w:r w:rsidRPr="0081373F">
        <w:rPr>
          <w:rFonts w:ascii="Times New Roman" w:eastAsia="仿宋_GB2312" w:hint="eastAsia"/>
          <w:kern w:val="0"/>
          <w:sz w:val="32"/>
          <w:szCs w:val="32"/>
        </w:rPr>
        <w:t>险进行评价，生物</w:t>
      </w:r>
      <w:r w:rsidR="00031889" w:rsidRPr="0081373F">
        <w:rPr>
          <w:rFonts w:ascii="Times New Roman" w:eastAsia="仿宋_GB2312" w:hint="eastAsia"/>
          <w:kern w:val="0"/>
          <w:sz w:val="32"/>
          <w:szCs w:val="32"/>
        </w:rPr>
        <w:t>学</w:t>
      </w:r>
      <w:r w:rsidR="0081373F" w:rsidRPr="0081373F">
        <w:rPr>
          <w:rFonts w:ascii="Times New Roman" w:eastAsia="仿宋_GB2312" w:hint="eastAsia"/>
          <w:kern w:val="0"/>
          <w:sz w:val="32"/>
          <w:szCs w:val="32"/>
        </w:rPr>
        <w:t>相容性危害</w:t>
      </w:r>
      <w:r w:rsidRPr="0081373F">
        <w:rPr>
          <w:rFonts w:ascii="Times New Roman" w:eastAsia="仿宋_GB2312" w:hint="eastAsia"/>
          <w:kern w:val="0"/>
          <w:sz w:val="32"/>
          <w:szCs w:val="32"/>
        </w:rPr>
        <w:t>、无菌（如适用）、</w:t>
      </w:r>
      <w:r w:rsidR="00546DE9" w:rsidRPr="0081373F">
        <w:rPr>
          <w:rFonts w:ascii="Times New Roman" w:eastAsia="仿宋_GB2312" w:hint="eastAsia"/>
          <w:kern w:val="0"/>
          <w:sz w:val="32"/>
          <w:szCs w:val="32"/>
        </w:rPr>
        <w:t>生物安全性</w:t>
      </w:r>
      <w:r w:rsidR="0081373F" w:rsidRPr="0081373F">
        <w:rPr>
          <w:rFonts w:ascii="Times New Roman" w:eastAsia="仿宋_GB2312" w:hint="eastAsia"/>
          <w:kern w:val="0"/>
          <w:sz w:val="32"/>
          <w:szCs w:val="32"/>
        </w:rPr>
        <w:t>危害</w:t>
      </w:r>
      <w:r w:rsidR="00546DE9" w:rsidRPr="0081373F">
        <w:rPr>
          <w:rFonts w:ascii="Times New Roman" w:eastAsia="仿宋_GB2312" w:hint="eastAsia"/>
          <w:kern w:val="0"/>
          <w:sz w:val="32"/>
          <w:szCs w:val="32"/>
        </w:rPr>
        <w:t>、</w:t>
      </w:r>
      <w:r w:rsidRPr="0081373F">
        <w:rPr>
          <w:rFonts w:ascii="Times New Roman" w:eastAsia="仿宋_GB2312" w:hint="eastAsia"/>
          <w:kern w:val="0"/>
          <w:sz w:val="32"/>
          <w:szCs w:val="32"/>
        </w:rPr>
        <w:t>有效期</w:t>
      </w:r>
      <w:r w:rsidR="00546DE9" w:rsidRPr="0081373F">
        <w:rPr>
          <w:rFonts w:ascii="Times New Roman" w:eastAsia="仿宋_GB2312" w:hint="eastAsia"/>
          <w:kern w:val="0"/>
          <w:sz w:val="32"/>
          <w:szCs w:val="32"/>
        </w:rPr>
        <w:t>的改变</w:t>
      </w:r>
      <w:r w:rsidRPr="0081373F">
        <w:rPr>
          <w:rFonts w:ascii="Times New Roman" w:eastAsia="仿宋_GB2312" w:hint="eastAsia"/>
          <w:kern w:val="0"/>
          <w:sz w:val="32"/>
          <w:szCs w:val="32"/>
        </w:rPr>
        <w:t>等均是可能带来的风险，应针对不</w:t>
      </w:r>
      <w:r>
        <w:rPr>
          <w:rFonts w:ascii="Times New Roman" w:eastAsia="仿宋_GB2312" w:hint="eastAsia"/>
          <w:color w:val="000000"/>
          <w:kern w:val="0"/>
          <w:sz w:val="32"/>
          <w:szCs w:val="32"/>
        </w:rPr>
        <w:t>同的风险进行不同的验证和评估</w:t>
      </w:r>
      <w:r w:rsidR="00546DE9">
        <w:rPr>
          <w:rFonts w:ascii="Times New Roman" w:eastAsia="仿宋_GB2312" w:hint="eastAsia"/>
          <w:color w:val="000000"/>
          <w:kern w:val="0"/>
          <w:sz w:val="32"/>
          <w:szCs w:val="32"/>
        </w:rPr>
        <w:t>，比如通过实</w:t>
      </w:r>
      <w:r w:rsidR="00546DE9">
        <w:rPr>
          <w:rFonts w:ascii="Times New Roman" w:eastAsia="仿宋_GB2312" w:hint="eastAsia"/>
          <w:color w:val="000000"/>
          <w:kern w:val="0"/>
          <w:sz w:val="32"/>
          <w:szCs w:val="32"/>
        </w:rPr>
        <w:lastRenderedPageBreak/>
        <w:t>验或文献</w:t>
      </w:r>
      <w:r w:rsidR="00DD0A6D">
        <w:rPr>
          <w:rFonts w:ascii="Times New Roman" w:eastAsia="仿宋_GB2312" w:hint="eastAsia"/>
          <w:color w:val="000000"/>
          <w:kern w:val="0"/>
          <w:sz w:val="32"/>
          <w:szCs w:val="32"/>
        </w:rPr>
        <w:t>资料的搜集论证等，必要时还应通过</w:t>
      </w:r>
      <w:r w:rsidR="00031889">
        <w:rPr>
          <w:rFonts w:ascii="Times New Roman" w:eastAsia="仿宋_GB2312" w:hint="eastAsia"/>
          <w:color w:val="000000"/>
          <w:kern w:val="0"/>
          <w:sz w:val="32"/>
          <w:szCs w:val="32"/>
        </w:rPr>
        <w:t>动物实验</w:t>
      </w:r>
      <w:r w:rsidR="00DD0A6D">
        <w:rPr>
          <w:rFonts w:ascii="Times New Roman" w:eastAsia="仿宋_GB2312" w:hint="eastAsia"/>
          <w:color w:val="000000"/>
          <w:kern w:val="0"/>
          <w:sz w:val="32"/>
          <w:szCs w:val="32"/>
        </w:rPr>
        <w:t>甚至</w:t>
      </w:r>
      <w:r w:rsidR="006518E5">
        <w:rPr>
          <w:rFonts w:ascii="Times New Roman" w:eastAsia="仿宋_GB2312" w:hint="eastAsia"/>
          <w:color w:val="000000"/>
          <w:kern w:val="0"/>
          <w:sz w:val="32"/>
          <w:szCs w:val="32"/>
        </w:rPr>
        <w:t>临床评价</w:t>
      </w:r>
      <w:r w:rsidR="00DD0A6D">
        <w:rPr>
          <w:rFonts w:ascii="Times New Roman" w:eastAsia="仿宋_GB2312" w:hint="eastAsia"/>
          <w:color w:val="000000"/>
          <w:kern w:val="0"/>
          <w:sz w:val="32"/>
          <w:szCs w:val="32"/>
        </w:rPr>
        <w:t>进行论证。</w:t>
      </w:r>
      <w:r w:rsidRPr="00574A52">
        <w:rPr>
          <w:rFonts w:ascii="Times New Roman" w:eastAsia="仿宋_GB2312" w:hint="eastAsia"/>
          <w:color w:val="000000"/>
          <w:kern w:val="0"/>
          <w:sz w:val="32"/>
          <w:szCs w:val="32"/>
        </w:rPr>
        <w:t>当风险被评价不能接受的时候则应制定措施降低或控制风险，</w:t>
      </w:r>
      <w:r w:rsidR="00546DE9">
        <w:rPr>
          <w:rFonts w:ascii="Times New Roman" w:eastAsia="仿宋_GB2312" w:hint="eastAsia"/>
          <w:color w:val="000000"/>
          <w:kern w:val="0"/>
          <w:sz w:val="32"/>
          <w:szCs w:val="32"/>
        </w:rPr>
        <w:t>甚至拒绝变更</w:t>
      </w:r>
      <w:r>
        <w:rPr>
          <w:rFonts w:ascii="Times New Roman" w:eastAsia="仿宋_GB2312" w:hint="eastAsia"/>
          <w:color w:val="000000"/>
          <w:kern w:val="0"/>
          <w:sz w:val="32"/>
          <w:szCs w:val="32"/>
        </w:rPr>
        <w:t>。</w:t>
      </w:r>
      <w:r w:rsidR="00546DE9">
        <w:rPr>
          <w:rFonts w:ascii="Times New Roman" w:eastAsia="仿宋_GB2312" w:hint="eastAsia"/>
          <w:color w:val="000000"/>
          <w:kern w:val="0"/>
          <w:sz w:val="32"/>
          <w:szCs w:val="32"/>
        </w:rPr>
        <w:t>需要说明的是，</w:t>
      </w:r>
      <w:r>
        <w:rPr>
          <w:rFonts w:ascii="Times New Roman" w:eastAsia="仿宋_GB2312" w:hint="eastAsia"/>
          <w:color w:val="000000"/>
          <w:kern w:val="0"/>
          <w:sz w:val="32"/>
          <w:szCs w:val="32"/>
        </w:rPr>
        <w:t>当</w:t>
      </w:r>
      <w:r w:rsidRPr="00574A52">
        <w:rPr>
          <w:rFonts w:ascii="Times New Roman" w:eastAsia="仿宋_GB2312" w:hint="eastAsia"/>
          <w:color w:val="000000"/>
          <w:kern w:val="0"/>
          <w:sz w:val="32"/>
          <w:szCs w:val="32"/>
        </w:rPr>
        <w:t>完成</w:t>
      </w:r>
      <w:r w:rsidR="00546DE9">
        <w:rPr>
          <w:rFonts w:ascii="Times New Roman" w:eastAsia="仿宋_GB2312" w:hint="eastAsia"/>
          <w:color w:val="000000"/>
          <w:kern w:val="0"/>
          <w:sz w:val="32"/>
          <w:szCs w:val="32"/>
        </w:rPr>
        <w:t>变更</w:t>
      </w:r>
      <w:r w:rsidRPr="00574A52">
        <w:rPr>
          <w:rFonts w:ascii="Times New Roman" w:eastAsia="仿宋_GB2312" w:hint="eastAsia"/>
          <w:color w:val="000000"/>
          <w:kern w:val="0"/>
          <w:sz w:val="32"/>
          <w:szCs w:val="32"/>
        </w:rPr>
        <w:t>后</w:t>
      </w:r>
      <w:r w:rsidR="00546DE9">
        <w:rPr>
          <w:rFonts w:ascii="Times New Roman" w:eastAsia="仿宋_GB2312" w:hint="eastAsia"/>
          <w:color w:val="000000"/>
          <w:kern w:val="0"/>
          <w:sz w:val="32"/>
          <w:szCs w:val="32"/>
        </w:rPr>
        <w:t>还</w:t>
      </w:r>
      <w:r w:rsidR="00DD0A6D">
        <w:rPr>
          <w:rFonts w:ascii="Times New Roman" w:eastAsia="仿宋_GB2312" w:hint="eastAsia"/>
          <w:color w:val="000000"/>
          <w:kern w:val="0"/>
          <w:sz w:val="32"/>
          <w:szCs w:val="32"/>
        </w:rPr>
        <w:t>要继续重复评价危害或损害的</w:t>
      </w:r>
      <w:r w:rsidRPr="00574A52">
        <w:rPr>
          <w:rFonts w:ascii="Times New Roman" w:eastAsia="仿宋_GB2312" w:hint="eastAsia"/>
          <w:color w:val="000000"/>
          <w:kern w:val="0"/>
          <w:sz w:val="32"/>
          <w:szCs w:val="32"/>
        </w:rPr>
        <w:t>风险，不断重复进行这种评价以及必要的控制</w:t>
      </w:r>
      <w:r w:rsidR="00DD0A6D">
        <w:rPr>
          <w:rFonts w:ascii="Times New Roman" w:eastAsia="仿宋_GB2312" w:hint="eastAsia"/>
          <w:color w:val="000000"/>
          <w:kern w:val="0"/>
          <w:sz w:val="32"/>
          <w:szCs w:val="32"/>
        </w:rPr>
        <w:t>，以确保产品的安全、有效</w:t>
      </w:r>
      <w:r>
        <w:rPr>
          <w:rFonts w:ascii="Times New Roman" w:eastAsia="仿宋_GB2312" w:hint="eastAsia"/>
          <w:color w:val="000000"/>
          <w:kern w:val="0"/>
          <w:sz w:val="32"/>
          <w:szCs w:val="32"/>
        </w:rPr>
        <w:t>。</w:t>
      </w:r>
    </w:p>
    <w:p w:rsidR="00BD5383" w:rsidRDefault="00981422" w:rsidP="00574A52">
      <w:pPr>
        <w:snapToGrid w:val="0"/>
        <w:spacing w:line="360" w:lineRule="auto"/>
        <w:ind w:firstLineChars="200" w:firstLine="640"/>
        <w:rPr>
          <w:rFonts w:ascii="Times New Roman" w:eastAsia="仿宋_GB2312"/>
          <w:color w:val="000000"/>
          <w:kern w:val="0"/>
          <w:sz w:val="32"/>
          <w:szCs w:val="32"/>
        </w:rPr>
      </w:pPr>
      <w:r>
        <w:rPr>
          <w:rFonts w:ascii="Times New Roman" w:eastAsia="仿宋_GB2312" w:hint="eastAsia"/>
          <w:color w:val="000000"/>
          <w:kern w:val="0"/>
          <w:sz w:val="32"/>
          <w:szCs w:val="32"/>
        </w:rPr>
        <w:t>一般来说，常见的因材料变更带来的可能风险包括生物相容性、生物安全性、灭菌</w:t>
      </w:r>
      <w:r>
        <w:rPr>
          <w:rFonts w:ascii="Times New Roman" w:eastAsia="仿宋_GB2312" w:hint="eastAsia"/>
          <w:color w:val="000000"/>
          <w:kern w:val="0"/>
          <w:sz w:val="32"/>
          <w:szCs w:val="32"/>
        </w:rPr>
        <w:t>/</w:t>
      </w:r>
      <w:r>
        <w:rPr>
          <w:rFonts w:ascii="Times New Roman" w:eastAsia="仿宋_GB2312" w:hint="eastAsia"/>
          <w:color w:val="000000"/>
          <w:kern w:val="0"/>
          <w:sz w:val="32"/>
          <w:szCs w:val="32"/>
        </w:rPr>
        <w:t>消毒效果及残留、有效期及包装等危害，同时不同产品有很多专有的要求和可能的风险，此处不对每种产品特有的性能进行阐述，统一以实验室研究代替，具体评价项目企业可参考相关行业标准、指导原则及产品的设计开发文件等资料。其他非</w:t>
      </w:r>
      <w:r w:rsidR="00031889">
        <w:rPr>
          <w:rFonts w:ascii="Times New Roman" w:eastAsia="仿宋_GB2312" w:hint="eastAsia"/>
          <w:color w:val="000000"/>
          <w:kern w:val="0"/>
          <w:sz w:val="32"/>
          <w:szCs w:val="32"/>
        </w:rPr>
        <w:t>生物学</w:t>
      </w:r>
      <w:r>
        <w:rPr>
          <w:rFonts w:ascii="Times New Roman" w:eastAsia="仿宋_GB2312" w:hint="eastAsia"/>
          <w:color w:val="000000"/>
          <w:kern w:val="0"/>
          <w:sz w:val="32"/>
          <w:szCs w:val="32"/>
        </w:rPr>
        <w:t>评价、</w:t>
      </w:r>
      <w:r w:rsidR="00031889">
        <w:rPr>
          <w:rFonts w:ascii="Times New Roman" w:eastAsia="仿宋_GB2312" w:hint="eastAsia"/>
          <w:color w:val="000000"/>
          <w:kern w:val="0"/>
          <w:sz w:val="32"/>
          <w:szCs w:val="32"/>
        </w:rPr>
        <w:t>动物实验</w:t>
      </w:r>
      <w:r>
        <w:rPr>
          <w:rFonts w:ascii="Times New Roman" w:eastAsia="仿宋_GB2312" w:hint="eastAsia"/>
          <w:color w:val="000000"/>
          <w:kern w:val="0"/>
          <w:sz w:val="32"/>
          <w:szCs w:val="32"/>
        </w:rPr>
        <w:t>的研究也统一在实验室研究部分进行阐述，比如有效期和包装材料、灭菌</w:t>
      </w:r>
      <w:r>
        <w:rPr>
          <w:rFonts w:ascii="Times New Roman" w:eastAsia="仿宋_GB2312" w:hint="eastAsia"/>
          <w:color w:val="000000"/>
          <w:kern w:val="0"/>
          <w:sz w:val="32"/>
          <w:szCs w:val="32"/>
        </w:rPr>
        <w:t>/</w:t>
      </w:r>
      <w:r>
        <w:rPr>
          <w:rFonts w:ascii="Times New Roman" w:eastAsia="仿宋_GB2312" w:hint="eastAsia"/>
          <w:color w:val="000000"/>
          <w:kern w:val="0"/>
          <w:sz w:val="32"/>
          <w:szCs w:val="32"/>
        </w:rPr>
        <w:t>消毒效果及残留、生物安全性等。</w:t>
      </w:r>
    </w:p>
    <w:p w:rsidR="008201E9" w:rsidRPr="008201E9" w:rsidRDefault="008201E9" w:rsidP="00574A52">
      <w:pPr>
        <w:snapToGrid w:val="0"/>
        <w:spacing w:line="360" w:lineRule="auto"/>
        <w:ind w:firstLineChars="200" w:firstLine="640"/>
        <w:rPr>
          <w:rFonts w:ascii="楷体_GB2312" w:eastAsia="楷体_GB2312"/>
          <w:color w:val="000000"/>
          <w:kern w:val="0"/>
          <w:sz w:val="32"/>
          <w:szCs w:val="32"/>
        </w:rPr>
      </w:pPr>
      <w:r w:rsidRPr="008201E9">
        <w:rPr>
          <w:rFonts w:ascii="楷体_GB2312" w:eastAsia="楷体_GB2312" w:hint="eastAsia"/>
          <w:color w:val="000000"/>
          <w:kern w:val="0"/>
          <w:sz w:val="32"/>
          <w:szCs w:val="32"/>
        </w:rPr>
        <w:t>3.1 判断材料变化形式</w:t>
      </w:r>
    </w:p>
    <w:p w:rsidR="00981422" w:rsidRPr="00A1360E" w:rsidRDefault="00981422" w:rsidP="00981422">
      <w:pPr>
        <w:snapToGrid w:val="0"/>
        <w:spacing w:line="360" w:lineRule="auto"/>
        <w:ind w:firstLineChars="200" w:firstLine="640"/>
        <w:rPr>
          <w:rFonts w:ascii="Times New Roman" w:eastAsia="仿宋_GB2312" w:hAnsi="Times New Roman"/>
          <w:color w:val="000000"/>
          <w:kern w:val="0"/>
          <w:sz w:val="32"/>
          <w:szCs w:val="32"/>
        </w:rPr>
      </w:pPr>
      <w:r>
        <w:rPr>
          <w:rFonts w:ascii="Times New Roman" w:eastAsia="仿宋_GB2312" w:hint="eastAsia"/>
          <w:color w:val="000000"/>
          <w:kern w:val="0"/>
          <w:sz w:val="32"/>
          <w:szCs w:val="32"/>
        </w:rPr>
        <w:t>首先，</w:t>
      </w:r>
      <w:r w:rsidRPr="00A1360E">
        <w:rPr>
          <w:rFonts w:ascii="Times New Roman" w:eastAsia="仿宋_GB2312" w:hint="eastAsia"/>
          <w:color w:val="000000"/>
          <w:kern w:val="0"/>
          <w:sz w:val="32"/>
          <w:szCs w:val="32"/>
        </w:rPr>
        <w:t>对于原材料的</w:t>
      </w:r>
      <w:r>
        <w:rPr>
          <w:rFonts w:ascii="Times New Roman" w:eastAsia="仿宋_GB2312" w:hint="eastAsia"/>
          <w:color w:val="000000"/>
          <w:kern w:val="0"/>
          <w:sz w:val="32"/>
          <w:szCs w:val="32"/>
        </w:rPr>
        <w:t>变化</w:t>
      </w:r>
      <w:r w:rsidRPr="00A1360E">
        <w:rPr>
          <w:rFonts w:ascii="Times New Roman" w:eastAsia="仿宋_GB2312" w:hint="eastAsia"/>
          <w:color w:val="000000"/>
          <w:kern w:val="0"/>
          <w:sz w:val="32"/>
          <w:szCs w:val="32"/>
        </w:rPr>
        <w:t>可参考附录</w:t>
      </w:r>
      <w:r w:rsidRPr="00A1360E">
        <w:rPr>
          <w:rFonts w:ascii="Times New Roman" w:eastAsia="仿宋_GB2312" w:hAnsi="Times New Roman" w:hint="eastAsia"/>
          <w:color w:val="000000"/>
          <w:kern w:val="0"/>
          <w:sz w:val="32"/>
          <w:szCs w:val="32"/>
        </w:rPr>
        <w:t>1</w:t>
      </w:r>
      <w:r w:rsidRPr="00A1360E">
        <w:rPr>
          <w:rFonts w:ascii="Times New Roman" w:eastAsia="仿宋_GB2312" w:hint="eastAsia"/>
          <w:color w:val="000000"/>
          <w:kern w:val="0"/>
          <w:sz w:val="32"/>
          <w:szCs w:val="32"/>
        </w:rPr>
        <w:t>决策路径进行评估，</w:t>
      </w:r>
      <w:r>
        <w:rPr>
          <w:rFonts w:ascii="Times New Roman" w:eastAsia="仿宋_GB2312" w:hint="eastAsia"/>
          <w:color w:val="000000"/>
          <w:kern w:val="0"/>
          <w:sz w:val="32"/>
          <w:szCs w:val="32"/>
        </w:rPr>
        <w:t>持证人</w:t>
      </w:r>
      <w:r w:rsidRPr="00A1360E">
        <w:rPr>
          <w:rFonts w:ascii="Times New Roman" w:eastAsia="仿宋_GB2312" w:hint="eastAsia"/>
          <w:color w:val="000000"/>
          <w:kern w:val="0"/>
          <w:sz w:val="32"/>
          <w:szCs w:val="32"/>
        </w:rPr>
        <w:t>应首先判断产品原材料是否发生</w:t>
      </w:r>
      <w:r>
        <w:rPr>
          <w:rFonts w:ascii="Times New Roman" w:eastAsia="仿宋_GB2312" w:hint="eastAsia"/>
          <w:color w:val="000000"/>
          <w:kern w:val="0"/>
          <w:sz w:val="32"/>
          <w:szCs w:val="32"/>
        </w:rPr>
        <w:t>变化</w:t>
      </w:r>
      <w:r w:rsidRPr="00A1360E">
        <w:rPr>
          <w:rFonts w:ascii="Times New Roman" w:eastAsia="仿宋_GB2312" w:hint="eastAsia"/>
          <w:color w:val="000000"/>
          <w:kern w:val="0"/>
          <w:sz w:val="32"/>
          <w:szCs w:val="32"/>
        </w:rPr>
        <w:t>，值得注意的是</w:t>
      </w:r>
      <w:r>
        <w:rPr>
          <w:rFonts w:ascii="Times New Roman" w:eastAsia="仿宋_GB2312" w:hint="eastAsia"/>
          <w:color w:val="000000"/>
          <w:kern w:val="0"/>
          <w:sz w:val="32"/>
          <w:szCs w:val="32"/>
        </w:rPr>
        <w:t>医疗器械生产企业</w:t>
      </w:r>
      <w:r w:rsidR="00DD0A6D">
        <w:rPr>
          <w:rFonts w:ascii="Times New Roman" w:eastAsia="仿宋_GB2312" w:hint="eastAsia"/>
          <w:color w:val="000000"/>
          <w:kern w:val="0"/>
          <w:sz w:val="32"/>
          <w:szCs w:val="32"/>
        </w:rPr>
        <w:t>有义务获得原材料变化的具体内容，但当某些情况下</w:t>
      </w:r>
      <w:r>
        <w:rPr>
          <w:rFonts w:ascii="Times New Roman" w:eastAsia="仿宋_GB2312" w:hint="eastAsia"/>
          <w:color w:val="000000"/>
          <w:kern w:val="0"/>
          <w:sz w:val="32"/>
          <w:szCs w:val="32"/>
        </w:rPr>
        <w:t>不能获得原材组分信息时，可通过相关标准及文献或者适当的化学分析</w:t>
      </w:r>
      <w:r w:rsidRPr="00A1360E">
        <w:rPr>
          <w:rFonts w:ascii="Times New Roman" w:eastAsia="仿宋_GB2312" w:hint="eastAsia"/>
          <w:color w:val="000000"/>
          <w:kern w:val="0"/>
          <w:sz w:val="32"/>
          <w:szCs w:val="32"/>
        </w:rPr>
        <w:t>提供</w:t>
      </w:r>
      <w:r>
        <w:rPr>
          <w:rFonts w:ascii="Times New Roman" w:eastAsia="仿宋_GB2312" w:hint="eastAsia"/>
          <w:color w:val="000000"/>
          <w:kern w:val="0"/>
          <w:sz w:val="32"/>
          <w:szCs w:val="32"/>
        </w:rPr>
        <w:t>进一步</w:t>
      </w:r>
      <w:r w:rsidRPr="00A1360E">
        <w:rPr>
          <w:rFonts w:ascii="Times New Roman" w:eastAsia="仿宋_GB2312" w:hint="eastAsia"/>
          <w:color w:val="000000"/>
          <w:kern w:val="0"/>
          <w:sz w:val="32"/>
          <w:szCs w:val="32"/>
        </w:rPr>
        <w:t>的证据</w:t>
      </w:r>
      <w:r w:rsidR="00592C66">
        <w:rPr>
          <w:rFonts w:ascii="Times New Roman" w:eastAsia="仿宋_GB2312" w:hint="eastAsia"/>
          <w:color w:val="000000"/>
          <w:kern w:val="0"/>
          <w:sz w:val="32"/>
          <w:szCs w:val="32"/>
        </w:rPr>
        <w:t>，化学分析的过程、方法及要求等可参考</w:t>
      </w:r>
      <w:r w:rsidR="00592C66">
        <w:rPr>
          <w:rFonts w:ascii="Times New Roman" w:eastAsia="仿宋_GB2312" w:hint="eastAsia"/>
          <w:color w:val="000000"/>
          <w:kern w:val="0"/>
          <w:sz w:val="32"/>
          <w:szCs w:val="32"/>
        </w:rPr>
        <w:t>GB/T 16886</w:t>
      </w:r>
      <w:r w:rsidR="00592C66">
        <w:rPr>
          <w:rFonts w:ascii="Times New Roman" w:eastAsia="仿宋_GB2312" w:hint="eastAsia"/>
          <w:color w:val="000000"/>
          <w:kern w:val="0"/>
          <w:sz w:val="32"/>
          <w:szCs w:val="32"/>
        </w:rPr>
        <w:t>系列标准</w:t>
      </w:r>
      <w:r w:rsidR="000A6ADF">
        <w:rPr>
          <w:rFonts w:ascii="Times New Roman" w:eastAsia="仿宋_GB2312" w:hint="eastAsia"/>
          <w:color w:val="000000"/>
          <w:kern w:val="0"/>
          <w:sz w:val="32"/>
          <w:szCs w:val="32"/>
        </w:rPr>
        <w:t>及相关指南</w:t>
      </w:r>
      <w:r w:rsidRPr="00A1360E">
        <w:rPr>
          <w:rFonts w:ascii="Times New Roman" w:eastAsia="仿宋_GB2312" w:hint="eastAsia"/>
          <w:color w:val="000000"/>
          <w:kern w:val="0"/>
          <w:sz w:val="32"/>
          <w:szCs w:val="32"/>
        </w:rPr>
        <w:t>。</w:t>
      </w:r>
      <w:r>
        <w:rPr>
          <w:rFonts w:ascii="Times New Roman" w:eastAsia="仿宋_GB2312" w:hint="eastAsia"/>
          <w:color w:val="000000"/>
          <w:kern w:val="0"/>
          <w:sz w:val="32"/>
          <w:szCs w:val="32"/>
        </w:rPr>
        <w:t>对于化学分析，不仅需要判断主体材料是否发生改变，还应通过适当的可沥滤物研究评价材料是否发生了改变。</w:t>
      </w:r>
    </w:p>
    <w:p w:rsidR="008201E9" w:rsidRPr="00325C61" w:rsidRDefault="008201E9" w:rsidP="00A97D9B">
      <w:pPr>
        <w:snapToGrid w:val="0"/>
        <w:spacing w:line="360" w:lineRule="auto"/>
        <w:ind w:firstLineChars="200" w:firstLine="640"/>
        <w:rPr>
          <w:rFonts w:ascii="楷体_GB2312" w:eastAsia="楷体_GB2312"/>
          <w:color w:val="000000"/>
          <w:kern w:val="0"/>
          <w:sz w:val="32"/>
          <w:szCs w:val="32"/>
        </w:rPr>
      </w:pPr>
      <w:r w:rsidRPr="00325C61">
        <w:rPr>
          <w:rFonts w:ascii="楷体_GB2312" w:eastAsia="楷体_GB2312" w:hint="eastAsia"/>
          <w:color w:val="000000"/>
          <w:kern w:val="0"/>
          <w:sz w:val="32"/>
          <w:szCs w:val="32"/>
        </w:rPr>
        <w:lastRenderedPageBreak/>
        <w:t>3.2 生物学</w:t>
      </w:r>
      <w:r w:rsidR="00325C61" w:rsidRPr="00325C61">
        <w:rPr>
          <w:rFonts w:ascii="楷体_GB2312" w:eastAsia="楷体_GB2312" w:hint="eastAsia"/>
          <w:color w:val="000000"/>
          <w:kern w:val="0"/>
          <w:sz w:val="32"/>
          <w:szCs w:val="32"/>
        </w:rPr>
        <w:t>评价</w:t>
      </w:r>
    </w:p>
    <w:p w:rsidR="00135D1F" w:rsidRPr="00A1360E" w:rsidRDefault="00C62579" w:rsidP="00A97D9B">
      <w:pPr>
        <w:snapToGrid w:val="0"/>
        <w:spacing w:line="360" w:lineRule="auto"/>
        <w:ind w:firstLineChars="200" w:firstLine="640"/>
        <w:rPr>
          <w:rFonts w:ascii="Times New Roman" w:eastAsia="仿宋_GB2312" w:hAnsi="Times New Roman"/>
          <w:color w:val="000000"/>
          <w:kern w:val="0"/>
          <w:sz w:val="32"/>
          <w:szCs w:val="32"/>
        </w:rPr>
      </w:pPr>
      <w:r w:rsidRPr="00A1360E">
        <w:rPr>
          <w:rFonts w:ascii="Times New Roman" w:eastAsia="仿宋_GB2312" w:hint="eastAsia"/>
          <w:color w:val="000000"/>
          <w:kern w:val="0"/>
          <w:sz w:val="32"/>
          <w:szCs w:val="32"/>
        </w:rPr>
        <w:t>应分析</w:t>
      </w:r>
      <w:r w:rsidR="00DD0BB8">
        <w:rPr>
          <w:rFonts w:ascii="Times New Roman" w:eastAsia="仿宋_GB2312" w:hint="eastAsia"/>
          <w:color w:val="000000"/>
          <w:kern w:val="0"/>
          <w:sz w:val="32"/>
          <w:szCs w:val="32"/>
        </w:rPr>
        <w:t>变化</w:t>
      </w:r>
      <w:r w:rsidR="00135D1F" w:rsidRPr="00A1360E">
        <w:rPr>
          <w:rFonts w:ascii="Times New Roman" w:eastAsia="仿宋_GB2312" w:hint="eastAsia"/>
          <w:color w:val="000000"/>
          <w:kern w:val="0"/>
          <w:sz w:val="32"/>
          <w:szCs w:val="32"/>
        </w:rPr>
        <w:t>材料是否</w:t>
      </w:r>
      <w:r w:rsidRPr="00A1360E">
        <w:rPr>
          <w:rFonts w:ascii="Times New Roman" w:eastAsia="仿宋_GB2312" w:hint="eastAsia"/>
          <w:color w:val="000000"/>
          <w:kern w:val="0"/>
          <w:sz w:val="32"/>
          <w:szCs w:val="32"/>
        </w:rPr>
        <w:t>与</w:t>
      </w:r>
      <w:r w:rsidR="00D944D1" w:rsidRPr="00A1360E">
        <w:rPr>
          <w:rFonts w:ascii="Times New Roman" w:eastAsia="仿宋_GB2312" w:hint="eastAsia"/>
          <w:color w:val="000000"/>
          <w:kern w:val="0"/>
          <w:sz w:val="32"/>
          <w:szCs w:val="32"/>
        </w:rPr>
        <w:t>人体</w:t>
      </w:r>
      <w:r w:rsidRPr="00A1360E">
        <w:rPr>
          <w:rFonts w:ascii="Times New Roman" w:eastAsia="仿宋_GB2312" w:hint="eastAsia"/>
          <w:color w:val="000000"/>
          <w:kern w:val="0"/>
          <w:sz w:val="32"/>
          <w:szCs w:val="32"/>
        </w:rPr>
        <w:t>组织或体液发生</w:t>
      </w:r>
      <w:r w:rsidR="00135D1F" w:rsidRPr="00A1360E">
        <w:rPr>
          <w:rFonts w:ascii="Times New Roman" w:eastAsia="仿宋_GB2312" w:hint="eastAsia"/>
          <w:color w:val="000000"/>
          <w:kern w:val="0"/>
          <w:sz w:val="32"/>
          <w:szCs w:val="32"/>
        </w:rPr>
        <w:t>直接或间接接触</w:t>
      </w:r>
      <w:r w:rsidRPr="00A1360E">
        <w:rPr>
          <w:rFonts w:ascii="Times New Roman" w:eastAsia="仿宋_GB2312" w:hint="eastAsia"/>
          <w:color w:val="000000"/>
          <w:kern w:val="0"/>
          <w:sz w:val="32"/>
          <w:szCs w:val="32"/>
        </w:rPr>
        <w:t>。</w:t>
      </w:r>
      <w:r w:rsidR="00DD0BB8">
        <w:rPr>
          <w:rFonts w:ascii="Times New Roman" w:eastAsia="仿宋_GB2312" w:hint="eastAsia"/>
          <w:color w:val="000000"/>
          <w:kern w:val="0"/>
          <w:sz w:val="32"/>
          <w:szCs w:val="32"/>
        </w:rPr>
        <w:t>需要说明的是</w:t>
      </w:r>
      <w:r w:rsidR="00D944D1" w:rsidRPr="00A1360E">
        <w:rPr>
          <w:rFonts w:ascii="Times New Roman" w:eastAsia="仿宋_GB2312" w:hint="eastAsia"/>
          <w:color w:val="000000"/>
          <w:kern w:val="0"/>
          <w:sz w:val="32"/>
          <w:szCs w:val="32"/>
        </w:rPr>
        <w:t>某些</w:t>
      </w:r>
      <w:r w:rsidR="00CC43A8" w:rsidRPr="00A1360E">
        <w:rPr>
          <w:rFonts w:ascii="Times New Roman" w:eastAsia="仿宋_GB2312" w:hint="eastAsia"/>
          <w:color w:val="000000"/>
          <w:kern w:val="0"/>
          <w:sz w:val="32"/>
          <w:szCs w:val="32"/>
        </w:rPr>
        <w:t>器械可通过关联</w:t>
      </w:r>
      <w:r w:rsidR="00D944D1" w:rsidRPr="00A1360E">
        <w:rPr>
          <w:rFonts w:ascii="Times New Roman" w:eastAsia="仿宋_GB2312" w:hint="eastAsia"/>
          <w:color w:val="000000"/>
          <w:kern w:val="0"/>
          <w:sz w:val="32"/>
          <w:szCs w:val="32"/>
        </w:rPr>
        <w:t>路径</w:t>
      </w:r>
      <w:r w:rsidR="00135D1F" w:rsidRPr="00A1360E">
        <w:rPr>
          <w:rFonts w:ascii="Times New Roman" w:eastAsia="仿宋_GB2312" w:hint="eastAsia"/>
          <w:color w:val="000000"/>
          <w:kern w:val="0"/>
          <w:sz w:val="32"/>
          <w:szCs w:val="32"/>
        </w:rPr>
        <w:t>（如液体或气体）接触</w:t>
      </w:r>
      <w:r w:rsidR="00D944D1" w:rsidRPr="00A1360E">
        <w:rPr>
          <w:rFonts w:ascii="Times New Roman" w:eastAsia="仿宋_GB2312" w:hint="eastAsia"/>
          <w:color w:val="000000"/>
          <w:kern w:val="0"/>
          <w:sz w:val="32"/>
          <w:szCs w:val="32"/>
        </w:rPr>
        <w:t>人体</w:t>
      </w:r>
      <w:r w:rsidR="00135D1F" w:rsidRPr="00A1360E">
        <w:rPr>
          <w:rFonts w:ascii="Times New Roman" w:eastAsia="仿宋_GB2312" w:hint="eastAsia"/>
          <w:color w:val="000000"/>
          <w:kern w:val="0"/>
          <w:sz w:val="32"/>
          <w:szCs w:val="32"/>
        </w:rPr>
        <w:t>组织或人体成分</w:t>
      </w:r>
      <w:r w:rsidR="00CC43A8" w:rsidRPr="00A1360E">
        <w:rPr>
          <w:rFonts w:ascii="Times New Roman" w:eastAsia="仿宋_GB2312" w:hint="eastAsia"/>
          <w:color w:val="000000"/>
          <w:kern w:val="0"/>
          <w:sz w:val="32"/>
          <w:szCs w:val="32"/>
        </w:rPr>
        <w:t>，那么这种材料应被认为与人体间接接触，</w:t>
      </w:r>
      <w:r w:rsidR="00135D1F" w:rsidRPr="00A1360E">
        <w:rPr>
          <w:rFonts w:ascii="Times New Roman" w:eastAsia="仿宋_GB2312" w:hint="eastAsia"/>
          <w:color w:val="000000"/>
          <w:kern w:val="0"/>
          <w:sz w:val="32"/>
          <w:szCs w:val="32"/>
        </w:rPr>
        <w:t>例如，</w:t>
      </w:r>
      <w:r w:rsidR="00CC43A8" w:rsidRPr="00A1360E">
        <w:rPr>
          <w:rFonts w:ascii="Times New Roman" w:eastAsia="仿宋_GB2312" w:hint="eastAsia"/>
          <w:color w:val="000000"/>
          <w:kern w:val="0"/>
          <w:sz w:val="32"/>
          <w:szCs w:val="32"/>
        </w:rPr>
        <w:t>用于药液输注的导管、用于呼吸麻醉用的管路等</w:t>
      </w:r>
      <w:r w:rsidR="00135D1F" w:rsidRPr="00A1360E">
        <w:rPr>
          <w:rFonts w:ascii="Times New Roman" w:eastAsia="仿宋_GB2312" w:hint="eastAsia"/>
          <w:color w:val="000000"/>
          <w:kern w:val="0"/>
          <w:sz w:val="32"/>
          <w:szCs w:val="32"/>
        </w:rPr>
        <w:t>。</w:t>
      </w:r>
    </w:p>
    <w:p w:rsidR="00135D1F" w:rsidRPr="00A1360E" w:rsidRDefault="00CC43A8" w:rsidP="00D76B84">
      <w:pPr>
        <w:snapToGrid w:val="0"/>
        <w:spacing w:line="360" w:lineRule="auto"/>
        <w:ind w:firstLineChars="200" w:firstLine="640"/>
        <w:rPr>
          <w:rFonts w:ascii="Times New Roman" w:eastAsia="仿宋_GB2312" w:hAnsi="Times New Roman"/>
          <w:color w:val="000000"/>
          <w:kern w:val="0"/>
          <w:sz w:val="32"/>
          <w:szCs w:val="32"/>
        </w:rPr>
      </w:pPr>
      <w:r w:rsidRPr="00A1360E">
        <w:rPr>
          <w:rFonts w:ascii="Times New Roman" w:eastAsia="仿宋_GB2312" w:hint="eastAsia"/>
          <w:color w:val="000000"/>
          <w:kern w:val="0"/>
          <w:sz w:val="32"/>
          <w:szCs w:val="32"/>
        </w:rPr>
        <w:t>尽管大多数植入物材料与患者接触，也存在例外情况。例如，某些植入式</w:t>
      </w:r>
      <w:r w:rsidR="00D76B84">
        <w:rPr>
          <w:rFonts w:ascii="Times New Roman" w:eastAsia="仿宋_GB2312" w:hint="eastAsia"/>
          <w:color w:val="000000"/>
          <w:kern w:val="0"/>
          <w:sz w:val="32"/>
          <w:szCs w:val="32"/>
        </w:rPr>
        <w:t>产品</w:t>
      </w:r>
      <w:r w:rsidRPr="00A1360E">
        <w:rPr>
          <w:rFonts w:ascii="Times New Roman" w:eastAsia="仿宋_GB2312" w:hint="eastAsia"/>
          <w:color w:val="000000"/>
          <w:kern w:val="0"/>
          <w:sz w:val="32"/>
          <w:szCs w:val="32"/>
        </w:rPr>
        <w:t>会与人体组织或体液直接接触，但</w:t>
      </w:r>
      <w:r w:rsidR="00D76B84">
        <w:rPr>
          <w:rFonts w:ascii="Times New Roman" w:eastAsia="仿宋_GB2312" w:hint="eastAsia"/>
          <w:color w:val="000000"/>
          <w:kern w:val="0"/>
          <w:sz w:val="32"/>
          <w:szCs w:val="32"/>
        </w:rPr>
        <w:t>植入物</w:t>
      </w:r>
      <w:r w:rsidRPr="00A1360E">
        <w:rPr>
          <w:rFonts w:ascii="Times New Roman" w:eastAsia="仿宋_GB2312" w:hint="eastAsia"/>
          <w:color w:val="000000"/>
          <w:kern w:val="0"/>
          <w:sz w:val="32"/>
          <w:szCs w:val="32"/>
        </w:rPr>
        <w:t>内部的某些组件由于被</w:t>
      </w:r>
      <w:r w:rsidR="00135D1F" w:rsidRPr="00A1360E">
        <w:rPr>
          <w:rFonts w:ascii="Times New Roman" w:eastAsia="仿宋_GB2312" w:hint="eastAsia"/>
          <w:color w:val="000000"/>
          <w:kern w:val="0"/>
          <w:sz w:val="32"/>
          <w:szCs w:val="32"/>
        </w:rPr>
        <w:t>密封不与患者接触，</w:t>
      </w:r>
      <w:r w:rsidRPr="00A1360E">
        <w:rPr>
          <w:rFonts w:ascii="Times New Roman" w:eastAsia="仿宋_GB2312" w:hint="eastAsia"/>
          <w:color w:val="000000"/>
          <w:kern w:val="0"/>
          <w:sz w:val="32"/>
          <w:szCs w:val="32"/>
        </w:rPr>
        <w:t>那么这类材料的改变可被认为不与人体接触</w:t>
      </w:r>
      <w:r w:rsidR="00135D1F" w:rsidRPr="00A1360E">
        <w:rPr>
          <w:rFonts w:ascii="Times New Roman" w:eastAsia="仿宋_GB2312" w:hint="eastAsia"/>
          <w:color w:val="000000"/>
          <w:kern w:val="0"/>
          <w:sz w:val="32"/>
          <w:szCs w:val="32"/>
        </w:rPr>
        <w:t>。</w:t>
      </w:r>
    </w:p>
    <w:p w:rsidR="00135D1F" w:rsidRPr="00A1360E" w:rsidRDefault="00135D1F" w:rsidP="00825A4F">
      <w:pPr>
        <w:snapToGrid w:val="0"/>
        <w:spacing w:line="360" w:lineRule="auto"/>
        <w:ind w:firstLineChars="200" w:firstLine="640"/>
        <w:rPr>
          <w:rFonts w:ascii="Times New Roman" w:eastAsia="仿宋_GB2312" w:hAnsi="Times New Roman"/>
          <w:color w:val="000000"/>
          <w:kern w:val="0"/>
          <w:sz w:val="32"/>
          <w:szCs w:val="32"/>
        </w:rPr>
      </w:pPr>
      <w:r w:rsidRPr="00A1360E">
        <w:rPr>
          <w:rFonts w:ascii="Times New Roman" w:eastAsia="仿宋_GB2312"/>
          <w:color w:val="000000"/>
          <w:kern w:val="0"/>
          <w:sz w:val="32"/>
          <w:szCs w:val="32"/>
        </w:rPr>
        <w:t>评估</w:t>
      </w:r>
      <w:r w:rsidR="002F7134">
        <w:rPr>
          <w:rFonts w:ascii="Times New Roman" w:eastAsia="仿宋_GB2312"/>
          <w:color w:val="000000"/>
          <w:kern w:val="0"/>
          <w:sz w:val="32"/>
          <w:szCs w:val="32"/>
        </w:rPr>
        <w:t>该变化是否引发</w:t>
      </w:r>
      <w:r w:rsidRPr="00A1360E">
        <w:rPr>
          <w:rFonts w:ascii="Times New Roman" w:eastAsia="仿宋_GB2312"/>
          <w:color w:val="000000"/>
          <w:kern w:val="0"/>
          <w:sz w:val="32"/>
          <w:szCs w:val="32"/>
        </w:rPr>
        <w:t>任何新的生物相容性</w:t>
      </w:r>
      <w:r w:rsidR="00CC43A8" w:rsidRPr="00A1360E">
        <w:rPr>
          <w:rFonts w:ascii="Times New Roman" w:eastAsia="仿宋_GB2312" w:hint="eastAsia"/>
          <w:color w:val="000000"/>
          <w:kern w:val="0"/>
          <w:sz w:val="32"/>
          <w:szCs w:val="32"/>
        </w:rPr>
        <w:t>风险。</w:t>
      </w:r>
      <w:r w:rsidR="00AE51E3">
        <w:rPr>
          <w:rFonts w:ascii="Times New Roman" w:eastAsia="仿宋_GB2312" w:hint="eastAsia"/>
          <w:color w:val="000000"/>
          <w:kern w:val="0"/>
          <w:sz w:val="32"/>
          <w:szCs w:val="32"/>
        </w:rPr>
        <w:t>持证人</w:t>
      </w:r>
      <w:r w:rsidRPr="00A1360E">
        <w:rPr>
          <w:rFonts w:ascii="Times New Roman" w:eastAsia="仿宋_GB2312"/>
          <w:color w:val="000000"/>
          <w:kern w:val="0"/>
          <w:sz w:val="32"/>
          <w:szCs w:val="32"/>
        </w:rPr>
        <w:t>应对任何</w:t>
      </w:r>
      <w:r w:rsidR="00D76B84">
        <w:rPr>
          <w:rFonts w:ascii="Times New Roman" w:eastAsia="仿宋_GB2312"/>
          <w:color w:val="000000"/>
          <w:kern w:val="0"/>
          <w:sz w:val="32"/>
          <w:szCs w:val="32"/>
        </w:rPr>
        <w:t>可能与患者或用户接触的材料进行风险评估（</w:t>
      </w:r>
      <w:r w:rsidR="002F7134">
        <w:rPr>
          <w:rFonts w:ascii="Times New Roman" w:eastAsia="仿宋_GB2312"/>
          <w:color w:val="000000"/>
          <w:kern w:val="0"/>
          <w:sz w:val="32"/>
          <w:szCs w:val="32"/>
        </w:rPr>
        <w:t>包括器械毒理学和理化</w:t>
      </w:r>
      <w:r w:rsidRPr="00A1360E">
        <w:rPr>
          <w:rFonts w:ascii="Times New Roman" w:eastAsia="仿宋_GB2312"/>
          <w:color w:val="000000"/>
          <w:kern w:val="0"/>
          <w:sz w:val="32"/>
          <w:szCs w:val="32"/>
        </w:rPr>
        <w:t>特征的评估）以决定是否存在任何新的生物相容性问题</w:t>
      </w:r>
      <w:r w:rsidR="00D76B84">
        <w:rPr>
          <w:rFonts w:ascii="Times New Roman" w:eastAsia="仿宋_GB2312" w:hint="eastAsia"/>
          <w:color w:val="000000"/>
          <w:kern w:val="0"/>
          <w:sz w:val="32"/>
          <w:szCs w:val="32"/>
        </w:rPr>
        <w:t>。</w:t>
      </w:r>
      <w:r w:rsidRPr="00A1360E">
        <w:rPr>
          <w:rFonts w:ascii="Times New Roman" w:eastAsia="仿宋_GB2312"/>
          <w:color w:val="000000"/>
          <w:kern w:val="0"/>
          <w:sz w:val="32"/>
          <w:szCs w:val="32"/>
        </w:rPr>
        <w:t>例如，</w:t>
      </w:r>
      <w:r w:rsidR="00CC43A8" w:rsidRPr="00A1360E">
        <w:rPr>
          <w:rFonts w:ascii="Times New Roman" w:eastAsia="仿宋_GB2312"/>
          <w:color w:val="000000"/>
          <w:kern w:val="0"/>
          <w:sz w:val="32"/>
          <w:szCs w:val="32"/>
        </w:rPr>
        <w:t>当在材料中加入新的化学成分</w:t>
      </w:r>
      <w:r w:rsidRPr="00A1360E">
        <w:rPr>
          <w:rFonts w:ascii="Times New Roman" w:eastAsia="仿宋_GB2312"/>
          <w:color w:val="000000"/>
          <w:kern w:val="0"/>
          <w:sz w:val="32"/>
          <w:szCs w:val="32"/>
        </w:rPr>
        <w:t>，</w:t>
      </w:r>
      <w:r w:rsidR="00B3256B" w:rsidRPr="00A1360E">
        <w:rPr>
          <w:rFonts w:ascii="Times New Roman" w:eastAsia="仿宋_GB2312"/>
          <w:color w:val="000000"/>
          <w:kern w:val="0"/>
          <w:sz w:val="32"/>
          <w:szCs w:val="32"/>
        </w:rPr>
        <w:t>而已有文献将该成分记录为存在潜在</w:t>
      </w:r>
      <w:r w:rsidR="00CC43A8" w:rsidRPr="00A1360E">
        <w:rPr>
          <w:rFonts w:ascii="Times New Roman" w:eastAsia="仿宋_GB2312"/>
          <w:color w:val="000000"/>
          <w:kern w:val="0"/>
          <w:sz w:val="32"/>
          <w:szCs w:val="32"/>
        </w:rPr>
        <w:t>遗传</w:t>
      </w:r>
      <w:r w:rsidR="00B3256B" w:rsidRPr="00A1360E">
        <w:rPr>
          <w:rFonts w:ascii="Times New Roman" w:eastAsia="仿宋_GB2312"/>
          <w:color w:val="000000"/>
          <w:kern w:val="0"/>
          <w:sz w:val="32"/>
          <w:szCs w:val="32"/>
        </w:rPr>
        <w:t>毒性时</w:t>
      </w:r>
      <w:r w:rsidR="00B3256B" w:rsidRPr="00A1360E">
        <w:rPr>
          <w:rFonts w:ascii="Times New Roman" w:eastAsia="仿宋_GB2312" w:hint="eastAsia"/>
          <w:color w:val="000000"/>
          <w:kern w:val="0"/>
          <w:sz w:val="32"/>
          <w:szCs w:val="32"/>
        </w:rPr>
        <w:t>，</w:t>
      </w:r>
      <w:r w:rsidR="00B3256B" w:rsidRPr="00A1360E">
        <w:rPr>
          <w:rFonts w:ascii="Times New Roman" w:eastAsia="仿宋_GB2312"/>
          <w:color w:val="000000"/>
          <w:kern w:val="0"/>
          <w:sz w:val="32"/>
          <w:szCs w:val="32"/>
        </w:rPr>
        <w:t>则需要对该成分进行遗传</w:t>
      </w:r>
      <w:r w:rsidRPr="00A1360E">
        <w:rPr>
          <w:rFonts w:ascii="Times New Roman" w:eastAsia="仿宋_GB2312"/>
          <w:color w:val="000000"/>
          <w:kern w:val="0"/>
          <w:sz w:val="32"/>
          <w:szCs w:val="32"/>
        </w:rPr>
        <w:t>毒性分析。</w:t>
      </w:r>
      <w:r w:rsidR="00B3256B" w:rsidRPr="00A1360E">
        <w:rPr>
          <w:rFonts w:ascii="Times New Roman" w:eastAsia="仿宋_GB2312"/>
          <w:color w:val="000000"/>
          <w:kern w:val="0"/>
          <w:sz w:val="32"/>
          <w:szCs w:val="32"/>
        </w:rPr>
        <w:t>具体可参考</w:t>
      </w:r>
      <w:r w:rsidR="00B3256B" w:rsidRPr="00A1360E">
        <w:rPr>
          <w:rFonts w:ascii="Times New Roman" w:eastAsia="仿宋_GB2312" w:hAnsi="Times New Roman" w:hint="eastAsia"/>
          <w:color w:val="000000"/>
          <w:kern w:val="0"/>
          <w:sz w:val="32"/>
          <w:szCs w:val="32"/>
        </w:rPr>
        <w:t>GB/T 16886.1</w:t>
      </w:r>
      <w:r w:rsidR="00B3256B" w:rsidRPr="00A1360E">
        <w:rPr>
          <w:rFonts w:ascii="Times New Roman" w:eastAsia="仿宋_GB2312"/>
          <w:color w:val="000000"/>
          <w:kern w:val="0"/>
          <w:sz w:val="32"/>
          <w:szCs w:val="32"/>
        </w:rPr>
        <w:t>医疗器械的生物学评估</w:t>
      </w:r>
      <w:r w:rsidR="00B3256B" w:rsidRPr="00A1360E">
        <w:rPr>
          <w:rFonts w:ascii="Times New Roman" w:eastAsia="仿宋_GB2312" w:hAnsi="Times New Roman"/>
          <w:color w:val="000000"/>
          <w:kern w:val="0"/>
          <w:sz w:val="32"/>
          <w:szCs w:val="32"/>
        </w:rPr>
        <w:t>-</w:t>
      </w:r>
      <w:r w:rsidR="00B3256B" w:rsidRPr="00A1360E">
        <w:rPr>
          <w:rFonts w:ascii="Times New Roman" w:eastAsia="仿宋_GB2312"/>
          <w:color w:val="000000"/>
          <w:kern w:val="0"/>
          <w:sz w:val="32"/>
          <w:szCs w:val="32"/>
        </w:rPr>
        <w:t>第</w:t>
      </w:r>
      <w:r w:rsidR="00B3256B" w:rsidRPr="00A1360E">
        <w:rPr>
          <w:rFonts w:ascii="Times New Roman" w:eastAsia="仿宋_GB2312" w:hAnsi="Times New Roman"/>
          <w:color w:val="000000"/>
          <w:kern w:val="0"/>
          <w:sz w:val="32"/>
          <w:szCs w:val="32"/>
        </w:rPr>
        <w:t>1</w:t>
      </w:r>
      <w:r w:rsidR="00B3256B" w:rsidRPr="00A1360E">
        <w:rPr>
          <w:rFonts w:ascii="Times New Roman" w:eastAsia="仿宋_GB2312"/>
          <w:color w:val="000000"/>
          <w:kern w:val="0"/>
          <w:sz w:val="32"/>
          <w:szCs w:val="32"/>
        </w:rPr>
        <w:t>部分：风险管理过程中的评估和试验中的</w:t>
      </w:r>
      <w:r w:rsidR="00B3256B" w:rsidRPr="00A1360E">
        <w:rPr>
          <w:rFonts w:ascii="Times New Roman" w:eastAsia="仿宋_GB2312" w:hint="eastAsia"/>
          <w:color w:val="000000"/>
          <w:kern w:val="0"/>
          <w:sz w:val="32"/>
          <w:szCs w:val="32"/>
        </w:rPr>
        <w:t>相关生物相容性的风险评估要求</w:t>
      </w:r>
      <w:r w:rsidRPr="00A1360E">
        <w:rPr>
          <w:rFonts w:ascii="Times New Roman" w:eastAsia="仿宋_GB2312"/>
          <w:color w:val="000000"/>
          <w:kern w:val="0"/>
          <w:sz w:val="32"/>
          <w:szCs w:val="32"/>
        </w:rPr>
        <w:t>。</w:t>
      </w:r>
    </w:p>
    <w:p w:rsidR="008720D8" w:rsidRPr="00A1360E" w:rsidRDefault="00135D1F" w:rsidP="00FF149D">
      <w:pPr>
        <w:topLinePunct/>
        <w:adjustRightInd w:val="0"/>
        <w:snapToGrid w:val="0"/>
        <w:spacing w:afterLines="75" w:line="360" w:lineRule="auto"/>
        <w:ind w:firstLineChars="200" w:firstLine="640"/>
        <w:contextualSpacing/>
        <w:rPr>
          <w:rFonts w:ascii="Times New Roman" w:eastAsia="仿宋_GB2312" w:hAnsi="Times New Roman"/>
          <w:color w:val="000000"/>
          <w:kern w:val="0"/>
          <w:sz w:val="32"/>
          <w:szCs w:val="32"/>
        </w:rPr>
      </w:pPr>
      <w:r w:rsidRPr="00A1360E">
        <w:rPr>
          <w:rFonts w:ascii="Times New Roman" w:eastAsia="仿宋_GB2312"/>
          <w:color w:val="000000"/>
          <w:kern w:val="0"/>
          <w:sz w:val="32"/>
          <w:szCs w:val="32"/>
        </w:rPr>
        <w:t>如果由</w:t>
      </w:r>
      <w:r w:rsidR="00D76B84">
        <w:rPr>
          <w:rFonts w:ascii="Times New Roman" w:eastAsia="仿宋_GB2312"/>
          <w:color w:val="000000"/>
          <w:kern w:val="0"/>
          <w:sz w:val="32"/>
          <w:szCs w:val="32"/>
        </w:rPr>
        <w:t>在医疗器械生物学评价方面具有长期实践经验的</w:t>
      </w:r>
      <w:r w:rsidRPr="00A1360E">
        <w:rPr>
          <w:rFonts w:ascii="Times New Roman" w:eastAsia="仿宋_GB2312"/>
          <w:color w:val="000000"/>
          <w:kern w:val="0"/>
          <w:sz w:val="32"/>
          <w:szCs w:val="32"/>
        </w:rPr>
        <w:t>人员审核化学成分或物理特征差异并</w:t>
      </w:r>
      <w:r w:rsidR="00D76B84">
        <w:rPr>
          <w:rFonts w:ascii="Times New Roman" w:eastAsia="仿宋_GB2312" w:hint="eastAsia"/>
          <w:color w:val="000000"/>
          <w:kern w:val="0"/>
          <w:sz w:val="32"/>
          <w:szCs w:val="32"/>
        </w:rPr>
        <w:t>判定</w:t>
      </w:r>
      <w:r w:rsidRPr="00A1360E">
        <w:rPr>
          <w:rFonts w:ascii="Times New Roman" w:eastAsia="仿宋_GB2312"/>
          <w:color w:val="000000"/>
          <w:kern w:val="0"/>
          <w:sz w:val="32"/>
          <w:szCs w:val="32"/>
        </w:rPr>
        <w:t>变更程度微小，不足以引起与生物相容性相关的新问题</w:t>
      </w:r>
      <w:r w:rsidR="00DD0BB8">
        <w:rPr>
          <w:rFonts w:ascii="Times New Roman" w:eastAsia="仿宋_GB2312" w:hint="eastAsia"/>
          <w:color w:val="000000"/>
          <w:kern w:val="0"/>
          <w:sz w:val="32"/>
          <w:szCs w:val="32"/>
        </w:rPr>
        <w:t>，那么对新增生物相容性的顾虑可以排除</w:t>
      </w:r>
      <w:r w:rsidRPr="00A1360E">
        <w:rPr>
          <w:rFonts w:ascii="Times New Roman" w:eastAsia="仿宋_GB2312"/>
          <w:color w:val="000000"/>
          <w:kern w:val="0"/>
          <w:sz w:val="32"/>
          <w:szCs w:val="32"/>
        </w:rPr>
        <w:t>。</w:t>
      </w:r>
    </w:p>
    <w:p w:rsidR="008720D8" w:rsidRPr="00A1360E" w:rsidRDefault="00031889" w:rsidP="00FF149D">
      <w:pPr>
        <w:topLinePunct/>
        <w:adjustRightInd w:val="0"/>
        <w:snapToGrid w:val="0"/>
        <w:spacing w:afterLines="75" w:line="360" w:lineRule="auto"/>
        <w:ind w:firstLineChars="200" w:firstLine="640"/>
        <w:contextualSpacing/>
        <w:rPr>
          <w:rFonts w:ascii="Times New Roman" w:eastAsia="仿宋_GB2312" w:hAnsi="Times New Roman"/>
          <w:color w:val="000000"/>
          <w:kern w:val="0"/>
          <w:sz w:val="32"/>
          <w:szCs w:val="32"/>
        </w:rPr>
      </w:pPr>
      <w:r>
        <w:rPr>
          <w:rFonts w:ascii="Times New Roman" w:eastAsia="仿宋_GB2312" w:hint="eastAsia"/>
          <w:color w:val="000000"/>
          <w:kern w:val="0"/>
          <w:sz w:val="32"/>
          <w:szCs w:val="32"/>
        </w:rPr>
        <w:lastRenderedPageBreak/>
        <w:t>在进行生物学评价</w:t>
      </w:r>
      <w:r w:rsidR="00D944D1" w:rsidRPr="00A1360E">
        <w:rPr>
          <w:rFonts w:ascii="Times New Roman" w:eastAsia="仿宋_GB2312" w:hint="eastAsia"/>
          <w:color w:val="000000"/>
          <w:kern w:val="0"/>
          <w:sz w:val="32"/>
          <w:szCs w:val="32"/>
        </w:rPr>
        <w:t>风险消除判断过程中，</w:t>
      </w:r>
      <w:r w:rsidR="00AE51E3">
        <w:rPr>
          <w:rFonts w:ascii="Times New Roman" w:eastAsia="仿宋_GB2312" w:hint="eastAsia"/>
          <w:color w:val="000000"/>
          <w:kern w:val="0"/>
          <w:sz w:val="32"/>
          <w:szCs w:val="32"/>
        </w:rPr>
        <w:t>持证人</w:t>
      </w:r>
      <w:r w:rsidR="00D944D1" w:rsidRPr="00A1360E">
        <w:rPr>
          <w:rFonts w:ascii="Times New Roman" w:eastAsia="仿宋_GB2312" w:hint="eastAsia"/>
          <w:color w:val="000000"/>
          <w:kern w:val="0"/>
          <w:sz w:val="32"/>
          <w:szCs w:val="32"/>
        </w:rPr>
        <w:t>应判断</w:t>
      </w:r>
      <w:r w:rsidR="008720D8" w:rsidRPr="00A1360E">
        <w:rPr>
          <w:rFonts w:ascii="Times New Roman" w:eastAsia="仿宋_GB2312" w:hint="eastAsia"/>
          <w:color w:val="000000"/>
          <w:kern w:val="0"/>
          <w:sz w:val="32"/>
          <w:szCs w:val="32"/>
        </w:rPr>
        <w:t>是否使用</w:t>
      </w:r>
      <w:r w:rsidR="00D944D1" w:rsidRPr="00A1360E">
        <w:rPr>
          <w:rFonts w:ascii="Times New Roman" w:eastAsia="仿宋_GB2312" w:hint="eastAsia"/>
          <w:color w:val="000000"/>
          <w:kern w:val="0"/>
          <w:sz w:val="32"/>
          <w:szCs w:val="32"/>
        </w:rPr>
        <w:t>了</w:t>
      </w:r>
      <w:r w:rsidR="008720D8" w:rsidRPr="00A1360E">
        <w:rPr>
          <w:rFonts w:ascii="Times New Roman" w:eastAsia="仿宋_GB2312" w:hint="eastAsia"/>
          <w:color w:val="000000"/>
          <w:kern w:val="0"/>
          <w:sz w:val="32"/>
          <w:szCs w:val="32"/>
        </w:rPr>
        <w:t>与类似已上市器械相同的材料</w:t>
      </w:r>
      <w:r w:rsidR="00A97D9B">
        <w:rPr>
          <w:rFonts w:ascii="Times New Roman" w:eastAsia="仿宋_GB2312" w:hint="eastAsia"/>
          <w:color w:val="000000"/>
          <w:kern w:val="0"/>
          <w:sz w:val="32"/>
          <w:szCs w:val="32"/>
        </w:rPr>
        <w:t>。</w:t>
      </w:r>
      <w:r w:rsidR="008720D8" w:rsidRPr="00A1360E">
        <w:rPr>
          <w:rFonts w:ascii="Times New Roman" w:eastAsia="仿宋_GB2312" w:hint="eastAsia"/>
          <w:color w:val="000000"/>
          <w:kern w:val="0"/>
          <w:sz w:val="32"/>
          <w:szCs w:val="32"/>
        </w:rPr>
        <w:t>如果</w:t>
      </w:r>
      <w:r w:rsidR="00AE51E3">
        <w:rPr>
          <w:rFonts w:ascii="Times New Roman" w:eastAsia="仿宋_GB2312" w:hint="eastAsia"/>
          <w:color w:val="000000"/>
          <w:kern w:val="0"/>
          <w:sz w:val="32"/>
          <w:szCs w:val="32"/>
        </w:rPr>
        <w:t>持证人</w:t>
      </w:r>
      <w:r w:rsidR="008720D8" w:rsidRPr="00A1360E">
        <w:rPr>
          <w:rFonts w:ascii="Times New Roman" w:eastAsia="仿宋_GB2312" w:hint="eastAsia"/>
          <w:color w:val="000000"/>
          <w:kern w:val="0"/>
          <w:sz w:val="32"/>
          <w:szCs w:val="32"/>
        </w:rPr>
        <w:t>使用的材料与获得</w:t>
      </w:r>
      <w:r w:rsidR="00D944D1" w:rsidRPr="00A1360E">
        <w:rPr>
          <w:rFonts w:ascii="Times New Roman" w:eastAsia="仿宋_GB2312" w:hint="eastAsia"/>
          <w:color w:val="000000"/>
          <w:kern w:val="0"/>
          <w:sz w:val="32"/>
          <w:szCs w:val="32"/>
        </w:rPr>
        <w:t>批准的类似</w:t>
      </w:r>
      <w:r w:rsidR="008720D8" w:rsidRPr="00A1360E">
        <w:rPr>
          <w:rFonts w:ascii="Times New Roman" w:eastAsia="仿宋_GB2312" w:hint="eastAsia"/>
          <w:color w:val="000000"/>
          <w:kern w:val="0"/>
          <w:sz w:val="32"/>
          <w:szCs w:val="32"/>
        </w:rPr>
        <w:t>器械相同，并且，该器械不存在上市后引发生物相容性问题的证据，</w:t>
      </w:r>
      <w:r w:rsidR="00D944D1" w:rsidRPr="00A1360E">
        <w:rPr>
          <w:rFonts w:ascii="Times New Roman" w:eastAsia="仿宋_GB2312" w:hint="eastAsia"/>
          <w:color w:val="000000"/>
          <w:kern w:val="0"/>
          <w:sz w:val="32"/>
          <w:szCs w:val="32"/>
        </w:rPr>
        <w:t>那么</w:t>
      </w:r>
      <w:r w:rsidR="00AE51E3">
        <w:rPr>
          <w:rFonts w:ascii="Times New Roman" w:eastAsia="仿宋_GB2312" w:hint="eastAsia"/>
          <w:color w:val="000000"/>
          <w:kern w:val="0"/>
          <w:sz w:val="32"/>
          <w:szCs w:val="32"/>
        </w:rPr>
        <w:t>持证人</w:t>
      </w:r>
      <w:r w:rsidR="00D944D1" w:rsidRPr="00A1360E">
        <w:rPr>
          <w:rFonts w:ascii="Times New Roman" w:eastAsia="仿宋_GB2312" w:hint="eastAsia"/>
          <w:color w:val="000000"/>
          <w:kern w:val="0"/>
          <w:sz w:val="32"/>
          <w:szCs w:val="32"/>
        </w:rPr>
        <w:t>可以认为</w:t>
      </w:r>
      <w:r w:rsidR="004F7A51">
        <w:rPr>
          <w:rFonts w:ascii="Times New Roman" w:eastAsia="仿宋_GB2312" w:hint="eastAsia"/>
          <w:color w:val="000000"/>
          <w:kern w:val="0"/>
          <w:sz w:val="32"/>
          <w:szCs w:val="32"/>
        </w:rPr>
        <w:t>原</w:t>
      </w:r>
      <w:r w:rsidR="00D944D1" w:rsidRPr="00A1360E">
        <w:rPr>
          <w:rFonts w:ascii="Times New Roman" w:eastAsia="仿宋_GB2312" w:hint="eastAsia"/>
          <w:color w:val="000000"/>
          <w:kern w:val="0"/>
          <w:sz w:val="32"/>
          <w:szCs w:val="32"/>
        </w:rPr>
        <w:t>材料</w:t>
      </w:r>
      <w:r w:rsidR="004F7A51">
        <w:rPr>
          <w:rFonts w:ascii="Times New Roman" w:eastAsia="仿宋_GB2312" w:hint="eastAsia"/>
          <w:color w:val="000000"/>
          <w:kern w:val="0"/>
          <w:sz w:val="32"/>
          <w:szCs w:val="32"/>
        </w:rPr>
        <w:t>改变</w:t>
      </w:r>
      <w:r w:rsidR="00D944D1" w:rsidRPr="00A1360E">
        <w:rPr>
          <w:rFonts w:ascii="Times New Roman" w:eastAsia="仿宋_GB2312" w:hint="eastAsia"/>
          <w:color w:val="000000"/>
          <w:kern w:val="0"/>
          <w:sz w:val="32"/>
          <w:szCs w:val="32"/>
        </w:rPr>
        <w:t>带来的生物学评价的风险已进行了控制</w:t>
      </w:r>
      <w:r w:rsidR="008720D8" w:rsidRPr="00A1360E">
        <w:rPr>
          <w:rFonts w:ascii="Times New Roman" w:eastAsia="仿宋_GB2312" w:hint="eastAsia"/>
          <w:color w:val="000000"/>
          <w:kern w:val="0"/>
          <w:sz w:val="32"/>
          <w:szCs w:val="32"/>
        </w:rPr>
        <w:t>。</w:t>
      </w:r>
    </w:p>
    <w:p w:rsidR="008720D8" w:rsidRPr="00A1360E" w:rsidRDefault="008720D8" w:rsidP="00FF149D">
      <w:pPr>
        <w:topLinePunct/>
        <w:adjustRightInd w:val="0"/>
        <w:snapToGrid w:val="0"/>
        <w:spacing w:afterLines="75" w:line="360" w:lineRule="auto"/>
        <w:ind w:firstLineChars="200" w:firstLine="640"/>
        <w:contextualSpacing/>
        <w:rPr>
          <w:rFonts w:ascii="Times New Roman" w:eastAsia="仿宋_GB2312" w:hAnsi="Times New Roman"/>
          <w:color w:val="000000"/>
          <w:kern w:val="0"/>
          <w:sz w:val="32"/>
          <w:szCs w:val="32"/>
        </w:rPr>
      </w:pPr>
      <w:r w:rsidRPr="00A1360E">
        <w:rPr>
          <w:rFonts w:ascii="Times New Roman" w:eastAsia="仿宋_GB2312" w:hAnsi="Times New Roman"/>
          <w:color w:val="000000"/>
          <w:kern w:val="0"/>
          <w:sz w:val="32"/>
          <w:szCs w:val="32"/>
        </w:rPr>
        <w:t xml:space="preserve"> </w:t>
      </w:r>
      <w:r w:rsidRPr="00A1360E">
        <w:rPr>
          <w:rFonts w:ascii="Times New Roman" w:eastAsia="仿宋_GB2312" w:hint="eastAsia"/>
          <w:color w:val="000000"/>
          <w:kern w:val="0"/>
          <w:sz w:val="32"/>
          <w:szCs w:val="32"/>
        </w:rPr>
        <w:t>值得注意的是，</w:t>
      </w:r>
      <w:r w:rsidR="00D944D1" w:rsidRPr="00A1360E">
        <w:rPr>
          <w:rFonts w:ascii="Times New Roman" w:eastAsia="仿宋_GB2312" w:hint="eastAsia"/>
          <w:color w:val="000000"/>
          <w:kern w:val="0"/>
          <w:sz w:val="32"/>
          <w:szCs w:val="32"/>
        </w:rPr>
        <w:t>前述与已获</w:t>
      </w:r>
      <w:proofErr w:type="gramStart"/>
      <w:r w:rsidR="00D944D1" w:rsidRPr="00A1360E">
        <w:rPr>
          <w:rFonts w:ascii="Times New Roman" w:eastAsia="仿宋_GB2312" w:hint="eastAsia"/>
          <w:color w:val="000000"/>
          <w:kern w:val="0"/>
          <w:sz w:val="32"/>
          <w:szCs w:val="32"/>
        </w:rPr>
        <w:t>批类似</w:t>
      </w:r>
      <w:proofErr w:type="gramEnd"/>
      <w:r w:rsidR="00D944D1" w:rsidRPr="00A1360E">
        <w:rPr>
          <w:rFonts w:ascii="Times New Roman" w:eastAsia="仿宋_GB2312" w:hint="eastAsia"/>
          <w:color w:val="000000"/>
          <w:kern w:val="0"/>
          <w:sz w:val="32"/>
          <w:szCs w:val="32"/>
        </w:rPr>
        <w:t>器械相同指的是</w:t>
      </w:r>
      <w:r w:rsidRPr="00A1360E">
        <w:rPr>
          <w:rFonts w:ascii="Times New Roman" w:eastAsia="仿宋_GB2312" w:hint="eastAsia"/>
          <w:color w:val="000000"/>
          <w:kern w:val="0"/>
          <w:sz w:val="32"/>
          <w:szCs w:val="32"/>
        </w:rPr>
        <w:t>应具有相同的配方或化学成分，并且，</w:t>
      </w:r>
      <w:proofErr w:type="gramStart"/>
      <w:r w:rsidRPr="00A1360E">
        <w:rPr>
          <w:rFonts w:ascii="Times New Roman" w:eastAsia="仿宋_GB2312" w:hint="eastAsia"/>
          <w:color w:val="000000"/>
          <w:kern w:val="0"/>
          <w:sz w:val="32"/>
          <w:szCs w:val="32"/>
        </w:rPr>
        <w:t>应经历</w:t>
      </w:r>
      <w:proofErr w:type="gramEnd"/>
      <w:r w:rsidRPr="00A1360E">
        <w:rPr>
          <w:rFonts w:ascii="Times New Roman" w:eastAsia="仿宋_GB2312" w:hint="eastAsia"/>
          <w:color w:val="000000"/>
          <w:kern w:val="0"/>
          <w:sz w:val="32"/>
          <w:szCs w:val="32"/>
        </w:rPr>
        <w:t>相同工艺，包括灭菌（即</w:t>
      </w:r>
      <w:r w:rsidR="00D76B84">
        <w:rPr>
          <w:rFonts w:ascii="Times New Roman" w:eastAsia="仿宋_GB2312" w:hint="eastAsia"/>
          <w:color w:val="000000"/>
          <w:kern w:val="0"/>
          <w:sz w:val="32"/>
          <w:szCs w:val="32"/>
        </w:rPr>
        <w:t>：</w:t>
      </w:r>
      <w:r w:rsidRPr="00A1360E">
        <w:rPr>
          <w:rFonts w:ascii="Times New Roman" w:eastAsia="仿宋_GB2312" w:hint="eastAsia"/>
          <w:color w:val="000000"/>
          <w:kern w:val="0"/>
          <w:sz w:val="32"/>
          <w:szCs w:val="32"/>
        </w:rPr>
        <w:t>应与其拥有最终器械的材料进行比较，而不是在原料之间进行比较）。此外，变更器械或组件的尺寸和几何构型</w:t>
      </w:r>
      <w:r w:rsidR="00684D30">
        <w:rPr>
          <w:rFonts w:ascii="Times New Roman" w:eastAsia="仿宋_GB2312" w:hint="eastAsia"/>
          <w:color w:val="000000"/>
          <w:kern w:val="0"/>
          <w:sz w:val="32"/>
          <w:szCs w:val="32"/>
        </w:rPr>
        <w:t>、聚合物固化</w:t>
      </w:r>
      <w:r w:rsidR="00371CE9">
        <w:rPr>
          <w:rFonts w:ascii="Times New Roman" w:eastAsia="仿宋_GB2312" w:hint="eastAsia"/>
          <w:color w:val="000000"/>
          <w:kern w:val="0"/>
          <w:sz w:val="32"/>
          <w:szCs w:val="32"/>
        </w:rPr>
        <w:t>时间及新</w:t>
      </w:r>
      <w:r w:rsidR="00A97D9B">
        <w:rPr>
          <w:rFonts w:ascii="Times New Roman" w:eastAsia="仿宋_GB2312" w:hint="eastAsia"/>
          <w:color w:val="000000"/>
          <w:kern w:val="0"/>
          <w:sz w:val="32"/>
          <w:szCs w:val="32"/>
        </w:rPr>
        <w:t>材料的使用量等</w:t>
      </w:r>
      <w:r w:rsidR="00D76B84">
        <w:rPr>
          <w:rFonts w:ascii="Times New Roman" w:eastAsia="仿宋_GB2312" w:hint="eastAsia"/>
          <w:color w:val="000000"/>
          <w:kern w:val="0"/>
          <w:sz w:val="32"/>
          <w:szCs w:val="32"/>
        </w:rPr>
        <w:t>也应属于评价的因素</w:t>
      </w:r>
      <w:r w:rsidRPr="00A1360E">
        <w:rPr>
          <w:rFonts w:ascii="Times New Roman" w:eastAsia="仿宋_GB2312" w:hint="eastAsia"/>
          <w:color w:val="000000"/>
          <w:kern w:val="0"/>
          <w:sz w:val="32"/>
          <w:szCs w:val="32"/>
        </w:rPr>
        <w:t>。</w:t>
      </w:r>
    </w:p>
    <w:p w:rsidR="00AB7957" w:rsidRPr="00A1360E" w:rsidRDefault="00233058" w:rsidP="00FF149D">
      <w:pPr>
        <w:topLinePunct/>
        <w:adjustRightInd w:val="0"/>
        <w:snapToGrid w:val="0"/>
        <w:spacing w:afterLines="75" w:line="360" w:lineRule="auto"/>
        <w:ind w:firstLineChars="200" w:firstLine="640"/>
        <w:contextualSpacing/>
        <w:rPr>
          <w:rFonts w:ascii="Times New Roman" w:eastAsia="仿宋_GB2312" w:hAnsi="Times New Roman"/>
          <w:color w:val="000000"/>
          <w:kern w:val="0"/>
          <w:sz w:val="32"/>
          <w:szCs w:val="32"/>
        </w:rPr>
      </w:pPr>
      <w:r w:rsidRPr="00A1360E">
        <w:rPr>
          <w:rFonts w:ascii="Times New Roman" w:eastAsia="仿宋_GB2312" w:hint="eastAsia"/>
          <w:color w:val="000000"/>
          <w:kern w:val="0"/>
          <w:sz w:val="32"/>
          <w:szCs w:val="32"/>
        </w:rPr>
        <w:t>还应注意的是，</w:t>
      </w:r>
      <w:r w:rsidR="00371CE9">
        <w:rPr>
          <w:rFonts w:ascii="Times New Roman" w:eastAsia="仿宋_GB2312" w:hint="eastAsia"/>
          <w:color w:val="000000"/>
          <w:kern w:val="0"/>
          <w:sz w:val="32"/>
          <w:szCs w:val="32"/>
        </w:rPr>
        <w:t>与</w:t>
      </w:r>
      <w:r w:rsidR="008720D8" w:rsidRPr="00A1360E">
        <w:rPr>
          <w:rFonts w:ascii="Times New Roman" w:eastAsia="仿宋_GB2312" w:hint="eastAsia"/>
          <w:color w:val="000000"/>
          <w:kern w:val="0"/>
          <w:sz w:val="32"/>
          <w:szCs w:val="32"/>
        </w:rPr>
        <w:t>之前获批的器械</w:t>
      </w:r>
      <w:r w:rsidR="00371CE9">
        <w:rPr>
          <w:rFonts w:ascii="Times New Roman" w:eastAsia="仿宋_GB2312" w:hint="eastAsia"/>
          <w:color w:val="000000"/>
          <w:kern w:val="0"/>
          <w:sz w:val="32"/>
          <w:szCs w:val="32"/>
        </w:rPr>
        <w:t>相比较时，还应从接触时间及接触方式角度考虑，</w:t>
      </w:r>
      <w:r w:rsidR="00BB38BD">
        <w:rPr>
          <w:rFonts w:ascii="Times New Roman" w:eastAsia="仿宋_GB2312" w:hint="eastAsia"/>
          <w:color w:val="000000"/>
          <w:kern w:val="0"/>
          <w:sz w:val="32"/>
          <w:szCs w:val="32"/>
        </w:rPr>
        <w:t>通过充分的化学表征及毒理学评价获得其与已进行评价的材料具有等同性，或</w:t>
      </w:r>
      <w:r w:rsidR="00371CE9">
        <w:rPr>
          <w:rFonts w:ascii="Times New Roman" w:eastAsia="仿宋_GB2312" w:hint="eastAsia"/>
          <w:color w:val="000000"/>
          <w:kern w:val="0"/>
          <w:sz w:val="32"/>
          <w:szCs w:val="32"/>
        </w:rPr>
        <w:t>具有更低的风险。</w:t>
      </w:r>
      <w:r w:rsidR="008720D8" w:rsidRPr="00A1360E">
        <w:rPr>
          <w:rFonts w:ascii="Times New Roman" w:eastAsia="仿宋_GB2312" w:hint="eastAsia"/>
          <w:color w:val="000000"/>
          <w:kern w:val="0"/>
          <w:sz w:val="32"/>
          <w:szCs w:val="32"/>
        </w:rPr>
        <w:t>例如，如果</w:t>
      </w:r>
      <w:r w:rsidR="00AE51E3">
        <w:rPr>
          <w:rFonts w:ascii="Times New Roman" w:eastAsia="仿宋_GB2312" w:hint="eastAsia"/>
          <w:color w:val="000000"/>
          <w:kern w:val="0"/>
          <w:sz w:val="32"/>
          <w:szCs w:val="32"/>
        </w:rPr>
        <w:t>持证人</w:t>
      </w:r>
      <w:r w:rsidR="008720D8" w:rsidRPr="00A1360E">
        <w:rPr>
          <w:rFonts w:ascii="Times New Roman" w:eastAsia="仿宋_GB2312" w:hint="eastAsia"/>
          <w:color w:val="000000"/>
          <w:kern w:val="0"/>
          <w:sz w:val="32"/>
          <w:szCs w:val="32"/>
        </w:rPr>
        <w:t>打算在</w:t>
      </w:r>
      <w:r w:rsidRPr="00A1360E">
        <w:rPr>
          <w:rFonts w:ascii="Times New Roman" w:eastAsia="仿宋_GB2312" w:hint="eastAsia"/>
          <w:color w:val="000000"/>
          <w:kern w:val="0"/>
          <w:sz w:val="32"/>
          <w:szCs w:val="32"/>
        </w:rPr>
        <w:t>短期</w:t>
      </w:r>
      <w:r w:rsidR="008720D8" w:rsidRPr="00A1360E">
        <w:rPr>
          <w:rFonts w:ascii="Times New Roman" w:eastAsia="仿宋_GB2312" w:hint="eastAsia"/>
          <w:color w:val="000000"/>
          <w:kern w:val="0"/>
          <w:sz w:val="32"/>
          <w:szCs w:val="32"/>
        </w:rPr>
        <w:t>接触</w:t>
      </w:r>
      <w:r w:rsidR="00031889">
        <w:rPr>
          <w:rFonts w:ascii="Times New Roman" w:eastAsia="仿宋_GB2312" w:hint="eastAsia"/>
          <w:color w:val="000000"/>
          <w:kern w:val="0"/>
          <w:sz w:val="32"/>
          <w:szCs w:val="32"/>
        </w:rPr>
        <w:t>器械</w:t>
      </w:r>
      <w:r w:rsidR="00CF0685">
        <w:rPr>
          <w:rFonts w:ascii="Times New Roman" w:eastAsia="仿宋_GB2312" w:hint="eastAsia"/>
          <w:color w:val="000000"/>
          <w:kern w:val="0"/>
          <w:sz w:val="32"/>
          <w:szCs w:val="32"/>
        </w:rPr>
        <w:t>中使用新材料，并且</w:t>
      </w:r>
      <w:r w:rsidR="00AE51E3">
        <w:rPr>
          <w:rFonts w:ascii="Times New Roman" w:eastAsia="仿宋_GB2312" w:hint="eastAsia"/>
          <w:color w:val="000000"/>
          <w:kern w:val="0"/>
          <w:sz w:val="32"/>
          <w:szCs w:val="32"/>
        </w:rPr>
        <w:t>持证人</w:t>
      </w:r>
      <w:r w:rsidR="008720D8" w:rsidRPr="00A1360E">
        <w:rPr>
          <w:rFonts w:ascii="Times New Roman" w:eastAsia="仿宋_GB2312" w:hint="eastAsia"/>
          <w:color w:val="000000"/>
          <w:kern w:val="0"/>
          <w:sz w:val="32"/>
          <w:szCs w:val="32"/>
        </w:rPr>
        <w:t>在延长接触的获批器械中使用了相同材料，那么可以认为风险更低。如果</w:t>
      </w:r>
      <w:r w:rsidR="001C42F5">
        <w:rPr>
          <w:rFonts w:ascii="Times New Roman" w:eastAsia="仿宋_GB2312" w:hint="eastAsia"/>
          <w:color w:val="000000"/>
          <w:kern w:val="0"/>
          <w:sz w:val="32"/>
          <w:szCs w:val="32"/>
        </w:rPr>
        <w:t>改变后的器械</w:t>
      </w:r>
      <w:r w:rsidR="008720D8" w:rsidRPr="00A1360E">
        <w:rPr>
          <w:rFonts w:ascii="Times New Roman" w:eastAsia="仿宋_GB2312" w:hint="eastAsia"/>
          <w:color w:val="000000"/>
          <w:kern w:val="0"/>
          <w:sz w:val="32"/>
          <w:szCs w:val="32"/>
        </w:rPr>
        <w:t>预期具有更危险的接触类型（例如，粘膜接触比完整皮肤接触更加危险，并且，血液接触比组织／骨骼接触更加危险）或更长的接触持续时间，那么</w:t>
      </w:r>
      <w:r w:rsidR="00AE51E3">
        <w:rPr>
          <w:rFonts w:ascii="Times New Roman" w:eastAsia="仿宋_GB2312" w:hAnsi="Times New Roman" w:hint="eastAsia"/>
          <w:sz w:val="32"/>
          <w:szCs w:val="32"/>
        </w:rPr>
        <w:t>持证人</w:t>
      </w:r>
      <w:r w:rsidR="008720D8" w:rsidRPr="00A1360E">
        <w:rPr>
          <w:rFonts w:ascii="Times New Roman" w:eastAsia="仿宋_GB2312" w:hint="eastAsia"/>
          <w:color w:val="000000"/>
          <w:kern w:val="0"/>
          <w:sz w:val="32"/>
          <w:szCs w:val="32"/>
        </w:rPr>
        <w:t>对该问题的答案应是否</w:t>
      </w:r>
      <w:r w:rsidR="001C42F5">
        <w:rPr>
          <w:rFonts w:ascii="Times New Roman" w:eastAsia="仿宋_GB2312" w:hint="eastAsia"/>
          <w:color w:val="000000"/>
          <w:kern w:val="0"/>
          <w:sz w:val="32"/>
          <w:szCs w:val="32"/>
        </w:rPr>
        <w:t>，如预期可植入时间超过</w:t>
      </w:r>
      <w:r w:rsidR="001C42F5">
        <w:rPr>
          <w:rFonts w:ascii="Times New Roman" w:eastAsia="仿宋_GB2312" w:hint="eastAsia"/>
          <w:color w:val="000000"/>
          <w:kern w:val="0"/>
          <w:sz w:val="32"/>
          <w:szCs w:val="32"/>
        </w:rPr>
        <w:t>30</w:t>
      </w:r>
      <w:r w:rsidR="001C42F5">
        <w:rPr>
          <w:rFonts w:ascii="Times New Roman" w:eastAsia="仿宋_GB2312" w:hint="eastAsia"/>
          <w:color w:val="000000"/>
          <w:kern w:val="0"/>
          <w:sz w:val="32"/>
          <w:szCs w:val="32"/>
        </w:rPr>
        <w:t>天，但比对产品虽然采用了相同的材料、工艺等，但原获批产品批准使用时间仅为不超过</w:t>
      </w:r>
      <w:r w:rsidR="001C42F5">
        <w:rPr>
          <w:rFonts w:ascii="Times New Roman" w:eastAsia="仿宋_GB2312" w:hint="eastAsia"/>
          <w:color w:val="000000"/>
          <w:kern w:val="0"/>
          <w:sz w:val="32"/>
          <w:szCs w:val="32"/>
        </w:rPr>
        <w:t>24</w:t>
      </w:r>
      <w:r w:rsidR="001C42F5">
        <w:rPr>
          <w:rFonts w:ascii="Times New Roman" w:eastAsia="仿宋_GB2312" w:hint="eastAsia"/>
          <w:color w:val="000000"/>
          <w:kern w:val="0"/>
          <w:sz w:val="32"/>
          <w:szCs w:val="32"/>
        </w:rPr>
        <w:t>小时，则不能认</w:t>
      </w:r>
      <w:r w:rsidR="001C42F5">
        <w:rPr>
          <w:rFonts w:ascii="Times New Roman" w:eastAsia="仿宋_GB2312" w:hint="eastAsia"/>
          <w:color w:val="000000"/>
          <w:kern w:val="0"/>
          <w:sz w:val="32"/>
          <w:szCs w:val="32"/>
        </w:rPr>
        <w:lastRenderedPageBreak/>
        <w:t>为新产品与获批产品相比具有相同的生物学风险</w:t>
      </w:r>
      <w:r w:rsidR="008720D8" w:rsidRPr="00A1360E">
        <w:rPr>
          <w:rFonts w:ascii="Times New Roman" w:eastAsia="仿宋_GB2312" w:hint="eastAsia"/>
          <w:color w:val="000000"/>
          <w:kern w:val="0"/>
          <w:sz w:val="32"/>
          <w:szCs w:val="32"/>
        </w:rPr>
        <w:t>。</w:t>
      </w:r>
    </w:p>
    <w:p w:rsidR="008720D8" w:rsidRDefault="00F32AFC" w:rsidP="00FF149D">
      <w:pPr>
        <w:topLinePunct/>
        <w:adjustRightInd w:val="0"/>
        <w:snapToGrid w:val="0"/>
        <w:spacing w:afterLines="75" w:line="360" w:lineRule="auto"/>
        <w:ind w:firstLineChars="200" w:firstLine="640"/>
        <w:contextualSpacing/>
        <w:rPr>
          <w:rFonts w:ascii="Times New Roman" w:eastAsia="仿宋_GB2312"/>
          <w:color w:val="000000"/>
          <w:kern w:val="0"/>
          <w:sz w:val="32"/>
          <w:szCs w:val="32"/>
        </w:rPr>
      </w:pPr>
      <w:r>
        <w:rPr>
          <w:rFonts w:ascii="Times New Roman" w:eastAsia="仿宋_GB2312" w:hint="eastAsia"/>
          <w:color w:val="000000"/>
          <w:kern w:val="0"/>
          <w:sz w:val="32"/>
          <w:szCs w:val="32"/>
        </w:rPr>
        <w:t>另外，</w:t>
      </w:r>
      <w:r w:rsidR="00AE51E3">
        <w:rPr>
          <w:rFonts w:ascii="Times New Roman" w:eastAsia="仿宋_GB2312" w:hint="eastAsia"/>
          <w:color w:val="000000"/>
          <w:kern w:val="0"/>
          <w:sz w:val="32"/>
          <w:szCs w:val="32"/>
        </w:rPr>
        <w:t>持证人</w:t>
      </w:r>
      <w:r w:rsidR="0039201B">
        <w:rPr>
          <w:rFonts w:ascii="Times New Roman" w:eastAsia="仿宋_GB2312" w:hint="eastAsia"/>
          <w:color w:val="000000"/>
          <w:kern w:val="0"/>
          <w:sz w:val="32"/>
          <w:szCs w:val="32"/>
        </w:rPr>
        <w:t>不应将其变更材料与其他</w:t>
      </w:r>
      <w:r w:rsidR="00AE51E3">
        <w:rPr>
          <w:rFonts w:ascii="Times New Roman" w:eastAsia="仿宋_GB2312" w:hint="eastAsia"/>
          <w:color w:val="000000"/>
          <w:kern w:val="0"/>
          <w:sz w:val="32"/>
          <w:szCs w:val="32"/>
        </w:rPr>
        <w:t>持证人</w:t>
      </w:r>
      <w:r w:rsidR="00BB38BD">
        <w:rPr>
          <w:rFonts w:ascii="Times New Roman" w:eastAsia="仿宋_GB2312" w:hint="eastAsia"/>
          <w:color w:val="000000"/>
          <w:kern w:val="0"/>
          <w:sz w:val="32"/>
          <w:szCs w:val="32"/>
        </w:rPr>
        <w:t>合法销售器械的材料进行比较，</w:t>
      </w:r>
      <w:proofErr w:type="gramStart"/>
      <w:r w:rsidR="00BB38BD">
        <w:rPr>
          <w:rFonts w:ascii="Times New Roman" w:eastAsia="仿宋_GB2312" w:hint="eastAsia"/>
          <w:color w:val="000000"/>
          <w:kern w:val="0"/>
          <w:sz w:val="32"/>
          <w:szCs w:val="32"/>
        </w:rPr>
        <w:t>除非已</w:t>
      </w:r>
      <w:proofErr w:type="gramEnd"/>
      <w:r w:rsidR="00BB38BD">
        <w:rPr>
          <w:rFonts w:ascii="Times New Roman" w:eastAsia="仿宋_GB2312" w:hint="eastAsia"/>
          <w:color w:val="000000"/>
          <w:kern w:val="0"/>
          <w:sz w:val="32"/>
          <w:szCs w:val="32"/>
        </w:rPr>
        <w:t>确认其他</w:t>
      </w:r>
      <w:r w:rsidR="00AE51E3">
        <w:rPr>
          <w:rFonts w:ascii="Times New Roman" w:eastAsia="仿宋_GB2312" w:hint="eastAsia"/>
          <w:color w:val="000000"/>
          <w:kern w:val="0"/>
          <w:sz w:val="32"/>
          <w:szCs w:val="32"/>
        </w:rPr>
        <w:t>持证人</w:t>
      </w:r>
      <w:r w:rsidR="008720D8" w:rsidRPr="00A1360E">
        <w:rPr>
          <w:rFonts w:ascii="Times New Roman" w:eastAsia="仿宋_GB2312" w:hint="eastAsia"/>
          <w:color w:val="000000"/>
          <w:kern w:val="0"/>
          <w:sz w:val="32"/>
          <w:szCs w:val="32"/>
        </w:rPr>
        <w:t>合法销售器械的准确配方和加工信息。</w:t>
      </w:r>
    </w:p>
    <w:p w:rsidR="00F32AFC" w:rsidRPr="00F32AFC" w:rsidRDefault="00F32AFC" w:rsidP="00FF149D">
      <w:pPr>
        <w:topLinePunct/>
        <w:adjustRightInd w:val="0"/>
        <w:snapToGrid w:val="0"/>
        <w:spacing w:afterLines="75" w:line="360" w:lineRule="auto"/>
        <w:ind w:firstLineChars="200" w:firstLine="640"/>
        <w:contextualSpacing/>
        <w:rPr>
          <w:rFonts w:ascii="Times New Roman" w:eastAsia="仿宋_GB2312" w:hAnsi="Times New Roman"/>
          <w:color w:val="000000"/>
          <w:kern w:val="0"/>
          <w:sz w:val="32"/>
          <w:szCs w:val="32"/>
        </w:rPr>
      </w:pPr>
      <w:r w:rsidRPr="00A1360E">
        <w:rPr>
          <w:rFonts w:ascii="Times New Roman" w:eastAsia="仿宋_GB2312" w:hint="eastAsia"/>
          <w:color w:val="000000"/>
          <w:kern w:val="0"/>
          <w:sz w:val="32"/>
          <w:szCs w:val="32"/>
        </w:rPr>
        <w:t>特别需要指出的是，</w:t>
      </w:r>
      <w:r>
        <w:rPr>
          <w:rFonts w:ascii="Times New Roman" w:eastAsia="仿宋_GB2312" w:hint="eastAsia"/>
          <w:color w:val="000000"/>
          <w:kern w:val="0"/>
          <w:sz w:val="32"/>
          <w:szCs w:val="32"/>
        </w:rPr>
        <w:t>对部分产品的部分材料改变，除前述非</w:t>
      </w:r>
      <w:r w:rsidR="006518E5">
        <w:rPr>
          <w:rFonts w:ascii="Times New Roman" w:eastAsia="仿宋_GB2312" w:hint="eastAsia"/>
          <w:color w:val="000000"/>
          <w:kern w:val="0"/>
          <w:sz w:val="32"/>
          <w:szCs w:val="32"/>
        </w:rPr>
        <w:t>临床评价</w:t>
      </w:r>
      <w:r>
        <w:rPr>
          <w:rFonts w:ascii="Times New Roman" w:eastAsia="仿宋_GB2312" w:hint="eastAsia"/>
          <w:color w:val="000000"/>
          <w:kern w:val="0"/>
          <w:sz w:val="32"/>
          <w:szCs w:val="32"/>
        </w:rPr>
        <w:t>要求外，还需要进行</w:t>
      </w:r>
      <w:r w:rsidR="00031889">
        <w:rPr>
          <w:rFonts w:ascii="Times New Roman" w:eastAsia="仿宋_GB2312" w:hint="eastAsia"/>
          <w:color w:val="000000"/>
          <w:kern w:val="0"/>
          <w:sz w:val="32"/>
          <w:szCs w:val="32"/>
        </w:rPr>
        <w:t>动物实验</w:t>
      </w:r>
      <w:r>
        <w:rPr>
          <w:rFonts w:ascii="Times New Roman" w:eastAsia="仿宋_GB2312" w:hint="eastAsia"/>
          <w:color w:val="000000"/>
          <w:kern w:val="0"/>
          <w:sz w:val="32"/>
          <w:szCs w:val="32"/>
        </w:rPr>
        <w:t>研究，具体可参考《</w:t>
      </w:r>
      <w:r w:rsidRPr="00F32AFC">
        <w:rPr>
          <w:rFonts w:ascii="Times New Roman" w:eastAsia="仿宋_GB2312" w:hint="eastAsia"/>
          <w:color w:val="000000"/>
          <w:kern w:val="0"/>
          <w:sz w:val="32"/>
          <w:szCs w:val="32"/>
        </w:rPr>
        <w:t>医疗器械动物实验研究技术审查指导原则</w:t>
      </w:r>
      <w:r>
        <w:rPr>
          <w:rFonts w:ascii="Times New Roman" w:eastAsia="仿宋_GB2312" w:hint="eastAsia"/>
          <w:color w:val="000000"/>
          <w:kern w:val="0"/>
          <w:sz w:val="32"/>
          <w:szCs w:val="32"/>
        </w:rPr>
        <w:t xml:space="preserve"> </w:t>
      </w:r>
      <w:r w:rsidRPr="00F32AFC">
        <w:rPr>
          <w:rFonts w:ascii="Times New Roman" w:eastAsia="仿宋_GB2312" w:hint="eastAsia"/>
          <w:color w:val="000000"/>
          <w:kern w:val="0"/>
          <w:sz w:val="32"/>
          <w:szCs w:val="32"/>
        </w:rPr>
        <w:t>第一部分：决策原则</w:t>
      </w:r>
      <w:r>
        <w:rPr>
          <w:rFonts w:ascii="Times New Roman" w:eastAsia="仿宋_GB2312" w:hint="eastAsia"/>
          <w:color w:val="000000"/>
          <w:kern w:val="0"/>
          <w:sz w:val="32"/>
          <w:szCs w:val="32"/>
        </w:rPr>
        <w:t>》要求。</w:t>
      </w:r>
    </w:p>
    <w:p w:rsidR="00325C61" w:rsidRPr="00325C61" w:rsidRDefault="00325C61" w:rsidP="00FF149D">
      <w:pPr>
        <w:topLinePunct/>
        <w:adjustRightInd w:val="0"/>
        <w:snapToGrid w:val="0"/>
        <w:spacing w:afterLines="75" w:line="360" w:lineRule="auto"/>
        <w:ind w:firstLineChars="200" w:firstLine="640"/>
        <w:contextualSpacing/>
        <w:rPr>
          <w:rFonts w:ascii="楷体_GB2312" w:eastAsia="楷体_GB2312"/>
          <w:color w:val="000000"/>
          <w:kern w:val="0"/>
          <w:sz w:val="32"/>
          <w:szCs w:val="32"/>
        </w:rPr>
      </w:pPr>
      <w:r w:rsidRPr="00325C61">
        <w:rPr>
          <w:rFonts w:ascii="楷体_GB2312" w:eastAsia="楷体_GB2312" w:hint="eastAsia"/>
          <w:color w:val="000000"/>
          <w:kern w:val="0"/>
          <w:sz w:val="32"/>
          <w:szCs w:val="32"/>
        </w:rPr>
        <w:t>3.3 实验室研究</w:t>
      </w:r>
    </w:p>
    <w:p w:rsidR="00325C61" w:rsidRDefault="00C513E8" w:rsidP="00FF149D">
      <w:pPr>
        <w:topLinePunct/>
        <w:adjustRightInd w:val="0"/>
        <w:snapToGrid w:val="0"/>
        <w:spacing w:afterLines="75" w:line="360" w:lineRule="auto"/>
        <w:ind w:firstLineChars="200" w:firstLine="640"/>
        <w:contextualSpacing/>
        <w:rPr>
          <w:rFonts w:ascii="Times New Roman" w:eastAsia="仿宋_GB2312"/>
          <w:color w:val="000000"/>
          <w:kern w:val="0"/>
          <w:sz w:val="32"/>
          <w:szCs w:val="32"/>
        </w:rPr>
      </w:pPr>
      <w:r>
        <w:rPr>
          <w:rFonts w:ascii="Times New Roman" w:eastAsia="仿宋_GB2312" w:hint="eastAsia"/>
          <w:color w:val="000000"/>
          <w:kern w:val="0"/>
          <w:sz w:val="32"/>
          <w:szCs w:val="32"/>
        </w:rPr>
        <w:t>材料变化</w:t>
      </w:r>
      <w:r w:rsidR="00325C61">
        <w:rPr>
          <w:rFonts w:ascii="Times New Roman" w:eastAsia="仿宋_GB2312" w:hint="eastAsia"/>
          <w:color w:val="000000"/>
          <w:kern w:val="0"/>
          <w:sz w:val="32"/>
          <w:szCs w:val="32"/>
        </w:rPr>
        <w:t>除通过生物学评价消除其可能的生物相容性危害之外，还应对</w:t>
      </w:r>
      <w:proofErr w:type="gramStart"/>
      <w:r w:rsidR="00325C61">
        <w:rPr>
          <w:rFonts w:ascii="Times New Roman" w:eastAsia="仿宋_GB2312" w:hint="eastAsia"/>
          <w:color w:val="000000"/>
          <w:kern w:val="0"/>
          <w:sz w:val="32"/>
          <w:szCs w:val="32"/>
        </w:rPr>
        <w:t>照产品</w:t>
      </w:r>
      <w:proofErr w:type="gramEnd"/>
      <w:r w:rsidR="00325C61">
        <w:rPr>
          <w:rFonts w:ascii="Times New Roman" w:eastAsia="仿宋_GB2312" w:hint="eastAsia"/>
          <w:color w:val="000000"/>
          <w:kern w:val="0"/>
          <w:sz w:val="32"/>
          <w:szCs w:val="32"/>
        </w:rPr>
        <w:t>安全有效性清单要求及设计开发时产品输入要求，评估对产品性能、灭菌、有效期、可沥滤物等的影响。</w:t>
      </w:r>
    </w:p>
    <w:p w:rsidR="00904C6C" w:rsidRDefault="00325C61" w:rsidP="00FF149D">
      <w:pPr>
        <w:topLinePunct/>
        <w:adjustRightInd w:val="0"/>
        <w:snapToGrid w:val="0"/>
        <w:spacing w:afterLines="75" w:line="360" w:lineRule="auto"/>
        <w:ind w:firstLineChars="200" w:firstLine="640"/>
        <w:contextualSpacing/>
        <w:rPr>
          <w:rFonts w:ascii="Times New Roman" w:eastAsia="仿宋_GB2312"/>
          <w:color w:val="000000"/>
          <w:kern w:val="0"/>
          <w:sz w:val="32"/>
          <w:szCs w:val="32"/>
        </w:rPr>
      </w:pPr>
      <w:r>
        <w:rPr>
          <w:rFonts w:ascii="Times New Roman" w:eastAsia="仿宋_GB2312" w:hAnsi="Times New Roman" w:hint="eastAsia"/>
          <w:sz w:val="32"/>
          <w:szCs w:val="32"/>
        </w:rPr>
        <w:t>首先，</w:t>
      </w:r>
      <w:r w:rsidR="00AE51E3">
        <w:rPr>
          <w:rFonts w:ascii="Times New Roman" w:eastAsia="仿宋_GB2312" w:hAnsi="Times New Roman" w:hint="eastAsia"/>
          <w:sz w:val="32"/>
          <w:szCs w:val="32"/>
        </w:rPr>
        <w:t>持证人</w:t>
      </w:r>
      <w:r w:rsidR="00825A4F" w:rsidRPr="00A1360E">
        <w:rPr>
          <w:rFonts w:ascii="Times New Roman" w:eastAsia="仿宋_GB2312" w:hint="eastAsia"/>
          <w:color w:val="000000"/>
          <w:kern w:val="0"/>
          <w:sz w:val="32"/>
          <w:szCs w:val="32"/>
        </w:rPr>
        <w:t>应考虑</w:t>
      </w:r>
      <w:r w:rsidR="004F7A51">
        <w:rPr>
          <w:rFonts w:ascii="Times New Roman" w:eastAsia="仿宋_GB2312" w:hint="eastAsia"/>
          <w:color w:val="000000"/>
          <w:kern w:val="0"/>
          <w:sz w:val="32"/>
          <w:szCs w:val="32"/>
        </w:rPr>
        <w:t>原材料改变</w:t>
      </w:r>
      <w:r w:rsidR="001C42F5">
        <w:rPr>
          <w:rFonts w:ascii="Times New Roman" w:eastAsia="仿宋_GB2312" w:hint="eastAsia"/>
          <w:color w:val="000000"/>
          <w:kern w:val="0"/>
          <w:sz w:val="32"/>
          <w:szCs w:val="32"/>
        </w:rPr>
        <w:t>是</w:t>
      </w:r>
      <w:r w:rsidR="00825A4F" w:rsidRPr="00A1360E">
        <w:rPr>
          <w:rFonts w:ascii="Times New Roman" w:eastAsia="仿宋_GB2312" w:hint="eastAsia"/>
          <w:color w:val="000000"/>
          <w:kern w:val="0"/>
          <w:sz w:val="32"/>
          <w:szCs w:val="32"/>
        </w:rPr>
        <w:t>否通过影响其强度、硬度等来</w:t>
      </w:r>
      <w:r w:rsidR="00625461" w:rsidRPr="00A1360E">
        <w:rPr>
          <w:rFonts w:ascii="Times New Roman" w:eastAsia="仿宋_GB2312" w:hint="eastAsia"/>
          <w:color w:val="000000"/>
          <w:kern w:val="0"/>
          <w:sz w:val="32"/>
          <w:szCs w:val="32"/>
        </w:rPr>
        <w:t>影响器械</w:t>
      </w:r>
      <w:r w:rsidR="00C642A6">
        <w:rPr>
          <w:rFonts w:ascii="Times New Roman" w:eastAsia="仿宋_GB2312" w:hint="eastAsia"/>
          <w:color w:val="000000"/>
          <w:kern w:val="0"/>
          <w:sz w:val="32"/>
          <w:szCs w:val="32"/>
        </w:rPr>
        <w:t>相关组件</w:t>
      </w:r>
      <w:r w:rsidR="00904C6C">
        <w:rPr>
          <w:rFonts w:ascii="Times New Roman" w:eastAsia="仿宋_GB2312" w:hint="eastAsia"/>
          <w:color w:val="000000"/>
          <w:kern w:val="0"/>
          <w:sz w:val="32"/>
          <w:szCs w:val="32"/>
        </w:rPr>
        <w:t>或</w:t>
      </w:r>
      <w:r w:rsidR="00C642A6">
        <w:rPr>
          <w:rFonts w:ascii="Times New Roman" w:eastAsia="仿宋_GB2312" w:hint="eastAsia"/>
          <w:color w:val="000000"/>
          <w:kern w:val="0"/>
          <w:sz w:val="32"/>
          <w:szCs w:val="32"/>
        </w:rPr>
        <w:t>最终产品的性能，</w:t>
      </w:r>
      <w:r w:rsidR="00904C6C">
        <w:rPr>
          <w:rFonts w:ascii="Times New Roman" w:eastAsia="仿宋_GB2312" w:hint="eastAsia"/>
          <w:color w:val="000000"/>
          <w:kern w:val="0"/>
          <w:sz w:val="32"/>
          <w:szCs w:val="32"/>
        </w:rPr>
        <w:t>比如力学性能、耐压性能、使用性能等。</w:t>
      </w:r>
    </w:p>
    <w:p w:rsidR="00904C6C" w:rsidRDefault="00325C61" w:rsidP="00FF149D">
      <w:pPr>
        <w:topLinePunct/>
        <w:adjustRightInd w:val="0"/>
        <w:snapToGrid w:val="0"/>
        <w:spacing w:afterLines="75" w:line="360" w:lineRule="auto"/>
        <w:ind w:firstLineChars="200" w:firstLine="640"/>
        <w:contextualSpacing/>
        <w:rPr>
          <w:rFonts w:ascii="Times New Roman" w:eastAsia="仿宋_GB2312"/>
          <w:color w:val="000000"/>
          <w:kern w:val="0"/>
          <w:sz w:val="32"/>
          <w:szCs w:val="32"/>
        </w:rPr>
      </w:pPr>
      <w:r>
        <w:rPr>
          <w:rFonts w:ascii="Times New Roman" w:eastAsia="仿宋_GB2312" w:hint="eastAsia"/>
          <w:color w:val="000000"/>
          <w:kern w:val="0"/>
          <w:sz w:val="32"/>
          <w:szCs w:val="32"/>
        </w:rPr>
        <w:t>其次</w:t>
      </w:r>
      <w:r w:rsidR="00DD0A6D">
        <w:rPr>
          <w:rFonts w:ascii="Times New Roman" w:eastAsia="仿宋_GB2312" w:hint="eastAsia"/>
          <w:color w:val="000000"/>
          <w:kern w:val="0"/>
          <w:sz w:val="32"/>
          <w:szCs w:val="32"/>
        </w:rPr>
        <w:t>，</w:t>
      </w:r>
      <w:r w:rsidR="00DD0A6D" w:rsidRPr="006518E5">
        <w:rPr>
          <w:rFonts w:ascii="Times New Roman" w:eastAsia="仿宋_GB2312" w:hint="eastAsia"/>
          <w:color w:val="000000"/>
          <w:kern w:val="0"/>
          <w:sz w:val="32"/>
          <w:szCs w:val="32"/>
        </w:rPr>
        <w:t>还应考虑设计开发阶段的其他</w:t>
      </w:r>
      <w:r w:rsidR="00904C6C" w:rsidRPr="006518E5">
        <w:rPr>
          <w:rFonts w:ascii="Times New Roman" w:eastAsia="仿宋_GB2312" w:hint="eastAsia"/>
          <w:color w:val="000000"/>
          <w:kern w:val="0"/>
          <w:sz w:val="32"/>
          <w:szCs w:val="32"/>
        </w:rPr>
        <w:t>相关性能，</w:t>
      </w:r>
      <w:r w:rsidR="00684D30" w:rsidRPr="006518E5">
        <w:rPr>
          <w:rFonts w:ascii="Times New Roman" w:eastAsia="仿宋_GB2312" w:hint="eastAsia"/>
          <w:color w:val="000000"/>
          <w:kern w:val="0"/>
          <w:sz w:val="32"/>
          <w:szCs w:val="32"/>
        </w:rPr>
        <w:t>如</w:t>
      </w:r>
      <w:r w:rsidR="006518E5" w:rsidRPr="006518E5">
        <w:rPr>
          <w:rFonts w:ascii="Times New Roman" w:eastAsia="仿宋_GB2312" w:hint="eastAsia"/>
          <w:color w:val="000000"/>
          <w:kern w:val="0"/>
          <w:sz w:val="32"/>
          <w:szCs w:val="32"/>
        </w:rPr>
        <w:t>有效期、</w:t>
      </w:r>
      <w:r w:rsidR="00684D30" w:rsidRPr="006518E5">
        <w:rPr>
          <w:rFonts w:ascii="Times New Roman" w:eastAsia="仿宋_GB2312" w:hint="eastAsia"/>
          <w:color w:val="000000"/>
          <w:kern w:val="0"/>
          <w:sz w:val="32"/>
          <w:szCs w:val="32"/>
        </w:rPr>
        <w:t>可沥滤物影响等，</w:t>
      </w:r>
      <w:r w:rsidR="00904C6C" w:rsidRPr="006518E5">
        <w:rPr>
          <w:rFonts w:ascii="Times New Roman" w:eastAsia="仿宋_GB2312" w:hint="eastAsia"/>
          <w:color w:val="000000"/>
          <w:kern w:val="0"/>
          <w:sz w:val="32"/>
          <w:szCs w:val="32"/>
        </w:rPr>
        <w:t>比如某些管路类产品由聚氯乙烯变更为聚氨酯，鉴于不同材料的老化性能有所不同，应对此类变更后产品的有效期影响进行评估验证。</w:t>
      </w:r>
    </w:p>
    <w:p w:rsidR="00904C6C" w:rsidRDefault="00904C6C" w:rsidP="00FF149D">
      <w:pPr>
        <w:topLinePunct/>
        <w:adjustRightInd w:val="0"/>
        <w:snapToGrid w:val="0"/>
        <w:spacing w:afterLines="75" w:line="360" w:lineRule="auto"/>
        <w:ind w:firstLineChars="200" w:firstLine="640"/>
        <w:contextualSpacing/>
        <w:rPr>
          <w:rFonts w:ascii="Times New Roman" w:eastAsia="仿宋_GB2312"/>
          <w:color w:val="000000"/>
          <w:kern w:val="0"/>
          <w:sz w:val="32"/>
          <w:szCs w:val="32"/>
        </w:rPr>
      </w:pPr>
      <w:r>
        <w:rPr>
          <w:rFonts w:ascii="Times New Roman" w:eastAsia="仿宋_GB2312" w:hint="eastAsia"/>
          <w:color w:val="000000"/>
          <w:kern w:val="0"/>
          <w:sz w:val="32"/>
          <w:szCs w:val="32"/>
        </w:rPr>
        <w:t>不仅是材料类型的改变需要考虑前述影响，材料组分或者牌号的改变时也应考虑，比如不同牌号的</w:t>
      </w:r>
      <w:r>
        <w:rPr>
          <w:rFonts w:ascii="Times New Roman" w:eastAsia="仿宋_GB2312" w:hint="eastAsia"/>
          <w:color w:val="000000"/>
          <w:kern w:val="0"/>
          <w:sz w:val="32"/>
          <w:szCs w:val="32"/>
        </w:rPr>
        <w:t>PVC</w:t>
      </w:r>
      <w:r>
        <w:rPr>
          <w:rFonts w:ascii="Times New Roman" w:eastAsia="仿宋_GB2312" w:hint="eastAsia"/>
          <w:color w:val="000000"/>
          <w:kern w:val="0"/>
          <w:sz w:val="32"/>
          <w:szCs w:val="32"/>
        </w:rPr>
        <w:t>中的增塑剂</w:t>
      </w:r>
      <w:r>
        <w:rPr>
          <w:rFonts w:ascii="Times New Roman" w:eastAsia="仿宋_GB2312" w:hint="eastAsia"/>
          <w:color w:val="000000"/>
          <w:kern w:val="0"/>
          <w:sz w:val="32"/>
          <w:szCs w:val="32"/>
        </w:rPr>
        <w:lastRenderedPageBreak/>
        <w:t>含量有所不同，体现在最终医疗器械成品的增塑剂残留也有所不同，因此，改变牌号或材料的组分还应考虑可沥滤物的影响。</w:t>
      </w:r>
    </w:p>
    <w:p w:rsidR="003D0552" w:rsidRDefault="00325C61" w:rsidP="00FF149D">
      <w:pPr>
        <w:topLinePunct/>
        <w:adjustRightInd w:val="0"/>
        <w:snapToGrid w:val="0"/>
        <w:spacing w:afterLines="75" w:line="360" w:lineRule="auto"/>
        <w:ind w:firstLineChars="200" w:firstLine="640"/>
        <w:contextualSpacing/>
        <w:rPr>
          <w:rFonts w:ascii="Times New Roman" w:eastAsia="仿宋_GB2312"/>
          <w:color w:val="000000"/>
          <w:kern w:val="0"/>
          <w:sz w:val="32"/>
          <w:szCs w:val="32"/>
        </w:rPr>
      </w:pPr>
      <w:r>
        <w:rPr>
          <w:rFonts w:ascii="Times New Roman" w:eastAsia="仿宋_GB2312" w:hint="eastAsia"/>
          <w:color w:val="000000"/>
          <w:kern w:val="0"/>
          <w:sz w:val="32"/>
          <w:szCs w:val="32"/>
        </w:rPr>
        <w:t>第三，还应对</w:t>
      </w:r>
      <w:proofErr w:type="gramStart"/>
      <w:r>
        <w:rPr>
          <w:rFonts w:ascii="Times New Roman" w:eastAsia="仿宋_GB2312" w:hint="eastAsia"/>
          <w:color w:val="000000"/>
          <w:kern w:val="0"/>
          <w:sz w:val="32"/>
          <w:szCs w:val="32"/>
        </w:rPr>
        <w:t>照安全</w:t>
      </w:r>
      <w:proofErr w:type="gramEnd"/>
      <w:r>
        <w:rPr>
          <w:rFonts w:ascii="Times New Roman" w:eastAsia="仿宋_GB2312" w:hint="eastAsia"/>
          <w:color w:val="000000"/>
          <w:kern w:val="0"/>
          <w:sz w:val="32"/>
          <w:szCs w:val="32"/>
        </w:rPr>
        <w:t>有效性清单，核对除前述风险之外的其他风险，比如</w:t>
      </w:r>
      <w:r w:rsidR="003D0552">
        <w:rPr>
          <w:rFonts w:ascii="Times New Roman" w:eastAsia="仿宋_GB2312" w:hint="eastAsia"/>
          <w:color w:val="000000"/>
          <w:kern w:val="0"/>
          <w:sz w:val="32"/>
          <w:szCs w:val="32"/>
        </w:rPr>
        <w:t>包装验证、灭菌验证等均应在考虑范围之内。</w:t>
      </w:r>
    </w:p>
    <w:p w:rsidR="00A50CC1" w:rsidRDefault="00A50CC1" w:rsidP="00FF149D">
      <w:pPr>
        <w:topLinePunct/>
        <w:adjustRightInd w:val="0"/>
        <w:snapToGrid w:val="0"/>
        <w:spacing w:afterLines="75" w:line="360" w:lineRule="auto"/>
        <w:ind w:firstLineChars="200" w:firstLine="640"/>
        <w:contextualSpacing/>
        <w:rPr>
          <w:rFonts w:ascii="Times New Roman" w:eastAsia="仿宋_GB2312"/>
          <w:color w:val="000000"/>
          <w:kern w:val="0"/>
          <w:sz w:val="32"/>
          <w:szCs w:val="32"/>
        </w:rPr>
      </w:pPr>
      <w:r>
        <w:rPr>
          <w:rFonts w:ascii="Times New Roman" w:eastAsia="仿宋_GB2312" w:hint="eastAsia"/>
          <w:color w:val="000000"/>
          <w:kern w:val="0"/>
          <w:sz w:val="32"/>
          <w:szCs w:val="32"/>
        </w:rPr>
        <w:t>在进行性能影响评估过程中，可考虑使用既往研究数据。比如，有证据表明变更后选用材料能支持其在更复杂环境下使用的研究数据，则部分研究数据可以申请豁免。比如某些管路类产品</w:t>
      </w:r>
      <w:r w:rsidR="00F43DE1">
        <w:rPr>
          <w:rFonts w:ascii="Times New Roman" w:eastAsia="仿宋_GB2312" w:hint="eastAsia"/>
          <w:color w:val="000000"/>
          <w:kern w:val="0"/>
          <w:sz w:val="32"/>
          <w:szCs w:val="32"/>
        </w:rPr>
        <w:t>变更了原材料</w:t>
      </w:r>
      <w:r>
        <w:rPr>
          <w:rFonts w:ascii="Times New Roman" w:eastAsia="仿宋_GB2312" w:hint="eastAsia"/>
          <w:color w:val="000000"/>
          <w:kern w:val="0"/>
          <w:sz w:val="32"/>
          <w:szCs w:val="32"/>
        </w:rPr>
        <w:t>牌号，且有其他产品使用新牌号的产品有效期已进行验证，灭菌方法、加工方式均无改变情况下，</w:t>
      </w:r>
      <w:r w:rsidR="003D0552">
        <w:rPr>
          <w:rFonts w:ascii="Times New Roman" w:eastAsia="仿宋_GB2312" w:hint="eastAsia"/>
          <w:color w:val="000000"/>
          <w:kern w:val="0"/>
          <w:sz w:val="32"/>
          <w:szCs w:val="32"/>
        </w:rPr>
        <w:t>可以申请豁免部分研究性试验。</w:t>
      </w:r>
    </w:p>
    <w:p w:rsidR="00325C61" w:rsidRPr="00325C61" w:rsidRDefault="00325C61" w:rsidP="00FF149D">
      <w:pPr>
        <w:topLinePunct/>
        <w:adjustRightInd w:val="0"/>
        <w:snapToGrid w:val="0"/>
        <w:spacing w:afterLines="75" w:line="360" w:lineRule="auto"/>
        <w:ind w:firstLineChars="200" w:firstLine="640"/>
        <w:contextualSpacing/>
        <w:rPr>
          <w:rFonts w:ascii="楷体_GB2312" w:eastAsia="楷体_GB2312"/>
          <w:color w:val="000000"/>
          <w:kern w:val="0"/>
          <w:sz w:val="32"/>
          <w:szCs w:val="32"/>
        </w:rPr>
      </w:pPr>
      <w:r w:rsidRPr="00325C61">
        <w:rPr>
          <w:rFonts w:ascii="楷体_GB2312" w:eastAsia="楷体_GB2312" w:hint="eastAsia"/>
          <w:color w:val="000000"/>
          <w:kern w:val="0"/>
          <w:sz w:val="32"/>
          <w:szCs w:val="32"/>
        </w:rPr>
        <w:t xml:space="preserve">3.4 </w:t>
      </w:r>
      <w:r w:rsidR="00BF27C0">
        <w:rPr>
          <w:rFonts w:ascii="楷体_GB2312" w:eastAsia="楷体_GB2312" w:hint="eastAsia"/>
          <w:color w:val="000000"/>
          <w:kern w:val="0"/>
          <w:sz w:val="32"/>
          <w:szCs w:val="32"/>
        </w:rPr>
        <w:t>风险评价</w:t>
      </w:r>
      <w:r w:rsidR="004F2CA4">
        <w:rPr>
          <w:rFonts w:ascii="楷体_GB2312" w:eastAsia="楷体_GB2312" w:hint="eastAsia"/>
          <w:color w:val="000000"/>
          <w:kern w:val="0"/>
          <w:sz w:val="32"/>
          <w:szCs w:val="32"/>
        </w:rPr>
        <w:t>及控制</w:t>
      </w:r>
    </w:p>
    <w:p w:rsidR="00135D1F" w:rsidRDefault="004F2CA4" w:rsidP="00FF149D">
      <w:pPr>
        <w:topLinePunct/>
        <w:adjustRightInd w:val="0"/>
        <w:snapToGrid w:val="0"/>
        <w:spacing w:afterLines="75" w:line="360" w:lineRule="auto"/>
        <w:ind w:firstLineChars="200" w:firstLine="640"/>
        <w:contextualSpacing/>
        <w:rPr>
          <w:rFonts w:ascii="Times New Roman" w:eastAsia="仿宋_GB2312"/>
          <w:color w:val="000000"/>
          <w:kern w:val="0"/>
          <w:sz w:val="32"/>
          <w:szCs w:val="32"/>
        </w:rPr>
      </w:pPr>
      <w:r>
        <w:rPr>
          <w:rFonts w:ascii="Times New Roman" w:eastAsia="仿宋_GB2312" w:hint="eastAsia"/>
          <w:color w:val="000000"/>
          <w:kern w:val="0"/>
          <w:sz w:val="32"/>
          <w:szCs w:val="32"/>
        </w:rPr>
        <w:t>当</w:t>
      </w:r>
      <w:r w:rsidR="00235919">
        <w:rPr>
          <w:rFonts w:ascii="Times New Roman" w:eastAsia="仿宋_GB2312" w:hint="eastAsia"/>
          <w:color w:val="000000"/>
          <w:kern w:val="0"/>
          <w:sz w:val="32"/>
          <w:szCs w:val="32"/>
        </w:rPr>
        <w:t>实验室研究</w:t>
      </w:r>
      <w:r w:rsidR="008720D8" w:rsidRPr="00A1360E">
        <w:rPr>
          <w:rFonts w:ascii="Times New Roman" w:eastAsia="仿宋_GB2312" w:hint="eastAsia"/>
          <w:color w:val="000000"/>
          <w:kern w:val="0"/>
          <w:sz w:val="32"/>
          <w:szCs w:val="32"/>
        </w:rPr>
        <w:t>和生物学评价</w:t>
      </w:r>
      <w:r>
        <w:rPr>
          <w:rFonts w:ascii="Times New Roman" w:eastAsia="仿宋_GB2312" w:hint="eastAsia"/>
          <w:color w:val="000000"/>
          <w:kern w:val="0"/>
          <w:sz w:val="32"/>
          <w:szCs w:val="32"/>
        </w:rPr>
        <w:t>结束</w:t>
      </w:r>
      <w:r w:rsidRPr="0081373F">
        <w:rPr>
          <w:rFonts w:ascii="Times New Roman" w:eastAsia="仿宋_GB2312" w:hint="eastAsia"/>
          <w:kern w:val="0"/>
          <w:sz w:val="32"/>
          <w:szCs w:val="32"/>
        </w:rPr>
        <w:t>后，</w:t>
      </w:r>
      <w:proofErr w:type="gramStart"/>
      <w:r w:rsidRPr="0081373F">
        <w:rPr>
          <w:rFonts w:ascii="Times New Roman" w:eastAsia="仿宋_GB2312" w:hint="eastAsia"/>
          <w:kern w:val="0"/>
          <w:sz w:val="32"/>
          <w:szCs w:val="32"/>
        </w:rPr>
        <w:t>应评价</w:t>
      </w:r>
      <w:proofErr w:type="gramEnd"/>
      <w:r w:rsidRPr="0081373F">
        <w:rPr>
          <w:rFonts w:ascii="Times New Roman" w:eastAsia="仿宋_GB2312" w:hint="eastAsia"/>
          <w:kern w:val="0"/>
          <w:sz w:val="32"/>
          <w:szCs w:val="32"/>
        </w:rPr>
        <w:t>其风险</w:t>
      </w:r>
      <w:r w:rsidR="0081373F" w:rsidRPr="0081373F">
        <w:rPr>
          <w:rFonts w:ascii="Times New Roman" w:eastAsia="仿宋_GB2312" w:hint="eastAsia"/>
          <w:kern w:val="0"/>
          <w:sz w:val="32"/>
          <w:szCs w:val="32"/>
        </w:rPr>
        <w:t>是否</w:t>
      </w:r>
      <w:r w:rsidRPr="0081373F">
        <w:rPr>
          <w:rFonts w:ascii="Times New Roman" w:eastAsia="仿宋_GB2312" w:hint="eastAsia"/>
          <w:kern w:val="0"/>
          <w:sz w:val="32"/>
          <w:szCs w:val="32"/>
        </w:rPr>
        <w:t>均被验证</w:t>
      </w:r>
      <w:r w:rsidR="008720D8" w:rsidRPr="0081373F">
        <w:rPr>
          <w:rFonts w:ascii="Times New Roman" w:eastAsia="仿宋_GB2312" w:hint="eastAsia"/>
          <w:kern w:val="0"/>
          <w:sz w:val="32"/>
          <w:szCs w:val="32"/>
        </w:rPr>
        <w:t>。</w:t>
      </w:r>
      <w:r w:rsidR="00625461" w:rsidRPr="0081373F">
        <w:rPr>
          <w:rFonts w:ascii="Times New Roman" w:eastAsia="仿宋_GB2312"/>
          <w:kern w:val="0"/>
          <w:sz w:val="32"/>
          <w:szCs w:val="32"/>
        </w:rPr>
        <w:t>某些材料的改变可能产生临床的不利影响</w:t>
      </w:r>
      <w:r w:rsidR="00625461" w:rsidRPr="00A1360E">
        <w:rPr>
          <w:rFonts w:ascii="Times New Roman" w:eastAsia="仿宋_GB2312" w:hint="eastAsia"/>
          <w:color w:val="000000"/>
          <w:kern w:val="0"/>
          <w:sz w:val="32"/>
          <w:szCs w:val="32"/>
        </w:rPr>
        <w:t>，</w:t>
      </w:r>
      <w:r w:rsidR="00625461" w:rsidRPr="00A1360E">
        <w:rPr>
          <w:rFonts w:ascii="Times New Roman" w:eastAsia="仿宋_GB2312"/>
          <w:color w:val="000000"/>
          <w:kern w:val="0"/>
          <w:sz w:val="32"/>
          <w:szCs w:val="32"/>
        </w:rPr>
        <w:t>这种影响又无法通过前述试验或者评价进行充分论述时</w:t>
      </w:r>
      <w:r w:rsidR="00625461" w:rsidRPr="00A1360E">
        <w:rPr>
          <w:rFonts w:ascii="Times New Roman" w:eastAsia="仿宋_GB2312" w:hint="eastAsia"/>
          <w:color w:val="000000"/>
          <w:kern w:val="0"/>
          <w:sz w:val="32"/>
          <w:szCs w:val="32"/>
        </w:rPr>
        <w:t>，</w:t>
      </w:r>
      <w:r w:rsidR="00625461" w:rsidRPr="00A1360E">
        <w:rPr>
          <w:rFonts w:ascii="Times New Roman" w:eastAsia="仿宋_GB2312"/>
          <w:color w:val="000000"/>
          <w:kern w:val="0"/>
          <w:sz w:val="32"/>
          <w:szCs w:val="32"/>
        </w:rPr>
        <w:t>则应考虑进行适当的</w:t>
      </w:r>
      <w:r w:rsidR="006518E5">
        <w:rPr>
          <w:rFonts w:ascii="Times New Roman" w:eastAsia="仿宋_GB2312"/>
          <w:color w:val="000000"/>
          <w:kern w:val="0"/>
          <w:sz w:val="32"/>
          <w:szCs w:val="32"/>
        </w:rPr>
        <w:t>临床评价</w:t>
      </w:r>
      <w:r w:rsidR="00684D30">
        <w:rPr>
          <w:rFonts w:ascii="Times New Roman" w:eastAsia="仿宋_GB2312" w:hint="eastAsia"/>
          <w:color w:val="000000"/>
          <w:kern w:val="0"/>
          <w:sz w:val="32"/>
          <w:szCs w:val="32"/>
        </w:rPr>
        <w:t>。</w:t>
      </w:r>
    </w:p>
    <w:p w:rsidR="00324BB8" w:rsidRDefault="00684D30" w:rsidP="00FF149D">
      <w:pPr>
        <w:topLinePunct/>
        <w:adjustRightInd w:val="0"/>
        <w:snapToGrid w:val="0"/>
        <w:spacing w:afterLines="75" w:line="360" w:lineRule="auto"/>
        <w:ind w:firstLineChars="200" w:firstLine="640"/>
        <w:contextualSpacing/>
        <w:rPr>
          <w:rFonts w:ascii="Times New Roman" w:eastAsia="仿宋_GB2312"/>
          <w:color w:val="000000"/>
          <w:kern w:val="0"/>
          <w:sz w:val="32"/>
          <w:szCs w:val="32"/>
        </w:rPr>
      </w:pPr>
      <w:r>
        <w:rPr>
          <w:rFonts w:ascii="Times New Roman" w:eastAsia="仿宋_GB2312" w:hint="eastAsia"/>
          <w:color w:val="000000"/>
          <w:kern w:val="0"/>
          <w:sz w:val="32"/>
          <w:szCs w:val="32"/>
        </w:rPr>
        <w:t>如果材料变更后产品仍</w:t>
      </w:r>
      <w:r w:rsidR="00324BB8">
        <w:rPr>
          <w:rFonts w:ascii="Times New Roman" w:eastAsia="仿宋_GB2312" w:hint="eastAsia"/>
          <w:color w:val="000000"/>
          <w:kern w:val="0"/>
          <w:sz w:val="32"/>
          <w:szCs w:val="32"/>
        </w:rPr>
        <w:t>属于豁免临床试验</w:t>
      </w:r>
      <w:r>
        <w:rPr>
          <w:rFonts w:ascii="Times New Roman" w:eastAsia="仿宋_GB2312" w:hint="eastAsia"/>
          <w:color w:val="000000"/>
          <w:kern w:val="0"/>
          <w:sz w:val="32"/>
          <w:szCs w:val="32"/>
        </w:rPr>
        <w:t>目录产品</w:t>
      </w:r>
      <w:r w:rsidR="00324BB8">
        <w:rPr>
          <w:rFonts w:ascii="Times New Roman" w:eastAsia="仿宋_GB2312" w:hint="eastAsia"/>
          <w:color w:val="000000"/>
          <w:kern w:val="0"/>
          <w:sz w:val="32"/>
          <w:szCs w:val="32"/>
        </w:rPr>
        <w:t>，则可以不进行临床试</w:t>
      </w:r>
      <w:r w:rsidR="0039201B">
        <w:rPr>
          <w:rFonts w:ascii="Times New Roman" w:eastAsia="仿宋_GB2312" w:hint="eastAsia"/>
          <w:color w:val="000000"/>
          <w:kern w:val="0"/>
          <w:sz w:val="32"/>
          <w:szCs w:val="32"/>
        </w:rPr>
        <w:t>验验证，但</w:t>
      </w:r>
      <w:r w:rsidR="00AE51E3">
        <w:rPr>
          <w:rFonts w:ascii="Times New Roman" w:eastAsia="仿宋_GB2312" w:hint="eastAsia"/>
          <w:color w:val="000000"/>
          <w:kern w:val="0"/>
          <w:sz w:val="32"/>
          <w:szCs w:val="32"/>
        </w:rPr>
        <w:t>持证人</w:t>
      </w:r>
      <w:r w:rsidR="0039201B">
        <w:rPr>
          <w:rFonts w:ascii="Times New Roman" w:eastAsia="仿宋_GB2312" w:hint="eastAsia"/>
          <w:color w:val="000000"/>
          <w:kern w:val="0"/>
          <w:sz w:val="32"/>
          <w:szCs w:val="32"/>
        </w:rPr>
        <w:t>应进行充分的论证，其</w:t>
      </w:r>
      <w:r>
        <w:rPr>
          <w:rFonts w:ascii="Times New Roman" w:eastAsia="仿宋_GB2312" w:hint="eastAsia"/>
          <w:color w:val="000000"/>
          <w:kern w:val="0"/>
          <w:sz w:val="32"/>
          <w:szCs w:val="32"/>
        </w:rPr>
        <w:t>与豁免目录一致，也与</w:t>
      </w:r>
      <w:r w:rsidR="00324BB8">
        <w:rPr>
          <w:rFonts w:ascii="Times New Roman" w:eastAsia="仿宋_GB2312" w:hint="eastAsia"/>
          <w:color w:val="000000"/>
          <w:kern w:val="0"/>
          <w:sz w:val="32"/>
          <w:szCs w:val="32"/>
        </w:rPr>
        <w:t>已上市产品完全相同。</w:t>
      </w:r>
    </w:p>
    <w:p w:rsidR="00684D30" w:rsidRPr="0081373F" w:rsidRDefault="00684D30" w:rsidP="00FF149D">
      <w:pPr>
        <w:topLinePunct/>
        <w:adjustRightInd w:val="0"/>
        <w:snapToGrid w:val="0"/>
        <w:spacing w:afterLines="75" w:line="360" w:lineRule="auto"/>
        <w:ind w:firstLineChars="200" w:firstLine="640"/>
        <w:contextualSpacing/>
        <w:rPr>
          <w:rFonts w:ascii="Times New Roman" w:eastAsia="仿宋_GB2312"/>
          <w:kern w:val="0"/>
          <w:sz w:val="32"/>
          <w:szCs w:val="32"/>
        </w:rPr>
      </w:pPr>
      <w:r>
        <w:rPr>
          <w:rFonts w:ascii="Times New Roman" w:eastAsia="仿宋_GB2312"/>
          <w:color w:val="000000"/>
          <w:kern w:val="0"/>
          <w:sz w:val="32"/>
          <w:szCs w:val="32"/>
        </w:rPr>
        <w:t>如材料变更后产品不在豁免目录</w:t>
      </w:r>
      <w:r>
        <w:rPr>
          <w:rFonts w:ascii="Times New Roman" w:eastAsia="仿宋_GB2312" w:hint="eastAsia"/>
          <w:color w:val="000000"/>
          <w:kern w:val="0"/>
          <w:sz w:val="32"/>
          <w:szCs w:val="32"/>
        </w:rPr>
        <w:t>，则应考虑其是否和已获准上市产品在基本原理、结构组成、制造材料、生产工艺、</w:t>
      </w:r>
      <w:r>
        <w:rPr>
          <w:rFonts w:ascii="Times New Roman" w:eastAsia="仿宋_GB2312" w:hint="eastAsia"/>
          <w:color w:val="000000"/>
          <w:kern w:val="0"/>
          <w:sz w:val="32"/>
          <w:szCs w:val="32"/>
        </w:rPr>
        <w:lastRenderedPageBreak/>
        <w:t>性能要求、安全性评价等方便面基本相同，或者差异性不对产品的安全有效性产生不利影响。</w:t>
      </w:r>
      <w:r w:rsidR="007245A4">
        <w:rPr>
          <w:rFonts w:ascii="Times New Roman" w:eastAsia="仿宋_GB2312" w:hint="eastAsia"/>
          <w:color w:val="000000"/>
          <w:kern w:val="0"/>
          <w:sz w:val="32"/>
          <w:szCs w:val="32"/>
        </w:rPr>
        <w:t>具体可参考《医疗器械临床评价技术指导原则》</w:t>
      </w:r>
      <w:r w:rsidR="007245A4" w:rsidRPr="0081373F">
        <w:rPr>
          <w:rFonts w:ascii="Times New Roman" w:eastAsia="仿宋_GB2312" w:hint="eastAsia"/>
          <w:kern w:val="0"/>
          <w:sz w:val="32"/>
          <w:szCs w:val="32"/>
        </w:rPr>
        <w:t>规定。</w:t>
      </w:r>
    </w:p>
    <w:p w:rsidR="00684D30" w:rsidRPr="0081373F" w:rsidRDefault="007245A4" w:rsidP="00FF149D">
      <w:pPr>
        <w:topLinePunct/>
        <w:adjustRightInd w:val="0"/>
        <w:snapToGrid w:val="0"/>
        <w:spacing w:afterLines="75" w:line="360" w:lineRule="auto"/>
        <w:ind w:firstLineChars="200" w:firstLine="640"/>
        <w:contextualSpacing/>
        <w:rPr>
          <w:rFonts w:ascii="Times New Roman" w:eastAsia="仿宋_GB2312"/>
          <w:kern w:val="0"/>
          <w:sz w:val="32"/>
          <w:szCs w:val="32"/>
        </w:rPr>
      </w:pPr>
      <w:r w:rsidRPr="0081373F">
        <w:rPr>
          <w:rFonts w:ascii="Times New Roman" w:eastAsia="仿宋_GB2312" w:hint="eastAsia"/>
          <w:kern w:val="0"/>
          <w:sz w:val="32"/>
          <w:szCs w:val="32"/>
        </w:rPr>
        <w:t>如</w:t>
      </w:r>
      <w:r w:rsidR="00BF27C0" w:rsidRPr="0081373F">
        <w:rPr>
          <w:rFonts w:ascii="Times New Roman" w:eastAsia="仿宋_GB2312"/>
          <w:kern w:val="0"/>
          <w:sz w:val="32"/>
          <w:szCs w:val="32"/>
        </w:rPr>
        <w:t>上述评价路径均无法充分</w:t>
      </w:r>
      <w:proofErr w:type="gramStart"/>
      <w:r w:rsidR="0081373F" w:rsidRPr="0081373F">
        <w:rPr>
          <w:rFonts w:ascii="Times New Roman" w:eastAsia="仿宋_GB2312" w:hint="eastAsia"/>
          <w:kern w:val="0"/>
          <w:sz w:val="32"/>
          <w:szCs w:val="32"/>
        </w:rPr>
        <w:t>验证</w:t>
      </w:r>
      <w:r w:rsidRPr="0081373F">
        <w:rPr>
          <w:rFonts w:ascii="Times New Roman" w:eastAsia="仿宋_GB2312"/>
          <w:kern w:val="0"/>
          <w:sz w:val="32"/>
          <w:szCs w:val="32"/>
        </w:rPr>
        <w:t>因</w:t>
      </w:r>
      <w:proofErr w:type="gramEnd"/>
      <w:r w:rsidRPr="0081373F">
        <w:rPr>
          <w:rFonts w:ascii="Times New Roman" w:eastAsia="仿宋_GB2312"/>
          <w:kern w:val="0"/>
          <w:sz w:val="32"/>
          <w:szCs w:val="32"/>
        </w:rPr>
        <w:t>材料变更所带来的风险</w:t>
      </w:r>
      <w:r w:rsidR="00684D30" w:rsidRPr="0081373F">
        <w:rPr>
          <w:rFonts w:ascii="Times New Roman" w:eastAsia="仿宋_GB2312" w:hint="eastAsia"/>
          <w:kern w:val="0"/>
          <w:sz w:val="32"/>
          <w:szCs w:val="32"/>
        </w:rPr>
        <w:t>，</w:t>
      </w:r>
      <w:r w:rsidRPr="0081373F">
        <w:rPr>
          <w:rFonts w:ascii="Times New Roman" w:eastAsia="仿宋_GB2312" w:hint="eastAsia"/>
          <w:kern w:val="0"/>
          <w:sz w:val="32"/>
          <w:szCs w:val="32"/>
        </w:rPr>
        <w:t>则</w:t>
      </w:r>
      <w:r w:rsidR="00684D30" w:rsidRPr="0081373F">
        <w:rPr>
          <w:rFonts w:ascii="Times New Roman" w:eastAsia="仿宋_GB2312"/>
          <w:kern w:val="0"/>
          <w:sz w:val="32"/>
          <w:szCs w:val="32"/>
        </w:rPr>
        <w:t>还应进行</w:t>
      </w:r>
      <w:r w:rsidR="006518E5" w:rsidRPr="0081373F">
        <w:rPr>
          <w:rFonts w:ascii="Times New Roman" w:eastAsia="仿宋_GB2312"/>
          <w:kern w:val="0"/>
          <w:sz w:val="32"/>
          <w:szCs w:val="32"/>
        </w:rPr>
        <w:t>临床</w:t>
      </w:r>
      <w:r w:rsidR="0081373F" w:rsidRPr="0081373F">
        <w:rPr>
          <w:rFonts w:ascii="Times New Roman" w:eastAsia="仿宋_GB2312" w:hint="eastAsia"/>
          <w:kern w:val="0"/>
          <w:sz w:val="32"/>
          <w:szCs w:val="32"/>
        </w:rPr>
        <w:t>实验</w:t>
      </w:r>
      <w:r w:rsidR="00684D30" w:rsidRPr="0081373F">
        <w:rPr>
          <w:rFonts w:ascii="Times New Roman" w:eastAsia="仿宋_GB2312"/>
          <w:kern w:val="0"/>
          <w:sz w:val="32"/>
          <w:szCs w:val="32"/>
        </w:rPr>
        <w:t>验证</w:t>
      </w:r>
      <w:r w:rsidR="00684D30" w:rsidRPr="0081373F">
        <w:rPr>
          <w:rFonts w:ascii="Times New Roman" w:eastAsia="仿宋_GB2312" w:hint="eastAsia"/>
          <w:kern w:val="0"/>
          <w:sz w:val="32"/>
          <w:szCs w:val="32"/>
        </w:rPr>
        <w:t>。</w:t>
      </w:r>
    </w:p>
    <w:p w:rsidR="0073593B" w:rsidRDefault="0073593B" w:rsidP="00FF149D">
      <w:pPr>
        <w:topLinePunct/>
        <w:adjustRightInd w:val="0"/>
        <w:snapToGrid w:val="0"/>
        <w:spacing w:afterLines="75" w:line="360" w:lineRule="auto"/>
        <w:ind w:firstLineChars="200" w:firstLine="640"/>
        <w:contextualSpacing/>
        <w:rPr>
          <w:rFonts w:ascii="Times New Roman" w:eastAsia="仿宋_GB2312"/>
          <w:color w:val="000000"/>
          <w:kern w:val="0"/>
          <w:sz w:val="32"/>
          <w:szCs w:val="32"/>
        </w:rPr>
      </w:pPr>
      <w:r>
        <w:rPr>
          <w:rFonts w:ascii="Times New Roman" w:eastAsia="仿宋_GB2312" w:hint="eastAsia"/>
          <w:color w:val="000000"/>
          <w:kern w:val="0"/>
          <w:sz w:val="32"/>
          <w:szCs w:val="32"/>
        </w:rPr>
        <w:t>需要说明的是，当临床评价仍然认为存在风险时，应根据</w:t>
      </w:r>
      <w:r>
        <w:rPr>
          <w:rFonts w:ascii="Times New Roman" w:eastAsia="仿宋_GB2312" w:hint="eastAsia"/>
          <w:color w:val="000000"/>
          <w:kern w:val="0"/>
          <w:sz w:val="32"/>
          <w:szCs w:val="32"/>
        </w:rPr>
        <w:t xml:space="preserve">YY 0316 </w:t>
      </w:r>
      <w:r w:rsidRPr="0073593B">
        <w:rPr>
          <w:rFonts w:ascii="Times New Roman" w:eastAsia="仿宋_GB2312" w:hint="eastAsia"/>
          <w:color w:val="000000"/>
          <w:kern w:val="0"/>
          <w:sz w:val="32"/>
          <w:szCs w:val="32"/>
        </w:rPr>
        <w:t>医疗器械风险管理对医疗器械的应用</w:t>
      </w:r>
      <w:r>
        <w:rPr>
          <w:rFonts w:ascii="Times New Roman" w:eastAsia="仿宋_GB2312" w:hint="eastAsia"/>
          <w:color w:val="000000"/>
          <w:kern w:val="0"/>
          <w:sz w:val="32"/>
          <w:szCs w:val="32"/>
        </w:rPr>
        <w:t>等标准要求继</w:t>
      </w:r>
      <w:r w:rsidR="00BF27C0">
        <w:rPr>
          <w:rFonts w:ascii="Times New Roman" w:eastAsia="仿宋_GB2312" w:hint="eastAsia"/>
          <w:color w:val="000000"/>
          <w:kern w:val="0"/>
          <w:sz w:val="32"/>
          <w:szCs w:val="32"/>
        </w:rPr>
        <w:t>续通过风险控制措施、风险受益分析等手段进行评价，直至拒绝变化</w:t>
      </w:r>
      <w:r>
        <w:rPr>
          <w:rFonts w:ascii="Times New Roman" w:eastAsia="仿宋_GB2312" w:hint="eastAsia"/>
          <w:color w:val="000000"/>
          <w:kern w:val="0"/>
          <w:sz w:val="32"/>
          <w:szCs w:val="32"/>
        </w:rPr>
        <w:t>或</w:t>
      </w:r>
      <w:r w:rsidR="00D867CE">
        <w:rPr>
          <w:rFonts w:ascii="Times New Roman" w:eastAsia="仿宋_GB2312" w:hint="eastAsia"/>
          <w:color w:val="000000"/>
          <w:kern w:val="0"/>
          <w:sz w:val="32"/>
          <w:szCs w:val="32"/>
        </w:rPr>
        <w:t>降低风险至可接受水平。</w:t>
      </w:r>
    </w:p>
    <w:p w:rsidR="004551BA" w:rsidRPr="00A1360E" w:rsidRDefault="008201E9" w:rsidP="00135D1F">
      <w:pPr>
        <w:ind w:firstLineChars="200" w:firstLine="640"/>
        <w:rPr>
          <w:rFonts w:ascii="Times New Roman" w:eastAsia="黑体" w:hAnsi="Times New Roman"/>
          <w:sz w:val="32"/>
          <w:szCs w:val="32"/>
        </w:rPr>
      </w:pPr>
      <w:r>
        <w:rPr>
          <w:rFonts w:ascii="Times New Roman" w:eastAsia="黑体" w:hAnsi="黑体" w:hint="eastAsia"/>
          <w:sz w:val="32"/>
          <w:szCs w:val="32"/>
        </w:rPr>
        <w:t>四</w:t>
      </w:r>
      <w:r w:rsidR="0011718F" w:rsidRPr="00A1360E">
        <w:rPr>
          <w:rFonts w:ascii="Times New Roman" w:eastAsia="黑体" w:hAnsi="黑体" w:hint="eastAsia"/>
          <w:sz w:val="32"/>
          <w:szCs w:val="32"/>
        </w:rPr>
        <w:t>、</w:t>
      </w:r>
      <w:r w:rsidR="00C207BE" w:rsidRPr="00A1360E">
        <w:rPr>
          <w:rFonts w:ascii="Times New Roman" w:eastAsia="黑体" w:hAnsi="黑体" w:hint="eastAsia"/>
          <w:sz w:val="32"/>
          <w:szCs w:val="32"/>
        </w:rPr>
        <w:t>变更举例</w:t>
      </w:r>
    </w:p>
    <w:p w:rsidR="008F0D46" w:rsidRPr="00A1360E" w:rsidRDefault="008F0D46" w:rsidP="008F0D46">
      <w:pPr>
        <w:ind w:firstLine="630"/>
        <w:rPr>
          <w:rFonts w:ascii="Times New Roman" w:eastAsia="仿宋_GB2312" w:hAnsi="Times New Roman"/>
          <w:sz w:val="32"/>
          <w:szCs w:val="32"/>
        </w:rPr>
      </w:pPr>
      <w:r w:rsidRPr="00A1360E">
        <w:rPr>
          <w:rFonts w:ascii="Times New Roman" w:eastAsia="仿宋_GB2312" w:hAnsi="Times New Roman" w:hint="eastAsia"/>
          <w:sz w:val="32"/>
          <w:szCs w:val="32"/>
        </w:rPr>
        <w:t>医疗器械种类</w:t>
      </w:r>
      <w:r w:rsidRPr="00913CFD">
        <w:rPr>
          <w:rFonts w:ascii="Times New Roman" w:eastAsia="仿宋_GB2312" w:hAnsi="Times New Roman" w:hint="eastAsia"/>
          <w:sz w:val="32"/>
          <w:szCs w:val="32"/>
        </w:rPr>
        <w:t>繁</w:t>
      </w:r>
      <w:r w:rsidR="00913CFD" w:rsidRPr="00913CFD">
        <w:rPr>
          <w:rFonts w:ascii="Times New Roman" w:eastAsia="仿宋_GB2312" w:hAnsi="Times New Roman" w:hint="eastAsia"/>
          <w:sz w:val="32"/>
          <w:szCs w:val="32"/>
        </w:rPr>
        <w:t>多</w:t>
      </w:r>
      <w:r w:rsidRPr="00A1360E">
        <w:rPr>
          <w:rFonts w:ascii="Times New Roman" w:eastAsia="仿宋_GB2312" w:hAnsi="Times New Roman" w:hint="eastAsia"/>
          <w:sz w:val="32"/>
          <w:szCs w:val="32"/>
        </w:rPr>
        <w:t>，</w:t>
      </w:r>
      <w:r w:rsidR="00F20BC4" w:rsidRPr="00F20BC4">
        <w:rPr>
          <w:rFonts w:ascii="Times New Roman" w:eastAsia="仿宋_GB2312" w:hAnsi="Times New Roman" w:hint="eastAsia"/>
          <w:sz w:val="32"/>
          <w:szCs w:val="32"/>
        </w:rPr>
        <w:t>按照其与人体接触时间的不同，可分为短期（</w:t>
      </w:r>
      <w:r w:rsidR="00F20BC4" w:rsidRPr="00F20BC4">
        <w:rPr>
          <w:rFonts w:ascii="Times New Roman" w:eastAsia="仿宋_GB2312" w:hAnsi="Times New Roman" w:hint="eastAsia"/>
          <w:sz w:val="32"/>
          <w:szCs w:val="32"/>
        </w:rPr>
        <w:t>&lt;24</w:t>
      </w:r>
      <w:r w:rsidR="00F20BC4" w:rsidRPr="00F20BC4">
        <w:rPr>
          <w:rFonts w:ascii="Times New Roman" w:eastAsia="仿宋_GB2312" w:hAnsi="Times New Roman" w:hint="eastAsia"/>
          <w:sz w:val="32"/>
          <w:szCs w:val="32"/>
        </w:rPr>
        <w:t>小时）、长期（</w:t>
      </w:r>
      <w:r w:rsidR="00F20BC4" w:rsidRPr="00F20BC4">
        <w:rPr>
          <w:rFonts w:ascii="Times New Roman" w:eastAsia="仿宋_GB2312" w:hAnsi="Times New Roman" w:hint="eastAsia"/>
          <w:sz w:val="32"/>
          <w:szCs w:val="32"/>
        </w:rPr>
        <w:t>&gt;24</w:t>
      </w:r>
      <w:r w:rsidR="00F20BC4" w:rsidRPr="00F20BC4">
        <w:rPr>
          <w:rFonts w:ascii="Times New Roman" w:eastAsia="仿宋_GB2312" w:hAnsi="Times New Roman" w:hint="eastAsia"/>
          <w:sz w:val="32"/>
          <w:szCs w:val="32"/>
        </w:rPr>
        <w:t>小时</w:t>
      </w:r>
      <w:r w:rsidR="00F20BC4" w:rsidRPr="00F20BC4">
        <w:rPr>
          <w:rFonts w:ascii="Times New Roman" w:eastAsia="仿宋_GB2312" w:hAnsi="Times New Roman" w:hint="eastAsia"/>
          <w:sz w:val="32"/>
          <w:szCs w:val="32"/>
        </w:rPr>
        <w:t>&lt;30</w:t>
      </w:r>
      <w:r w:rsidR="00F20BC4" w:rsidRPr="00F20BC4">
        <w:rPr>
          <w:rFonts w:ascii="Times New Roman" w:eastAsia="仿宋_GB2312" w:hAnsi="Times New Roman" w:hint="eastAsia"/>
          <w:sz w:val="32"/>
          <w:szCs w:val="32"/>
        </w:rPr>
        <w:t>天）及永久接触（</w:t>
      </w:r>
      <w:r w:rsidR="00F20BC4" w:rsidRPr="00F20BC4">
        <w:rPr>
          <w:rFonts w:ascii="Times New Roman" w:eastAsia="仿宋_GB2312" w:hAnsi="Times New Roman" w:hint="eastAsia"/>
          <w:sz w:val="32"/>
          <w:szCs w:val="32"/>
        </w:rPr>
        <w:t>&gt;30</w:t>
      </w:r>
      <w:r w:rsidR="00F20BC4" w:rsidRPr="00F20BC4">
        <w:rPr>
          <w:rFonts w:ascii="Times New Roman" w:eastAsia="仿宋_GB2312" w:hAnsi="Times New Roman" w:hint="eastAsia"/>
          <w:sz w:val="32"/>
          <w:szCs w:val="32"/>
        </w:rPr>
        <w:t>天）类产品，按照其是否植入人体，可分为植入物和非植入物产品</w:t>
      </w:r>
      <w:r w:rsidR="007D1663">
        <w:rPr>
          <w:rFonts w:ascii="Times New Roman" w:eastAsia="仿宋_GB2312" w:hAnsi="Times New Roman" w:hint="eastAsia"/>
          <w:sz w:val="32"/>
          <w:szCs w:val="32"/>
        </w:rPr>
        <w:t>。</w:t>
      </w:r>
      <w:r w:rsidR="007D1663" w:rsidRPr="00A1360E">
        <w:rPr>
          <w:rFonts w:ascii="Times New Roman" w:eastAsia="仿宋_GB2312" w:hAnsi="Times New Roman" w:hint="eastAsia"/>
          <w:sz w:val="32"/>
          <w:szCs w:val="32"/>
        </w:rPr>
        <w:t>所用材料更是多种多样，</w:t>
      </w:r>
      <w:r w:rsidR="007D1663">
        <w:rPr>
          <w:rFonts w:ascii="Times New Roman" w:eastAsia="仿宋_GB2312" w:hAnsi="Times New Roman" w:hint="eastAsia"/>
          <w:sz w:val="32"/>
          <w:szCs w:val="32"/>
        </w:rPr>
        <w:t>按照器械所用</w:t>
      </w:r>
      <w:r w:rsidRPr="00A1360E">
        <w:rPr>
          <w:rFonts w:ascii="Times New Roman" w:eastAsia="仿宋_GB2312" w:hAnsi="Times New Roman" w:hint="eastAsia"/>
          <w:sz w:val="32"/>
          <w:szCs w:val="32"/>
        </w:rPr>
        <w:t>材料种类可分为高分子材料、金属材料、生物活性材料等</w:t>
      </w:r>
      <w:r w:rsidR="007D1663">
        <w:rPr>
          <w:rFonts w:ascii="Times New Roman" w:eastAsia="仿宋_GB2312" w:hAnsi="Times New Roman" w:hint="eastAsia"/>
          <w:sz w:val="32"/>
          <w:szCs w:val="32"/>
        </w:rPr>
        <w:t>，高分子材料又包括</w:t>
      </w:r>
      <w:r w:rsidRPr="00A1360E">
        <w:rPr>
          <w:rFonts w:ascii="Times New Roman" w:eastAsia="仿宋_GB2312" w:hAnsi="Times New Roman" w:hint="eastAsia"/>
          <w:sz w:val="32"/>
          <w:szCs w:val="32"/>
        </w:rPr>
        <w:t>聚氯乙烯、聚氨酯、苯乙烯类热塑性弹性体等，金属材料包括不锈钢、钛合金等</w:t>
      </w:r>
      <w:r w:rsidR="007D1663">
        <w:rPr>
          <w:rFonts w:ascii="Times New Roman" w:eastAsia="仿宋_GB2312" w:hAnsi="Times New Roman" w:hint="eastAsia"/>
          <w:sz w:val="32"/>
          <w:szCs w:val="32"/>
        </w:rPr>
        <w:t>，甚至相同名称的材料其组分也可能</w:t>
      </w:r>
      <w:r w:rsidR="00913CFD" w:rsidRPr="00913CFD">
        <w:rPr>
          <w:rFonts w:ascii="Times New Roman" w:eastAsia="仿宋_GB2312" w:hAnsi="Times New Roman" w:hint="eastAsia"/>
          <w:sz w:val="32"/>
          <w:szCs w:val="32"/>
        </w:rPr>
        <w:t>各有不同</w:t>
      </w:r>
      <w:r w:rsidR="007D1663">
        <w:rPr>
          <w:rFonts w:ascii="Times New Roman" w:eastAsia="仿宋_GB2312" w:hAnsi="Times New Roman" w:hint="eastAsia"/>
          <w:sz w:val="32"/>
          <w:szCs w:val="32"/>
        </w:rPr>
        <w:t>，比如</w:t>
      </w:r>
      <w:r w:rsidR="00413EAB" w:rsidRPr="00A1360E">
        <w:rPr>
          <w:rFonts w:ascii="Times New Roman" w:eastAsia="仿宋_GB2312" w:hAnsi="Times New Roman" w:hint="eastAsia"/>
          <w:sz w:val="32"/>
          <w:szCs w:val="32"/>
        </w:rPr>
        <w:t>聚氯乙烯材料，一般由聚氯乙烯聚合物和一定比例的添加剂组成，常见的添加剂包括增塑剂、抗氧化剂、稳定剂等。</w:t>
      </w:r>
      <w:r w:rsidR="007D1663">
        <w:rPr>
          <w:rFonts w:ascii="Times New Roman" w:eastAsia="仿宋_GB2312" w:hAnsi="Times New Roman" w:hint="eastAsia"/>
          <w:sz w:val="32"/>
          <w:szCs w:val="32"/>
        </w:rPr>
        <w:t>同是聚氯乙烯</w:t>
      </w:r>
      <w:r w:rsidR="00413EAB">
        <w:rPr>
          <w:rFonts w:ascii="Times New Roman" w:eastAsia="仿宋_GB2312" w:hAnsi="Times New Roman" w:hint="eastAsia"/>
          <w:sz w:val="32"/>
          <w:szCs w:val="32"/>
        </w:rPr>
        <w:t>材料</w:t>
      </w:r>
      <w:r w:rsidR="007D1663">
        <w:rPr>
          <w:rFonts w:ascii="Times New Roman" w:eastAsia="仿宋_GB2312" w:hAnsi="Times New Roman" w:hint="eastAsia"/>
          <w:sz w:val="32"/>
          <w:szCs w:val="32"/>
        </w:rPr>
        <w:t>，其</w:t>
      </w:r>
      <w:r w:rsidR="00413EAB">
        <w:rPr>
          <w:rFonts w:ascii="Times New Roman" w:eastAsia="仿宋_GB2312" w:hAnsi="Times New Roman" w:hint="eastAsia"/>
          <w:sz w:val="32"/>
          <w:szCs w:val="32"/>
        </w:rPr>
        <w:t>组成组分及</w:t>
      </w:r>
      <w:r w:rsidR="007D1663">
        <w:rPr>
          <w:rFonts w:ascii="Times New Roman" w:eastAsia="仿宋_GB2312" w:hAnsi="Times New Roman" w:hint="eastAsia"/>
          <w:sz w:val="32"/>
          <w:szCs w:val="32"/>
        </w:rPr>
        <w:t>含量可能完全不同</w:t>
      </w:r>
      <w:r w:rsidRPr="00A1360E">
        <w:rPr>
          <w:rFonts w:ascii="Times New Roman" w:eastAsia="仿宋_GB2312" w:hAnsi="Times New Roman" w:hint="eastAsia"/>
          <w:sz w:val="32"/>
          <w:szCs w:val="32"/>
        </w:rPr>
        <w:t>。</w:t>
      </w:r>
    </w:p>
    <w:p w:rsidR="00BA71DE" w:rsidRPr="00A1360E" w:rsidRDefault="00BA71DE" w:rsidP="00BA71DE">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一方面，相同</w:t>
      </w:r>
      <w:r w:rsidR="00625461" w:rsidRPr="00A1360E">
        <w:rPr>
          <w:rFonts w:ascii="Times New Roman" w:eastAsia="仿宋_GB2312" w:hAnsi="Times New Roman" w:hint="eastAsia"/>
          <w:sz w:val="32"/>
          <w:szCs w:val="32"/>
        </w:rPr>
        <w:t>类型</w:t>
      </w:r>
      <w:r w:rsidR="00FA5AB9">
        <w:rPr>
          <w:rFonts w:ascii="Times New Roman" w:eastAsia="仿宋_GB2312" w:hAnsi="Times New Roman" w:hint="eastAsia"/>
          <w:sz w:val="32"/>
          <w:szCs w:val="32"/>
        </w:rPr>
        <w:t>的原</w:t>
      </w:r>
      <w:r w:rsidRPr="00A1360E">
        <w:rPr>
          <w:rFonts w:ascii="Times New Roman" w:eastAsia="仿宋_GB2312" w:hAnsi="Times New Roman" w:hint="eastAsia"/>
          <w:sz w:val="32"/>
          <w:szCs w:val="32"/>
        </w:rPr>
        <w:t>材料（如聚氯乙烯、</w:t>
      </w:r>
      <w:r w:rsidR="00E04083" w:rsidRPr="00A1360E">
        <w:rPr>
          <w:rFonts w:ascii="Times New Roman" w:eastAsia="仿宋_GB2312" w:hAnsi="Times New Roman" w:hint="eastAsia"/>
          <w:sz w:val="32"/>
          <w:szCs w:val="32"/>
        </w:rPr>
        <w:t>聚氨酯</w:t>
      </w:r>
      <w:r w:rsidRPr="00A1360E">
        <w:rPr>
          <w:rFonts w:ascii="Times New Roman" w:eastAsia="仿宋_GB2312" w:hAnsi="Times New Roman" w:hint="eastAsia"/>
          <w:sz w:val="32"/>
          <w:szCs w:val="32"/>
        </w:rPr>
        <w:t>等）</w:t>
      </w:r>
      <w:r w:rsidRPr="00A1360E">
        <w:rPr>
          <w:rFonts w:ascii="Times New Roman" w:eastAsia="仿宋_GB2312" w:hAnsi="Times New Roman" w:hint="eastAsia"/>
          <w:sz w:val="32"/>
          <w:szCs w:val="32"/>
        </w:rPr>
        <w:lastRenderedPageBreak/>
        <w:t>可能包含不同的组成，不同的组成等均可对材料甚至对</w:t>
      </w:r>
      <w:r w:rsidR="00E04083" w:rsidRPr="00A1360E">
        <w:rPr>
          <w:rFonts w:ascii="Times New Roman" w:eastAsia="仿宋_GB2312" w:hAnsi="Times New Roman" w:hint="eastAsia"/>
          <w:sz w:val="32"/>
          <w:szCs w:val="32"/>
        </w:rPr>
        <w:t>最终医疗器械</w:t>
      </w:r>
      <w:r w:rsidRPr="00A1360E">
        <w:rPr>
          <w:rFonts w:ascii="Times New Roman" w:eastAsia="仿宋_GB2312" w:hAnsi="Times New Roman" w:hint="eastAsia"/>
          <w:sz w:val="32"/>
          <w:szCs w:val="32"/>
        </w:rPr>
        <w:t>产品产生不同程度的影响。</w:t>
      </w:r>
      <w:r w:rsidR="00413EAB">
        <w:rPr>
          <w:rFonts w:ascii="Times New Roman" w:eastAsia="仿宋_GB2312" w:hAnsi="Times New Roman" w:hint="eastAsia"/>
          <w:sz w:val="32"/>
          <w:szCs w:val="32"/>
        </w:rPr>
        <w:t>如</w:t>
      </w:r>
      <w:r w:rsidR="00625461" w:rsidRPr="00A1360E">
        <w:rPr>
          <w:rFonts w:ascii="Times New Roman" w:eastAsia="仿宋_GB2312" w:hAnsi="Times New Roman" w:hint="eastAsia"/>
          <w:sz w:val="32"/>
          <w:szCs w:val="32"/>
        </w:rPr>
        <w:t>改变</w:t>
      </w:r>
      <w:r w:rsidRPr="00A1360E">
        <w:rPr>
          <w:rFonts w:ascii="Times New Roman" w:eastAsia="仿宋_GB2312" w:hAnsi="Times New Roman" w:hint="eastAsia"/>
          <w:sz w:val="32"/>
          <w:szCs w:val="32"/>
        </w:rPr>
        <w:t>聚氯乙烯聚合物合成方式及分子量、添加剂组成和比例都会对最终</w:t>
      </w:r>
      <w:r w:rsidR="00625461" w:rsidRPr="00A1360E">
        <w:rPr>
          <w:rFonts w:ascii="Times New Roman" w:eastAsia="仿宋_GB2312" w:hAnsi="Times New Roman" w:hint="eastAsia"/>
          <w:sz w:val="32"/>
          <w:szCs w:val="32"/>
        </w:rPr>
        <w:t>聚氯乙烯材料的性能产生影响，进而对最终</w:t>
      </w:r>
      <w:r w:rsidRPr="00A1360E">
        <w:rPr>
          <w:rFonts w:ascii="Times New Roman" w:eastAsia="仿宋_GB2312" w:hAnsi="Times New Roman" w:hint="eastAsia"/>
          <w:sz w:val="32"/>
          <w:szCs w:val="32"/>
        </w:rPr>
        <w:t>医疗器械产品的物理化学性能和生物安全性产生</w:t>
      </w:r>
      <w:r w:rsidR="00625461" w:rsidRPr="00A1360E">
        <w:rPr>
          <w:rFonts w:ascii="Times New Roman" w:eastAsia="仿宋_GB2312" w:hAnsi="Times New Roman" w:hint="eastAsia"/>
          <w:sz w:val="32"/>
          <w:szCs w:val="32"/>
        </w:rPr>
        <w:t>风险</w:t>
      </w:r>
      <w:r w:rsidRPr="00A1360E">
        <w:rPr>
          <w:rFonts w:ascii="Times New Roman" w:eastAsia="仿宋_GB2312" w:hAnsi="Times New Roman" w:hint="eastAsia"/>
          <w:sz w:val="32"/>
          <w:szCs w:val="32"/>
        </w:rPr>
        <w:t>。</w:t>
      </w:r>
    </w:p>
    <w:p w:rsidR="00625461" w:rsidRDefault="000D0E5B" w:rsidP="00625461">
      <w:pPr>
        <w:ind w:firstLine="645"/>
        <w:rPr>
          <w:rFonts w:ascii="Times New Roman" w:eastAsia="仿宋_GB2312" w:hAnsi="Times New Roman"/>
          <w:sz w:val="32"/>
          <w:szCs w:val="32"/>
        </w:rPr>
      </w:pPr>
      <w:r>
        <w:rPr>
          <w:rFonts w:ascii="Times New Roman" w:eastAsia="仿宋_GB2312" w:hAnsi="Times New Roman" w:hint="eastAsia"/>
          <w:sz w:val="32"/>
          <w:szCs w:val="32"/>
        </w:rPr>
        <w:t>另一方面，</w:t>
      </w:r>
      <w:r w:rsidR="00BA71DE" w:rsidRPr="00A1360E">
        <w:rPr>
          <w:rFonts w:ascii="Times New Roman" w:eastAsia="仿宋_GB2312" w:hAnsi="Times New Roman" w:hint="eastAsia"/>
          <w:sz w:val="32"/>
          <w:szCs w:val="32"/>
        </w:rPr>
        <w:t>医疗器械产品通常包括多种组件，且每种组件的材料一般均有所不同。所以不同组件的不同材料的变更对产品的安全性、</w:t>
      </w:r>
      <w:r w:rsidR="00BA71DE" w:rsidRPr="00913CFD">
        <w:rPr>
          <w:rFonts w:ascii="Times New Roman" w:eastAsia="仿宋_GB2312" w:hAnsi="Times New Roman" w:hint="eastAsia"/>
          <w:sz w:val="32"/>
          <w:szCs w:val="32"/>
        </w:rPr>
        <w:t>有效性产生的影响也有所差异，审评时的关注点也</w:t>
      </w:r>
      <w:r w:rsidR="00913CFD" w:rsidRPr="00913CFD">
        <w:rPr>
          <w:rFonts w:ascii="Times New Roman" w:eastAsia="仿宋_GB2312" w:hAnsi="Times New Roman" w:hint="eastAsia"/>
          <w:sz w:val="32"/>
          <w:szCs w:val="32"/>
        </w:rPr>
        <w:t>各有</w:t>
      </w:r>
      <w:r w:rsidR="00BA71DE" w:rsidRPr="00913CFD">
        <w:rPr>
          <w:rFonts w:ascii="Times New Roman" w:eastAsia="仿宋_GB2312" w:hAnsi="Times New Roman" w:hint="eastAsia"/>
          <w:sz w:val="32"/>
          <w:szCs w:val="32"/>
        </w:rPr>
        <w:t>不同</w:t>
      </w:r>
      <w:r w:rsidR="00BA71DE" w:rsidRPr="00A1360E">
        <w:rPr>
          <w:rFonts w:ascii="Times New Roman" w:eastAsia="仿宋_GB2312" w:hAnsi="Times New Roman" w:hint="eastAsia"/>
          <w:sz w:val="32"/>
          <w:szCs w:val="32"/>
        </w:rPr>
        <w:t>。</w:t>
      </w:r>
    </w:p>
    <w:p w:rsidR="00413EAB" w:rsidRDefault="00413EAB" w:rsidP="00413EAB">
      <w:pPr>
        <w:ind w:firstLine="645"/>
        <w:rPr>
          <w:rFonts w:ascii="Times New Roman" w:eastAsia="仿宋_GB2312" w:hAnsi="Times New Roman"/>
          <w:sz w:val="32"/>
          <w:szCs w:val="32"/>
        </w:rPr>
      </w:pPr>
      <w:r>
        <w:rPr>
          <w:rFonts w:ascii="Times New Roman" w:eastAsia="仿宋_GB2312" w:hAnsi="Times New Roman" w:hint="eastAsia"/>
          <w:sz w:val="32"/>
          <w:szCs w:val="32"/>
        </w:rPr>
        <w:t>一般来说，</w:t>
      </w:r>
      <w:r w:rsidRPr="00A1360E">
        <w:rPr>
          <w:rFonts w:ascii="Times New Roman" w:eastAsia="仿宋_GB2312" w:hAnsi="Times New Roman" w:hint="eastAsia"/>
          <w:sz w:val="32"/>
          <w:szCs w:val="32"/>
        </w:rPr>
        <w:t>产品原材料发生改变一般包括</w:t>
      </w:r>
      <w:r>
        <w:rPr>
          <w:rFonts w:ascii="Times New Roman" w:eastAsia="仿宋_GB2312" w:hAnsi="Times New Roman" w:hint="eastAsia"/>
          <w:sz w:val="32"/>
          <w:szCs w:val="32"/>
        </w:rPr>
        <w:t>以下几</w:t>
      </w:r>
      <w:r w:rsidRPr="00A1360E">
        <w:rPr>
          <w:rFonts w:ascii="Times New Roman" w:eastAsia="仿宋_GB2312" w:hAnsi="Times New Roman" w:hint="eastAsia"/>
          <w:sz w:val="32"/>
          <w:szCs w:val="32"/>
        </w:rPr>
        <w:t>种情形</w:t>
      </w:r>
      <w:r>
        <w:rPr>
          <w:rFonts w:ascii="Times New Roman" w:eastAsia="仿宋_GB2312" w:hAnsi="Times New Roman" w:hint="eastAsia"/>
          <w:sz w:val="32"/>
          <w:szCs w:val="32"/>
        </w:rPr>
        <w:t>：</w:t>
      </w:r>
      <w:r w:rsidRPr="00A1360E">
        <w:rPr>
          <w:rFonts w:ascii="Times New Roman" w:eastAsia="仿宋_GB2312" w:hAnsi="Times New Roman" w:hint="eastAsia"/>
          <w:sz w:val="32"/>
          <w:szCs w:val="32"/>
        </w:rPr>
        <w:t>一是材料类型的改变，如输液管路材料由聚氯乙烯变成聚氨酯，透析器外壳由聚碳酸酯变成聚丙烯等；二是材料组分和</w:t>
      </w:r>
      <w:r w:rsidRPr="00A1360E">
        <w:rPr>
          <w:rFonts w:ascii="Times New Roman" w:eastAsia="仿宋_GB2312" w:hAnsi="Times New Roman" w:hint="eastAsia"/>
          <w:sz w:val="32"/>
          <w:szCs w:val="32"/>
        </w:rPr>
        <w:t>/</w:t>
      </w:r>
      <w:r w:rsidRPr="00A1360E">
        <w:rPr>
          <w:rFonts w:ascii="Times New Roman" w:eastAsia="仿宋_GB2312" w:hAnsi="Times New Roman" w:hint="eastAsia"/>
          <w:sz w:val="32"/>
          <w:szCs w:val="32"/>
        </w:rPr>
        <w:t>或配比发生改变，如聚氯乙烯中增塑剂、抗氧化剂的成分和</w:t>
      </w:r>
      <w:r w:rsidRPr="00A1360E">
        <w:rPr>
          <w:rFonts w:ascii="Times New Roman" w:eastAsia="仿宋_GB2312" w:hAnsi="Times New Roman" w:hint="eastAsia"/>
          <w:sz w:val="32"/>
          <w:szCs w:val="32"/>
        </w:rPr>
        <w:t>/</w:t>
      </w:r>
      <w:r w:rsidRPr="00A1360E">
        <w:rPr>
          <w:rFonts w:ascii="Times New Roman" w:eastAsia="仿宋_GB2312" w:hAnsi="Times New Roman" w:hint="eastAsia"/>
          <w:sz w:val="32"/>
          <w:szCs w:val="32"/>
        </w:rPr>
        <w:t>或比例改变，虽然材料</w:t>
      </w:r>
      <w:r>
        <w:rPr>
          <w:rFonts w:ascii="Times New Roman" w:eastAsia="仿宋_GB2312" w:hAnsi="Times New Roman" w:hint="eastAsia"/>
          <w:sz w:val="32"/>
          <w:szCs w:val="32"/>
        </w:rPr>
        <w:t>类型</w:t>
      </w:r>
      <w:r w:rsidRPr="00A1360E">
        <w:rPr>
          <w:rFonts w:ascii="Times New Roman" w:eastAsia="仿宋_GB2312" w:hAnsi="Times New Roman" w:hint="eastAsia"/>
          <w:sz w:val="32"/>
          <w:szCs w:val="32"/>
        </w:rPr>
        <w:t>仍为聚氯乙烯，但材料的性能已经完全不同</w:t>
      </w:r>
      <w:r>
        <w:rPr>
          <w:rFonts w:ascii="Times New Roman" w:eastAsia="仿宋_GB2312" w:hAnsi="Times New Roman" w:hint="eastAsia"/>
          <w:sz w:val="32"/>
          <w:szCs w:val="32"/>
        </w:rPr>
        <w:t>；三是材料的加工方式的改变，比如某些橡胶材料的硫化工艺、金属材料的锻造工艺、透明质酸钠的提取方式等的改变；四是其</w:t>
      </w:r>
      <w:r w:rsidR="00DD0A6D">
        <w:rPr>
          <w:rFonts w:ascii="Times New Roman" w:eastAsia="仿宋_GB2312" w:hAnsi="Times New Roman" w:hint="eastAsia"/>
          <w:sz w:val="32"/>
          <w:szCs w:val="32"/>
        </w:rPr>
        <w:t>他类型的改变，包括原材料供应商、牌号等的改变，这些改变可能还涉及</w:t>
      </w:r>
      <w:r>
        <w:rPr>
          <w:rFonts w:ascii="Times New Roman" w:eastAsia="仿宋_GB2312" w:hAnsi="Times New Roman" w:hint="eastAsia"/>
          <w:sz w:val="32"/>
          <w:szCs w:val="32"/>
        </w:rPr>
        <w:t>前述改变类型</w:t>
      </w:r>
      <w:r w:rsidRPr="00A1360E">
        <w:rPr>
          <w:rFonts w:ascii="Times New Roman" w:eastAsia="仿宋_GB2312" w:hAnsi="Times New Roman" w:hint="eastAsia"/>
          <w:sz w:val="32"/>
          <w:szCs w:val="32"/>
        </w:rPr>
        <w:t>。</w:t>
      </w:r>
    </w:p>
    <w:p w:rsidR="00413EAB" w:rsidRDefault="00413EAB" w:rsidP="00413EAB">
      <w:pPr>
        <w:ind w:firstLine="645"/>
        <w:rPr>
          <w:rFonts w:ascii="Times New Roman" w:eastAsia="仿宋_GB2312" w:hAnsi="Times New Roman"/>
          <w:sz w:val="32"/>
          <w:szCs w:val="32"/>
        </w:rPr>
      </w:pPr>
      <w:r>
        <w:rPr>
          <w:rFonts w:ascii="Times New Roman" w:eastAsia="仿宋_GB2312" w:hAnsi="Times New Roman" w:hint="eastAsia"/>
          <w:sz w:val="32"/>
          <w:szCs w:val="32"/>
        </w:rPr>
        <w:t>所以，在进行因材料变化引起的风险评估过程中，</w:t>
      </w:r>
      <w:r w:rsidR="00AE51E3">
        <w:rPr>
          <w:rFonts w:ascii="Times New Roman" w:eastAsia="仿宋_GB2312" w:hAnsi="Times New Roman" w:hint="eastAsia"/>
          <w:sz w:val="32"/>
          <w:szCs w:val="32"/>
        </w:rPr>
        <w:t>持证人</w:t>
      </w:r>
      <w:r w:rsidRPr="00A1360E">
        <w:rPr>
          <w:rFonts w:ascii="Times New Roman" w:eastAsia="仿宋_GB2312" w:hAnsi="Times New Roman" w:hint="eastAsia"/>
          <w:sz w:val="32"/>
          <w:szCs w:val="32"/>
        </w:rPr>
        <w:t>应根据</w:t>
      </w:r>
      <w:r>
        <w:rPr>
          <w:rFonts w:ascii="Times New Roman" w:eastAsia="仿宋_GB2312" w:hAnsi="Times New Roman" w:hint="eastAsia"/>
          <w:sz w:val="32"/>
          <w:szCs w:val="32"/>
        </w:rPr>
        <w:t>原</w:t>
      </w:r>
      <w:r w:rsidRPr="00A1360E">
        <w:rPr>
          <w:rFonts w:ascii="Times New Roman" w:eastAsia="仿宋_GB2312" w:hAnsi="Times New Roman" w:hint="eastAsia"/>
          <w:sz w:val="32"/>
          <w:szCs w:val="32"/>
        </w:rPr>
        <w:t>材料变</w:t>
      </w:r>
      <w:r>
        <w:rPr>
          <w:rFonts w:ascii="Times New Roman" w:eastAsia="仿宋_GB2312" w:hAnsi="Times New Roman" w:hint="eastAsia"/>
          <w:sz w:val="32"/>
          <w:szCs w:val="32"/>
        </w:rPr>
        <w:t>化的具体情形</w:t>
      </w:r>
      <w:r w:rsidRPr="00A1360E">
        <w:rPr>
          <w:rFonts w:ascii="Times New Roman" w:eastAsia="仿宋_GB2312" w:hAnsi="Times New Roman" w:hint="eastAsia"/>
          <w:sz w:val="32"/>
          <w:szCs w:val="32"/>
        </w:rPr>
        <w:t>、</w:t>
      </w:r>
      <w:r>
        <w:rPr>
          <w:rFonts w:ascii="Times New Roman" w:eastAsia="仿宋_GB2312" w:hAnsi="Times New Roman" w:hint="eastAsia"/>
          <w:sz w:val="32"/>
          <w:szCs w:val="32"/>
        </w:rPr>
        <w:t>材料在医疗器械中发挥的作用以及</w:t>
      </w:r>
      <w:r w:rsidRPr="00A1360E">
        <w:rPr>
          <w:rFonts w:ascii="Times New Roman" w:eastAsia="仿宋_GB2312" w:hAnsi="Times New Roman" w:hint="eastAsia"/>
          <w:sz w:val="32"/>
          <w:szCs w:val="32"/>
        </w:rPr>
        <w:t>医疗器械</w:t>
      </w:r>
      <w:r>
        <w:rPr>
          <w:rFonts w:ascii="Times New Roman" w:eastAsia="仿宋_GB2312" w:hAnsi="Times New Roman" w:hint="eastAsia"/>
          <w:sz w:val="32"/>
          <w:szCs w:val="32"/>
        </w:rPr>
        <w:t>产品预期用途等风险因素进行综合分析评判，合理利用各种手段进行风险评估，最大限度降低变化</w:t>
      </w:r>
      <w:r>
        <w:rPr>
          <w:rFonts w:ascii="Times New Roman" w:eastAsia="仿宋_GB2312" w:hAnsi="Times New Roman" w:hint="eastAsia"/>
          <w:sz w:val="32"/>
          <w:szCs w:val="32"/>
        </w:rPr>
        <w:lastRenderedPageBreak/>
        <w:t>带来的可能风险</w:t>
      </w:r>
      <w:r w:rsidRPr="00A1360E">
        <w:rPr>
          <w:rFonts w:ascii="Times New Roman" w:eastAsia="仿宋_GB2312" w:hAnsi="Times New Roman" w:hint="eastAsia"/>
          <w:sz w:val="32"/>
          <w:szCs w:val="32"/>
        </w:rPr>
        <w:t>。</w:t>
      </w:r>
    </w:p>
    <w:p w:rsidR="00C207BE" w:rsidRPr="00A1360E" w:rsidRDefault="00C207BE" w:rsidP="009314D0">
      <w:pPr>
        <w:ind w:firstLineChars="200" w:firstLine="640"/>
        <w:rPr>
          <w:rFonts w:ascii="Times New Roman" w:eastAsia="楷体_GB2312" w:hAnsi="Times New Roman"/>
          <w:sz w:val="32"/>
          <w:szCs w:val="32"/>
        </w:rPr>
      </w:pPr>
      <w:r w:rsidRPr="00A1360E">
        <w:rPr>
          <w:rFonts w:ascii="Times New Roman" w:eastAsia="楷体_GB2312" w:hAnsi="Times New Roman" w:hint="eastAsia"/>
          <w:sz w:val="32"/>
          <w:szCs w:val="32"/>
        </w:rPr>
        <w:t>（一）</w:t>
      </w:r>
      <w:r w:rsidR="002B583B" w:rsidRPr="00A1360E">
        <w:rPr>
          <w:rFonts w:ascii="Times New Roman" w:eastAsia="楷体_GB2312" w:hAnsi="Times New Roman" w:hint="eastAsia"/>
          <w:sz w:val="32"/>
          <w:szCs w:val="32"/>
        </w:rPr>
        <w:t>原材料</w:t>
      </w:r>
      <w:r w:rsidR="00E17674" w:rsidRPr="00A1360E">
        <w:rPr>
          <w:rFonts w:ascii="Times New Roman" w:eastAsia="楷体_GB2312" w:hAnsi="Times New Roman" w:hint="eastAsia"/>
          <w:sz w:val="32"/>
          <w:szCs w:val="32"/>
        </w:rPr>
        <w:t>类型的</w:t>
      </w:r>
      <w:r w:rsidR="002B583B" w:rsidRPr="00A1360E">
        <w:rPr>
          <w:rFonts w:ascii="Times New Roman" w:eastAsia="楷体_GB2312" w:hAnsi="Times New Roman" w:hint="eastAsia"/>
          <w:sz w:val="32"/>
          <w:szCs w:val="32"/>
        </w:rPr>
        <w:t>改变</w:t>
      </w:r>
    </w:p>
    <w:p w:rsidR="00E17674" w:rsidRPr="00A1360E" w:rsidRDefault="00E434D5" w:rsidP="00E434D5">
      <w:pPr>
        <w:ind w:firstLine="645"/>
        <w:rPr>
          <w:rFonts w:ascii="Times New Roman" w:eastAsia="仿宋_GB2312" w:hAnsi="Times New Roman"/>
          <w:sz w:val="32"/>
          <w:szCs w:val="32"/>
        </w:rPr>
      </w:pPr>
      <w:r w:rsidRPr="00A1360E">
        <w:rPr>
          <w:rFonts w:ascii="Times New Roman" w:eastAsia="仿宋_GB2312" w:hAnsi="Times New Roman" w:hint="eastAsia"/>
          <w:sz w:val="32"/>
          <w:szCs w:val="32"/>
        </w:rPr>
        <w:t>一般来说，</w:t>
      </w:r>
      <w:r w:rsidR="00E17674" w:rsidRPr="00A1360E">
        <w:rPr>
          <w:rFonts w:ascii="Times New Roman" w:eastAsia="仿宋_GB2312" w:hAnsi="Times New Roman" w:hint="eastAsia"/>
          <w:sz w:val="32"/>
          <w:szCs w:val="32"/>
        </w:rPr>
        <w:t>原材料类型的改变需要考虑原材料在器械中的应用，如果属于器械的主要部件用材料，其风险除了对器械本身性能影响之外</w:t>
      </w:r>
      <w:r w:rsidR="00A25291" w:rsidRPr="00A1360E">
        <w:rPr>
          <w:rFonts w:ascii="Times New Roman" w:eastAsia="仿宋_GB2312" w:hAnsi="Times New Roman" w:hint="eastAsia"/>
          <w:sz w:val="32"/>
          <w:szCs w:val="32"/>
        </w:rPr>
        <w:t>，还应考虑器械的临床应用是否会产生风险</w:t>
      </w:r>
      <w:r w:rsidR="00E17674" w:rsidRPr="00A1360E">
        <w:rPr>
          <w:rFonts w:ascii="Times New Roman" w:eastAsia="仿宋_GB2312" w:hAnsi="Times New Roman" w:hint="eastAsia"/>
          <w:sz w:val="32"/>
          <w:szCs w:val="32"/>
        </w:rPr>
        <w:t>，而对于</w:t>
      </w:r>
      <w:r w:rsidR="006518E5">
        <w:rPr>
          <w:rFonts w:ascii="Times New Roman" w:eastAsia="仿宋_GB2312" w:hAnsi="Times New Roman" w:hint="eastAsia"/>
          <w:sz w:val="32"/>
          <w:szCs w:val="32"/>
        </w:rPr>
        <w:t>次要或者不与人体发生接触的组件材料发生改变时，一般不需要临床评价</w:t>
      </w:r>
      <w:r w:rsidR="00FA5AB9">
        <w:rPr>
          <w:rFonts w:ascii="Times New Roman" w:eastAsia="仿宋_GB2312" w:hAnsi="Times New Roman" w:hint="eastAsia"/>
          <w:sz w:val="32"/>
          <w:szCs w:val="32"/>
        </w:rPr>
        <w:t>，但某些产品</w:t>
      </w:r>
      <w:r w:rsidR="007877A7">
        <w:rPr>
          <w:rFonts w:ascii="Times New Roman" w:eastAsia="仿宋_GB2312" w:hAnsi="Times New Roman" w:hint="eastAsia"/>
          <w:sz w:val="32"/>
          <w:szCs w:val="32"/>
        </w:rPr>
        <w:t>或某些变化情形</w:t>
      </w:r>
      <w:r w:rsidR="00FA5AB9">
        <w:rPr>
          <w:rFonts w:ascii="Times New Roman" w:eastAsia="仿宋_GB2312" w:hAnsi="Times New Roman" w:hint="eastAsia"/>
          <w:sz w:val="32"/>
          <w:szCs w:val="32"/>
        </w:rPr>
        <w:t>例外</w:t>
      </w:r>
      <w:r w:rsidR="00904C6C">
        <w:rPr>
          <w:rFonts w:ascii="Times New Roman" w:eastAsia="仿宋_GB2312" w:hAnsi="Times New Roman" w:hint="eastAsia"/>
          <w:sz w:val="32"/>
          <w:szCs w:val="32"/>
        </w:rPr>
        <w:t>。</w:t>
      </w:r>
      <w:r w:rsidR="00FA5AB9">
        <w:rPr>
          <w:rFonts w:ascii="Times New Roman" w:eastAsia="仿宋_GB2312" w:hAnsi="Times New Roman" w:hint="eastAsia"/>
          <w:sz w:val="32"/>
          <w:szCs w:val="32"/>
        </w:rPr>
        <w:t>具体</w:t>
      </w:r>
      <w:r w:rsidR="00904C6C">
        <w:rPr>
          <w:rFonts w:ascii="Times New Roman" w:eastAsia="仿宋_GB2312" w:hAnsi="Times New Roman" w:hint="eastAsia"/>
          <w:sz w:val="32"/>
          <w:szCs w:val="32"/>
        </w:rPr>
        <w:t>示例</w:t>
      </w:r>
      <w:r w:rsidR="00FA5AB9">
        <w:rPr>
          <w:rFonts w:ascii="Times New Roman" w:eastAsia="仿宋_GB2312" w:hAnsi="Times New Roman" w:hint="eastAsia"/>
          <w:sz w:val="32"/>
          <w:szCs w:val="32"/>
        </w:rPr>
        <w:t>如下：</w:t>
      </w:r>
    </w:p>
    <w:p w:rsidR="0039057F" w:rsidRPr="00A1360E" w:rsidRDefault="001C3975" w:rsidP="0039057F">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1.</w:t>
      </w:r>
      <w:r w:rsidR="00574AB9">
        <w:rPr>
          <w:rFonts w:ascii="Times New Roman" w:eastAsia="仿宋_GB2312" w:hAnsi="Times New Roman" w:hint="eastAsia"/>
          <w:sz w:val="32"/>
          <w:szCs w:val="32"/>
        </w:rPr>
        <w:t>中空纤维血液透析器</w:t>
      </w:r>
    </w:p>
    <w:p w:rsidR="00A25291" w:rsidRPr="00A1360E" w:rsidRDefault="00574AB9" w:rsidP="00E434D5">
      <w:pPr>
        <w:ind w:firstLine="645"/>
        <w:rPr>
          <w:rFonts w:ascii="Times New Roman" w:eastAsia="仿宋_GB2312" w:hAnsi="Times New Roman"/>
          <w:sz w:val="32"/>
          <w:szCs w:val="32"/>
        </w:rPr>
      </w:pPr>
      <w:r>
        <w:rPr>
          <w:rFonts w:ascii="Times New Roman" w:eastAsia="仿宋_GB2312" w:hAnsi="Times New Roman" w:hint="eastAsia"/>
          <w:sz w:val="32"/>
          <w:szCs w:val="32"/>
        </w:rPr>
        <w:t>中空纤维透析器一般由</w:t>
      </w:r>
      <w:r w:rsidRPr="00574AB9">
        <w:rPr>
          <w:rFonts w:ascii="Times New Roman" w:eastAsia="仿宋_GB2312" w:hAnsi="Times New Roman" w:hint="eastAsia"/>
          <w:sz w:val="32"/>
          <w:szCs w:val="32"/>
        </w:rPr>
        <w:t>外壳、透析膜、封装胶、端盖、密封圈</w:t>
      </w:r>
      <w:r>
        <w:rPr>
          <w:rFonts w:ascii="Times New Roman" w:eastAsia="仿宋_GB2312" w:hAnsi="Times New Roman" w:hint="eastAsia"/>
          <w:sz w:val="32"/>
          <w:szCs w:val="32"/>
        </w:rPr>
        <w:t>等组成，用于肾衰竭患者的血液透析治疗</w:t>
      </w:r>
      <w:r w:rsidR="00CF486F" w:rsidRPr="00A1360E">
        <w:rPr>
          <w:rFonts w:ascii="Times New Roman" w:eastAsia="仿宋_GB2312" w:hAnsi="Times New Roman" w:hint="eastAsia"/>
          <w:sz w:val="32"/>
          <w:szCs w:val="32"/>
        </w:rPr>
        <w:t>。</w:t>
      </w:r>
    </w:p>
    <w:p w:rsidR="00FD445D" w:rsidRPr="00A1360E" w:rsidRDefault="00FD445D" w:rsidP="00E434D5">
      <w:pPr>
        <w:ind w:firstLine="645"/>
        <w:rPr>
          <w:rFonts w:ascii="Times New Roman" w:eastAsia="仿宋_GB2312" w:hAnsi="Times New Roman"/>
          <w:sz w:val="32"/>
          <w:szCs w:val="32"/>
        </w:rPr>
      </w:pPr>
      <w:r w:rsidRPr="00A1360E">
        <w:rPr>
          <w:rFonts w:ascii="Times New Roman" w:eastAsia="仿宋_GB2312" w:hAnsi="Times New Roman" w:hint="eastAsia"/>
          <w:sz w:val="32"/>
          <w:szCs w:val="32"/>
        </w:rPr>
        <w:t>由于</w:t>
      </w:r>
      <w:r w:rsidR="00574AB9">
        <w:rPr>
          <w:rFonts w:ascii="Times New Roman" w:eastAsia="仿宋_GB2312" w:hAnsi="Times New Roman" w:hint="eastAsia"/>
          <w:sz w:val="32"/>
          <w:szCs w:val="32"/>
        </w:rPr>
        <w:t>中空纤维膜是透析器产品</w:t>
      </w:r>
      <w:r w:rsidRPr="00A1360E">
        <w:rPr>
          <w:rFonts w:ascii="Times New Roman" w:eastAsia="仿宋_GB2312" w:hAnsi="Times New Roman" w:hint="eastAsia"/>
          <w:sz w:val="32"/>
          <w:szCs w:val="32"/>
        </w:rPr>
        <w:t>发挥作用的基本</w:t>
      </w:r>
      <w:r w:rsidR="00B11F69" w:rsidRPr="00A1360E">
        <w:rPr>
          <w:rFonts w:ascii="Times New Roman" w:eastAsia="仿宋_GB2312" w:hAnsi="Times New Roman" w:hint="eastAsia"/>
          <w:sz w:val="32"/>
          <w:szCs w:val="32"/>
        </w:rPr>
        <w:t>载体</w:t>
      </w:r>
      <w:r w:rsidRPr="00A1360E">
        <w:rPr>
          <w:rFonts w:ascii="Times New Roman" w:eastAsia="仿宋_GB2312" w:hAnsi="Times New Roman" w:hint="eastAsia"/>
          <w:sz w:val="32"/>
          <w:szCs w:val="32"/>
        </w:rPr>
        <w:t>，</w:t>
      </w:r>
      <w:r w:rsidR="00574AB9">
        <w:rPr>
          <w:rFonts w:ascii="Times New Roman" w:eastAsia="仿宋_GB2312" w:hAnsi="Times New Roman" w:hint="eastAsia"/>
          <w:sz w:val="32"/>
          <w:szCs w:val="32"/>
        </w:rPr>
        <w:t>且</w:t>
      </w:r>
      <w:r w:rsidR="00FA5AB9" w:rsidRPr="00A1360E">
        <w:rPr>
          <w:rFonts w:ascii="Times New Roman" w:eastAsia="仿宋_GB2312" w:hAnsi="Times New Roman" w:hint="eastAsia"/>
          <w:sz w:val="32"/>
          <w:szCs w:val="32"/>
        </w:rPr>
        <w:t>与人体</w:t>
      </w:r>
      <w:r w:rsidR="00574AB9">
        <w:rPr>
          <w:rFonts w:ascii="Times New Roman" w:eastAsia="仿宋_GB2312" w:hAnsi="Times New Roman" w:hint="eastAsia"/>
          <w:sz w:val="32"/>
          <w:szCs w:val="32"/>
        </w:rPr>
        <w:t>循环</w:t>
      </w:r>
      <w:r w:rsidR="00FA5AB9" w:rsidRPr="00A1360E">
        <w:rPr>
          <w:rFonts w:ascii="Times New Roman" w:eastAsia="仿宋_GB2312" w:hAnsi="Times New Roman" w:hint="eastAsia"/>
          <w:sz w:val="32"/>
          <w:szCs w:val="32"/>
        </w:rPr>
        <w:t>血液发生直接接触，</w:t>
      </w:r>
      <w:r w:rsidR="00574AB9">
        <w:rPr>
          <w:rFonts w:ascii="Times New Roman" w:eastAsia="仿宋_GB2312" w:hAnsi="Times New Roman" w:hint="eastAsia"/>
          <w:sz w:val="32"/>
          <w:szCs w:val="32"/>
        </w:rPr>
        <w:t>因此</w:t>
      </w:r>
      <w:r w:rsidR="007877A7">
        <w:rPr>
          <w:rFonts w:ascii="Times New Roman" w:eastAsia="仿宋_GB2312" w:hAnsi="Times New Roman" w:hint="eastAsia"/>
          <w:sz w:val="32"/>
          <w:szCs w:val="32"/>
        </w:rPr>
        <w:t>如果</w:t>
      </w:r>
      <w:r w:rsidR="00574AB9">
        <w:rPr>
          <w:rFonts w:ascii="Times New Roman" w:eastAsia="仿宋_GB2312" w:hAnsi="Times New Roman" w:hint="eastAsia"/>
          <w:sz w:val="32"/>
          <w:szCs w:val="32"/>
        </w:rPr>
        <w:t>膜</w:t>
      </w:r>
      <w:r w:rsidRPr="00A1360E">
        <w:rPr>
          <w:rFonts w:ascii="Times New Roman" w:eastAsia="仿宋_GB2312" w:hAnsi="Times New Roman" w:hint="eastAsia"/>
          <w:sz w:val="32"/>
          <w:szCs w:val="32"/>
        </w:rPr>
        <w:t>材料发生改变，按照附录中评价流程，</w:t>
      </w:r>
      <w:r w:rsidR="00574AB9">
        <w:rPr>
          <w:rFonts w:ascii="Times New Roman" w:eastAsia="仿宋_GB2312" w:hAnsi="Times New Roman" w:hint="eastAsia"/>
          <w:sz w:val="32"/>
          <w:szCs w:val="32"/>
        </w:rPr>
        <w:t>则</w:t>
      </w:r>
      <w:r w:rsidR="00031889">
        <w:rPr>
          <w:rFonts w:ascii="Times New Roman" w:eastAsia="仿宋_GB2312" w:hAnsi="Times New Roman" w:hint="eastAsia"/>
          <w:sz w:val="32"/>
          <w:szCs w:val="32"/>
        </w:rPr>
        <w:t>需要进行生物学</w:t>
      </w:r>
      <w:r w:rsidRPr="00A1360E">
        <w:rPr>
          <w:rFonts w:ascii="Times New Roman" w:eastAsia="仿宋_GB2312" w:hAnsi="Times New Roman" w:hint="eastAsia"/>
          <w:sz w:val="32"/>
          <w:szCs w:val="32"/>
        </w:rPr>
        <w:t>评价</w:t>
      </w:r>
      <w:r w:rsidR="00574AB9">
        <w:rPr>
          <w:rFonts w:ascii="Times New Roman" w:eastAsia="仿宋_GB2312" w:hAnsi="Times New Roman" w:hint="eastAsia"/>
          <w:sz w:val="32"/>
          <w:szCs w:val="32"/>
        </w:rPr>
        <w:t>以确保不会产生生物学危害。</w:t>
      </w:r>
      <w:r w:rsidRPr="00A1360E">
        <w:rPr>
          <w:rFonts w:ascii="Times New Roman" w:eastAsia="仿宋_GB2312" w:hAnsi="Times New Roman" w:hint="eastAsia"/>
          <w:sz w:val="32"/>
          <w:szCs w:val="32"/>
        </w:rPr>
        <w:t>除此之外，由于新材料的使用，其对产品的物理、化学和生物学性能均产生影响，</w:t>
      </w:r>
      <w:r w:rsidR="00FA5AB9">
        <w:rPr>
          <w:rFonts w:ascii="Times New Roman" w:eastAsia="仿宋_GB2312" w:hAnsi="Times New Roman" w:hint="eastAsia"/>
          <w:sz w:val="32"/>
          <w:szCs w:val="32"/>
        </w:rPr>
        <w:t>还应进行其他</w:t>
      </w:r>
      <w:r w:rsidR="00235919">
        <w:rPr>
          <w:rFonts w:ascii="Times New Roman" w:eastAsia="仿宋_GB2312" w:hAnsi="Times New Roman" w:hint="eastAsia"/>
          <w:sz w:val="32"/>
          <w:szCs w:val="32"/>
        </w:rPr>
        <w:t>实验室研究</w:t>
      </w:r>
      <w:r w:rsidRPr="00A1360E">
        <w:rPr>
          <w:rFonts w:ascii="Times New Roman" w:eastAsia="仿宋_GB2312" w:hAnsi="Times New Roman" w:hint="eastAsia"/>
          <w:sz w:val="32"/>
          <w:szCs w:val="32"/>
        </w:rPr>
        <w:t>，特别是对产品有效期、包装完整性</w:t>
      </w:r>
      <w:r w:rsidR="007877A7">
        <w:rPr>
          <w:rFonts w:ascii="Times New Roman" w:eastAsia="仿宋_GB2312" w:hAnsi="Times New Roman" w:hint="eastAsia"/>
          <w:sz w:val="32"/>
          <w:szCs w:val="32"/>
        </w:rPr>
        <w:t>、可沥滤物</w:t>
      </w:r>
      <w:r w:rsidRPr="00A1360E">
        <w:rPr>
          <w:rFonts w:ascii="Times New Roman" w:eastAsia="仿宋_GB2312" w:hAnsi="Times New Roman" w:hint="eastAsia"/>
          <w:sz w:val="32"/>
          <w:szCs w:val="32"/>
        </w:rPr>
        <w:t>等都需要重新评估</w:t>
      </w:r>
      <w:r w:rsidR="00B11F69" w:rsidRPr="00A1360E">
        <w:rPr>
          <w:rFonts w:ascii="Times New Roman" w:eastAsia="仿宋_GB2312" w:hAnsi="Times New Roman" w:hint="eastAsia"/>
          <w:sz w:val="32"/>
          <w:szCs w:val="32"/>
        </w:rPr>
        <w:t>。</w:t>
      </w:r>
      <w:r w:rsidR="00FA5AB9">
        <w:rPr>
          <w:rFonts w:ascii="Times New Roman" w:eastAsia="仿宋_GB2312" w:hAnsi="Times New Roman" w:hint="eastAsia"/>
          <w:sz w:val="32"/>
          <w:szCs w:val="32"/>
        </w:rPr>
        <w:t>但充分的</w:t>
      </w:r>
      <w:r w:rsidR="00235919">
        <w:rPr>
          <w:rFonts w:ascii="Times New Roman" w:eastAsia="仿宋_GB2312" w:hAnsi="Times New Roman" w:hint="eastAsia"/>
          <w:sz w:val="32"/>
          <w:szCs w:val="32"/>
        </w:rPr>
        <w:t>实验室研究</w:t>
      </w:r>
      <w:r w:rsidR="00031889">
        <w:rPr>
          <w:rFonts w:ascii="Times New Roman" w:eastAsia="仿宋_GB2312" w:hAnsi="Times New Roman" w:hint="eastAsia"/>
          <w:sz w:val="32"/>
          <w:szCs w:val="32"/>
        </w:rPr>
        <w:t>和生物学评价</w:t>
      </w:r>
      <w:r w:rsidR="00FA5AB9">
        <w:rPr>
          <w:rFonts w:ascii="Times New Roman" w:eastAsia="仿宋_GB2312" w:hAnsi="Times New Roman" w:hint="eastAsia"/>
          <w:sz w:val="32"/>
          <w:szCs w:val="32"/>
        </w:rPr>
        <w:t>并不足以消除其所有潜在的风险，比如，</w:t>
      </w:r>
      <w:r w:rsidR="00DD0A6D">
        <w:rPr>
          <w:rFonts w:ascii="Times New Roman" w:eastAsia="仿宋_GB2312" w:hAnsi="Times New Roman" w:hint="eastAsia"/>
          <w:sz w:val="32"/>
          <w:szCs w:val="32"/>
        </w:rPr>
        <w:t>由于该类产品与循环血液接触，材料与血液的相互影响以及临床性能</w:t>
      </w:r>
      <w:r w:rsidRPr="00A1360E">
        <w:rPr>
          <w:rFonts w:ascii="Times New Roman" w:eastAsia="仿宋_GB2312" w:hAnsi="Times New Roman" w:hint="eastAsia"/>
          <w:sz w:val="32"/>
          <w:szCs w:val="32"/>
        </w:rPr>
        <w:t>无法通过</w:t>
      </w:r>
      <w:r w:rsidR="00235919">
        <w:rPr>
          <w:rFonts w:ascii="Times New Roman" w:eastAsia="仿宋_GB2312" w:hAnsi="Times New Roman" w:hint="eastAsia"/>
          <w:sz w:val="32"/>
          <w:szCs w:val="32"/>
        </w:rPr>
        <w:t>实验室研究</w:t>
      </w:r>
      <w:r w:rsidR="00031889">
        <w:rPr>
          <w:rFonts w:ascii="Times New Roman" w:eastAsia="仿宋_GB2312" w:hAnsi="Times New Roman" w:hint="eastAsia"/>
          <w:sz w:val="32"/>
          <w:szCs w:val="32"/>
        </w:rPr>
        <w:t>及生物学</w:t>
      </w:r>
      <w:r w:rsidR="006518E5">
        <w:rPr>
          <w:rFonts w:ascii="Times New Roman" w:eastAsia="仿宋_GB2312" w:hAnsi="Times New Roman" w:hint="eastAsia"/>
          <w:sz w:val="32"/>
          <w:szCs w:val="32"/>
        </w:rPr>
        <w:t>评价完全验证，因此还需要通过临床评价</w:t>
      </w:r>
      <w:r w:rsidRPr="00A1360E">
        <w:rPr>
          <w:rFonts w:ascii="Times New Roman" w:eastAsia="仿宋_GB2312" w:hAnsi="Times New Roman" w:hint="eastAsia"/>
          <w:sz w:val="32"/>
          <w:szCs w:val="32"/>
        </w:rPr>
        <w:t>的方式评价其安全有效性。</w:t>
      </w:r>
      <w:r w:rsidR="00574AB9">
        <w:rPr>
          <w:rFonts w:ascii="Times New Roman" w:eastAsia="仿宋_GB2312" w:hAnsi="Times New Roman" w:hint="eastAsia"/>
          <w:sz w:val="32"/>
          <w:szCs w:val="32"/>
        </w:rPr>
        <w:t>需要说明的是，膜材料的改变应进行首次</w:t>
      </w:r>
      <w:r w:rsidR="00574AB9">
        <w:rPr>
          <w:rFonts w:ascii="Times New Roman" w:eastAsia="仿宋_GB2312" w:hAnsi="Times New Roman" w:hint="eastAsia"/>
          <w:sz w:val="32"/>
          <w:szCs w:val="32"/>
        </w:rPr>
        <w:lastRenderedPageBreak/>
        <w:t>注册申报。</w:t>
      </w:r>
    </w:p>
    <w:p w:rsidR="009314D0" w:rsidRPr="00A1360E" w:rsidRDefault="00FD445D" w:rsidP="00E434D5">
      <w:pPr>
        <w:ind w:firstLine="645"/>
        <w:rPr>
          <w:rFonts w:ascii="Times New Roman" w:eastAsia="仿宋_GB2312" w:hAnsi="Times New Roman"/>
          <w:sz w:val="32"/>
          <w:szCs w:val="32"/>
        </w:rPr>
      </w:pPr>
      <w:r w:rsidRPr="00A1360E">
        <w:rPr>
          <w:rFonts w:ascii="Times New Roman" w:eastAsia="仿宋_GB2312" w:hAnsi="Times New Roman" w:hint="eastAsia"/>
          <w:sz w:val="32"/>
          <w:szCs w:val="32"/>
        </w:rPr>
        <w:t>但如果是</w:t>
      </w:r>
      <w:r w:rsidR="00574AB9">
        <w:rPr>
          <w:rFonts w:ascii="Times New Roman" w:eastAsia="仿宋_GB2312" w:hAnsi="Times New Roman" w:hint="eastAsia"/>
          <w:sz w:val="32"/>
          <w:szCs w:val="32"/>
        </w:rPr>
        <w:t>透析器外壳</w:t>
      </w:r>
      <w:r w:rsidR="00B11F69" w:rsidRPr="00A1360E">
        <w:rPr>
          <w:rFonts w:ascii="Times New Roman" w:eastAsia="仿宋_GB2312" w:hAnsi="Times New Roman" w:hint="eastAsia"/>
          <w:sz w:val="32"/>
          <w:szCs w:val="32"/>
        </w:rPr>
        <w:t>材料的改变，由于其本身不与人体组织或血液</w:t>
      </w:r>
      <w:r w:rsidR="007877A7">
        <w:rPr>
          <w:rFonts w:ascii="Times New Roman" w:eastAsia="仿宋_GB2312" w:hAnsi="Times New Roman" w:hint="eastAsia"/>
          <w:sz w:val="32"/>
          <w:szCs w:val="32"/>
        </w:rPr>
        <w:t>直接接触，其材料的改变不会对透析器最主要性能清除及滤过</w:t>
      </w:r>
      <w:r w:rsidR="00574AB9">
        <w:rPr>
          <w:rFonts w:ascii="Times New Roman" w:eastAsia="仿宋_GB2312" w:hAnsi="Times New Roman" w:hint="eastAsia"/>
          <w:sz w:val="32"/>
          <w:szCs w:val="32"/>
        </w:rPr>
        <w:t>性能</w:t>
      </w:r>
      <w:r w:rsidR="00B11F69" w:rsidRPr="00A1360E">
        <w:rPr>
          <w:rFonts w:ascii="Times New Roman" w:eastAsia="仿宋_GB2312" w:hAnsi="Times New Roman" w:hint="eastAsia"/>
          <w:sz w:val="32"/>
          <w:szCs w:val="32"/>
        </w:rPr>
        <w:t>产生实质性影响，</w:t>
      </w:r>
      <w:r w:rsidR="00574AB9">
        <w:rPr>
          <w:rFonts w:ascii="Times New Roman" w:eastAsia="仿宋_GB2312" w:hAnsi="Times New Roman" w:hint="eastAsia"/>
          <w:sz w:val="32"/>
          <w:szCs w:val="32"/>
        </w:rPr>
        <w:t>因此</w:t>
      </w:r>
      <w:r w:rsidR="00B11F69" w:rsidRPr="00A1360E">
        <w:rPr>
          <w:rFonts w:ascii="Times New Roman" w:eastAsia="仿宋_GB2312" w:hAnsi="Times New Roman" w:hint="eastAsia"/>
          <w:sz w:val="32"/>
          <w:szCs w:val="32"/>
        </w:rPr>
        <w:t>可以通过常规</w:t>
      </w:r>
      <w:r w:rsidR="00235919">
        <w:rPr>
          <w:rFonts w:ascii="Times New Roman" w:eastAsia="仿宋_GB2312" w:hAnsi="Times New Roman" w:hint="eastAsia"/>
          <w:sz w:val="32"/>
          <w:szCs w:val="32"/>
        </w:rPr>
        <w:t>的实验室研究</w:t>
      </w:r>
      <w:r w:rsidR="007877A7">
        <w:rPr>
          <w:rFonts w:ascii="Times New Roman" w:eastAsia="仿宋_GB2312" w:hAnsi="Times New Roman" w:hint="eastAsia"/>
          <w:sz w:val="32"/>
          <w:szCs w:val="32"/>
        </w:rPr>
        <w:t>完成，</w:t>
      </w:r>
      <w:r w:rsidR="006518E5">
        <w:rPr>
          <w:rFonts w:ascii="Times New Roman" w:eastAsia="仿宋_GB2312" w:hAnsi="Times New Roman" w:hint="eastAsia"/>
          <w:sz w:val="32"/>
          <w:szCs w:val="32"/>
        </w:rPr>
        <w:t>不需要通过临床评价</w:t>
      </w:r>
      <w:r w:rsidR="00B11F69" w:rsidRPr="00A1360E">
        <w:rPr>
          <w:rFonts w:ascii="Times New Roman" w:eastAsia="仿宋_GB2312" w:hAnsi="Times New Roman" w:hint="eastAsia"/>
          <w:sz w:val="32"/>
          <w:szCs w:val="32"/>
        </w:rPr>
        <w:t>的方式评价其新增风险。</w:t>
      </w:r>
    </w:p>
    <w:p w:rsidR="004E24B3" w:rsidRPr="0029086D" w:rsidRDefault="001C3975" w:rsidP="004E24B3">
      <w:pPr>
        <w:ind w:firstLine="645"/>
        <w:rPr>
          <w:rFonts w:ascii="Times New Roman" w:eastAsia="仿宋_GB2312" w:hAnsi="Times New Roman"/>
          <w:color w:val="7030A0"/>
          <w:sz w:val="32"/>
          <w:szCs w:val="32"/>
        </w:rPr>
      </w:pPr>
      <w:r w:rsidRPr="00A1360E">
        <w:rPr>
          <w:rFonts w:ascii="Times New Roman" w:eastAsia="仿宋_GB2312" w:hAnsi="Times New Roman" w:hint="eastAsia"/>
          <w:sz w:val="32"/>
          <w:szCs w:val="32"/>
        </w:rPr>
        <w:t>2.</w:t>
      </w:r>
      <w:r w:rsidR="00E434D5" w:rsidRPr="00A1360E">
        <w:rPr>
          <w:rFonts w:ascii="Times New Roman" w:eastAsia="仿宋_GB2312" w:hAnsi="Times New Roman" w:hint="eastAsia"/>
          <w:sz w:val="32"/>
          <w:szCs w:val="32"/>
        </w:rPr>
        <w:t xml:space="preserve"> </w:t>
      </w:r>
      <w:r w:rsidR="00063A47">
        <w:rPr>
          <w:rFonts w:ascii="Times New Roman" w:eastAsia="仿宋_GB2312" w:hAnsi="Times New Roman" w:hint="eastAsia"/>
          <w:sz w:val="32"/>
          <w:szCs w:val="32"/>
        </w:rPr>
        <w:t>面部植入材料</w:t>
      </w:r>
    </w:p>
    <w:p w:rsidR="005F144C" w:rsidRPr="00595D7C" w:rsidRDefault="005F144C" w:rsidP="005F144C">
      <w:pPr>
        <w:ind w:firstLine="645"/>
        <w:rPr>
          <w:rFonts w:ascii="Times New Roman" w:eastAsia="仿宋_GB2312" w:hAnsi="Times New Roman"/>
          <w:color w:val="7030A0"/>
          <w:sz w:val="32"/>
          <w:szCs w:val="32"/>
        </w:rPr>
      </w:pPr>
      <w:r>
        <w:rPr>
          <w:rFonts w:ascii="Times New Roman" w:eastAsia="仿宋_GB2312" w:hAnsi="Times New Roman" w:hint="eastAsia"/>
          <w:sz w:val="32"/>
          <w:szCs w:val="32"/>
        </w:rPr>
        <w:t>整形用面部假体</w:t>
      </w:r>
      <w:r w:rsidRPr="00063A47">
        <w:rPr>
          <w:rFonts w:ascii="Times New Roman" w:eastAsia="仿宋_GB2312" w:hAnsi="Times New Roman" w:hint="eastAsia"/>
          <w:sz w:val="32"/>
          <w:szCs w:val="32"/>
        </w:rPr>
        <w:t>由膨体聚四氟乙烯变更为硅橡胶，属于医疗器械主体材料类型发生变更。两类材料制备</w:t>
      </w:r>
      <w:r>
        <w:rPr>
          <w:rFonts w:ascii="Times New Roman" w:eastAsia="仿宋_GB2312" w:hAnsi="Times New Roman" w:hint="eastAsia"/>
          <w:sz w:val="32"/>
          <w:szCs w:val="32"/>
        </w:rPr>
        <w:t>的</w:t>
      </w:r>
      <w:r w:rsidRPr="00063A47">
        <w:rPr>
          <w:rFonts w:ascii="Times New Roman" w:eastAsia="仿宋_GB2312" w:hAnsi="Times New Roman" w:hint="eastAsia"/>
          <w:sz w:val="32"/>
          <w:szCs w:val="32"/>
        </w:rPr>
        <w:t>面部植入体</w:t>
      </w:r>
      <w:r>
        <w:rPr>
          <w:rFonts w:ascii="Times New Roman" w:eastAsia="仿宋_GB2312" w:hAnsi="Times New Roman" w:hint="eastAsia"/>
          <w:sz w:val="32"/>
          <w:szCs w:val="32"/>
        </w:rPr>
        <w:t>在理化</w:t>
      </w:r>
      <w:r w:rsidRPr="00063A47">
        <w:rPr>
          <w:rFonts w:ascii="Times New Roman" w:eastAsia="仿宋_GB2312" w:hAnsi="Times New Roman" w:hint="eastAsia"/>
          <w:sz w:val="32"/>
          <w:szCs w:val="32"/>
        </w:rPr>
        <w:t>性能</w:t>
      </w:r>
      <w:r>
        <w:rPr>
          <w:rFonts w:ascii="Times New Roman" w:eastAsia="仿宋_GB2312" w:hAnsi="Times New Roman" w:hint="eastAsia"/>
          <w:sz w:val="32"/>
          <w:szCs w:val="32"/>
        </w:rPr>
        <w:t>方面存在较大差异，例如</w:t>
      </w:r>
      <w:proofErr w:type="spellStart"/>
      <w:r>
        <w:rPr>
          <w:rFonts w:ascii="Times New Roman" w:eastAsia="仿宋_GB2312" w:hAnsi="Times New Roman" w:hint="eastAsia"/>
          <w:sz w:val="32"/>
          <w:szCs w:val="32"/>
        </w:rPr>
        <w:t>ePTFE</w:t>
      </w:r>
      <w:proofErr w:type="spellEnd"/>
      <w:r>
        <w:rPr>
          <w:rFonts w:ascii="Times New Roman" w:eastAsia="仿宋_GB2312" w:hAnsi="Times New Roman" w:hint="eastAsia"/>
          <w:sz w:val="32"/>
          <w:szCs w:val="32"/>
        </w:rPr>
        <w:t>材料属于高分子树脂，表面有微孔，具有高强度耐腐蚀等优点，硅橡胶材料属于弹性体，存在较好的弹性，表面往往较光滑。鉴于两者化学组成、生产工艺、高分子结构完全不同，此种变化情况，申请人应提交</w:t>
      </w:r>
      <w:r w:rsidRPr="00063A47">
        <w:rPr>
          <w:rFonts w:ascii="Times New Roman" w:eastAsia="仿宋_GB2312" w:hAnsi="Times New Roman" w:hint="eastAsia"/>
          <w:sz w:val="32"/>
          <w:szCs w:val="32"/>
        </w:rPr>
        <w:t>产品理化性能</w:t>
      </w:r>
      <w:r w:rsidR="00031889">
        <w:rPr>
          <w:rFonts w:ascii="Times New Roman" w:eastAsia="仿宋_GB2312" w:hAnsi="Times New Roman" w:hint="eastAsia"/>
          <w:sz w:val="32"/>
          <w:szCs w:val="32"/>
        </w:rPr>
        <w:t>的研究资料，包括生物学</w:t>
      </w:r>
      <w:r>
        <w:rPr>
          <w:rFonts w:ascii="Times New Roman" w:eastAsia="仿宋_GB2312" w:hAnsi="Times New Roman" w:hint="eastAsia"/>
          <w:sz w:val="32"/>
          <w:szCs w:val="32"/>
        </w:rPr>
        <w:t>评价资料。考虑到整形用面部假体材料的变化对与填充整形效果、局部植入异物反应等安全性指标存在较大影响，还需要进行规范的</w:t>
      </w:r>
      <w:r w:rsidR="006518E5">
        <w:rPr>
          <w:rFonts w:ascii="Times New Roman" w:eastAsia="仿宋_GB2312" w:hAnsi="Times New Roman" w:hint="eastAsia"/>
          <w:sz w:val="32"/>
          <w:szCs w:val="32"/>
        </w:rPr>
        <w:t>临床评价</w:t>
      </w:r>
      <w:r w:rsidRPr="00063A47">
        <w:rPr>
          <w:rFonts w:ascii="Times New Roman" w:eastAsia="仿宋_GB2312" w:hAnsi="Times New Roman" w:hint="eastAsia"/>
          <w:sz w:val="32"/>
          <w:szCs w:val="32"/>
        </w:rPr>
        <w:t>。</w:t>
      </w:r>
    </w:p>
    <w:p w:rsidR="004E24B3" w:rsidRPr="00063A47" w:rsidRDefault="00063A47" w:rsidP="004E24B3">
      <w:pPr>
        <w:ind w:firstLine="645"/>
        <w:rPr>
          <w:rFonts w:ascii="Times New Roman" w:eastAsia="仿宋_GB2312" w:hAnsi="Times New Roman"/>
          <w:sz w:val="32"/>
          <w:szCs w:val="32"/>
        </w:rPr>
      </w:pPr>
      <w:r>
        <w:rPr>
          <w:rFonts w:ascii="Times New Roman" w:eastAsia="仿宋_GB2312" w:hAnsi="Times New Roman" w:hint="eastAsia"/>
          <w:sz w:val="32"/>
          <w:szCs w:val="32"/>
        </w:rPr>
        <w:t>3</w:t>
      </w:r>
      <w:r w:rsidR="004E24B3" w:rsidRPr="00063A47">
        <w:rPr>
          <w:rFonts w:ascii="Times New Roman" w:eastAsia="仿宋_GB2312" w:hAnsi="Times New Roman" w:hint="eastAsia"/>
          <w:sz w:val="32"/>
          <w:szCs w:val="32"/>
        </w:rPr>
        <w:t xml:space="preserve"> </w:t>
      </w:r>
      <w:r>
        <w:rPr>
          <w:rFonts w:ascii="Times New Roman" w:eastAsia="仿宋_GB2312" w:hAnsi="Times New Roman" w:hint="eastAsia"/>
          <w:sz w:val="32"/>
          <w:szCs w:val="32"/>
        </w:rPr>
        <w:t>球囊扩张导管</w:t>
      </w:r>
    </w:p>
    <w:p w:rsidR="004E24B3" w:rsidRPr="00063A47" w:rsidRDefault="004E24B3" w:rsidP="004E24B3">
      <w:pPr>
        <w:ind w:firstLine="645"/>
        <w:rPr>
          <w:rFonts w:ascii="Times New Roman" w:eastAsia="仿宋_GB2312" w:hAnsi="Times New Roman"/>
          <w:sz w:val="32"/>
          <w:szCs w:val="32"/>
        </w:rPr>
      </w:pPr>
      <w:r w:rsidRPr="00063A47">
        <w:rPr>
          <w:rFonts w:ascii="Times New Roman" w:eastAsia="仿宋_GB2312" w:hAnsi="Times New Roman" w:hint="eastAsia"/>
          <w:sz w:val="32"/>
          <w:szCs w:val="32"/>
        </w:rPr>
        <w:t>球囊扩张导管外管材料由聚氨酯变更为聚醚嵌段聚酰胺，应开展实验室研究评价产品性能的变化情况，重点关注模拟使用、推送性能、抗扭转性、追踪性能及化学性能，另外应重新开展生物学评价。鉴于该类产品已列入《免于进行临床试验的第三类医疗器械目录》，在</w:t>
      </w:r>
      <w:r w:rsidR="006518E5">
        <w:rPr>
          <w:rFonts w:ascii="Times New Roman" w:eastAsia="仿宋_GB2312" w:hAnsi="Times New Roman" w:hint="eastAsia"/>
          <w:sz w:val="32"/>
          <w:szCs w:val="32"/>
        </w:rPr>
        <w:t>临床评价</w:t>
      </w:r>
      <w:r w:rsidRPr="00063A47">
        <w:rPr>
          <w:rFonts w:ascii="Times New Roman" w:eastAsia="仿宋_GB2312" w:hAnsi="Times New Roman" w:hint="eastAsia"/>
          <w:sz w:val="32"/>
          <w:szCs w:val="32"/>
        </w:rPr>
        <w:t>时应重点关</w:t>
      </w:r>
      <w:r w:rsidRPr="00063A47">
        <w:rPr>
          <w:rFonts w:ascii="Times New Roman" w:eastAsia="仿宋_GB2312" w:hAnsi="Times New Roman" w:hint="eastAsia"/>
          <w:sz w:val="32"/>
          <w:szCs w:val="32"/>
        </w:rPr>
        <w:lastRenderedPageBreak/>
        <w:t>注变化前后产品性能的对比分析数据，分析变化情况对产品安全性有效性是否造成不利影响。</w:t>
      </w:r>
    </w:p>
    <w:p w:rsidR="00CF486F" w:rsidRDefault="00063A47" w:rsidP="00E434D5">
      <w:pPr>
        <w:ind w:firstLine="645"/>
        <w:rPr>
          <w:rFonts w:ascii="Times New Roman" w:eastAsia="仿宋_GB2312" w:hAnsi="Times New Roman"/>
          <w:sz w:val="32"/>
          <w:szCs w:val="32"/>
        </w:rPr>
      </w:pPr>
      <w:r>
        <w:rPr>
          <w:rFonts w:ascii="Times New Roman" w:eastAsia="仿宋_GB2312" w:hAnsi="Times New Roman" w:hint="eastAsia"/>
          <w:sz w:val="32"/>
          <w:szCs w:val="32"/>
        </w:rPr>
        <w:t>4</w:t>
      </w:r>
      <w:r w:rsidR="001C3975" w:rsidRPr="00A1360E">
        <w:rPr>
          <w:rFonts w:ascii="Times New Roman" w:eastAsia="仿宋_GB2312" w:hAnsi="Times New Roman" w:hint="eastAsia"/>
          <w:sz w:val="32"/>
          <w:szCs w:val="32"/>
        </w:rPr>
        <w:t>.</w:t>
      </w:r>
      <w:r w:rsidR="00CF486F" w:rsidRPr="00A1360E">
        <w:rPr>
          <w:rFonts w:ascii="Times New Roman" w:eastAsia="仿宋_GB2312" w:hAnsi="Times New Roman" w:hint="eastAsia"/>
          <w:sz w:val="32"/>
          <w:szCs w:val="32"/>
        </w:rPr>
        <w:t xml:space="preserve"> </w:t>
      </w:r>
      <w:r w:rsidRPr="00063A47">
        <w:rPr>
          <w:rFonts w:ascii="Times New Roman" w:eastAsia="仿宋_GB2312" w:hAnsi="Times New Roman" w:hint="eastAsia"/>
          <w:sz w:val="32"/>
          <w:szCs w:val="32"/>
        </w:rPr>
        <w:t>椎间融合器</w:t>
      </w:r>
    </w:p>
    <w:p w:rsidR="004E24B3" w:rsidRPr="00063A47" w:rsidRDefault="004E24B3" w:rsidP="004E24B3">
      <w:pPr>
        <w:ind w:firstLine="645"/>
        <w:rPr>
          <w:rFonts w:ascii="Times New Roman" w:eastAsia="仿宋_GB2312" w:hAnsi="Times New Roman"/>
          <w:sz w:val="32"/>
          <w:szCs w:val="32"/>
        </w:rPr>
      </w:pPr>
      <w:r w:rsidRPr="00063A47">
        <w:rPr>
          <w:rFonts w:ascii="Times New Roman" w:eastAsia="仿宋_GB2312" w:hAnsi="Times New Roman" w:hint="eastAsia"/>
          <w:sz w:val="32"/>
          <w:szCs w:val="32"/>
        </w:rPr>
        <w:t>椎间融合器作为骨科植入性医疗器械，是实现脊柱相邻</w:t>
      </w:r>
      <w:proofErr w:type="gramStart"/>
      <w:r w:rsidRPr="00063A47">
        <w:rPr>
          <w:rFonts w:ascii="Times New Roman" w:eastAsia="仿宋_GB2312" w:hAnsi="Times New Roman" w:hint="eastAsia"/>
          <w:sz w:val="32"/>
          <w:szCs w:val="32"/>
        </w:rPr>
        <w:t>椎</w:t>
      </w:r>
      <w:proofErr w:type="gramEnd"/>
      <w:r w:rsidRPr="00063A47">
        <w:rPr>
          <w:rFonts w:ascii="Times New Roman" w:eastAsia="仿宋_GB2312" w:hAnsi="Times New Roman" w:hint="eastAsia"/>
          <w:sz w:val="32"/>
          <w:szCs w:val="32"/>
        </w:rPr>
        <w:t>间隙融合的永久植入物，其安全性和有效性直接影响相邻椎体骨性融合的效果。</w:t>
      </w:r>
    </w:p>
    <w:p w:rsidR="004E24B3" w:rsidRPr="00063A47" w:rsidRDefault="004E24B3" w:rsidP="004E24B3">
      <w:pPr>
        <w:ind w:firstLine="645"/>
        <w:rPr>
          <w:rFonts w:ascii="Times New Roman" w:eastAsia="仿宋_GB2312" w:hAnsi="Times New Roman"/>
          <w:sz w:val="32"/>
          <w:szCs w:val="32"/>
        </w:rPr>
      </w:pPr>
      <w:r w:rsidRPr="00063A47">
        <w:rPr>
          <w:rFonts w:ascii="Times New Roman" w:eastAsia="仿宋_GB2312" w:hAnsi="Times New Roman" w:hint="eastAsia"/>
          <w:sz w:val="32"/>
          <w:szCs w:val="32"/>
        </w:rPr>
        <w:t>由于融合器是属于与人体骨</w:t>
      </w:r>
      <w:r w:rsidRPr="00063A47">
        <w:rPr>
          <w:rFonts w:ascii="Times New Roman" w:eastAsia="仿宋_GB2312" w:hAnsi="Times New Roman" w:hint="eastAsia"/>
          <w:sz w:val="32"/>
          <w:szCs w:val="32"/>
        </w:rPr>
        <w:t>/</w:t>
      </w:r>
      <w:r w:rsidRPr="00063A47">
        <w:rPr>
          <w:rFonts w:ascii="Times New Roman" w:eastAsia="仿宋_GB2312" w:hAnsi="Times New Roman" w:hint="eastAsia"/>
          <w:sz w:val="32"/>
          <w:szCs w:val="32"/>
        </w:rPr>
        <w:t>组织发生直接接触的产品，如材料类型发生改变，</w:t>
      </w:r>
      <w:proofErr w:type="gramStart"/>
      <w:r w:rsidRPr="00063A47">
        <w:rPr>
          <w:rFonts w:ascii="Times New Roman" w:eastAsia="仿宋_GB2312" w:hAnsi="Times New Roman" w:hint="eastAsia"/>
          <w:sz w:val="32"/>
          <w:szCs w:val="32"/>
        </w:rPr>
        <w:t>如钛制</w:t>
      </w:r>
      <w:proofErr w:type="gramEnd"/>
      <w:r w:rsidRPr="00063A47">
        <w:rPr>
          <w:rFonts w:ascii="Times New Roman" w:eastAsia="仿宋_GB2312" w:hAnsi="Times New Roman" w:hint="eastAsia"/>
          <w:sz w:val="32"/>
          <w:szCs w:val="32"/>
        </w:rPr>
        <w:t>椎间融合器变为</w:t>
      </w:r>
      <w:r w:rsidRPr="00063A47">
        <w:rPr>
          <w:rFonts w:ascii="Times New Roman" w:eastAsia="仿宋_GB2312" w:hAnsi="Times New Roman" w:hint="eastAsia"/>
          <w:sz w:val="32"/>
          <w:szCs w:val="32"/>
        </w:rPr>
        <w:t>P</w:t>
      </w:r>
      <w:r w:rsidRPr="00063A47">
        <w:rPr>
          <w:rFonts w:ascii="Times New Roman" w:eastAsia="仿宋_GB2312" w:hAnsi="Times New Roman"/>
          <w:sz w:val="32"/>
          <w:szCs w:val="32"/>
        </w:rPr>
        <w:t>EEK</w:t>
      </w:r>
      <w:r w:rsidR="00031889">
        <w:rPr>
          <w:rFonts w:ascii="Times New Roman" w:eastAsia="仿宋_GB2312" w:hAnsi="Times New Roman" w:hint="eastAsia"/>
          <w:sz w:val="32"/>
          <w:szCs w:val="32"/>
        </w:rPr>
        <w:t>椎间融合器，按照附录中评价流程，需要进行生物学</w:t>
      </w:r>
      <w:r w:rsidRPr="00063A47">
        <w:rPr>
          <w:rFonts w:ascii="Times New Roman" w:eastAsia="仿宋_GB2312" w:hAnsi="Times New Roman" w:hint="eastAsia"/>
          <w:sz w:val="32"/>
          <w:szCs w:val="32"/>
        </w:rPr>
        <w:t>评价</w:t>
      </w:r>
      <w:r w:rsidR="007877A7">
        <w:rPr>
          <w:rFonts w:ascii="Times New Roman" w:eastAsia="仿宋_GB2312" w:hAnsi="Times New Roman" w:hint="eastAsia"/>
          <w:sz w:val="32"/>
          <w:szCs w:val="32"/>
        </w:rPr>
        <w:t>。</w:t>
      </w:r>
      <w:r w:rsidRPr="00063A47">
        <w:rPr>
          <w:rFonts w:ascii="Times New Roman" w:eastAsia="仿宋_GB2312" w:hAnsi="Times New Roman" w:hint="eastAsia"/>
          <w:sz w:val="32"/>
          <w:szCs w:val="32"/>
        </w:rPr>
        <w:t>除此之外，由于新材料的使用，其对产品的力学和生物学性能均产生影响，还应进行其他实验室研究，如：</w:t>
      </w:r>
      <w:r w:rsidR="00031889">
        <w:rPr>
          <w:rFonts w:ascii="Times New Roman" w:eastAsia="仿宋_GB2312" w:hAnsi="Times New Roman" w:hint="eastAsia"/>
          <w:sz w:val="32"/>
          <w:szCs w:val="32"/>
        </w:rPr>
        <w:t>沉陷试验、动静态压缩、剪切试验等。但充分的实验室研究和生物学评价</w:t>
      </w:r>
      <w:r w:rsidRPr="00063A47">
        <w:rPr>
          <w:rFonts w:ascii="Times New Roman" w:eastAsia="仿宋_GB2312" w:hAnsi="Times New Roman" w:hint="eastAsia"/>
          <w:sz w:val="32"/>
          <w:szCs w:val="32"/>
        </w:rPr>
        <w:t>并不足以证明其有效性，比如，由于新材料选用，产品设计的变</w:t>
      </w:r>
      <w:r w:rsidR="00031889">
        <w:rPr>
          <w:rFonts w:ascii="Times New Roman" w:eastAsia="仿宋_GB2312" w:hAnsi="Times New Roman" w:hint="eastAsia"/>
          <w:sz w:val="32"/>
          <w:szCs w:val="32"/>
        </w:rPr>
        <w:t>化，融合器植入后的椎体间骨融合效果无法通过实验室研究及生物学</w:t>
      </w:r>
      <w:r w:rsidRPr="00063A47">
        <w:rPr>
          <w:rFonts w:ascii="Times New Roman" w:eastAsia="仿宋_GB2312" w:hAnsi="Times New Roman" w:hint="eastAsia"/>
          <w:sz w:val="32"/>
          <w:szCs w:val="32"/>
        </w:rPr>
        <w:t>评价完全验证，因此还需要通过临床验证的方式评价其安全有效性。</w:t>
      </w:r>
    </w:p>
    <w:p w:rsidR="00063A47" w:rsidRPr="00063A47" w:rsidRDefault="00063A47" w:rsidP="004E24B3">
      <w:pPr>
        <w:ind w:firstLine="645"/>
        <w:rPr>
          <w:rFonts w:ascii="Times New Roman" w:eastAsia="仿宋_GB2312" w:hAnsi="Times New Roman"/>
          <w:sz w:val="32"/>
          <w:szCs w:val="32"/>
        </w:rPr>
      </w:pPr>
      <w:r w:rsidRPr="00063A47">
        <w:rPr>
          <w:rFonts w:ascii="Times New Roman" w:eastAsia="仿宋_GB2312" w:hAnsi="Times New Roman" w:hint="eastAsia"/>
          <w:sz w:val="32"/>
          <w:szCs w:val="32"/>
        </w:rPr>
        <w:t>5.</w:t>
      </w:r>
      <w:r w:rsidR="004E24B3" w:rsidRPr="00063A47">
        <w:rPr>
          <w:rFonts w:ascii="Times New Roman" w:eastAsia="仿宋_GB2312" w:hAnsi="Times New Roman" w:hint="eastAsia"/>
          <w:sz w:val="32"/>
          <w:szCs w:val="32"/>
        </w:rPr>
        <w:t>骨科手术工具手柄</w:t>
      </w:r>
    </w:p>
    <w:p w:rsidR="004E24B3" w:rsidRPr="00063A47" w:rsidRDefault="004E24B3" w:rsidP="004E24B3">
      <w:pPr>
        <w:ind w:firstLine="645"/>
        <w:rPr>
          <w:rFonts w:ascii="Times New Roman" w:eastAsia="仿宋_GB2312" w:hAnsi="Times New Roman"/>
          <w:sz w:val="32"/>
          <w:szCs w:val="32"/>
        </w:rPr>
      </w:pPr>
      <w:r w:rsidRPr="00063A47">
        <w:rPr>
          <w:rFonts w:ascii="Times New Roman" w:eastAsia="仿宋_GB2312" w:hAnsi="Times New Roman" w:hint="eastAsia"/>
          <w:sz w:val="32"/>
          <w:szCs w:val="32"/>
        </w:rPr>
        <w:t>聚缩醛变成胶木手柄，在满足使用和反复灭菌要求的情况下，可以不进行</w:t>
      </w:r>
      <w:r w:rsidR="006518E5">
        <w:rPr>
          <w:rFonts w:ascii="Times New Roman" w:eastAsia="仿宋_GB2312" w:hAnsi="Times New Roman" w:hint="eastAsia"/>
          <w:sz w:val="32"/>
          <w:szCs w:val="32"/>
        </w:rPr>
        <w:t>临床评价</w:t>
      </w:r>
      <w:r w:rsidRPr="00063A47">
        <w:rPr>
          <w:rFonts w:ascii="Times New Roman" w:eastAsia="仿宋_GB2312" w:hAnsi="Times New Roman" w:hint="eastAsia"/>
          <w:sz w:val="32"/>
          <w:szCs w:val="32"/>
        </w:rPr>
        <w:t>。</w:t>
      </w:r>
    </w:p>
    <w:p w:rsidR="009314D0" w:rsidRPr="00A1360E" w:rsidRDefault="001C3975" w:rsidP="00E434D5">
      <w:pPr>
        <w:ind w:firstLine="645"/>
        <w:rPr>
          <w:rFonts w:ascii="Times New Roman" w:eastAsia="楷体_GB2312" w:hAnsi="Times New Roman"/>
          <w:sz w:val="32"/>
          <w:szCs w:val="32"/>
        </w:rPr>
      </w:pPr>
      <w:r w:rsidRPr="00A1360E">
        <w:rPr>
          <w:rFonts w:ascii="Times New Roman" w:eastAsia="楷体_GB2312" w:hAnsi="Times New Roman" w:hint="eastAsia"/>
          <w:sz w:val="32"/>
          <w:szCs w:val="32"/>
        </w:rPr>
        <w:t>（二）</w:t>
      </w:r>
      <w:r w:rsidR="009314D0" w:rsidRPr="00A1360E">
        <w:rPr>
          <w:rFonts w:ascii="Times New Roman" w:eastAsia="楷体_GB2312" w:hAnsi="Times New Roman" w:hint="eastAsia"/>
          <w:sz w:val="32"/>
          <w:szCs w:val="32"/>
        </w:rPr>
        <w:t>材料组分</w:t>
      </w:r>
      <w:r w:rsidR="009314D0" w:rsidRPr="00A1360E">
        <w:rPr>
          <w:rFonts w:ascii="Times New Roman" w:eastAsia="楷体_GB2312" w:hAnsi="Times New Roman" w:hint="eastAsia"/>
          <w:sz w:val="32"/>
          <w:szCs w:val="32"/>
        </w:rPr>
        <w:t>/</w:t>
      </w:r>
      <w:r w:rsidR="009314D0" w:rsidRPr="00A1360E">
        <w:rPr>
          <w:rFonts w:ascii="Times New Roman" w:eastAsia="楷体_GB2312" w:hAnsi="Times New Roman" w:hint="eastAsia"/>
          <w:sz w:val="32"/>
          <w:szCs w:val="32"/>
        </w:rPr>
        <w:t>配比发生变化</w:t>
      </w:r>
    </w:p>
    <w:p w:rsidR="00CF486F" w:rsidRPr="00A1360E" w:rsidRDefault="00CF486F" w:rsidP="00E434D5">
      <w:pPr>
        <w:ind w:firstLine="645"/>
        <w:rPr>
          <w:rFonts w:ascii="Times New Roman" w:eastAsia="仿宋_GB2312" w:hAnsi="Times New Roman"/>
          <w:sz w:val="32"/>
          <w:szCs w:val="32"/>
        </w:rPr>
      </w:pPr>
      <w:r w:rsidRPr="00A1360E">
        <w:rPr>
          <w:rFonts w:ascii="Times New Roman" w:eastAsia="仿宋_GB2312" w:hAnsi="Times New Roman" w:hint="eastAsia"/>
          <w:sz w:val="32"/>
          <w:szCs w:val="32"/>
        </w:rPr>
        <w:t>鉴于高分子材料的复杂性，虽然有些材料名称未发生变化，但其组分或者配比已发生改变，</w:t>
      </w:r>
      <w:r w:rsidR="00491A71" w:rsidRPr="00A1360E">
        <w:rPr>
          <w:rFonts w:ascii="Times New Roman" w:eastAsia="仿宋_GB2312" w:hAnsi="Times New Roman" w:hint="eastAsia"/>
          <w:sz w:val="32"/>
          <w:szCs w:val="32"/>
        </w:rPr>
        <w:t>比如聚氯乙烯材料中所</w:t>
      </w:r>
      <w:r w:rsidR="00491A71" w:rsidRPr="00A1360E">
        <w:rPr>
          <w:rFonts w:ascii="Times New Roman" w:eastAsia="仿宋_GB2312" w:hAnsi="Times New Roman" w:hint="eastAsia"/>
          <w:sz w:val="32"/>
          <w:szCs w:val="32"/>
        </w:rPr>
        <w:lastRenderedPageBreak/>
        <w:t>用的添加剂的改变等。</w:t>
      </w:r>
      <w:r w:rsidR="001837F0" w:rsidRPr="00A1360E">
        <w:rPr>
          <w:rFonts w:ascii="Times New Roman" w:eastAsia="仿宋_GB2312" w:hAnsi="Times New Roman" w:hint="eastAsia"/>
          <w:sz w:val="32"/>
          <w:szCs w:val="32"/>
        </w:rPr>
        <w:t>根据变化发生的部位</w:t>
      </w:r>
      <w:r w:rsidR="00B11F69" w:rsidRPr="00A1360E">
        <w:rPr>
          <w:rFonts w:ascii="Times New Roman" w:eastAsia="仿宋_GB2312" w:hAnsi="Times New Roman" w:hint="eastAsia"/>
          <w:sz w:val="32"/>
          <w:szCs w:val="32"/>
        </w:rPr>
        <w:t>也可</w:t>
      </w:r>
      <w:r w:rsidR="001837F0" w:rsidRPr="00A1360E">
        <w:rPr>
          <w:rFonts w:ascii="Times New Roman" w:eastAsia="仿宋_GB2312" w:hAnsi="Times New Roman" w:hint="eastAsia"/>
          <w:sz w:val="32"/>
          <w:szCs w:val="32"/>
        </w:rPr>
        <w:t>分为主要</w:t>
      </w:r>
      <w:r w:rsidR="000A20D0" w:rsidRPr="00A1360E">
        <w:rPr>
          <w:rFonts w:ascii="Times New Roman" w:eastAsia="仿宋_GB2312" w:hAnsi="Times New Roman" w:hint="eastAsia"/>
          <w:sz w:val="32"/>
          <w:szCs w:val="32"/>
        </w:rPr>
        <w:t>组件</w:t>
      </w:r>
      <w:r w:rsidR="001837F0" w:rsidRPr="00A1360E">
        <w:rPr>
          <w:rFonts w:ascii="Times New Roman" w:eastAsia="仿宋_GB2312" w:hAnsi="Times New Roman" w:hint="eastAsia"/>
          <w:sz w:val="32"/>
          <w:szCs w:val="32"/>
        </w:rPr>
        <w:t>材料的改变和次要</w:t>
      </w:r>
      <w:r w:rsidR="000A20D0" w:rsidRPr="00A1360E">
        <w:rPr>
          <w:rFonts w:ascii="Times New Roman" w:eastAsia="仿宋_GB2312" w:hAnsi="Times New Roman" w:hint="eastAsia"/>
          <w:sz w:val="32"/>
          <w:szCs w:val="32"/>
        </w:rPr>
        <w:t>组件</w:t>
      </w:r>
      <w:r w:rsidR="001837F0" w:rsidRPr="00A1360E">
        <w:rPr>
          <w:rFonts w:ascii="Times New Roman" w:eastAsia="仿宋_GB2312" w:hAnsi="Times New Roman" w:hint="eastAsia"/>
          <w:sz w:val="32"/>
          <w:szCs w:val="32"/>
        </w:rPr>
        <w:t>材料的改变</w:t>
      </w:r>
      <w:r w:rsidR="00B3145C" w:rsidRPr="00A1360E">
        <w:rPr>
          <w:rFonts w:ascii="Times New Roman" w:eastAsia="仿宋_GB2312" w:hAnsi="Times New Roman" w:hint="eastAsia"/>
          <w:sz w:val="32"/>
          <w:szCs w:val="32"/>
        </w:rPr>
        <w:t>，参考附录中的路径基本与前述材料特征的改变相似</w:t>
      </w:r>
      <w:r w:rsidR="001837F0" w:rsidRPr="00A1360E">
        <w:rPr>
          <w:rFonts w:ascii="Times New Roman" w:eastAsia="仿宋_GB2312" w:hAnsi="Times New Roman" w:hint="eastAsia"/>
          <w:sz w:val="32"/>
          <w:szCs w:val="32"/>
        </w:rPr>
        <w:t>。</w:t>
      </w:r>
    </w:p>
    <w:p w:rsidR="005A3A3E" w:rsidRPr="00A1360E" w:rsidRDefault="005A3A3E" w:rsidP="00E434D5">
      <w:pPr>
        <w:ind w:firstLine="645"/>
        <w:rPr>
          <w:rFonts w:ascii="Times New Roman" w:eastAsia="仿宋_GB2312" w:hAnsi="Times New Roman"/>
          <w:sz w:val="32"/>
          <w:szCs w:val="32"/>
        </w:rPr>
      </w:pPr>
      <w:r w:rsidRPr="00A1360E">
        <w:rPr>
          <w:rFonts w:ascii="Times New Roman" w:eastAsia="仿宋_GB2312" w:hAnsi="Times New Roman" w:hint="eastAsia"/>
          <w:sz w:val="32"/>
          <w:szCs w:val="32"/>
        </w:rPr>
        <w:t>1.</w:t>
      </w:r>
      <w:r w:rsidRPr="00A1360E">
        <w:rPr>
          <w:rFonts w:ascii="Times New Roman" w:eastAsia="仿宋_GB2312" w:hAnsi="Times New Roman" w:hint="eastAsia"/>
          <w:sz w:val="32"/>
          <w:szCs w:val="32"/>
        </w:rPr>
        <w:t>一次性使用输液器</w:t>
      </w:r>
    </w:p>
    <w:p w:rsidR="005A3A3E" w:rsidRPr="00A1360E" w:rsidRDefault="005A3A3E" w:rsidP="005A3A3E">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一次性使用静脉输液器一般包括静脉针或注射针、针头护帽、输液管路、药液过滤器、流速调节器、滴壶、瓶塞穿刺器、空气过滤器等组成，用于静脉输液。因输液管路为输液器的主要组件，且其与药液直接接触，属于产品风险点，审评时属于重点关注。</w:t>
      </w:r>
    </w:p>
    <w:p w:rsidR="00E44FED" w:rsidRPr="00A1360E" w:rsidRDefault="001837F0" w:rsidP="00E434D5">
      <w:pPr>
        <w:ind w:firstLine="645"/>
        <w:rPr>
          <w:rFonts w:ascii="Times New Roman" w:eastAsia="仿宋_GB2312" w:hAnsi="Times New Roman"/>
          <w:sz w:val="32"/>
          <w:szCs w:val="32"/>
        </w:rPr>
      </w:pPr>
      <w:r w:rsidRPr="00A1360E">
        <w:rPr>
          <w:rFonts w:ascii="Times New Roman" w:eastAsia="仿宋_GB2312" w:hAnsi="Times New Roman" w:hint="eastAsia"/>
          <w:sz w:val="32"/>
          <w:szCs w:val="32"/>
        </w:rPr>
        <w:t>聚氯乙烯</w:t>
      </w:r>
      <w:r w:rsidR="00A12805" w:rsidRPr="00A1360E">
        <w:rPr>
          <w:rFonts w:ascii="Times New Roman" w:eastAsia="仿宋_GB2312" w:hAnsi="Times New Roman" w:hint="eastAsia"/>
          <w:sz w:val="32"/>
          <w:szCs w:val="32"/>
        </w:rPr>
        <w:t>材料</w:t>
      </w:r>
      <w:r w:rsidRPr="00A1360E">
        <w:rPr>
          <w:rFonts w:ascii="Times New Roman" w:eastAsia="仿宋_GB2312" w:hAnsi="Times New Roman" w:hint="eastAsia"/>
          <w:sz w:val="32"/>
          <w:szCs w:val="32"/>
        </w:rPr>
        <w:t>一般包括聚氯乙烯聚合物、增塑剂、抗氧化剂、稳定剂等成分组成，且增塑剂比例一般占比</w:t>
      </w:r>
      <w:r w:rsidRPr="00A1360E">
        <w:rPr>
          <w:rFonts w:ascii="Times New Roman" w:eastAsia="仿宋_GB2312" w:hAnsi="Times New Roman" w:hint="eastAsia"/>
          <w:sz w:val="32"/>
          <w:szCs w:val="32"/>
        </w:rPr>
        <w:t>30%</w:t>
      </w:r>
      <w:r w:rsidR="00A12805" w:rsidRPr="00A1360E">
        <w:rPr>
          <w:rFonts w:ascii="Times New Roman" w:eastAsia="仿宋_GB2312" w:hAnsi="Times New Roman" w:hint="eastAsia"/>
          <w:sz w:val="32"/>
          <w:szCs w:val="32"/>
        </w:rPr>
        <w:t>以上，</w:t>
      </w:r>
      <w:r w:rsidRPr="00A1360E">
        <w:rPr>
          <w:rFonts w:ascii="Times New Roman" w:eastAsia="仿宋_GB2312" w:hAnsi="Times New Roman" w:hint="eastAsia"/>
          <w:sz w:val="32"/>
          <w:szCs w:val="32"/>
        </w:rPr>
        <w:t>当该类产品的增塑剂发生改变时，</w:t>
      </w:r>
      <w:r w:rsidR="00A12805" w:rsidRPr="00A1360E">
        <w:rPr>
          <w:rFonts w:ascii="Times New Roman" w:eastAsia="仿宋_GB2312" w:hAnsi="Times New Roman" w:hint="eastAsia"/>
          <w:sz w:val="32"/>
          <w:szCs w:val="32"/>
        </w:rPr>
        <w:t>需要根据产品风险特点而定。比如由于输液器中的聚氯乙烯管路和药液直接接触，且管路属于产品的主要部件，因此当管路中聚氯乙烯材料增塑剂发生改变时</w:t>
      </w:r>
      <w:r w:rsidRPr="00A1360E">
        <w:rPr>
          <w:rFonts w:ascii="Times New Roman" w:eastAsia="仿宋_GB2312" w:hAnsi="Times New Roman" w:hint="eastAsia"/>
          <w:sz w:val="32"/>
          <w:szCs w:val="32"/>
        </w:rPr>
        <w:t>一般建议企业采用首次注册的形式申请，</w:t>
      </w:r>
      <w:r w:rsidR="00E44FED" w:rsidRPr="00A1360E">
        <w:rPr>
          <w:rFonts w:ascii="Times New Roman" w:eastAsia="仿宋_GB2312" w:hAnsi="Times New Roman" w:hint="eastAsia"/>
          <w:sz w:val="32"/>
          <w:szCs w:val="32"/>
        </w:rPr>
        <w:t>评估的流程与前述相似，值得指出的是，由于绝大部分输液器产品均属于豁免临床试验的产品，因此，即便是管路中材料的组分含量的改变，一般也不需要进行临床验证。</w:t>
      </w:r>
    </w:p>
    <w:p w:rsidR="00A14268" w:rsidRPr="00A1360E" w:rsidRDefault="00A12805" w:rsidP="00E434D5">
      <w:pPr>
        <w:ind w:firstLine="645"/>
        <w:rPr>
          <w:rFonts w:ascii="Times New Roman" w:eastAsia="仿宋_GB2312" w:hAnsi="Times New Roman"/>
          <w:sz w:val="32"/>
          <w:szCs w:val="32"/>
        </w:rPr>
      </w:pPr>
      <w:r w:rsidRPr="00A1360E">
        <w:rPr>
          <w:rFonts w:ascii="Times New Roman" w:eastAsia="仿宋_GB2312" w:hAnsi="Times New Roman" w:hint="eastAsia"/>
          <w:sz w:val="32"/>
          <w:szCs w:val="32"/>
        </w:rPr>
        <w:t>如果是</w:t>
      </w:r>
      <w:r w:rsidR="00A14268" w:rsidRPr="00A1360E">
        <w:rPr>
          <w:rFonts w:ascii="Times New Roman" w:eastAsia="仿宋_GB2312" w:hAnsi="Times New Roman" w:hint="eastAsia"/>
          <w:sz w:val="32"/>
          <w:szCs w:val="32"/>
        </w:rPr>
        <w:t>输液器中聚氯乙烯</w:t>
      </w:r>
      <w:proofErr w:type="gramStart"/>
      <w:r w:rsidR="00A14268" w:rsidRPr="00A1360E">
        <w:rPr>
          <w:rFonts w:ascii="Times New Roman" w:eastAsia="仿宋_GB2312" w:hAnsi="Times New Roman" w:hint="eastAsia"/>
          <w:sz w:val="32"/>
          <w:szCs w:val="32"/>
        </w:rPr>
        <w:t>滴斗材料</w:t>
      </w:r>
      <w:proofErr w:type="gramEnd"/>
      <w:r w:rsidR="00A14268" w:rsidRPr="00A1360E">
        <w:rPr>
          <w:rFonts w:ascii="Times New Roman" w:eastAsia="仿宋_GB2312" w:hAnsi="Times New Roman" w:hint="eastAsia"/>
          <w:sz w:val="32"/>
          <w:szCs w:val="32"/>
        </w:rPr>
        <w:t>中增塑剂改变的话，由于</w:t>
      </w:r>
      <w:proofErr w:type="gramStart"/>
      <w:r w:rsidR="00A14268" w:rsidRPr="00A1360E">
        <w:rPr>
          <w:rFonts w:ascii="Times New Roman" w:eastAsia="仿宋_GB2312" w:hAnsi="Times New Roman" w:hint="eastAsia"/>
          <w:sz w:val="32"/>
          <w:szCs w:val="32"/>
        </w:rPr>
        <w:t>滴斗占</w:t>
      </w:r>
      <w:proofErr w:type="gramEnd"/>
      <w:r w:rsidR="00A14268" w:rsidRPr="00A1360E">
        <w:rPr>
          <w:rFonts w:ascii="Times New Roman" w:eastAsia="仿宋_GB2312" w:hAnsi="Times New Roman" w:hint="eastAsia"/>
          <w:sz w:val="32"/>
          <w:szCs w:val="32"/>
        </w:rPr>
        <w:t>输液器比重较小，对产品的风险相对可控，</w:t>
      </w:r>
      <w:proofErr w:type="gramStart"/>
      <w:r w:rsidR="00A14268" w:rsidRPr="00A1360E">
        <w:rPr>
          <w:rFonts w:ascii="Times New Roman" w:eastAsia="仿宋_GB2312" w:hAnsi="Times New Roman" w:hint="eastAsia"/>
          <w:sz w:val="32"/>
          <w:szCs w:val="32"/>
        </w:rPr>
        <w:t>一般</w:t>
      </w:r>
      <w:r w:rsidR="00031889">
        <w:rPr>
          <w:rFonts w:ascii="Times New Roman" w:eastAsia="仿宋_GB2312" w:hAnsi="Times New Roman" w:hint="eastAsia"/>
          <w:sz w:val="32"/>
          <w:szCs w:val="32"/>
        </w:rPr>
        <w:t>关注</w:t>
      </w:r>
      <w:proofErr w:type="gramEnd"/>
      <w:r w:rsidR="00031889">
        <w:rPr>
          <w:rFonts w:ascii="Times New Roman" w:eastAsia="仿宋_GB2312" w:hAnsi="Times New Roman" w:hint="eastAsia"/>
          <w:sz w:val="32"/>
          <w:szCs w:val="32"/>
        </w:rPr>
        <w:t>产品性能（包括理化、生物学评价</w:t>
      </w:r>
      <w:r w:rsidR="005A3A3E" w:rsidRPr="00A1360E">
        <w:rPr>
          <w:rFonts w:ascii="Times New Roman" w:eastAsia="仿宋_GB2312" w:hAnsi="Times New Roman" w:hint="eastAsia"/>
          <w:sz w:val="32"/>
          <w:szCs w:val="32"/>
        </w:rPr>
        <w:t>）、有效期、增塑剂等。</w:t>
      </w:r>
    </w:p>
    <w:p w:rsidR="00670D3E" w:rsidRDefault="00670D3E" w:rsidP="00670D3E">
      <w:pPr>
        <w:ind w:firstLine="645"/>
        <w:rPr>
          <w:rFonts w:ascii="Times New Roman" w:eastAsia="仿宋_GB2312" w:hAnsi="Times New Roman"/>
          <w:sz w:val="32"/>
          <w:szCs w:val="32"/>
        </w:rPr>
      </w:pPr>
      <w:r>
        <w:rPr>
          <w:rFonts w:ascii="Times New Roman" w:eastAsia="仿宋_GB2312" w:hAnsi="Times New Roman" w:hint="eastAsia"/>
          <w:sz w:val="32"/>
          <w:szCs w:val="32"/>
        </w:rPr>
        <w:lastRenderedPageBreak/>
        <w:t>2</w:t>
      </w:r>
      <w:r w:rsidR="00574AB9">
        <w:rPr>
          <w:rFonts w:ascii="Times New Roman" w:eastAsia="仿宋_GB2312" w:hAnsi="Times New Roman" w:hint="eastAsia"/>
          <w:sz w:val="32"/>
          <w:szCs w:val="32"/>
        </w:rPr>
        <w:t>.</w:t>
      </w:r>
      <w:r w:rsidR="00574AB9">
        <w:rPr>
          <w:rFonts w:ascii="Times New Roman" w:eastAsia="仿宋_GB2312" w:hAnsi="Times New Roman" w:hint="eastAsia"/>
          <w:sz w:val="32"/>
          <w:szCs w:val="32"/>
        </w:rPr>
        <w:t>可吸收缝合线</w:t>
      </w:r>
    </w:p>
    <w:p w:rsidR="00574AB9" w:rsidRDefault="00574AB9" w:rsidP="00670D3E">
      <w:pPr>
        <w:ind w:firstLine="645"/>
        <w:rPr>
          <w:rFonts w:ascii="Times New Roman" w:eastAsia="仿宋_GB2312" w:hAnsi="Times New Roman"/>
          <w:sz w:val="32"/>
          <w:szCs w:val="32"/>
        </w:rPr>
      </w:pPr>
      <w:r w:rsidRPr="00574AB9">
        <w:rPr>
          <w:rFonts w:ascii="Times New Roman" w:eastAsia="仿宋_GB2312" w:hAnsi="Times New Roman" w:hint="eastAsia"/>
          <w:sz w:val="32"/>
          <w:szCs w:val="32"/>
        </w:rPr>
        <w:t>可吸收缝线主要</w:t>
      </w:r>
      <w:r>
        <w:rPr>
          <w:rFonts w:ascii="Times New Roman" w:eastAsia="仿宋_GB2312" w:hAnsi="Times New Roman" w:hint="eastAsia"/>
          <w:sz w:val="32"/>
          <w:szCs w:val="32"/>
        </w:rPr>
        <w:t>包括</w:t>
      </w:r>
      <w:r w:rsidRPr="00574AB9">
        <w:rPr>
          <w:rFonts w:ascii="Times New Roman" w:eastAsia="仿宋_GB2312" w:hAnsi="Times New Roman" w:hint="eastAsia"/>
          <w:sz w:val="32"/>
          <w:szCs w:val="32"/>
        </w:rPr>
        <w:t>羊肠线和合成纤维线</w:t>
      </w:r>
      <w:r>
        <w:rPr>
          <w:rFonts w:ascii="Times New Roman" w:eastAsia="仿宋_GB2312" w:hAnsi="Times New Roman" w:hint="eastAsia"/>
          <w:sz w:val="32"/>
          <w:szCs w:val="32"/>
        </w:rPr>
        <w:t>两大类，用于手术期间的组织缝合。其中合成纤维线</w:t>
      </w:r>
      <w:r w:rsidR="007E6D88">
        <w:rPr>
          <w:rFonts w:ascii="Times New Roman" w:eastAsia="仿宋_GB2312" w:hAnsi="Times New Roman" w:hint="eastAsia"/>
          <w:sz w:val="32"/>
          <w:szCs w:val="32"/>
        </w:rPr>
        <w:t>材料</w:t>
      </w:r>
      <w:r w:rsidRPr="00574AB9">
        <w:rPr>
          <w:rFonts w:ascii="Times New Roman" w:eastAsia="仿宋_GB2312" w:hAnsi="Times New Roman" w:hint="eastAsia"/>
          <w:sz w:val="32"/>
          <w:szCs w:val="32"/>
        </w:rPr>
        <w:t>品种较多，如</w:t>
      </w:r>
      <w:r w:rsidR="007E6D88">
        <w:rPr>
          <w:rFonts w:ascii="Times New Roman" w:eastAsia="仿宋_GB2312" w:hAnsi="Times New Roman" w:hint="eastAsia"/>
          <w:sz w:val="32"/>
          <w:szCs w:val="32"/>
        </w:rPr>
        <w:t>PLGA</w:t>
      </w:r>
      <w:r w:rsidRPr="00574AB9">
        <w:rPr>
          <w:rFonts w:ascii="Times New Roman" w:eastAsia="仿宋_GB2312" w:hAnsi="Times New Roman" w:hint="eastAsia"/>
          <w:sz w:val="32"/>
          <w:szCs w:val="32"/>
        </w:rPr>
        <w:t>、</w:t>
      </w:r>
      <w:r w:rsidRPr="00574AB9">
        <w:rPr>
          <w:rFonts w:ascii="Times New Roman" w:eastAsia="仿宋_GB2312" w:hAnsi="Times New Roman" w:hint="eastAsia"/>
          <w:sz w:val="32"/>
          <w:szCs w:val="32"/>
        </w:rPr>
        <w:t>PDS</w:t>
      </w:r>
      <w:r w:rsidR="007E6D88">
        <w:rPr>
          <w:rFonts w:ascii="Times New Roman" w:eastAsia="仿宋_GB2312" w:hAnsi="Times New Roman" w:hint="eastAsia"/>
          <w:sz w:val="32"/>
          <w:szCs w:val="32"/>
        </w:rPr>
        <w:t>等。</w:t>
      </w:r>
    </w:p>
    <w:p w:rsidR="007E6D88" w:rsidRPr="00A1360E" w:rsidRDefault="007E6D88" w:rsidP="00670D3E">
      <w:pPr>
        <w:ind w:firstLine="645"/>
        <w:rPr>
          <w:rFonts w:ascii="Times New Roman" w:eastAsia="仿宋_GB2312" w:hAnsi="Times New Roman"/>
          <w:sz w:val="32"/>
          <w:szCs w:val="32"/>
        </w:rPr>
      </w:pPr>
      <w:r>
        <w:rPr>
          <w:rFonts w:ascii="Times New Roman" w:eastAsia="仿宋_GB2312" w:hAnsi="Times New Roman" w:hint="eastAsia"/>
          <w:sz w:val="32"/>
          <w:szCs w:val="32"/>
        </w:rPr>
        <w:t>以</w:t>
      </w:r>
      <w:r>
        <w:rPr>
          <w:rFonts w:ascii="Times New Roman" w:eastAsia="仿宋_GB2312" w:hAnsi="Times New Roman" w:hint="eastAsia"/>
          <w:sz w:val="32"/>
          <w:szCs w:val="32"/>
        </w:rPr>
        <w:t>PLGA</w:t>
      </w:r>
      <w:r>
        <w:rPr>
          <w:rFonts w:ascii="Times New Roman" w:eastAsia="仿宋_GB2312" w:hAnsi="Times New Roman" w:hint="eastAsia"/>
          <w:sz w:val="32"/>
          <w:szCs w:val="32"/>
        </w:rPr>
        <w:t>缝合线为例，</w:t>
      </w:r>
      <w:r w:rsidR="00145A42">
        <w:rPr>
          <w:rFonts w:ascii="Times New Roman" w:eastAsia="仿宋_GB2312" w:hAnsi="Times New Roman" w:hint="eastAsia"/>
          <w:sz w:val="32"/>
          <w:szCs w:val="32"/>
        </w:rPr>
        <w:t>PLGA</w:t>
      </w:r>
      <w:r w:rsidR="00145A42">
        <w:rPr>
          <w:rFonts w:ascii="Times New Roman" w:eastAsia="仿宋_GB2312" w:hAnsi="Times New Roman" w:hint="eastAsia"/>
          <w:sz w:val="32"/>
          <w:szCs w:val="32"/>
        </w:rPr>
        <w:t>也就是</w:t>
      </w:r>
      <w:proofErr w:type="gramStart"/>
      <w:r w:rsidRPr="007E6D88">
        <w:rPr>
          <w:rFonts w:ascii="Times New Roman" w:eastAsia="仿宋_GB2312" w:hAnsi="Times New Roman" w:hint="eastAsia"/>
          <w:sz w:val="32"/>
          <w:szCs w:val="32"/>
        </w:rPr>
        <w:t>乙交酯丙交酯</w:t>
      </w:r>
      <w:proofErr w:type="gramEnd"/>
      <w:r w:rsidRPr="007E6D88">
        <w:rPr>
          <w:rFonts w:ascii="Times New Roman" w:eastAsia="仿宋_GB2312" w:hAnsi="Times New Roman" w:hint="eastAsia"/>
          <w:sz w:val="32"/>
          <w:szCs w:val="32"/>
        </w:rPr>
        <w:t>共聚物</w:t>
      </w:r>
      <w:r>
        <w:rPr>
          <w:rFonts w:ascii="Times New Roman" w:eastAsia="仿宋_GB2312" w:hAnsi="Times New Roman" w:hint="eastAsia"/>
          <w:sz w:val="32"/>
          <w:szCs w:val="32"/>
        </w:rPr>
        <w:t>，</w:t>
      </w:r>
      <w:r w:rsidR="00145A42">
        <w:rPr>
          <w:rFonts w:ascii="Times New Roman" w:eastAsia="仿宋_GB2312" w:hAnsi="Times New Roman" w:hint="eastAsia"/>
          <w:sz w:val="32"/>
          <w:szCs w:val="32"/>
        </w:rPr>
        <w:t>可通过调整</w:t>
      </w:r>
      <w:proofErr w:type="gramStart"/>
      <w:r w:rsidRPr="007E6D88">
        <w:rPr>
          <w:rFonts w:ascii="Times New Roman" w:eastAsia="仿宋_GB2312" w:hAnsi="Times New Roman" w:hint="eastAsia"/>
          <w:sz w:val="32"/>
          <w:szCs w:val="32"/>
        </w:rPr>
        <w:t>乙交酯丙交酯</w:t>
      </w:r>
      <w:proofErr w:type="gramEnd"/>
      <w:r>
        <w:rPr>
          <w:rFonts w:ascii="Times New Roman" w:eastAsia="仿宋_GB2312" w:hAnsi="Times New Roman" w:hint="eastAsia"/>
          <w:sz w:val="32"/>
          <w:szCs w:val="32"/>
        </w:rPr>
        <w:t>的比例，获得不同降解</w:t>
      </w:r>
      <w:r w:rsidR="00145A42">
        <w:rPr>
          <w:rFonts w:ascii="Times New Roman" w:eastAsia="仿宋_GB2312" w:hAnsi="Times New Roman" w:hint="eastAsia"/>
          <w:sz w:val="32"/>
          <w:szCs w:val="32"/>
        </w:rPr>
        <w:t>性能和</w:t>
      </w:r>
      <w:r>
        <w:rPr>
          <w:rFonts w:ascii="Times New Roman" w:eastAsia="仿宋_GB2312" w:hAnsi="Times New Roman" w:hint="eastAsia"/>
          <w:sz w:val="32"/>
          <w:szCs w:val="32"/>
        </w:rPr>
        <w:t>力学性能的缝合线。如果</w:t>
      </w:r>
      <w:r w:rsidR="00145A42">
        <w:rPr>
          <w:rFonts w:ascii="Times New Roman" w:eastAsia="仿宋_GB2312" w:hAnsi="Times New Roman" w:hint="eastAsia"/>
          <w:sz w:val="32"/>
          <w:szCs w:val="32"/>
        </w:rPr>
        <w:t>企业</w:t>
      </w:r>
      <w:r>
        <w:rPr>
          <w:rFonts w:ascii="Times New Roman" w:eastAsia="仿宋_GB2312" w:hAnsi="Times New Roman" w:hint="eastAsia"/>
          <w:sz w:val="32"/>
          <w:szCs w:val="32"/>
        </w:rPr>
        <w:t>调整</w:t>
      </w:r>
      <w:r w:rsidR="00145A42">
        <w:rPr>
          <w:rFonts w:ascii="Times New Roman" w:eastAsia="仿宋_GB2312" w:hAnsi="Times New Roman" w:hint="eastAsia"/>
          <w:sz w:val="32"/>
          <w:szCs w:val="32"/>
        </w:rPr>
        <w:t>了其中</w:t>
      </w:r>
      <w:r>
        <w:rPr>
          <w:rFonts w:ascii="Times New Roman" w:eastAsia="仿宋_GB2312" w:hAnsi="Times New Roman" w:hint="eastAsia"/>
          <w:sz w:val="32"/>
          <w:szCs w:val="32"/>
        </w:rPr>
        <w:t>PLA</w:t>
      </w:r>
      <w:r>
        <w:rPr>
          <w:rFonts w:ascii="Times New Roman" w:eastAsia="仿宋_GB2312" w:hAnsi="Times New Roman" w:hint="eastAsia"/>
          <w:sz w:val="32"/>
          <w:szCs w:val="32"/>
        </w:rPr>
        <w:t>和</w:t>
      </w:r>
      <w:r>
        <w:rPr>
          <w:rFonts w:ascii="Times New Roman" w:eastAsia="仿宋_GB2312" w:hAnsi="Times New Roman" w:hint="eastAsia"/>
          <w:sz w:val="32"/>
          <w:szCs w:val="32"/>
        </w:rPr>
        <w:t>PGA</w:t>
      </w:r>
      <w:r>
        <w:rPr>
          <w:rFonts w:ascii="Times New Roman" w:eastAsia="仿宋_GB2312" w:hAnsi="Times New Roman" w:hint="eastAsia"/>
          <w:sz w:val="32"/>
          <w:szCs w:val="32"/>
        </w:rPr>
        <w:t>的比例，</w:t>
      </w:r>
      <w:r w:rsidR="004C2012">
        <w:rPr>
          <w:rFonts w:ascii="Times New Roman" w:eastAsia="仿宋_GB2312" w:hAnsi="Times New Roman" w:hint="eastAsia"/>
          <w:sz w:val="32"/>
          <w:szCs w:val="32"/>
        </w:rPr>
        <w:t>则</w:t>
      </w:r>
      <w:r w:rsidR="00145A42">
        <w:rPr>
          <w:rFonts w:ascii="Times New Roman" w:eastAsia="仿宋_GB2312" w:hAnsi="Times New Roman" w:hint="eastAsia"/>
          <w:sz w:val="32"/>
          <w:szCs w:val="32"/>
        </w:rPr>
        <w:t>会</w:t>
      </w:r>
      <w:r w:rsidR="004C2012">
        <w:rPr>
          <w:rFonts w:ascii="Times New Roman" w:eastAsia="仿宋_GB2312" w:hAnsi="Times New Roman" w:hint="eastAsia"/>
          <w:sz w:val="32"/>
          <w:szCs w:val="32"/>
        </w:rPr>
        <w:t>导致缝线</w:t>
      </w:r>
      <w:r>
        <w:rPr>
          <w:rFonts w:ascii="Times New Roman" w:eastAsia="仿宋_GB2312" w:hAnsi="Times New Roman" w:hint="eastAsia"/>
          <w:sz w:val="32"/>
          <w:szCs w:val="32"/>
        </w:rPr>
        <w:t>降解性能</w:t>
      </w:r>
      <w:r w:rsidR="004C2012">
        <w:rPr>
          <w:rFonts w:ascii="Times New Roman" w:eastAsia="仿宋_GB2312" w:hAnsi="Times New Roman" w:hint="eastAsia"/>
          <w:sz w:val="32"/>
          <w:szCs w:val="32"/>
        </w:rPr>
        <w:t>、力学性能等材料学特征的不同</w:t>
      </w:r>
      <w:r>
        <w:rPr>
          <w:rFonts w:ascii="Times New Roman" w:eastAsia="仿宋_GB2312" w:hAnsi="Times New Roman" w:hint="eastAsia"/>
          <w:sz w:val="32"/>
          <w:szCs w:val="32"/>
        </w:rPr>
        <w:t>，</w:t>
      </w:r>
      <w:r w:rsidR="00031889">
        <w:rPr>
          <w:rFonts w:ascii="Times New Roman" w:eastAsia="仿宋_GB2312" w:hAnsi="Times New Roman" w:hint="eastAsia"/>
          <w:sz w:val="32"/>
          <w:szCs w:val="32"/>
        </w:rPr>
        <w:t>该性能的差异除了进行实验室研究外，还应进行充分</w:t>
      </w:r>
      <w:r w:rsidR="006000A5">
        <w:rPr>
          <w:rFonts w:ascii="Times New Roman" w:eastAsia="仿宋_GB2312" w:hAnsi="Times New Roman" w:hint="eastAsia"/>
          <w:sz w:val="32"/>
          <w:szCs w:val="32"/>
        </w:rPr>
        <w:t>生物</w:t>
      </w:r>
      <w:r w:rsidR="00031889">
        <w:rPr>
          <w:rFonts w:ascii="Times New Roman" w:eastAsia="仿宋_GB2312" w:hAnsi="Times New Roman" w:hint="eastAsia"/>
          <w:sz w:val="32"/>
          <w:szCs w:val="32"/>
        </w:rPr>
        <w:t>学</w:t>
      </w:r>
      <w:r w:rsidR="006000A5">
        <w:rPr>
          <w:rFonts w:ascii="Times New Roman" w:eastAsia="仿宋_GB2312" w:hAnsi="Times New Roman" w:hint="eastAsia"/>
          <w:sz w:val="32"/>
          <w:szCs w:val="32"/>
        </w:rPr>
        <w:t>评价以及</w:t>
      </w:r>
      <w:r w:rsidR="00031889">
        <w:rPr>
          <w:rFonts w:ascii="Times New Roman" w:eastAsia="仿宋_GB2312" w:hAnsi="Times New Roman" w:hint="eastAsia"/>
          <w:sz w:val="32"/>
          <w:szCs w:val="32"/>
        </w:rPr>
        <w:t>动物实验</w:t>
      </w:r>
      <w:r w:rsidR="006000A5">
        <w:rPr>
          <w:rFonts w:ascii="Times New Roman" w:eastAsia="仿宋_GB2312" w:hAnsi="Times New Roman" w:hint="eastAsia"/>
          <w:sz w:val="32"/>
          <w:szCs w:val="32"/>
        </w:rPr>
        <w:t>研究，同时，由于变更配方后的材料性能差异，</w:t>
      </w:r>
      <w:r w:rsidR="004C2012">
        <w:rPr>
          <w:rFonts w:ascii="Times New Roman" w:eastAsia="仿宋_GB2312" w:hAnsi="Times New Roman" w:hint="eastAsia"/>
          <w:sz w:val="32"/>
          <w:szCs w:val="32"/>
        </w:rPr>
        <w:t>导致其临床使用部位及其安全有效性的不同</w:t>
      </w:r>
      <w:r w:rsidR="000309A0">
        <w:rPr>
          <w:rFonts w:ascii="Times New Roman" w:eastAsia="仿宋_GB2312" w:hAnsi="Times New Roman" w:hint="eastAsia"/>
          <w:sz w:val="32"/>
          <w:szCs w:val="32"/>
        </w:rPr>
        <w:t>，还应进行</w:t>
      </w:r>
      <w:r w:rsidR="006518E5">
        <w:rPr>
          <w:rFonts w:ascii="Times New Roman" w:eastAsia="仿宋_GB2312" w:hAnsi="Times New Roman" w:hint="eastAsia"/>
          <w:sz w:val="32"/>
          <w:szCs w:val="32"/>
        </w:rPr>
        <w:t>临床评价</w:t>
      </w:r>
      <w:r w:rsidR="006000A5">
        <w:rPr>
          <w:rFonts w:ascii="Times New Roman" w:eastAsia="仿宋_GB2312" w:hAnsi="Times New Roman" w:hint="eastAsia"/>
          <w:sz w:val="32"/>
          <w:szCs w:val="32"/>
        </w:rPr>
        <w:t>，</w:t>
      </w:r>
      <w:r>
        <w:rPr>
          <w:rFonts w:ascii="Times New Roman" w:eastAsia="仿宋_GB2312" w:hAnsi="Times New Roman" w:hint="eastAsia"/>
          <w:sz w:val="32"/>
          <w:szCs w:val="32"/>
        </w:rPr>
        <w:t>验证其是否满足临床安全有效性的要求。</w:t>
      </w:r>
    </w:p>
    <w:p w:rsidR="00063A47" w:rsidRPr="00063A47" w:rsidRDefault="007E16CD" w:rsidP="00063A47">
      <w:pPr>
        <w:ind w:firstLine="645"/>
        <w:rPr>
          <w:rFonts w:ascii="Times New Roman" w:eastAsia="仿宋_GB2312" w:hAnsi="Times New Roman"/>
          <w:sz w:val="32"/>
          <w:szCs w:val="32"/>
        </w:rPr>
      </w:pPr>
      <w:r w:rsidRPr="00A1360E">
        <w:rPr>
          <w:rFonts w:ascii="Times New Roman" w:eastAsia="仿宋_GB2312" w:hAnsi="Times New Roman" w:hint="eastAsia"/>
          <w:sz w:val="32"/>
          <w:szCs w:val="32"/>
        </w:rPr>
        <w:t>2</w:t>
      </w:r>
      <w:r w:rsidR="005A3A3E" w:rsidRPr="00A1360E">
        <w:rPr>
          <w:rFonts w:ascii="Times New Roman" w:eastAsia="仿宋_GB2312" w:hAnsi="Times New Roman" w:hint="eastAsia"/>
          <w:sz w:val="32"/>
          <w:szCs w:val="32"/>
        </w:rPr>
        <w:t>.</w:t>
      </w:r>
      <w:r w:rsidR="00063A47" w:rsidRPr="00063A47">
        <w:rPr>
          <w:rFonts w:ascii="Times New Roman" w:eastAsia="仿宋_GB2312" w:hAnsi="Times New Roman" w:hint="eastAsia"/>
          <w:sz w:val="32"/>
          <w:szCs w:val="32"/>
        </w:rPr>
        <w:t xml:space="preserve"> </w:t>
      </w:r>
      <w:r w:rsidR="00063A47" w:rsidRPr="00063A47">
        <w:rPr>
          <w:rFonts w:ascii="Times New Roman" w:eastAsia="仿宋_GB2312" w:hAnsi="Times New Roman" w:hint="eastAsia"/>
          <w:sz w:val="32"/>
          <w:szCs w:val="32"/>
        </w:rPr>
        <w:t>角膜接触镜护理液</w:t>
      </w:r>
    </w:p>
    <w:p w:rsidR="005F144C" w:rsidRPr="00063A47" w:rsidRDefault="005F144C" w:rsidP="005F144C">
      <w:pPr>
        <w:ind w:firstLine="645"/>
        <w:rPr>
          <w:rFonts w:ascii="Times New Roman" w:eastAsia="仿宋_GB2312" w:hAnsi="Times New Roman"/>
          <w:sz w:val="32"/>
          <w:szCs w:val="32"/>
        </w:rPr>
      </w:pPr>
      <w:r w:rsidRPr="00063A47">
        <w:rPr>
          <w:rFonts w:ascii="Times New Roman" w:eastAsia="仿宋_GB2312" w:hAnsi="Times New Roman" w:hint="eastAsia"/>
          <w:sz w:val="32"/>
          <w:szCs w:val="32"/>
        </w:rPr>
        <w:t>角膜接触镜护理</w:t>
      </w:r>
      <w:proofErr w:type="gramStart"/>
      <w:r w:rsidRPr="00063A47">
        <w:rPr>
          <w:rFonts w:ascii="Times New Roman" w:eastAsia="仿宋_GB2312" w:hAnsi="Times New Roman" w:hint="eastAsia"/>
          <w:sz w:val="32"/>
          <w:szCs w:val="32"/>
        </w:rPr>
        <w:t>液包括</w:t>
      </w:r>
      <w:proofErr w:type="gramEnd"/>
      <w:r w:rsidRPr="00063A47">
        <w:rPr>
          <w:rFonts w:ascii="Times New Roman" w:eastAsia="仿宋_GB2312" w:hAnsi="Times New Roman" w:hint="eastAsia"/>
          <w:sz w:val="32"/>
          <w:szCs w:val="32"/>
        </w:rPr>
        <w:t>氯化钠、磷酸盐等成分，若申请人将护理液中各成分的比例进行调整，属于医疗器械主体材料的组分</w:t>
      </w:r>
      <w:r w:rsidRPr="00063A47">
        <w:rPr>
          <w:rFonts w:ascii="Times New Roman" w:eastAsia="仿宋_GB2312" w:hAnsi="Times New Roman" w:hint="eastAsia"/>
          <w:sz w:val="32"/>
          <w:szCs w:val="32"/>
        </w:rPr>
        <w:t>/</w:t>
      </w:r>
      <w:r w:rsidRPr="00063A47">
        <w:rPr>
          <w:rFonts w:ascii="Times New Roman" w:eastAsia="仿宋_GB2312" w:hAnsi="Times New Roman" w:hint="eastAsia"/>
          <w:sz w:val="32"/>
          <w:szCs w:val="32"/>
        </w:rPr>
        <w:t>配比发生变化。建议开展</w:t>
      </w:r>
      <w:r w:rsidRPr="00063A47">
        <w:rPr>
          <w:rFonts w:ascii="Times New Roman" w:eastAsia="仿宋_GB2312" w:hAnsi="Times New Roman" w:hint="eastAsia"/>
          <w:sz w:val="32"/>
          <w:szCs w:val="32"/>
        </w:rPr>
        <w:t>PH</w:t>
      </w:r>
      <w:r w:rsidRPr="00063A47">
        <w:rPr>
          <w:rFonts w:ascii="Times New Roman" w:eastAsia="仿宋_GB2312" w:hAnsi="Times New Roman" w:hint="eastAsia"/>
          <w:sz w:val="32"/>
          <w:szCs w:val="32"/>
        </w:rPr>
        <w:t>、渗透压、黏度等理化性能的测试，同时验证与镜片的物理相容性、产品稳定性及清洁率等可能影响的产品功能</w:t>
      </w:r>
      <w:r>
        <w:rPr>
          <w:rFonts w:ascii="Times New Roman" w:eastAsia="仿宋_GB2312" w:hAnsi="Times New Roman" w:hint="eastAsia"/>
          <w:sz w:val="32"/>
          <w:szCs w:val="32"/>
        </w:rPr>
        <w:t>。鉴于</w:t>
      </w:r>
      <w:r w:rsidRPr="00063A47">
        <w:rPr>
          <w:rFonts w:ascii="Times New Roman" w:eastAsia="仿宋_GB2312" w:hAnsi="Times New Roman" w:hint="eastAsia"/>
          <w:sz w:val="32"/>
          <w:szCs w:val="32"/>
        </w:rPr>
        <w:t>组分</w:t>
      </w:r>
      <w:r w:rsidRPr="00063A47">
        <w:rPr>
          <w:rFonts w:ascii="Times New Roman" w:eastAsia="仿宋_GB2312" w:hAnsi="Times New Roman" w:hint="eastAsia"/>
          <w:sz w:val="32"/>
          <w:szCs w:val="32"/>
        </w:rPr>
        <w:t>/</w:t>
      </w:r>
      <w:r w:rsidRPr="00063A47">
        <w:rPr>
          <w:rFonts w:ascii="Times New Roman" w:eastAsia="仿宋_GB2312" w:hAnsi="Times New Roman" w:hint="eastAsia"/>
          <w:sz w:val="32"/>
          <w:szCs w:val="32"/>
        </w:rPr>
        <w:t>配比</w:t>
      </w:r>
      <w:r>
        <w:rPr>
          <w:rFonts w:ascii="Times New Roman" w:eastAsia="仿宋_GB2312" w:hAnsi="Times New Roman" w:hint="eastAsia"/>
          <w:sz w:val="32"/>
          <w:szCs w:val="32"/>
        </w:rPr>
        <w:t>的变化对产品功能可能造成影响，开展</w:t>
      </w:r>
      <w:r w:rsidR="006518E5">
        <w:rPr>
          <w:rFonts w:ascii="Times New Roman" w:eastAsia="仿宋_GB2312" w:hAnsi="Times New Roman" w:hint="eastAsia"/>
          <w:sz w:val="32"/>
          <w:szCs w:val="32"/>
        </w:rPr>
        <w:t>临床评价</w:t>
      </w:r>
      <w:r>
        <w:rPr>
          <w:rFonts w:ascii="Times New Roman" w:eastAsia="仿宋_GB2312" w:hAnsi="Times New Roman" w:hint="eastAsia"/>
          <w:sz w:val="32"/>
          <w:szCs w:val="32"/>
        </w:rPr>
        <w:t>时应重点评价申报产品与市售产品在功能方面的差异，进一步分析变化情况对产品临床应用时安全性有效性是否带来不利影响</w:t>
      </w:r>
      <w:r w:rsidRPr="00063A47">
        <w:rPr>
          <w:rFonts w:ascii="Times New Roman" w:eastAsia="仿宋_GB2312" w:hAnsi="Times New Roman" w:hint="eastAsia"/>
          <w:sz w:val="32"/>
          <w:szCs w:val="32"/>
        </w:rPr>
        <w:t>。</w:t>
      </w:r>
    </w:p>
    <w:p w:rsidR="004E24B3" w:rsidRPr="00063A47" w:rsidRDefault="00063A47" w:rsidP="004E24B3">
      <w:pPr>
        <w:ind w:firstLine="645"/>
        <w:rPr>
          <w:rFonts w:ascii="Times New Roman" w:eastAsia="仿宋_GB2312" w:hAnsi="Times New Roman"/>
          <w:sz w:val="32"/>
          <w:szCs w:val="32"/>
        </w:rPr>
      </w:pPr>
      <w:r>
        <w:rPr>
          <w:rFonts w:ascii="Times New Roman" w:eastAsia="仿宋_GB2312" w:hAnsi="Times New Roman" w:hint="eastAsia"/>
          <w:sz w:val="32"/>
          <w:szCs w:val="32"/>
        </w:rPr>
        <w:t>3.</w:t>
      </w:r>
      <w:r w:rsidRPr="00063A47">
        <w:rPr>
          <w:rFonts w:ascii="Times New Roman" w:eastAsia="仿宋_GB2312" w:hAnsi="Times New Roman" w:hint="eastAsia"/>
          <w:sz w:val="32"/>
          <w:szCs w:val="32"/>
        </w:rPr>
        <w:t>彩色角膜接触镜</w:t>
      </w:r>
    </w:p>
    <w:p w:rsidR="005F144C" w:rsidRPr="00063A47" w:rsidRDefault="005F144C" w:rsidP="005F144C">
      <w:pPr>
        <w:ind w:firstLine="645"/>
        <w:rPr>
          <w:rFonts w:ascii="Times New Roman" w:eastAsia="仿宋_GB2312" w:hAnsi="Times New Roman"/>
          <w:sz w:val="32"/>
          <w:szCs w:val="32"/>
        </w:rPr>
      </w:pPr>
      <w:r w:rsidRPr="00063A47">
        <w:rPr>
          <w:rFonts w:ascii="Times New Roman" w:eastAsia="仿宋_GB2312" w:hAnsi="Times New Roman" w:hint="eastAsia"/>
          <w:sz w:val="32"/>
          <w:szCs w:val="32"/>
        </w:rPr>
        <w:lastRenderedPageBreak/>
        <w:t>彩色角膜接触镜用于矫正近视并改变虹膜颜色，产品分为不同种颜色的镜片，相互之间涉及染料成分及配比的不同。若角膜接触镜中使用的染料成分</w:t>
      </w:r>
      <w:r w:rsidRPr="00063A47">
        <w:rPr>
          <w:rFonts w:ascii="Times New Roman" w:eastAsia="仿宋_GB2312" w:hAnsi="Times New Roman" w:hint="eastAsia"/>
          <w:sz w:val="32"/>
          <w:szCs w:val="32"/>
        </w:rPr>
        <w:t>/</w:t>
      </w:r>
      <w:r w:rsidRPr="00063A47">
        <w:rPr>
          <w:rFonts w:ascii="Times New Roman" w:eastAsia="仿宋_GB2312" w:hAnsi="Times New Roman" w:hint="eastAsia"/>
          <w:sz w:val="32"/>
          <w:szCs w:val="32"/>
        </w:rPr>
        <w:t>配比发生改变，应提供新增染料的安全性数据，包括该染料在医疗器械方面的临床使用史、接触镜萃取试验等，对于</w:t>
      </w:r>
      <w:proofErr w:type="gramStart"/>
      <w:r w:rsidRPr="00063A47">
        <w:rPr>
          <w:rFonts w:ascii="Times New Roman" w:eastAsia="仿宋_GB2312" w:hAnsi="Times New Roman" w:hint="eastAsia"/>
          <w:sz w:val="32"/>
          <w:szCs w:val="32"/>
        </w:rPr>
        <w:t>萃取率限量</w:t>
      </w:r>
      <w:proofErr w:type="gramEnd"/>
      <w:r w:rsidRPr="00063A47">
        <w:rPr>
          <w:rFonts w:ascii="Times New Roman" w:eastAsia="仿宋_GB2312" w:hAnsi="Times New Roman" w:hint="eastAsia"/>
          <w:sz w:val="32"/>
          <w:szCs w:val="32"/>
        </w:rPr>
        <w:t>要求进行重新验证，另外考虑重新进行生物学评价及褪色试验等研究。</w:t>
      </w:r>
      <w:r>
        <w:rPr>
          <w:rFonts w:ascii="Times New Roman" w:eastAsia="仿宋_GB2312" w:hAnsi="Times New Roman" w:hint="eastAsia"/>
          <w:sz w:val="32"/>
          <w:szCs w:val="32"/>
        </w:rPr>
        <w:t>若上述临床前研究资料充分，可不需要通过</w:t>
      </w:r>
      <w:r w:rsidR="006518E5">
        <w:rPr>
          <w:rFonts w:ascii="Times New Roman" w:eastAsia="仿宋_GB2312" w:hAnsi="Times New Roman" w:hint="eastAsia"/>
          <w:sz w:val="32"/>
          <w:szCs w:val="32"/>
        </w:rPr>
        <w:t>临床评价</w:t>
      </w:r>
      <w:r>
        <w:rPr>
          <w:rFonts w:ascii="Times New Roman" w:eastAsia="仿宋_GB2312" w:hAnsi="Times New Roman" w:hint="eastAsia"/>
          <w:sz w:val="32"/>
          <w:szCs w:val="32"/>
        </w:rPr>
        <w:t>进一步收集产品安全性及有效性证据。</w:t>
      </w:r>
    </w:p>
    <w:p w:rsidR="00F8326B" w:rsidRDefault="00063A47" w:rsidP="00F8326B">
      <w:pPr>
        <w:ind w:firstLine="645"/>
        <w:rPr>
          <w:rFonts w:ascii="Times New Roman" w:eastAsia="仿宋_GB2312" w:hAnsi="Times New Roman"/>
          <w:sz w:val="32"/>
          <w:szCs w:val="32"/>
        </w:rPr>
      </w:pPr>
      <w:r>
        <w:rPr>
          <w:rFonts w:ascii="Times New Roman" w:eastAsia="仿宋_GB2312" w:hAnsi="Times New Roman" w:hint="eastAsia"/>
          <w:sz w:val="32"/>
          <w:szCs w:val="32"/>
        </w:rPr>
        <w:t>4.</w:t>
      </w:r>
      <w:r w:rsidR="00F8326B">
        <w:rPr>
          <w:rFonts w:ascii="Times New Roman" w:eastAsia="仿宋_GB2312" w:hAnsi="Times New Roman" w:hint="eastAsia"/>
          <w:sz w:val="32"/>
          <w:szCs w:val="32"/>
        </w:rPr>
        <w:t>人工关节用丙烯酸骨水泥</w:t>
      </w:r>
    </w:p>
    <w:p w:rsidR="004E24B3" w:rsidRPr="00063A47" w:rsidRDefault="004E24B3" w:rsidP="004E24B3">
      <w:pPr>
        <w:ind w:firstLine="645"/>
        <w:rPr>
          <w:rFonts w:ascii="Times New Roman" w:eastAsia="仿宋_GB2312" w:hAnsi="Times New Roman"/>
          <w:sz w:val="32"/>
          <w:szCs w:val="32"/>
        </w:rPr>
      </w:pPr>
      <w:r w:rsidRPr="00063A47">
        <w:rPr>
          <w:rFonts w:ascii="Times New Roman" w:eastAsia="仿宋_GB2312" w:hAnsi="Times New Roman" w:hint="eastAsia"/>
          <w:sz w:val="32"/>
          <w:szCs w:val="32"/>
        </w:rPr>
        <w:t>该类产品由一般由粉体与液体两部分组成，粉体中包含聚甲基丙烯酸甲酯均聚物或含有聚甲基丙烯酸甲酯的共聚物或者两者的混合物构成的聚合物粉体、引发剂过氧化二苯甲酰、显影剂二氧化锆或者硫酸钡、抗生素、着色剂等；液体中含有甲基丙烯酸甲酯（</w:t>
      </w:r>
      <w:r w:rsidRPr="00063A47">
        <w:rPr>
          <w:rFonts w:ascii="Times New Roman" w:eastAsia="仿宋_GB2312" w:hAnsi="Times New Roman" w:hint="eastAsia"/>
          <w:sz w:val="32"/>
          <w:szCs w:val="32"/>
        </w:rPr>
        <w:t>MMA</w:t>
      </w:r>
      <w:r w:rsidRPr="00063A47">
        <w:rPr>
          <w:rFonts w:ascii="Times New Roman" w:eastAsia="仿宋_GB2312" w:hAnsi="Times New Roman" w:hint="eastAsia"/>
          <w:sz w:val="32"/>
          <w:szCs w:val="32"/>
        </w:rPr>
        <w:t>）单体、活化剂</w:t>
      </w:r>
      <w:r w:rsidRPr="00063A47">
        <w:rPr>
          <w:rFonts w:ascii="Times New Roman" w:eastAsia="仿宋_GB2312" w:hAnsi="Times New Roman" w:hint="eastAsia"/>
          <w:sz w:val="32"/>
          <w:szCs w:val="32"/>
        </w:rPr>
        <w:t>N</w:t>
      </w:r>
      <w:r w:rsidRPr="00063A47">
        <w:rPr>
          <w:rFonts w:ascii="Times New Roman" w:eastAsia="仿宋_GB2312" w:hAnsi="Times New Roman" w:hint="eastAsia"/>
          <w:sz w:val="32"/>
          <w:szCs w:val="32"/>
        </w:rPr>
        <w:t>，</w:t>
      </w:r>
      <w:r w:rsidRPr="00063A47">
        <w:rPr>
          <w:rFonts w:ascii="Times New Roman" w:eastAsia="仿宋_GB2312" w:hAnsi="Times New Roman" w:hint="eastAsia"/>
          <w:sz w:val="32"/>
          <w:szCs w:val="32"/>
        </w:rPr>
        <w:t>N-</w:t>
      </w:r>
      <w:r w:rsidRPr="00063A47">
        <w:rPr>
          <w:rFonts w:ascii="Times New Roman" w:eastAsia="仿宋_GB2312" w:hAnsi="Times New Roman" w:hint="eastAsia"/>
          <w:sz w:val="32"/>
          <w:szCs w:val="32"/>
        </w:rPr>
        <w:t>二甲基对甲苯胺、阻聚剂对苯二</w:t>
      </w:r>
      <w:proofErr w:type="gramStart"/>
      <w:r w:rsidRPr="00063A47">
        <w:rPr>
          <w:rFonts w:ascii="Times New Roman" w:eastAsia="仿宋_GB2312" w:hAnsi="Times New Roman" w:hint="eastAsia"/>
          <w:sz w:val="32"/>
          <w:szCs w:val="32"/>
        </w:rPr>
        <w:t>酚</w:t>
      </w:r>
      <w:proofErr w:type="gramEnd"/>
      <w:r w:rsidRPr="00063A47">
        <w:rPr>
          <w:rFonts w:ascii="Times New Roman" w:eastAsia="仿宋_GB2312" w:hAnsi="Times New Roman" w:hint="eastAsia"/>
          <w:sz w:val="32"/>
          <w:szCs w:val="32"/>
        </w:rPr>
        <w:t>、着色剂等。</w:t>
      </w:r>
    </w:p>
    <w:p w:rsidR="004E24B3" w:rsidRPr="00063A47" w:rsidRDefault="004E24B3" w:rsidP="004E24B3">
      <w:pPr>
        <w:ind w:firstLine="645"/>
        <w:rPr>
          <w:rFonts w:ascii="Times New Roman" w:eastAsia="仿宋_GB2312" w:hAnsi="Times New Roman"/>
          <w:sz w:val="32"/>
          <w:szCs w:val="32"/>
        </w:rPr>
      </w:pPr>
      <w:r w:rsidRPr="00063A47">
        <w:rPr>
          <w:rFonts w:ascii="Times New Roman" w:eastAsia="仿宋_GB2312" w:hAnsi="Times New Roman" w:hint="eastAsia"/>
          <w:sz w:val="32"/>
          <w:szCs w:val="32"/>
        </w:rPr>
        <w:t>丙烯酸树脂骨水泥粉体和液体的组分和配比改变，产品性能及工作特性也会产生相应</w:t>
      </w:r>
      <w:r w:rsidR="000309A0">
        <w:rPr>
          <w:rFonts w:ascii="Times New Roman" w:eastAsia="仿宋_GB2312" w:hAnsi="Times New Roman" w:hint="eastAsia"/>
          <w:sz w:val="32"/>
          <w:szCs w:val="32"/>
        </w:rPr>
        <w:t>改变，这种改变仅通过体外试验研究、台架试验、生物学评价等无法评估</w:t>
      </w:r>
      <w:r w:rsidRPr="00063A47">
        <w:rPr>
          <w:rFonts w:ascii="Times New Roman" w:eastAsia="仿宋_GB2312" w:hAnsi="Times New Roman" w:hint="eastAsia"/>
          <w:sz w:val="32"/>
          <w:szCs w:val="32"/>
        </w:rPr>
        <w:t>其风险或验证其与改变前的产品等同，这种情况下有必要通过</w:t>
      </w:r>
      <w:r w:rsidR="006518E5">
        <w:rPr>
          <w:rFonts w:ascii="Times New Roman" w:eastAsia="仿宋_GB2312" w:hAnsi="Times New Roman" w:hint="eastAsia"/>
          <w:sz w:val="32"/>
          <w:szCs w:val="32"/>
        </w:rPr>
        <w:t>临床评价</w:t>
      </w:r>
      <w:r w:rsidRPr="00063A47">
        <w:rPr>
          <w:rFonts w:ascii="Times New Roman" w:eastAsia="仿宋_GB2312" w:hAnsi="Times New Roman" w:hint="eastAsia"/>
          <w:sz w:val="32"/>
          <w:szCs w:val="32"/>
        </w:rPr>
        <w:t>验证其关节固位的有效性。</w:t>
      </w:r>
    </w:p>
    <w:p w:rsidR="00AE4AC5" w:rsidRPr="00AE4AC5" w:rsidRDefault="00AE4AC5" w:rsidP="00AE4AC5">
      <w:pPr>
        <w:ind w:firstLineChars="200" w:firstLine="640"/>
        <w:rPr>
          <w:rFonts w:ascii="Times New Roman" w:eastAsia="楷体_GB2312" w:hAnsi="Times New Roman"/>
          <w:sz w:val="32"/>
          <w:szCs w:val="32"/>
        </w:rPr>
      </w:pPr>
      <w:r w:rsidRPr="00AE4AC5">
        <w:rPr>
          <w:rFonts w:ascii="Times New Roman" w:eastAsia="楷体_GB2312" w:hAnsi="Times New Roman" w:hint="eastAsia"/>
          <w:sz w:val="32"/>
          <w:szCs w:val="32"/>
        </w:rPr>
        <w:t>（三）材料的加工方法的改变</w:t>
      </w:r>
    </w:p>
    <w:p w:rsidR="00AE4AC5" w:rsidRPr="00A1360E" w:rsidRDefault="00AE4AC5" w:rsidP="00AE4AC5">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医疗器械所用原材料主要包括高分子和金属材料两大</w:t>
      </w:r>
      <w:r w:rsidRPr="00A1360E">
        <w:rPr>
          <w:rFonts w:ascii="Times New Roman" w:eastAsia="仿宋_GB2312" w:hAnsi="Times New Roman" w:hint="eastAsia"/>
          <w:sz w:val="32"/>
          <w:szCs w:val="32"/>
        </w:rPr>
        <w:lastRenderedPageBreak/>
        <w:t>类，以高分子材料为例，其合成路线一般包括聚合、造粒等过程，根据聚合的方式不同又可分为加聚反应和缩聚反应两大类，不同聚合方式、引发物的</w:t>
      </w:r>
      <w:proofErr w:type="gramStart"/>
      <w:r w:rsidRPr="00A1360E">
        <w:rPr>
          <w:rFonts w:ascii="Times New Roman" w:eastAsia="仿宋_GB2312" w:hAnsi="Times New Roman" w:hint="eastAsia"/>
          <w:sz w:val="32"/>
          <w:szCs w:val="32"/>
        </w:rPr>
        <w:t>不</w:t>
      </w:r>
      <w:proofErr w:type="gramEnd"/>
      <w:r w:rsidRPr="00A1360E">
        <w:rPr>
          <w:rFonts w:ascii="Times New Roman" w:eastAsia="仿宋_GB2312" w:hAnsi="Times New Roman" w:hint="eastAsia"/>
          <w:sz w:val="32"/>
          <w:szCs w:val="32"/>
        </w:rPr>
        <w:t>同等均对聚合物的聚合度等产生影响，进而造成高分子塑料的性能差异。</w:t>
      </w:r>
    </w:p>
    <w:p w:rsidR="00AE4AC5" w:rsidRPr="00A1360E" w:rsidRDefault="00AE4AC5" w:rsidP="00AE4AC5">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在最终医疗器械</w:t>
      </w:r>
      <w:r w:rsidR="00AE51E3">
        <w:rPr>
          <w:rFonts w:ascii="Times New Roman" w:eastAsia="仿宋_GB2312" w:hAnsi="Times New Roman" w:hint="eastAsia"/>
          <w:sz w:val="32"/>
          <w:szCs w:val="32"/>
        </w:rPr>
        <w:t>持证人</w:t>
      </w:r>
      <w:r w:rsidRPr="00A1360E">
        <w:rPr>
          <w:rFonts w:ascii="Times New Roman" w:eastAsia="仿宋_GB2312" w:hAnsi="Times New Roman" w:hint="eastAsia"/>
          <w:sz w:val="32"/>
          <w:szCs w:val="32"/>
        </w:rPr>
        <w:t>获知原材料加工方式的改变前提下，企业应按照附录</w:t>
      </w:r>
      <w:r w:rsidRPr="00A1360E">
        <w:rPr>
          <w:rFonts w:ascii="Times New Roman" w:eastAsia="仿宋_GB2312" w:hAnsi="Times New Roman" w:hint="eastAsia"/>
          <w:sz w:val="32"/>
          <w:szCs w:val="32"/>
        </w:rPr>
        <w:t>1</w:t>
      </w:r>
      <w:r w:rsidRPr="00A1360E">
        <w:rPr>
          <w:rFonts w:ascii="Times New Roman" w:eastAsia="仿宋_GB2312" w:hAnsi="Times New Roman" w:hint="eastAsia"/>
          <w:sz w:val="32"/>
          <w:szCs w:val="32"/>
        </w:rPr>
        <w:t>中评估路径并根据产品特点充分评估材料加工方法差异对产品性能的影响，</w:t>
      </w:r>
    </w:p>
    <w:p w:rsidR="00AE4AC5" w:rsidRDefault="00AE4AC5" w:rsidP="00AE4AC5">
      <w:pPr>
        <w:ind w:firstLineChars="200" w:firstLine="640"/>
        <w:rPr>
          <w:rFonts w:ascii="Times New Roman" w:eastAsia="仿宋_GB2312" w:hAnsi="Times New Roman"/>
          <w:sz w:val="32"/>
          <w:szCs w:val="32"/>
        </w:rPr>
      </w:pPr>
      <w:r w:rsidRPr="00A1360E">
        <w:rPr>
          <w:rFonts w:ascii="Times New Roman" w:eastAsia="仿宋_GB2312" w:hAnsi="Times New Roman"/>
          <w:sz w:val="32"/>
          <w:szCs w:val="32"/>
        </w:rPr>
        <w:t>值得说明的是</w:t>
      </w:r>
      <w:r w:rsidRPr="00A1360E">
        <w:rPr>
          <w:rFonts w:ascii="Times New Roman" w:eastAsia="仿宋_GB2312" w:hAnsi="Times New Roman" w:hint="eastAsia"/>
          <w:sz w:val="32"/>
          <w:szCs w:val="32"/>
        </w:rPr>
        <w:t>，</w:t>
      </w:r>
      <w:r w:rsidR="000309A0">
        <w:rPr>
          <w:rFonts w:ascii="Times New Roman" w:eastAsia="仿宋_GB2312" w:hAnsi="Times New Roman" w:hint="eastAsia"/>
          <w:sz w:val="32"/>
          <w:szCs w:val="32"/>
        </w:rPr>
        <w:t>医疗器械注册人有义务获得原材料组分及加工方式的改变，并充分评估其对</w:t>
      </w:r>
      <w:proofErr w:type="gramStart"/>
      <w:r w:rsidR="000309A0">
        <w:rPr>
          <w:rFonts w:ascii="Times New Roman" w:eastAsia="仿宋_GB2312" w:hAnsi="Times New Roman" w:hint="eastAsia"/>
          <w:sz w:val="32"/>
          <w:szCs w:val="32"/>
        </w:rPr>
        <w:t>终产品</w:t>
      </w:r>
      <w:proofErr w:type="gramEnd"/>
      <w:r w:rsidR="000309A0">
        <w:rPr>
          <w:rFonts w:ascii="Times New Roman" w:eastAsia="仿宋_GB2312" w:hAnsi="Times New Roman" w:hint="eastAsia"/>
          <w:sz w:val="32"/>
          <w:szCs w:val="32"/>
        </w:rPr>
        <w:t>的影响，必要时可通过</w:t>
      </w:r>
      <w:r w:rsidRPr="00A1360E">
        <w:rPr>
          <w:rFonts w:ascii="Times New Roman" w:eastAsia="仿宋_GB2312" w:hAnsi="Times New Roman"/>
          <w:sz w:val="32"/>
          <w:szCs w:val="32"/>
        </w:rPr>
        <w:t>对原材料</w:t>
      </w:r>
      <w:r w:rsidR="000309A0">
        <w:rPr>
          <w:rFonts w:ascii="Times New Roman" w:eastAsia="仿宋_GB2312" w:hAnsi="Times New Roman"/>
          <w:sz w:val="32"/>
          <w:szCs w:val="32"/>
        </w:rPr>
        <w:t>供应商的</w:t>
      </w:r>
      <w:r w:rsidRPr="00A1360E">
        <w:rPr>
          <w:rFonts w:ascii="Times New Roman" w:eastAsia="仿宋_GB2312" w:hAnsi="Times New Roman"/>
          <w:sz w:val="32"/>
          <w:szCs w:val="32"/>
        </w:rPr>
        <w:t>入厂检查</w:t>
      </w:r>
      <w:r w:rsidR="000309A0">
        <w:rPr>
          <w:rFonts w:ascii="Times New Roman" w:eastAsia="仿宋_GB2312" w:hAnsi="Times New Roman" w:hint="eastAsia"/>
          <w:sz w:val="32"/>
          <w:szCs w:val="32"/>
        </w:rPr>
        <w:t>、</w:t>
      </w:r>
      <w:r w:rsidR="000309A0">
        <w:rPr>
          <w:rFonts w:ascii="Times New Roman" w:eastAsia="仿宋_GB2312" w:hAnsi="Times New Roman"/>
          <w:sz w:val="32"/>
          <w:szCs w:val="32"/>
        </w:rPr>
        <w:t>化学分析等方式获取</w:t>
      </w:r>
      <w:r w:rsidRPr="00A1360E">
        <w:rPr>
          <w:rFonts w:ascii="Times New Roman" w:eastAsia="仿宋_GB2312" w:hAnsi="Times New Roman" w:hint="eastAsia"/>
          <w:sz w:val="32"/>
          <w:szCs w:val="32"/>
        </w:rPr>
        <w:t>。当发现原材料的某些性能指标发生改变，应及时与原材料生产企业进行确认，以确保最终医疗器械产品的稳定。</w:t>
      </w:r>
    </w:p>
    <w:p w:rsidR="004E24B3" w:rsidRPr="00063A47" w:rsidRDefault="000309A0" w:rsidP="004E24B3">
      <w:pPr>
        <w:ind w:firstLine="645"/>
        <w:rPr>
          <w:rFonts w:ascii="Times New Roman" w:eastAsia="仿宋_GB2312" w:hAnsi="Times New Roman"/>
          <w:sz w:val="32"/>
          <w:szCs w:val="32"/>
        </w:rPr>
      </w:pPr>
      <w:r>
        <w:rPr>
          <w:rFonts w:ascii="Times New Roman" w:eastAsia="仿宋_GB2312" w:hAnsi="Times New Roman" w:hint="eastAsia"/>
          <w:sz w:val="32"/>
          <w:szCs w:val="32"/>
        </w:rPr>
        <w:t>例如，</w:t>
      </w:r>
      <w:r w:rsidR="004E24B3" w:rsidRPr="00063A47">
        <w:rPr>
          <w:rFonts w:ascii="Times New Roman" w:eastAsia="仿宋_GB2312" w:hAnsi="Times New Roman" w:hint="eastAsia"/>
          <w:sz w:val="32"/>
          <w:szCs w:val="32"/>
        </w:rPr>
        <w:t>硅橡胶植入物材料由双组份加成硫化变更为热硫化，</w:t>
      </w:r>
      <w:proofErr w:type="gramStart"/>
      <w:r w:rsidR="004E24B3" w:rsidRPr="00063A47">
        <w:rPr>
          <w:rFonts w:ascii="Times New Roman" w:eastAsia="仿宋_GB2312" w:hAnsi="Times New Roman" w:hint="eastAsia"/>
          <w:sz w:val="32"/>
          <w:szCs w:val="32"/>
        </w:rPr>
        <w:t>该硫化</w:t>
      </w:r>
      <w:proofErr w:type="gramEnd"/>
      <w:r w:rsidR="004E24B3" w:rsidRPr="00063A47">
        <w:rPr>
          <w:rFonts w:ascii="Times New Roman" w:eastAsia="仿宋_GB2312" w:hAnsi="Times New Roman" w:hint="eastAsia"/>
          <w:sz w:val="32"/>
          <w:szCs w:val="32"/>
        </w:rPr>
        <w:t>方式的变化预期将对产品物理性能造成影响，针对不同产品选择适用的物理性能项目进行研究，例如乳房植入体的壳体材料硫化方式变化，产品应考虑壳体扯断伸长率、壳体拉伸永久形变、壳体抗撕裂性能、壳体耐磨性能、</w:t>
      </w:r>
      <w:proofErr w:type="gramStart"/>
      <w:r w:rsidR="004E24B3" w:rsidRPr="00063A47">
        <w:rPr>
          <w:rFonts w:ascii="Times New Roman" w:eastAsia="仿宋_GB2312" w:hAnsi="Times New Roman" w:hint="eastAsia"/>
          <w:sz w:val="32"/>
          <w:szCs w:val="32"/>
        </w:rPr>
        <w:t>植入体抗冲击</w:t>
      </w:r>
      <w:proofErr w:type="gramEnd"/>
      <w:r w:rsidR="004E24B3" w:rsidRPr="00063A47">
        <w:rPr>
          <w:rFonts w:ascii="Times New Roman" w:eastAsia="仿宋_GB2312" w:hAnsi="Times New Roman" w:hint="eastAsia"/>
          <w:sz w:val="32"/>
          <w:szCs w:val="32"/>
        </w:rPr>
        <w:t>性能、静态破裂性能、疲劳性能等。</w:t>
      </w:r>
      <w:proofErr w:type="gramStart"/>
      <w:r w:rsidR="004E24B3" w:rsidRPr="00063A47">
        <w:rPr>
          <w:rFonts w:ascii="Times New Roman" w:eastAsia="仿宋_GB2312" w:hAnsi="Times New Roman" w:hint="eastAsia"/>
          <w:sz w:val="32"/>
          <w:szCs w:val="32"/>
        </w:rPr>
        <w:t>该硫化</w:t>
      </w:r>
      <w:proofErr w:type="gramEnd"/>
      <w:r w:rsidR="004E24B3" w:rsidRPr="00063A47">
        <w:rPr>
          <w:rFonts w:ascii="Times New Roman" w:eastAsia="仿宋_GB2312" w:hAnsi="Times New Roman" w:hint="eastAsia"/>
          <w:sz w:val="32"/>
          <w:szCs w:val="32"/>
        </w:rPr>
        <w:t>方式的变化预期影响产品的化学性能，例如乳房植入体的壳体材料硫化方式变化，应考虑的化学性能项目包括干燥失重、微量元素、蒸发残渣、酸碱度、紫外吸收、重金属总量、</w:t>
      </w:r>
      <w:r w:rsidR="004E24B3" w:rsidRPr="00063A47">
        <w:rPr>
          <w:rFonts w:ascii="Times New Roman" w:eastAsia="仿宋_GB2312" w:hAnsi="Times New Roman" w:hint="eastAsia"/>
          <w:sz w:val="32"/>
          <w:szCs w:val="32"/>
        </w:rPr>
        <w:t>D4</w:t>
      </w:r>
      <w:r w:rsidR="004E24B3" w:rsidRPr="00063A47">
        <w:rPr>
          <w:rFonts w:ascii="Times New Roman" w:eastAsia="仿宋_GB2312" w:hAnsi="Times New Roman" w:hint="eastAsia"/>
          <w:sz w:val="32"/>
          <w:szCs w:val="32"/>
        </w:rPr>
        <w:t>与</w:t>
      </w:r>
      <w:r w:rsidR="004E24B3" w:rsidRPr="00063A47">
        <w:rPr>
          <w:rFonts w:ascii="Times New Roman" w:eastAsia="仿宋_GB2312" w:hAnsi="Times New Roman" w:hint="eastAsia"/>
          <w:sz w:val="32"/>
          <w:szCs w:val="32"/>
        </w:rPr>
        <w:t>D5</w:t>
      </w:r>
      <w:r w:rsidR="004E24B3" w:rsidRPr="00063A47">
        <w:rPr>
          <w:rFonts w:ascii="Times New Roman" w:eastAsia="仿宋_GB2312" w:hAnsi="Times New Roman" w:hint="eastAsia"/>
          <w:sz w:val="32"/>
          <w:szCs w:val="32"/>
        </w:rPr>
        <w:t>等小分子硅氧烷的残留限量，针对加成硫化方式的还原</w:t>
      </w:r>
      <w:r w:rsidR="004E24B3" w:rsidRPr="00063A47">
        <w:rPr>
          <w:rFonts w:ascii="Times New Roman" w:eastAsia="仿宋_GB2312" w:hAnsi="Times New Roman" w:hint="eastAsia"/>
          <w:sz w:val="32"/>
          <w:szCs w:val="32"/>
        </w:rPr>
        <w:lastRenderedPageBreak/>
        <w:t>物质项目不再要求，而针对热硫化的过氧化物项目应进行测试。鉴于硫化方式的变化对产品理化性能影响较大，建议对产品的安全性及有效性开展规范的</w:t>
      </w:r>
      <w:r w:rsidR="006518E5">
        <w:rPr>
          <w:rFonts w:ascii="Times New Roman" w:eastAsia="仿宋_GB2312" w:hAnsi="Times New Roman" w:hint="eastAsia"/>
          <w:sz w:val="32"/>
          <w:szCs w:val="32"/>
        </w:rPr>
        <w:t>临床评价</w:t>
      </w:r>
      <w:r w:rsidR="004E24B3" w:rsidRPr="00063A47">
        <w:rPr>
          <w:rFonts w:ascii="Times New Roman" w:eastAsia="仿宋_GB2312" w:hAnsi="Times New Roman" w:hint="eastAsia"/>
          <w:sz w:val="32"/>
          <w:szCs w:val="32"/>
        </w:rPr>
        <w:t>。</w:t>
      </w:r>
    </w:p>
    <w:p w:rsidR="004E24B3" w:rsidRPr="00063A47" w:rsidRDefault="004E24B3" w:rsidP="004E24B3">
      <w:pPr>
        <w:ind w:firstLine="645"/>
        <w:rPr>
          <w:rFonts w:ascii="Times New Roman" w:eastAsia="仿宋_GB2312" w:hAnsi="Times New Roman"/>
          <w:sz w:val="32"/>
          <w:szCs w:val="32"/>
        </w:rPr>
      </w:pPr>
      <w:r w:rsidRPr="00063A47">
        <w:rPr>
          <w:rFonts w:ascii="Times New Roman" w:eastAsia="仿宋_GB2312" w:hAnsi="Times New Roman" w:hint="eastAsia"/>
          <w:sz w:val="32"/>
          <w:szCs w:val="32"/>
        </w:rPr>
        <w:t>TC4</w:t>
      </w:r>
      <w:r w:rsidRPr="00063A47">
        <w:rPr>
          <w:rFonts w:ascii="Times New Roman" w:eastAsia="仿宋_GB2312" w:hAnsi="Times New Roman" w:hint="eastAsia"/>
          <w:sz w:val="32"/>
          <w:szCs w:val="32"/>
        </w:rPr>
        <w:t>钛合金塑性加工材在骨科植入领域得到广泛应用，随着技术的进步，部分由传统锻造加工方式制造的产品，如人工髋臼杯、定制型假体等，如</w:t>
      </w:r>
      <w:proofErr w:type="gramStart"/>
      <w:r w:rsidRPr="00063A47">
        <w:rPr>
          <w:rFonts w:ascii="Times New Roman" w:eastAsia="仿宋_GB2312" w:hAnsi="Times New Roman" w:hint="eastAsia"/>
          <w:sz w:val="32"/>
          <w:szCs w:val="32"/>
        </w:rPr>
        <w:t>采用增材制造</w:t>
      </w:r>
      <w:proofErr w:type="gramEnd"/>
      <w:r w:rsidRPr="00063A47">
        <w:rPr>
          <w:rFonts w:ascii="Times New Roman" w:eastAsia="仿宋_GB2312" w:hAnsi="Times New Roman" w:hint="eastAsia"/>
          <w:sz w:val="32"/>
          <w:szCs w:val="32"/>
        </w:rPr>
        <w:t>技术可实现</w:t>
      </w:r>
      <w:proofErr w:type="gramStart"/>
      <w:r w:rsidRPr="00063A47">
        <w:rPr>
          <w:rFonts w:ascii="Times New Roman" w:eastAsia="仿宋_GB2312" w:hAnsi="Times New Roman" w:hint="eastAsia"/>
          <w:sz w:val="32"/>
          <w:szCs w:val="32"/>
        </w:rPr>
        <w:t>多孔与</w:t>
      </w:r>
      <w:proofErr w:type="gramEnd"/>
      <w:r w:rsidRPr="00063A47">
        <w:rPr>
          <w:rFonts w:ascii="Times New Roman" w:eastAsia="仿宋_GB2312" w:hAnsi="Times New Roman" w:hint="eastAsia"/>
          <w:sz w:val="32"/>
          <w:szCs w:val="32"/>
        </w:rPr>
        <w:t>实体结构的结合，但加工方式的改变，会带来产品弯曲疲劳性能的下降和金属离子析出的风险，除进行相关力学性能验证和生物学评价外，还需采用</w:t>
      </w:r>
      <w:r w:rsidR="006518E5">
        <w:rPr>
          <w:rFonts w:ascii="Times New Roman" w:eastAsia="仿宋_GB2312" w:hAnsi="Times New Roman" w:hint="eastAsia"/>
          <w:sz w:val="32"/>
          <w:szCs w:val="32"/>
        </w:rPr>
        <w:t>临床评价</w:t>
      </w:r>
      <w:r w:rsidRPr="00063A47">
        <w:rPr>
          <w:rFonts w:ascii="Times New Roman" w:eastAsia="仿宋_GB2312" w:hAnsi="Times New Roman" w:hint="eastAsia"/>
          <w:sz w:val="32"/>
          <w:szCs w:val="32"/>
        </w:rPr>
        <w:t>的方式证明其安全有效性。</w:t>
      </w:r>
    </w:p>
    <w:p w:rsidR="001C3975" w:rsidRDefault="001C3975" w:rsidP="00E434D5">
      <w:pPr>
        <w:ind w:firstLineChars="200" w:firstLine="640"/>
        <w:rPr>
          <w:rFonts w:ascii="Times New Roman" w:eastAsia="楷体_GB2312" w:hAnsi="Times New Roman"/>
          <w:sz w:val="32"/>
          <w:szCs w:val="32"/>
        </w:rPr>
      </w:pPr>
      <w:r w:rsidRPr="00A1360E">
        <w:rPr>
          <w:rFonts w:ascii="Times New Roman" w:eastAsia="楷体_GB2312" w:hAnsi="Times New Roman" w:hint="eastAsia"/>
          <w:sz w:val="32"/>
          <w:szCs w:val="32"/>
        </w:rPr>
        <w:t>（</w:t>
      </w:r>
      <w:r w:rsidR="00AE4AC5">
        <w:rPr>
          <w:rFonts w:ascii="Times New Roman" w:eastAsia="楷体_GB2312" w:hAnsi="Times New Roman" w:hint="eastAsia"/>
          <w:sz w:val="32"/>
          <w:szCs w:val="32"/>
        </w:rPr>
        <w:t>四</w:t>
      </w:r>
      <w:r w:rsidRPr="00A1360E">
        <w:rPr>
          <w:rFonts w:ascii="Times New Roman" w:eastAsia="楷体_GB2312" w:hAnsi="Times New Roman" w:hint="eastAsia"/>
          <w:sz w:val="32"/>
          <w:szCs w:val="32"/>
        </w:rPr>
        <w:t>）其他相关变更</w:t>
      </w:r>
    </w:p>
    <w:p w:rsidR="004E24B3" w:rsidRPr="009D3BCA" w:rsidRDefault="004E24B3" w:rsidP="004E24B3">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生产医疗器械用原材料除前述材料类型、材料组分的改变外，实际生产或审评过程中还会存在其他具体涉及原材料的改变形式，这些变化形式可能涉及以上三种变化情况，具体如下所示：</w:t>
      </w:r>
    </w:p>
    <w:p w:rsidR="00E434D5" w:rsidRPr="00A1360E" w:rsidRDefault="001C3975" w:rsidP="00E434D5">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1.</w:t>
      </w:r>
      <w:r w:rsidR="00E434D5" w:rsidRPr="00A1360E">
        <w:rPr>
          <w:rFonts w:ascii="Times New Roman" w:eastAsia="仿宋_GB2312" w:hAnsi="Times New Roman" w:hint="eastAsia"/>
          <w:sz w:val="32"/>
          <w:szCs w:val="32"/>
        </w:rPr>
        <w:t>原材料供应商发生改变</w:t>
      </w:r>
    </w:p>
    <w:p w:rsidR="00E434D5" w:rsidRPr="00A1360E" w:rsidRDefault="00B13D2B" w:rsidP="00E434D5">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出于生产的需要，对于同一种原材料，</w:t>
      </w:r>
      <w:r w:rsidR="00AE51E3">
        <w:rPr>
          <w:rFonts w:ascii="Times New Roman" w:eastAsia="仿宋_GB2312" w:hAnsi="Times New Roman" w:hint="eastAsia"/>
          <w:sz w:val="32"/>
          <w:szCs w:val="32"/>
        </w:rPr>
        <w:t>持证人</w:t>
      </w:r>
      <w:r w:rsidRPr="00A1360E">
        <w:rPr>
          <w:rFonts w:ascii="Times New Roman" w:eastAsia="仿宋_GB2312" w:hAnsi="Times New Roman" w:hint="eastAsia"/>
          <w:sz w:val="32"/>
          <w:szCs w:val="32"/>
        </w:rPr>
        <w:t>常常会采用两个或两个</w:t>
      </w:r>
      <w:r w:rsidR="00581052" w:rsidRPr="00A1360E">
        <w:rPr>
          <w:rFonts w:ascii="Times New Roman" w:eastAsia="仿宋_GB2312" w:hAnsi="Times New Roman" w:hint="eastAsia"/>
          <w:sz w:val="32"/>
          <w:szCs w:val="32"/>
        </w:rPr>
        <w:t>以上的供应商供货，</w:t>
      </w:r>
      <w:r w:rsidR="007E16CD" w:rsidRPr="00A1360E">
        <w:rPr>
          <w:rFonts w:ascii="Times New Roman" w:eastAsia="仿宋_GB2312" w:hAnsi="Times New Roman" w:hint="eastAsia"/>
          <w:sz w:val="32"/>
          <w:szCs w:val="32"/>
        </w:rPr>
        <w:t>或在产品获批后对其材料供应商进行变更，</w:t>
      </w:r>
      <w:r w:rsidR="00581052" w:rsidRPr="00A1360E">
        <w:rPr>
          <w:rFonts w:ascii="Times New Roman" w:eastAsia="仿宋_GB2312" w:hAnsi="Times New Roman" w:hint="eastAsia"/>
          <w:sz w:val="32"/>
          <w:szCs w:val="32"/>
        </w:rPr>
        <w:t>以确保生产的稳定进行。</w:t>
      </w:r>
      <w:r w:rsidR="00BB0A2F" w:rsidRPr="00A1360E">
        <w:rPr>
          <w:rFonts w:ascii="Times New Roman" w:eastAsia="仿宋_GB2312" w:hAnsi="Times New Roman" w:hint="eastAsia"/>
          <w:sz w:val="32"/>
          <w:szCs w:val="32"/>
        </w:rPr>
        <w:t>但对于某些材料</w:t>
      </w:r>
      <w:r w:rsidR="007E16CD" w:rsidRPr="00A1360E">
        <w:rPr>
          <w:rFonts w:ascii="Times New Roman" w:eastAsia="仿宋_GB2312" w:hAnsi="Times New Roman" w:hint="eastAsia"/>
          <w:sz w:val="32"/>
          <w:szCs w:val="32"/>
        </w:rPr>
        <w:t>特别是</w:t>
      </w:r>
      <w:r w:rsidR="00581052" w:rsidRPr="00A1360E">
        <w:rPr>
          <w:rFonts w:ascii="Times New Roman" w:eastAsia="仿宋_GB2312" w:hAnsi="Times New Roman"/>
          <w:sz w:val="32"/>
          <w:szCs w:val="32"/>
        </w:rPr>
        <w:t>对于高分子材料而言</w:t>
      </w:r>
      <w:r w:rsidR="00581052" w:rsidRPr="00A1360E">
        <w:rPr>
          <w:rFonts w:ascii="Times New Roman" w:eastAsia="仿宋_GB2312" w:hAnsi="Times New Roman" w:hint="eastAsia"/>
          <w:sz w:val="32"/>
          <w:szCs w:val="32"/>
        </w:rPr>
        <w:t>，</w:t>
      </w:r>
      <w:r w:rsidR="00581052" w:rsidRPr="00A1360E">
        <w:rPr>
          <w:rFonts w:ascii="Times New Roman" w:eastAsia="仿宋_GB2312" w:hAnsi="Times New Roman"/>
          <w:sz w:val="32"/>
          <w:szCs w:val="32"/>
        </w:rPr>
        <w:t>不同供应商的同一种原材料的组分可能差异较大</w:t>
      </w:r>
      <w:r w:rsidR="00581052" w:rsidRPr="00A1360E">
        <w:rPr>
          <w:rFonts w:ascii="Times New Roman" w:eastAsia="仿宋_GB2312" w:hAnsi="Times New Roman" w:hint="eastAsia"/>
          <w:sz w:val="32"/>
          <w:szCs w:val="32"/>
        </w:rPr>
        <w:t>，</w:t>
      </w:r>
      <w:r w:rsidR="00581052" w:rsidRPr="00A1360E">
        <w:rPr>
          <w:rFonts w:ascii="Times New Roman" w:eastAsia="仿宋_GB2312" w:hAnsi="Times New Roman"/>
          <w:sz w:val="32"/>
          <w:szCs w:val="32"/>
        </w:rPr>
        <w:t>甚至相同的高分子聚合物和添加剂组成及比例</w:t>
      </w:r>
      <w:r w:rsidRPr="00A1360E">
        <w:rPr>
          <w:rFonts w:ascii="Times New Roman" w:eastAsia="仿宋_GB2312" w:hAnsi="Times New Roman"/>
          <w:sz w:val="32"/>
          <w:szCs w:val="32"/>
        </w:rPr>
        <w:t>的不同</w:t>
      </w:r>
      <w:r w:rsidRPr="00A1360E">
        <w:rPr>
          <w:rFonts w:ascii="Times New Roman" w:eastAsia="仿宋_GB2312" w:hAnsi="Times New Roman" w:hint="eastAsia"/>
          <w:sz w:val="32"/>
          <w:szCs w:val="32"/>
        </w:rPr>
        <w:t>、</w:t>
      </w:r>
      <w:r w:rsidR="00581052" w:rsidRPr="00A1360E">
        <w:rPr>
          <w:rFonts w:ascii="Times New Roman" w:eastAsia="仿宋_GB2312" w:hAnsi="Times New Roman"/>
          <w:sz w:val="32"/>
          <w:szCs w:val="32"/>
        </w:rPr>
        <w:t>聚合物的加工方式</w:t>
      </w:r>
      <w:r w:rsidR="00581052" w:rsidRPr="00A1360E">
        <w:rPr>
          <w:rFonts w:ascii="Times New Roman" w:eastAsia="仿宋_GB2312" w:hAnsi="Times New Roman" w:hint="eastAsia"/>
          <w:sz w:val="32"/>
          <w:szCs w:val="32"/>
        </w:rPr>
        <w:t>、</w:t>
      </w:r>
      <w:r w:rsidR="00581052" w:rsidRPr="00A1360E">
        <w:rPr>
          <w:rFonts w:ascii="Times New Roman" w:eastAsia="仿宋_GB2312" w:hAnsi="Times New Roman"/>
          <w:sz w:val="32"/>
          <w:szCs w:val="32"/>
        </w:rPr>
        <w:t>聚合度等的不同</w:t>
      </w:r>
      <w:r w:rsidR="00581052" w:rsidRPr="00A1360E">
        <w:rPr>
          <w:rFonts w:ascii="Times New Roman" w:eastAsia="仿宋_GB2312" w:hAnsi="Times New Roman" w:hint="eastAsia"/>
          <w:sz w:val="32"/>
          <w:szCs w:val="32"/>
        </w:rPr>
        <w:t>，</w:t>
      </w:r>
      <w:r w:rsidR="00581052" w:rsidRPr="00A1360E">
        <w:rPr>
          <w:rFonts w:ascii="Times New Roman" w:eastAsia="仿宋_GB2312" w:hAnsi="Times New Roman"/>
          <w:sz w:val="32"/>
          <w:szCs w:val="32"/>
        </w:rPr>
        <w:t>也会</w:t>
      </w:r>
      <w:r w:rsidR="00581052" w:rsidRPr="00A1360E">
        <w:rPr>
          <w:rFonts w:ascii="Times New Roman" w:eastAsia="仿宋_GB2312" w:hAnsi="Times New Roman"/>
          <w:sz w:val="32"/>
          <w:szCs w:val="32"/>
        </w:rPr>
        <w:lastRenderedPageBreak/>
        <w:t>对产品的性能产生较大的影响</w:t>
      </w:r>
      <w:r w:rsidR="00581052" w:rsidRPr="00A1360E">
        <w:rPr>
          <w:rFonts w:ascii="Times New Roman" w:eastAsia="仿宋_GB2312" w:hAnsi="Times New Roman" w:hint="eastAsia"/>
          <w:sz w:val="32"/>
          <w:szCs w:val="32"/>
        </w:rPr>
        <w:t>，因此，对高分子材料的供应商改变应区别对待。</w:t>
      </w:r>
    </w:p>
    <w:p w:rsidR="00581052" w:rsidRDefault="00717CF7" w:rsidP="00717CF7">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对供应商的改变时，</w:t>
      </w:r>
      <w:r w:rsidR="00AE51E3">
        <w:rPr>
          <w:rFonts w:ascii="Times New Roman" w:eastAsia="仿宋_GB2312" w:hAnsi="Times New Roman" w:hint="eastAsia"/>
          <w:sz w:val="32"/>
          <w:szCs w:val="32"/>
        </w:rPr>
        <w:t>持证人</w:t>
      </w:r>
      <w:r w:rsidR="00BB0A2F" w:rsidRPr="00A1360E">
        <w:rPr>
          <w:rFonts w:ascii="Times New Roman" w:eastAsia="仿宋_GB2312" w:hAnsi="Times New Roman" w:hint="eastAsia"/>
          <w:sz w:val="32"/>
          <w:szCs w:val="32"/>
        </w:rPr>
        <w:t>首先</w:t>
      </w:r>
      <w:r w:rsidRPr="00A1360E">
        <w:rPr>
          <w:rFonts w:ascii="Times New Roman" w:eastAsia="仿宋_GB2312" w:hAnsi="Times New Roman" w:hint="eastAsia"/>
          <w:sz w:val="32"/>
          <w:szCs w:val="32"/>
        </w:rPr>
        <w:t>需对新增供应商进行质量控制，</w:t>
      </w:r>
      <w:r w:rsidR="00B13D2B" w:rsidRPr="00A1360E">
        <w:rPr>
          <w:rFonts w:ascii="Times New Roman" w:eastAsia="仿宋_GB2312" w:hAnsi="Times New Roman" w:hint="eastAsia"/>
          <w:sz w:val="32"/>
          <w:szCs w:val="32"/>
        </w:rPr>
        <w:t>并提供相关资料，</w:t>
      </w:r>
      <w:r w:rsidR="00BB0A2F" w:rsidRPr="00A1360E">
        <w:rPr>
          <w:rFonts w:ascii="Times New Roman" w:eastAsia="仿宋_GB2312" w:hAnsi="Times New Roman" w:hint="eastAsia"/>
          <w:sz w:val="32"/>
          <w:szCs w:val="32"/>
        </w:rPr>
        <w:t>除提供与供应商的外购协议（包括质量协议）、原材料质量控制标准、原材料检测报告、原材料供应商资质证明等之外，如无法确定两个供应商所用原材料的组分、含量、合成方式相同或者新供应商提供原料相关风险低于原供应商提供原料的情况下，一般还应提供的</w:t>
      </w:r>
      <w:r w:rsidRPr="00A1360E">
        <w:rPr>
          <w:rFonts w:ascii="Times New Roman" w:eastAsia="仿宋_GB2312" w:hAnsi="Times New Roman" w:hint="eastAsia"/>
          <w:sz w:val="32"/>
          <w:szCs w:val="32"/>
        </w:rPr>
        <w:t>资料</w:t>
      </w:r>
      <w:r w:rsidR="00BB0A2F" w:rsidRPr="00A1360E">
        <w:rPr>
          <w:rFonts w:ascii="Times New Roman" w:eastAsia="仿宋_GB2312" w:hAnsi="Times New Roman" w:hint="eastAsia"/>
          <w:sz w:val="32"/>
          <w:szCs w:val="32"/>
        </w:rPr>
        <w:t>包</w:t>
      </w:r>
      <w:r w:rsidRPr="00A1360E">
        <w:rPr>
          <w:rFonts w:ascii="Times New Roman" w:eastAsia="仿宋_GB2312" w:hAnsi="Times New Roman" w:hint="eastAsia"/>
          <w:sz w:val="32"/>
          <w:szCs w:val="32"/>
        </w:rPr>
        <w:t>括：对不同来源原材料制成的产品分别进行性能验证</w:t>
      </w:r>
      <w:r w:rsidRPr="00A1360E">
        <w:rPr>
          <w:rFonts w:ascii="Times New Roman" w:eastAsia="仿宋_GB2312" w:hAnsi="Times New Roman" w:hint="eastAsia"/>
          <w:sz w:val="32"/>
          <w:szCs w:val="32"/>
        </w:rPr>
        <w:t>/</w:t>
      </w:r>
      <w:r w:rsidR="00031889">
        <w:rPr>
          <w:rFonts w:ascii="Times New Roman" w:eastAsia="仿宋_GB2312" w:hAnsi="Times New Roman" w:hint="eastAsia"/>
          <w:sz w:val="32"/>
          <w:szCs w:val="32"/>
        </w:rPr>
        <w:t>确认和风险评估（包括生物学</w:t>
      </w:r>
      <w:r w:rsidRPr="00A1360E">
        <w:rPr>
          <w:rFonts w:ascii="Times New Roman" w:eastAsia="仿宋_GB2312" w:hAnsi="Times New Roman" w:hint="eastAsia"/>
          <w:sz w:val="32"/>
          <w:szCs w:val="32"/>
        </w:rPr>
        <w:t>评价），以确保两种来源原材料制成的产品性能一致，且均符合安全有效性要求。</w:t>
      </w:r>
      <w:r w:rsidR="00BB0A2F" w:rsidRPr="00A1360E">
        <w:rPr>
          <w:rFonts w:ascii="Times New Roman" w:eastAsia="仿宋_GB2312" w:hAnsi="Times New Roman" w:hint="eastAsia"/>
          <w:sz w:val="32"/>
          <w:szCs w:val="32"/>
        </w:rPr>
        <w:t>必要时，还应进行</w:t>
      </w:r>
      <w:r w:rsidR="006518E5">
        <w:rPr>
          <w:rFonts w:ascii="Times New Roman" w:eastAsia="仿宋_GB2312" w:hAnsi="Times New Roman" w:hint="eastAsia"/>
          <w:sz w:val="32"/>
          <w:szCs w:val="32"/>
        </w:rPr>
        <w:t>临床评价</w:t>
      </w:r>
      <w:r w:rsidR="00BB0A2F" w:rsidRPr="00A1360E">
        <w:rPr>
          <w:rFonts w:ascii="Times New Roman" w:eastAsia="仿宋_GB2312" w:hAnsi="Times New Roman" w:hint="eastAsia"/>
          <w:sz w:val="32"/>
          <w:szCs w:val="32"/>
        </w:rPr>
        <w:t>，具体可参照前述材料改变部分论述。</w:t>
      </w:r>
    </w:p>
    <w:p w:rsidR="004E24B3" w:rsidRPr="00063A47" w:rsidRDefault="000309A0" w:rsidP="004E24B3">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例如，</w:t>
      </w:r>
      <w:r w:rsidR="004E24B3" w:rsidRPr="00063A47">
        <w:rPr>
          <w:rFonts w:ascii="Times New Roman" w:eastAsia="仿宋_GB2312" w:hAnsi="Times New Roman" w:hint="eastAsia"/>
          <w:sz w:val="32"/>
          <w:szCs w:val="32"/>
        </w:rPr>
        <w:t>骨科植入类产品所用金属材料，如符合</w:t>
      </w:r>
      <w:r w:rsidR="004E24B3" w:rsidRPr="00063A47">
        <w:rPr>
          <w:rFonts w:ascii="Times New Roman" w:eastAsia="仿宋_GB2312" w:hAnsi="Times New Roman" w:hint="eastAsia"/>
          <w:sz w:val="32"/>
          <w:szCs w:val="32"/>
        </w:rPr>
        <w:t>G</w:t>
      </w:r>
      <w:r w:rsidR="004E24B3" w:rsidRPr="00063A47">
        <w:rPr>
          <w:rFonts w:ascii="Times New Roman" w:eastAsia="仿宋_GB2312" w:hAnsi="Times New Roman"/>
          <w:sz w:val="32"/>
          <w:szCs w:val="32"/>
        </w:rPr>
        <w:t>B/T13810</w:t>
      </w:r>
      <w:r w:rsidR="004E24B3" w:rsidRPr="00063A47">
        <w:rPr>
          <w:rFonts w:ascii="Times New Roman" w:eastAsia="仿宋_GB2312" w:hAnsi="Times New Roman" w:hint="eastAsia"/>
          <w:sz w:val="32"/>
          <w:szCs w:val="32"/>
        </w:rPr>
        <w:t>标准的</w:t>
      </w:r>
      <w:r w:rsidR="004E24B3" w:rsidRPr="00063A47">
        <w:rPr>
          <w:rFonts w:ascii="Times New Roman" w:eastAsia="仿宋_GB2312" w:hAnsi="Times New Roman" w:hint="eastAsia"/>
          <w:sz w:val="32"/>
          <w:szCs w:val="32"/>
        </w:rPr>
        <w:t>T</w:t>
      </w:r>
      <w:r w:rsidR="004E24B3" w:rsidRPr="00063A47">
        <w:rPr>
          <w:rFonts w:ascii="Times New Roman" w:eastAsia="仿宋_GB2312" w:hAnsi="Times New Roman"/>
          <w:sz w:val="32"/>
          <w:szCs w:val="32"/>
        </w:rPr>
        <w:t>C4</w:t>
      </w:r>
      <w:r w:rsidR="004E24B3" w:rsidRPr="00063A47">
        <w:rPr>
          <w:rFonts w:ascii="Times New Roman" w:eastAsia="仿宋_GB2312" w:hAnsi="Times New Roman" w:hint="eastAsia"/>
          <w:sz w:val="32"/>
          <w:szCs w:val="32"/>
        </w:rPr>
        <w:t>钛合金塑性加工材，因已有成熟国标行标，生产企业在采购时，在保持符合的标准和原材料牌号不变的情况下，供应商</w:t>
      </w:r>
      <w:r w:rsidR="004E24B3" w:rsidRPr="00063A47">
        <w:rPr>
          <w:rFonts w:ascii="Times New Roman" w:eastAsia="仿宋_GB2312" w:hAnsi="Times New Roman" w:hint="eastAsia"/>
          <w:sz w:val="32"/>
          <w:szCs w:val="32"/>
        </w:rPr>
        <w:t>A</w:t>
      </w:r>
      <w:r w:rsidR="004E24B3" w:rsidRPr="00063A47">
        <w:rPr>
          <w:rFonts w:ascii="Times New Roman" w:eastAsia="仿宋_GB2312" w:hAnsi="Times New Roman" w:hint="eastAsia"/>
          <w:sz w:val="32"/>
          <w:szCs w:val="32"/>
        </w:rPr>
        <w:t>换为供应商</w:t>
      </w:r>
      <w:r w:rsidR="004E24B3" w:rsidRPr="00063A47">
        <w:rPr>
          <w:rFonts w:ascii="Times New Roman" w:eastAsia="仿宋_GB2312" w:hAnsi="Times New Roman" w:hint="eastAsia"/>
          <w:sz w:val="32"/>
          <w:szCs w:val="32"/>
        </w:rPr>
        <w:t>B</w:t>
      </w:r>
      <w:r w:rsidR="004E24B3" w:rsidRPr="00063A47">
        <w:rPr>
          <w:rFonts w:ascii="Times New Roman" w:eastAsia="仿宋_GB2312" w:hAnsi="Times New Roman" w:hint="eastAsia"/>
          <w:sz w:val="32"/>
          <w:szCs w:val="32"/>
        </w:rPr>
        <w:t>时，经过供应商评估的情况下，在满足生产质量体系规范的情况下，更换原材料供应商。</w:t>
      </w:r>
    </w:p>
    <w:p w:rsidR="004E24B3" w:rsidRPr="00063A47" w:rsidRDefault="004E24B3" w:rsidP="004E24B3">
      <w:pPr>
        <w:ind w:firstLine="645"/>
        <w:rPr>
          <w:rFonts w:ascii="Times New Roman" w:eastAsia="仿宋_GB2312" w:hAnsi="Times New Roman"/>
          <w:sz w:val="32"/>
          <w:szCs w:val="32"/>
        </w:rPr>
      </w:pPr>
      <w:r w:rsidRPr="00063A47">
        <w:rPr>
          <w:rFonts w:ascii="Times New Roman" w:eastAsia="仿宋_GB2312" w:hAnsi="Times New Roman" w:hint="eastAsia"/>
          <w:sz w:val="32"/>
          <w:szCs w:val="32"/>
        </w:rPr>
        <w:t>骨科植入类产品所用</w:t>
      </w:r>
      <w:r w:rsidRPr="00063A47">
        <w:rPr>
          <w:rFonts w:ascii="Times New Roman" w:eastAsia="仿宋_GB2312" w:hAnsi="Times New Roman" w:hint="eastAsia"/>
          <w:sz w:val="32"/>
          <w:szCs w:val="32"/>
        </w:rPr>
        <w:t>PEEK</w:t>
      </w:r>
      <w:r w:rsidRPr="00063A47">
        <w:rPr>
          <w:rFonts w:ascii="Times New Roman" w:eastAsia="仿宋_GB2312" w:hAnsi="Times New Roman" w:hint="eastAsia"/>
          <w:sz w:val="32"/>
          <w:szCs w:val="32"/>
        </w:rPr>
        <w:t>材料，不同供应商提供的原材料虽然符合</w:t>
      </w:r>
      <w:r w:rsidRPr="00063A47">
        <w:rPr>
          <w:rFonts w:ascii="Times New Roman" w:eastAsia="仿宋_GB2312" w:hAnsi="Times New Roman" w:hint="eastAsia"/>
          <w:sz w:val="32"/>
          <w:szCs w:val="32"/>
        </w:rPr>
        <w:t>YY/T0660</w:t>
      </w:r>
      <w:r w:rsidRPr="00063A47">
        <w:rPr>
          <w:rFonts w:ascii="Times New Roman" w:eastAsia="仿宋_GB2312" w:hAnsi="Times New Roman" w:hint="eastAsia"/>
          <w:sz w:val="32"/>
          <w:szCs w:val="32"/>
        </w:rPr>
        <w:t>《外科植入物用聚醚醚酮</w:t>
      </w:r>
      <w:r w:rsidRPr="00063A47">
        <w:rPr>
          <w:rFonts w:ascii="Times New Roman" w:eastAsia="仿宋_GB2312" w:hAnsi="Times New Roman" w:hint="eastAsia"/>
          <w:sz w:val="32"/>
          <w:szCs w:val="32"/>
        </w:rPr>
        <w:t>PEEK</w:t>
      </w:r>
      <w:r w:rsidRPr="00063A47">
        <w:rPr>
          <w:rFonts w:ascii="Times New Roman" w:eastAsia="仿宋_GB2312" w:hAnsi="Times New Roman" w:hint="eastAsia"/>
          <w:sz w:val="32"/>
          <w:szCs w:val="32"/>
        </w:rPr>
        <w:t>聚合物的标准规范》标准，但标准中只规定了此类聚合物的基本要求，不同供应商、不同牌号的</w:t>
      </w:r>
      <w:r w:rsidRPr="00063A47">
        <w:rPr>
          <w:rFonts w:ascii="Times New Roman" w:eastAsia="仿宋_GB2312" w:hAnsi="Times New Roman" w:hint="eastAsia"/>
          <w:sz w:val="32"/>
          <w:szCs w:val="32"/>
        </w:rPr>
        <w:t>PEEK</w:t>
      </w:r>
      <w:r w:rsidRPr="00063A47">
        <w:rPr>
          <w:rFonts w:ascii="Times New Roman" w:eastAsia="仿宋_GB2312" w:hAnsi="Times New Roman" w:hint="eastAsia"/>
          <w:sz w:val="32"/>
          <w:szCs w:val="32"/>
        </w:rPr>
        <w:t>材料在理化参数及性能上存在差异，当企业更换供应商或材料牌号时，除通过</w:t>
      </w:r>
      <w:r w:rsidRPr="00063A47">
        <w:rPr>
          <w:rFonts w:ascii="Times New Roman" w:eastAsia="仿宋_GB2312" w:hAnsi="Times New Roman" w:hint="eastAsia"/>
          <w:sz w:val="32"/>
          <w:szCs w:val="32"/>
        </w:rPr>
        <w:lastRenderedPageBreak/>
        <w:t>实验室研究及生物</w:t>
      </w:r>
      <w:r w:rsidR="00031889">
        <w:rPr>
          <w:rFonts w:ascii="Times New Roman" w:eastAsia="仿宋_GB2312" w:hAnsi="Times New Roman" w:hint="eastAsia"/>
          <w:sz w:val="32"/>
          <w:szCs w:val="32"/>
        </w:rPr>
        <w:t>学</w:t>
      </w:r>
      <w:r w:rsidRPr="00063A47">
        <w:rPr>
          <w:rFonts w:ascii="Times New Roman" w:eastAsia="仿宋_GB2312" w:hAnsi="Times New Roman" w:hint="eastAsia"/>
          <w:sz w:val="32"/>
          <w:szCs w:val="32"/>
        </w:rPr>
        <w:t>评价说明其差异可接受外，还需要通过</w:t>
      </w:r>
      <w:r w:rsidR="006518E5">
        <w:rPr>
          <w:rFonts w:ascii="Times New Roman" w:eastAsia="仿宋_GB2312" w:hAnsi="Times New Roman" w:hint="eastAsia"/>
          <w:sz w:val="32"/>
          <w:szCs w:val="32"/>
        </w:rPr>
        <w:t>临床评价</w:t>
      </w:r>
      <w:r w:rsidRPr="00063A47">
        <w:rPr>
          <w:rFonts w:ascii="Times New Roman" w:eastAsia="仿宋_GB2312" w:hAnsi="Times New Roman" w:hint="eastAsia"/>
          <w:sz w:val="32"/>
          <w:szCs w:val="32"/>
        </w:rPr>
        <w:t>的方式证明其安全有效性。</w:t>
      </w:r>
    </w:p>
    <w:p w:rsidR="004E24B3" w:rsidRPr="00063A47" w:rsidRDefault="004E24B3" w:rsidP="004E24B3">
      <w:pPr>
        <w:ind w:firstLine="645"/>
        <w:rPr>
          <w:rFonts w:ascii="Times New Roman" w:eastAsia="仿宋_GB2312" w:hAnsi="Times New Roman"/>
          <w:sz w:val="32"/>
          <w:szCs w:val="32"/>
        </w:rPr>
      </w:pPr>
      <w:r w:rsidRPr="006518E5">
        <w:rPr>
          <w:rFonts w:ascii="Times New Roman" w:eastAsia="仿宋_GB2312" w:hAnsi="Times New Roman" w:hint="eastAsia"/>
          <w:sz w:val="32"/>
          <w:szCs w:val="32"/>
        </w:rPr>
        <w:t>硅橡胶乳房植入</w:t>
      </w:r>
      <w:proofErr w:type="gramStart"/>
      <w:r w:rsidRPr="006518E5">
        <w:rPr>
          <w:rFonts w:ascii="Times New Roman" w:eastAsia="仿宋_GB2312" w:hAnsi="Times New Roman" w:hint="eastAsia"/>
          <w:sz w:val="32"/>
          <w:szCs w:val="32"/>
        </w:rPr>
        <w:t>体内容</w:t>
      </w:r>
      <w:proofErr w:type="gramEnd"/>
      <w:r w:rsidRPr="006518E5">
        <w:rPr>
          <w:rFonts w:ascii="Times New Roman" w:eastAsia="仿宋_GB2312" w:hAnsi="Times New Roman" w:hint="eastAsia"/>
          <w:sz w:val="32"/>
          <w:szCs w:val="32"/>
        </w:rPr>
        <w:t>物凝胶的供应商发生变更，</w:t>
      </w:r>
      <w:proofErr w:type="gramStart"/>
      <w:r w:rsidRPr="006518E5">
        <w:rPr>
          <w:rFonts w:ascii="Times New Roman" w:eastAsia="仿宋_GB2312" w:hAnsi="Times New Roman" w:hint="eastAsia"/>
          <w:sz w:val="32"/>
          <w:szCs w:val="32"/>
        </w:rPr>
        <w:t>若变化</w:t>
      </w:r>
      <w:proofErr w:type="gramEnd"/>
      <w:r w:rsidRPr="006518E5">
        <w:rPr>
          <w:rFonts w:ascii="Times New Roman" w:eastAsia="仿宋_GB2312" w:hAnsi="Times New Roman" w:hint="eastAsia"/>
          <w:sz w:val="32"/>
          <w:szCs w:val="32"/>
        </w:rPr>
        <w:t>前后的两个供应商均有硅凝胶材料主文档进行过备案，审评时可分别调取主文档</w:t>
      </w:r>
      <w:proofErr w:type="gramStart"/>
      <w:r w:rsidRPr="006518E5">
        <w:rPr>
          <w:rFonts w:ascii="Times New Roman" w:eastAsia="仿宋_GB2312" w:hAnsi="Times New Roman" w:hint="eastAsia"/>
          <w:sz w:val="32"/>
          <w:szCs w:val="32"/>
        </w:rPr>
        <w:t>材料对硅凝胶</w:t>
      </w:r>
      <w:proofErr w:type="gramEnd"/>
      <w:r w:rsidRPr="006518E5">
        <w:rPr>
          <w:rFonts w:ascii="Times New Roman" w:eastAsia="仿宋_GB2312" w:hAnsi="Times New Roman" w:hint="eastAsia"/>
          <w:sz w:val="32"/>
          <w:szCs w:val="32"/>
        </w:rPr>
        <w:t>材料的助剂使用情况、理化性能情况进行对比分</w:t>
      </w:r>
      <w:r w:rsidRPr="00063A47">
        <w:rPr>
          <w:rFonts w:ascii="Times New Roman" w:eastAsia="仿宋_GB2312" w:hAnsi="Times New Roman" w:hint="eastAsia"/>
          <w:sz w:val="32"/>
          <w:szCs w:val="32"/>
        </w:rPr>
        <w:t>析，初步掌握因供应</w:t>
      </w:r>
      <w:proofErr w:type="gramStart"/>
      <w:r w:rsidRPr="00063A47">
        <w:rPr>
          <w:rFonts w:ascii="Times New Roman" w:eastAsia="仿宋_GB2312" w:hAnsi="Times New Roman" w:hint="eastAsia"/>
          <w:sz w:val="32"/>
          <w:szCs w:val="32"/>
        </w:rPr>
        <w:t>商变化</w:t>
      </w:r>
      <w:proofErr w:type="gramEnd"/>
      <w:r w:rsidRPr="00063A47">
        <w:rPr>
          <w:rFonts w:ascii="Times New Roman" w:eastAsia="仿宋_GB2312" w:hAnsi="Times New Roman" w:hint="eastAsia"/>
          <w:sz w:val="32"/>
          <w:szCs w:val="32"/>
        </w:rPr>
        <w:t>而造成的材料实质变化情况，确定风险点，进而进一步要求申请人有针对性的提供研究资料。</w:t>
      </w:r>
    </w:p>
    <w:p w:rsidR="00CE48CB" w:rsidRPr="00A1360E" w:rsidRDefault="007748F9" w:rsidP="00717CF7">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2</w:t>
      </w:r>
      <w:r w:rsidRPr="00A1360E">
        <w:rPr>
          <w:rFonts w:ascii="Times New Roman" w:eastAsia="仿宋_GB2312" w:hAnsi="Times New Roman"/>
          <w:sz w:val="32"/>
          <w:szCs w:val="32"/>
        </w:rPr>
        <w:t>.</w:t>
      </w:r>
      <w:r w:rsidR="00A646CD" w:rsidRPr="00A1360E">
        <w:rPr>
          <w:rFonts w:ascii="Times New Roman" w:eastAsia="仿宋_GB2312" w:hAnsi="Times New Roman" w:hint="eastAsia"/>
          <w:sz w:val="32"/>
          <w:szCs w:val="32"/>
        </w:rPr>
        <w:t>原材料牌号的改变</w:t>
      </w:r>
    </w:p>
    <w:p w:rsidR="007E16CD" w:rsidRPr="00A1360E" w:rsidRDefault="007E16CD" w:rsidP="00717CF7">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对于部分金属材料来说，由于有国际上</w:t>
      </w:r>
      <w:r w:rsidRPr="00A1360E">
        <w:rPr>
          <w:rFonts w:ascii="Times New Roman" w:eastAsia="仿宋_GB2312" w:hAnsi="Times New Roman"/>
          <w:sz w:val="32"/>
          <w:szCs w:val="32"/>
        </w:rPr>
        <w:t>公认的牌号</w:t>
      </w:r>
      <w:r w:rsidRPr="00A1360E">
        <w:rPr>
          <w:rFonts w:ascii="Times New Roman" w:eastAsia="仿宋_GB2312" w:hAnsi="Times New Roman" w:hint="eastAsia"/>
          <w:sz w:val="32"/>
          <w:szCs w:val="32"/>
        </w:rPr>
        <w:t>，</w:t>
      </w:r>
      <w:r w:rsidRPr="00A1360E">
        <w:rPr>
          <w:rFonts w:ascii="Times New Roman" w:eastAsia="仿宋_GB2312" w:hAnsi="Times New Roman"/>
          <w:sz w:val="32"/>
          <w:szCs w:val="32"/>
        </w:rPr>
        <w:t>所以改变</w:t>
      </w:r>
      <w:proofErr w:type="gramStart"/>
      <w:r w:rsidRPr="00A1360E">
        <w:rPr>
          <w:rFonts w:ascii="Times New Roman" w:eastAsia="仿宋_GB2312" w:hAnsi="Times New Roman"/>
          <w:sz w:val="32"/>
          <w:szCs w:val="32"/>
        </w:rPr>
        <w:t>供应商但不</w:t>
      </w:r>
      <w:proofErr w:type="gramEnd"/>
      <w:r w:rsidRPr="00A1360E">
        <w:rPr>
          <w:rFonts w:ascii="Times New Roman" w:eastAsia="仿宋_GB2312" w:hAnsi="Times New Roman"/>
          <w:sz w:val="32"/>
          <w:szCs w:val="32"/>
        </w:rPr>
        <w:t>改变其牌号</w:t>
      </w:r>
      <w:r w:rsidRPr="00A1360E">
        <w:rPr>
          <w:rFonts w:ascii="Times New Roman" w:eastAsia="仿宋_GB2312" w:hAnsi="Times New Roman" w:hint="eastAsia"/>
          <w:sz w:val="32"/>
          <w:szCs w:val="32"/>
        </w:rPr>
        <w:t>，</w:t>
      </w:r>
      <w:r w:rsidRPr="00A1360E">
        <w:rPr>
          <w:rFonts w:ascii="Times New Roman" w:eastAsia="仿宋_GB2312" w:hAnsi="Times New Roman"/>
          <w:sz w:val="32"/>
          <w:szCs w:val="32"/>
        </w:rPr>
        <w:t>对其产品性能影响不大</w:t>
      </w:r>
      <w:r w:rsidRPr="00A1360E">
        <w:rPr>
          <w:rFonts w:ascii="Times New Roman" w:eastAsia="仿宋_GB2312" w:hAnsi="Times New Roman" w:hint="eastAsia"/>
          <w:sz w:val="32"/>
          <w:szCs w:val="32"/>
        </w:rPr>
        <w:t>，</w:t>
      </w:r>
      <w:r w:rsidRPr="00A1360E">
        <w:rPr>
          <w:rFonts w:ascii="Times New Roman" w:eastAsia="仿宋_GB2312" w:hAnsi="Times New Roman"/>
          <w:sz w:val="32"/>
          <w:szCs w:val="32"/>
        </w:rPr>
        <w:t>一般不需要额外的评估</w:t>
      </w:r>
      <w:r w:rsidR="0039201B">
        <w:rPr>
          <w:rFonts w:ascii="Times New Roman" w:eastAsia="仿宋_GB2312" w:hAnsi="Times New Roman" w:hint="eastAsia"/>
          <w:sz w:val="32"/>
          <w:szCs w:val="32"/>
        </w:rPr>
        <w:t>。</w:t>
      </w:r>
      <w:r w:rsidR="0039201B">
        <w:rPr>
          <w:rFonts w:ascii="Times New Roman" w:eastAsia="仿宋_GB2312" w:hAnsi="Times New Roman"/>
          <w:sz w:val="32"/>
          <w:szCs w:val="32"/>
        </w:rPr>
        <w:t>但如果是牌号的改变</w:t>
      </w:r>
      <w:r w:rsidR="0039201B">
        <w:rPr>
          <w:rFonts w:ascii="Times New Roman" w:eastAsia="仿宋_GB2312" w:hAnsi="Times New Roman" w:hint="eastAsia"/>
          <w:sz w:val="32"/>
          <w:szCs w:val="32"/>
        </w:rPr>
        <w:t>，</w:t>
      </w:r>
      <w:r w:rsidR="0039201B">
        <w:rPr>
          <w:rFonts w:ascii="Times New Roman" w:eastAsia="仿宋_GB2312" w:hAnsi="Times New Roman"/>
          <w:sz w:val="32"/>
          <w:szCs w:val="32"/>
        </w:rPr>
        <w:t>某些情况下是由于标准的升级</w:t>
      </w:r>
      <w:r w:rsidR="0039201B">
        <w:rPr>
          <w:rFonts w:ascii="Times New Roman" w:eastAsia="仿宋_GB2312" w:hAnsi="Times New Roman" w:hint="eastAsia"/>
          <w:sz w:val="32"/>
          <w:szCs w:val="32"/>
        </w:rPr>
        <w:t>而带来的牌号改变，但其实际组分与原来完全相同，则可以认为其未发生变化。但如果牌号改变的同时伴随着</w:t>
      </w:r>
      <w:r w:rsidR="00DB4985">
        <w:rPr>
          <w:rFonts w:ascii="Times New Roman" w:eastAsia="仿宋_GB2312" w:hAnsi="Times New Roman" w:hint="eastAsia"/>
          <w:sz w:val="32"/>
          <w:szCs w:val="32"/>
        </w:rPr>
        <w:t>组分的改变，则</w:t>
      </w:r>
      <w:r w:rsidR="009A5CBD">
        <w:rPr>
          <w:rFonts w:ascii="Times New Roman" w:eastAsia="仿宋_GB2312" w:hAnsi="Times New Roman" w:hint="eastAsia"/>
          <w:sz w:val="32"/>
          <w:szCs w:val="32"/>
        </w:rPr>
        <w:t>需要根据具体的变更情形参考流程图要求进行评价。</w:t>
      </w:r>
    </w:p>
    <w:p w:rsidR="007E16CD" w:rsidRDefault="007E16CD" w:rsidP="00717CF7">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对于高分子材料而言，</w:t>
      </w:r>
      <w:r w:rsidR="00DB4985">
        <w:rPr>
          <w:rFonts w:ascii="Times New Roman" w:eastAsia="仿宋_GB2312" w:hAnsi="Times New Roman" w:hint="eastAsia"/>
          <w:sz w:val="32"/>
          <w:szCs w:val="32"/>
        </w:rPr>
        <w:t>由于</w:t>
      </w:r>
      <w:r w:rsidRPr="00A1360E">
        <w:rPr>
          <w:rFonts w:ascii="Times New Roman" w:eastAsia="仿宋_GB2312" w:hAnsi="Times New Roman" w:hint="eastAsia"/>
          <w:sz w:val="32"/>
          <w:szCs w:val="32"/>
        </w:rPr>
        <w:t>国际上没有统一的牌号，都是由企业根据产品特点自定，因此原材料牌号的改变，企业一般需要根据改变的实际参考前述材料改变的评价路径</w:t>
      </w:r>
      <w:r w:rsidR="00DB4985">
        <w:rPr>
          <w:rFonts w:ascii="Times New Roman" w:eastAsia="仿宋_GB2312" w:hAnsi="Times New Roman" w:hint="eastAsia"/>
          <w:sz w:val="32"/>
          <w:szCs w:val="32"/>
        </w:rPr>
        <w:t>具体问题具体分析、</w:t>
      </w:r>
      <w:r w:rsidRPr="00A1360E">
        <w:rPr>
          <w:rFonts w:ascii="Times New Roman" w:eastAsia="仿宋_GB2312" w:hAnsi="Times New Roman" w:hint="eastAsia"/>
          <w:sz w:val="32"/>
          <w:szCs w:val="32"/>
        </w:rPr>
        <w:t>评价。</w:t>
      </w:r>
    </w:p>
    <w:p w:rsidR="00A646CD" w:rsidRPr="00A1360E" w:rsidRDefault="00EA42FF" w:rsidP="00717CF7">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3.</w:t>
      </w:r>
      <w:r w:rsidR="00031889">
        <w:rPr>
          <w:rFonts w:ascii="Times New Roman" w:eastAsia="仿宋_GB2312" w:hAnsi="Times New Roman" w:hint="eastAsia"/>
          <w:sz w:val="32"/>
          <w:szCs w:val="32"/>
        </w:rPr>
        <w:t>表面改性处理</w:t>
      </w:r>
    </w:p>
    <w:p w:rsidR="00BB0A2F" w:rsidRPr="00A1360E" w:rsidRDefault="00BB0A2F" w:rsidP="00717CF7">
      <w:pPr>
        <w:ind w:firstLineChars="200" w:firstLine="640"/>
        <w:rPr>
          <w:rFonts w:ascii="Times New Roman" w:eastAsia="仿宋_GB2312" w:hAnsi="Times New Roman"/>
          <w:sz w:val="32"/>
          <w:szCs w:val="32"/>
        </w:rPr>
      </w:pPr>
      <w:r w:rsidRPr="00A1360E">
        <w:rPr>
          <w:rFonts w:ascii="Times New Roman" w:eastAsia="仿宋_GB2312" w:hAnsi="Times New Roman" w:hint="eastAsia"/>
          <w:sz w:val="32"/>
          <w:szCs w:val="32"/>
        </w:rPr>
        <w:t>为提供医疗器械产品临床使用效果，</w:t>
      </w:r>
      <w:r w:rsidR="00AE51E3">
        <w:rPr>
          <w:rFonts w:ascii="Times New Roman" w:eastAsia="仿宋_GB2312" w:hAnsi="Times New Roman" w:hint="eastAsia"/>
          <w:sz w:val="32"/>
          <w:szCs w:val="32"/>
        </w:rPr>
        <w:t>持证人</w:t>
      </w:r>
      <w:r w:rsidRPr="00A1360E">
        <w:rPr>
          <w:rFonts w:ascii="Times New Roman" w:eastAsia="仿宋_GB2312" w:hAnsi="Times New Roman" w:hint="eastAsia"/>
          <w:sz w:val="32"/>
          <w:szCs w:val="32"/>
        </w:rPr>
        <w:t>常对原材料</w:t>
      </w:r>
      <w:r w:rsidR="008201E9">
        <w:rPr>
          <w:rFonts w:ascii="Times New Roman" w:eastAsia="仿宋_GB2312" w:hAnsi="Times New Roman" w:hint="eastAsia"/>
          <w:sz w:val="32"/>
          <w:szCs w:val="32"/>
        </w:rPr>
        <w:lastRenderedPageBreak/>
        <w:t>/</w:t>
      </w:r>
      <w:proofErr w:type="gramStart"/>
      <w:r w:rsidR="008201E9">
        <w:rPr>
          <w:rFonts w:ascii="Times New Roman" w:eastAsia="仿宋_GB2312" w:hAnsi="Times New Roman" w:hint="eastAsia"/>
          <w:sz w:val="32"/>
          <w:szCs w:val="32"/>
        </w:rPr>
        <w:t>终产品</w:t>
      </w:r>
      <w:proofErr w:type="gramEnd"/>
      <w:r w:rsidRPr="00A1360E">
        <w:rPr>
          <w:rFonts w:ascii="Times New Roman" w:eastAsia="仿宋_GB2312" w:hAnsi="Times New Roman" w:hint="eastAsia"/>
          <w:sz w:val="32"/>
          <w:szCs w:val="32"/>
        </w:rPr>
        <w:t>进行涂层处理，或者直接外购带有涂层的原材料。但随着技术的进步，企业有时需对原材料的涂层进行调整改变。</w:t>
      </w:r>
    </w:p>
    <w:p w:rsidR="00BB0A2F" w:rsidRPr="00A1360E" w:rsidRDefault="008070A3" w:rsidP="00717CF7">
      <w:pPr>
        <w:ind w:firstLineChars="200" w:firstLine="640"/>
        <w:rPr>
          <w:rFonts w:ascii="Times New Roman" w:eastAsia="仿宋_GB2312" w:hAnsi="Times New Roman"/>
          <w:sz w:val="32"/>
          <w:szCs w:val="32"/>
        </w:rPr>
      </w:pPr>
      <w:r w:rsidRPr="00A1360E">
        <w:rPr>
          <w:rFonts w:ascii="Times New Roman" w:eastAsia="仿宋_GB2312" w:hAnsi="Times New Roman"/>
          <w:sz w:val="32"/>
          <w:szCs w:val="32"/>
        </w:rPr>
        <w:t>一般而言</w:t>
      </w:r>
      <w:r w:rsidRPr="00A1360E">
        <w:rPr>
          <w:rFonts w:ascii="Times New Roman" w:eastAsia="仿宋_GB2312" w:hAnsi="Times New Roman" w:hint="eastAsia"/>
          <w:sz w:val="32"/>
          <w:szCs w:val="32"/>
        </w:rPr>
        <w:t>，</w:t>
      </w:r>
      <w:r w:rsidRPr="00A1360E">
        <w:rPr>
          <w:rFonts w:ascii="Times New Roman" w:eastAsia="仿宋_GB2312" w:hAnsi="Times New Roman"/>
          <w:sz w:val="32"/>
          <w:szCs w:val="32"/>
        </w:rPr>
        <w:t>由于涂层是与人体发生直接或间接接触的部分</w:t>
      </w:r>
      <w:r w:rsidRPr="00A1360E">
        <w:rPr>
          <w:rFonts w:ascii="Times New Roman" w:eastAsia="仿宋_GB2312" w:hAnsi="Times New Roman" w:hint="eastAsia"/>
          <w:sz w:val="32"/>
          <w:szCs w:val="32"/>
        </w:rPr>
        <w:t>，根据</w:t>
      </w:r>
      <w:r w:rsidRPr="00A1360E">
        <w:rPr>
          <w:rFonts w:ascii="Times New Roman" w:eastAsia="仿宋_GB2312" w:hAnsi="Times New Roman"/>
          <w:sz w:val="32"/>
          <w:szCs w:val="32"/>
        </w:rPr>
        <w:t>附录</w:t>
      </w:r>
      <w:r w:rsidRPr="00A1360E">
        <w:rPr>
          <w:rFonts w:ascii="Times New Roman" w:eastAsia="仿宋_GB2312" w:hAnsi="Times New Roman" w:hint="eastAsia"/>
          <w:sz w:val="32"/>
          <w:szCs w:val="32"/>
        </w:rPr>
        <w:t>1</w:t>
      </w:r>
      <w:r w:rsidR="00031889">
        <w:rPr>
          <w:rFonts w:ascii="Times New Roman" w:eastAsia="仿宋_GB2312" w:hAnsi="Times New Roman" w:hint="eastAsia"/>
          <w:sz w:val="32"/>
          <w:szCs w:val="32"/>
        </w:rPr>
        <w:t>中评价要求，涂层的改变首先意味着需要进行生物学</w:t>
      </w:r>
      <w:r w:rsidRPr="00A1360E">
        <w:rPr>
          <w:rFonts w:ascii="Times New Roman" w:eastAsia="仿宋_GB2312" w:hAnsi="Times New Roman" w:hint="eastAsia"/>
          <w:sz w:val="32"/>
          <w:szCs w:val="32"/>
        </w:rPr>
        <w:t>评价。同时，由于涂层本身即是为了提高产品的某方面的性能，如抗凝、润滑等，那么涂层的改变还应考虑其性能的重新验证。但是否需要进行</w:t>
      </w:r>
      <w:r w:rsidR="006518E5">
        <w:rPr>
          <w:rFonts w:ascii="Times New Roman" w:eastAsia="仿宋_GB2312" w:hAnsi="Times New Roman" w:hint="eastAsia"/>
          <w:sz w:val="32"/>
          <w:szCs w:val="32"/>
        </w:rPr>
        <w:t>临床评价</w:t>
      </w:r>
      <w:r w:rsidRPr="00A1360E">
        <w:rPr>
          <w:rFonts w:ascii="Times New Roman" w:eastAsia="仿宋_GB2312" w:hAnsi="Times New Roman" w:hint="eastAsia"/>
          <w:sz w:val="32"/>
          <w:szCs w:val="32"/>
        </w:rPr>
        <w:t>还应结合产品及相应风险具体考虑，此处不再赘述。</w:t>
      </w:r>
    </w:p>
    <w:p w:rsidR="007E7A6B" w:rsidRDefault="007E7A6B" w:rsidP="00717CF7">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其他如原材料制备所用材料的来源</w:t>
      </w:r>
      <w:r w:rsidR="00440D10">
        <w:rPr>
          <w:rFonts w:ascii="Times New Roman" w:eastAsia="仿宋_GB2312" w:hAnsi="Times New Roman" w:hint="eastAsia"/>
          <w:sz w:val="32"/>
          <w:szCs w:val="32"/>
        </w:rPr>
        <w:t>改变、溶剂的改变、材料物理形态的改变、控制标准的改变（包括质量控制项目、控制要求和检验方法等）、原材料的包装材料等涉及制造最终医疗器械所用材料的改变项目，均可参照上述评价过程进行。</w:t>
      </w:r>
    </w:p>
    <w:p w:rsidR="008201E9" w:rsidRPr="008201E9" w:rsidRDefault="008201E9" w:rsidP="00717CF7">
      <w:pPr>
        <w:ind w:firstLineChars="200" w:firstLine="640"/>
        <w:rPr>
          <w:rFonts w:ascii="黑体" w:eastAsia="黑体" w:hAnsi="黑体"/>
          <w:sz w:val="32"/>
          <w:szCs w:val="32"/>
        </w:rPr>
      </w:pPr>
      <w:r w:rsidRPr="008201E9">
        <w:rPr>
          <w:rFonts w:ascii="黑体" w:eastAsia="黑体" w:hAnsi="黑体" w:hint="eastAsia"/>
          <w:sz w:val="32"/>
          <w:szCs w:val="32"/>
        </w:rPr>
        <w:t>五、讨论</w:t>
      </w:r>
    </w:p>
    <w:p w:rsidR="000E0585" w:rsidRPr="00BB30D3" w:rsidRDefault="0061486F" w:rsidP="000E0585">
      <w:pPr>
        <w:ind w:firstLineChars="200" w:firstLine="640"/>
        <w:rPr>
          <w:rFonts w:ascii="Times New Roman" w:eastAsia="仿宋_GB2312"/>
          <w:color w:val="000000"/>
          <w:kern w:val="0"/>
          <w:sz w:val="32"/>
          <w:szCs w:val="32"/>
        </w:rPr>
      </w:pPr>
      <w:r>
        <w:rPr>
          <w:rFonts w:ascii="Times New Roman" w:eastAsia="仿宋_GB2312" w:hAnsi="Times New Roman" w:hint="eastAsia"/>
          <w:sz w:val="32"/>
          <w:szCs w:val="32"/>
        </w:rPr>
        <w:t>我国目前已实施材料主文档备</w:t>
      </w:r>
      <w:r w:rsidRPr="00A774C0">
        <w:rPr>
          <w:rFonts w:ascii="Times New Roman" w:eastAsia="仿宋_GB2312" w:hAnsi="Times New Roman" w:hint="eastAsia"/>
          <w:sz w:val="32"/>
          <w:szCs w:val="32"/>
        </w:rPr>
        <w:t>案制度</w:t>
      </w:r>
      <w:r w:rsidR="000E0585" w:rsidRPr="00A774C0">
        <w:rPr>
          <w:rFonts w:ascii="Times New Roman" w:eastAsia="仿宋_GB2312" w:hAnsi="Times New Roman" w:hint="eastAsia"/>
          <w:sz w:val="32"/>
          <w:szCs w:val="32"/>
        </w:rPr>
        <w:t>，</w:t>
      </w:r>
      <w:r w:rsidR="000E0585" w:rsidRPr="00A774C0">
        <w:rPr>
          <w:rFonts w:ascii="Times New Roman" w:eastAsia="仿宋_GB2312" w:hint="eastAsia"/>
          <w:kern w:val="0"/>
          <w:sz w:val="32"/>
          <w:szCs w:val="32"/>
        </w:rPr>
        <w:t>如原材料供应商已进行主文档登记，</w:t>
      </w:r>
      <w:r w:rsidR="006518E5" w:rsidRPr="00A774C0">
        <w:rPr>
          <w:rFonts w:ascii="Times New Roman" w:eastAsia="仿宋_GB2312" w:hint="eastAsia"/>
          <w:kern w:val="0"/>
          <w:sz w:val="32"/>
          <w:szCs w:val="32"/>
        </w:rPr>
        <w:t>当</w:t>
      </w:r>
      <w:r w:rsidR="000E0585" w:rsidRPr="00A774C0">
        <w:rPr>
          <w:rFonts w:ascii="Times New Roman" w:eastAsia="仿宋_GB2312" w:hint="eastAsia"/>
          <w:kern w:val="0"/>
          <w:sz w:val="32"/>
          <w:szCs w:val="32"/>
        </w:rPr>
        <w:t>主文档内容发生变化有可能对相关医疗器械产生影响</w:t>
      </w:r>
      <w:r w:rsidR="006518E5" w:rsidRPr="00A774C0">
        <w:rPr>
          <w:rFonts w:ascii="Times New Roman" w:eastAsia="仿宋_GB2312" w:hint="eastAsia"/>
          <w:kern w:val="0"/>
          <w:sz w:val="32"/>
          <w:szCs w:val="32"/>
        </w:rPr>
        <w:t>时，主文档所有者应</w:t>
      </w:r>
      <w:r w:rsidR="000E0585" w:rsidRPr="00A774C0">
        <w:rPr>
          <w:rFonts w:ascii="Times New Roman" w:eastAsia="仿宋_GB2312" w:hint="eastAsia"/>
          <w:kern w:val="0"/>
          <w:sz w:val="32"/>
          <w:szCs w:val="32"/>
        </w:rPr>
        <w:t>在发生类似变化之前主动告知授权使用主文档的医疗器械注册人所有相关变化内容。告知的内容应尽可能详尽，使得被授权企业可以合理评估主文档的更新对所注册的医疗器械产品安全有效性的影响，以便采取措施以满足相关法规要求，必要时，按照相关程序进行注册变更，但医疗器械</w:t>
      </w:r>
      <w:r w:rsidR="00AE51E3" w:rsidRPr="00A774C0">
        <w:rPr>
          <w:rFonts w:ascii="Times New Roman" w:eastAsia="仿宋_GB2312" w:hint="eastAsia"/>
          <w:kern w:val="0"/>
          <w:sz w:val="32"/>
          <w:szCs w:val="32"/>
        </w:rPr>
        <w:t>持证人</w:t>
      </w:r>
      <w:r w:rsidR="006518E5" w:rsidRPr="00A774C0">
        <w:rPr>
          <w:rFonts w:ascii="Times New Roman" w:eastAsia="仿宋_GB2312" w:hint="eastAsia"/>
          <w:kern w:val="0"/>
          <w:sz w:val="32"/>
          <w:szCs w:val="32"/>
        </w:rPr>
        <w:t>是医疗器械产品质量</w:t>
      </w:r>
      <w:r w:rsidR="000E0585" w:rsidRPr="00A774C0">
        <w:rPr>
          <w:rFonts w:ascii="Times New Roman" w:eastAsia="仿宋_GB2312" w:hint="eastAsia"/>
          <w:kern w:val="0"/>
          <w:sz w:val="32"/>
          <w:szCs w:val="32"/>
        </w:rPr>
        <w:lastRenderedPageBreak/>
        <w:t>的责任方，双方应告知的内容及要求应由主文档所有者和</w:t>
      </w:r>
      <w:r w:rsidR="00AE51E3" w:rsidRPr="00A774C0">
        <w:rPr>
          <w:rFonts w:ascii="Times New Roman" w:eastAsia="仿宋_GB2312" w:hint="eastAsia"/>
          <w:kern w:val="0"/>
          <w:sz w:val="32"/>
          <w:szCs w:val="32"/>
        </w:rPr>
        <w:t>持证人</w:t>
      </w:r>
      <w:r w:rsidR="000E0585" w:rsidRPr="00A774C0">
        <w:rPr>
          <w:rFonts w:ascii="Times New Roman" w:eastAsia="仿宋_GB2312" w:hint="eastAsia"/>
          <w:kern w:val="0"/>
          <w:sz w:val="32"/>
          <w:szCs w:val="32"/>
        </w:rPr>
        <w:t>签署的责任义务协议中规定，</w:t>
      </w:r>
      <w:r w:rsidR="00AE51E3" w:rsidRPr="00A774C0">
        <w:rPr>
          <w:rFonts w:ascii="Times New Roman" w:eastAsia="仿宋_GB2312" w:hint="eastAsia"/>
          <w:kern w:val="0"/>
          <w:sz w:val="32"/>
          <w:szCs w:val="32"/>
        </w:rPr>
        <w:t>持证人</w:t>
      </w:r>
      <w:r w:rsidR="000E0585" w:rsidRPr="00A774C0">
        <w:rPr>
          <w:rFonts w:ascii="Times New Roman" w:eastAsia="仿宋_GB2312" w:hint="eastAsia"/>
          <w:kern w:val="0"/>
          <w:sz w:val="32"/>
          <w:szCs w:val="32"/>
        </w:rPr>
        <w:t>不</w:t>
      </w:r>
      <w:r w:rsidR="000E0585">
        <w:rPr>
          <w:rFonts w:ascii="Times New Roman" w:eastAsia="仿宋_GB2312" w:hint="eastAsia"/>
          <w:color w:val="000000"/>
          <w:kern w:val="0"/>
          <w:sz w:val="32"/>
          <w:szCs w:val="32"/>
        </w:rPr>
        <w:t>能因为主文档所有者的原材料发生改变未进行主文档更新而豁免其作为医疗器械第一责任人的主体责任。</w:t>
      </w:r>
    </w:p>
    <w:p w:rsidR="000E0585" w:rsidRDefault="0061486F" w:rsidP="000E0585">
      <w:pPr>
        <w:ind w:firstLineChars="200" w:firstLine="640"/>
        <w:rPr>
          <w:rFonts w:ascii="Times New Roman" w:eastAsia="仿宋_GB2312"/>
          <w:color w:val="000000"/>
          <w:kern w:val="0"/>
          <w:sz w:val="32"/>
          <w:szCs w:val="32"/>
        </w:rPr>
      </w:pPr>
      <w:r>
        <w:rPr>
          <w:rFonts w:ascii="Times New Roman" w:eastAsia="仿宋_GB2312" w:hAnsi="Times New Roman" w:hint="eastAsia"/>
          <w:sz w:val="32"/>
          <w:szCs w:val="32"/>
        </w:rPr>
        <w:t>另一方面</w:t>
      </w:r>
      <w:r w:rsidR="000E0585">
        <w:rPr>
          <w:rFonts w:ascii="Times New Roman" w:eastAsia="仿宋_GB2312" w:hAnsi="Times New Roman" w:hint="eastAsia"/>
          <w:sz w:val="32"/>
          <w:szCs w:val="32"/>
        </w:rPr>
        <w:t>，</w:t>
      </w:r>
      <w:r w:rsidR="000E0585">
        <w:rPr>
          <w:rFonts w:ascii="Times New Roman" w:eastAsia="仿宋_GB2312" w:hint="eastAsia"/>
          <w:color w:val="000000"/>
          <w:kern w:val="0"/>
          <w:sz w:val="32"/>
          <w:szCs w:val="32"/>
        </w:rPr>
        <w:t>《医疗器械生产质量管理规范》第六章第三十七条规定：</w:t>
      </w:r>
      <w:r w:rsidR="000E0585" w:rsidRPr="008B5BA7">
        <w:rPr>
          <w:rFonts w:ascii="Times New Roman" w:eastAsia="仿宋_GB2312" w:hint="eastAsia"/>
          <w:color w:val="000000"/>
          <w:kern w:val="0"/>
          <w:sz w:val="32"/>
          <w:szCs w:val="32"/>
        </w:rPr>
        <w:t>当选用的材料、零件或者产品功能的改变可能影响到医疗器械产品安全性、有效性时，应当</w:t>
      </w:r>
      <w:proofErr w:type="gramStart"/>
      <w:r w:rsidR="000E0585" w:rsidRPr="008B5BA7">
        <w:rPr>
          <w:rFonts w:ascii="Times New Roman" w:eastAsia="仿宋_GB2312" w:hint="eastAsia"/>
          <w:color w:val="000000"/>
          <w:kern w:val="0"/>
          <w:sz w:val="32"/>
          <w:szCs w:val="32"/>
        </w:rPr>
        <w:t>评价因</w:t>
      </w:r>
      <w:proofErr w:type="gramEnd"/>
      <w:r w:rsidR="000E0585" w:rsidRPr="008B5BA7">
        <w:rPr>
          <w:rFonts w:ascii="Times New Roman" w:eastAsia="仿宋_GB2312" w:hint="eastAsia"/>
          <w:color w:val="000000"/>
          <w:kern w:val="0"/>
          <w:sz w:val="32"/>
          <w:szCs w:val="32"/>
        </w:rPr>
        <w:t>改动可能带来的风险，必要时采取措施将风险降低到可接受水平，同时应当符合相关法规的要求。</w:t>
      </w:r>
      <w:r w:rsidR="000E0585">
        <w:rPr>
          <w:rFonts w:ascii="Times New Roman" w:eastAsia="仿宋_GB2312" w:hint="eastAsia"/>
          <w:color w:val="000000"/>
          <w:kern w:val="0"/>
          <w:sz w:val="32"/>
          <w:szCs w:val="32"/>
        </w:rPr>
        <w:t>因此，当生产产品所用的材料发生可能影响产品安全性和有效性的改变时，不管是否触发变更注册或首次注册，还是仅需要通过体系控制的材料改变，</w:t>
      </w:r>
      <w:r w:rsidR="00AE51E3">
        <w:rPr>
          <w:rFonts w:ascii="Times New Roman" w:eastAsia="仿宋_GB2312" w:hint="eastAsia"/>
          <w:color w:val="000000"/>
          <w:kern w:val="0"/>
          <w:sz w:val="32"/>
          <w:szCs w:val="32"/>
        </w:rPr>
        <w:t>持证人</w:t>
      </w:r>
      <w:r w:rsidR="000E0585">
        <w:rPr>
          <w:rFonts w:ascii="Times New Roman" w:eastAsia="仿宋_GB2312" w:hint="eastAsia"/>
          <w:color w:val="000000"/>
          <w:kern w:val="0"/>
          <w:sz w:val="32"/>
          <w:szCs w:val="32"/>
        </w:rPr>
        <w:t>首先要根据企业质量管理体系要求，开展风险评估并</w:t>
      </w:r>
      <w:r w:rsidR="000E0585" w:rsidRPr="00A1360E">
        <w:rPr>
          <w:rFonts w:ascii="Times New Roman" w:eastAsia="仿宋_GB2312" w:hint="eastAsia"/>
          <w:color w:val="000000"/>
          <w:kern w:val="0"/>
          <w:sz w:val="32"/>
          <w:szCs w:val="32"/>
        </w:rPr>
        <w:t>做好相关工作，并通过</w:t>
      </w:r>
      <w:r w:rsidR="000E0585">
        <w:rPr>
          <w:rFonts w:ascii="Times New Roman" w:eastAsia="仿宋_GB2312" w:hint="eastAsia"/>
          <w:color w:val="000000"/>
          <w:kern w:val="0"/>
          <w:sz w:val="32"/>
          <w:szCs w:val="32"/>
        </w:rPr>
        <w:t>企业</w:t>
      </w:r>
      <w:r w:rsidR="000E0585" w:rsidRPr="00A1360E">
        <w:rPr>
          <w:rFonts w:ascii="Times New Roman" w:eastAsia="仿宋_GB2312" w:hint="eastAsia"/>
          <w:color w:val="000000"/>
          <w:kern w:val="0"/>
          <w:sz w:val="32"/>
          <w:szCs w:val="32"/>
        </w:rPr>
        <w:t>变更控制程序进行评审、验证、确认、批准等工作</w:t>
      </w:r>
      <w:r w:rsidR="000E0585">
        <w:rPr>
          <w:rFonts w:ascii="Times New Roman" w:eastAsia="仿宋_GB2312" w:hint="eastAsia"/>
          <w:color w:val="000000"/>
          <w:kern w:val="0"/>
          <w:sz w:val="32"/>
          <w:szCs w:val="32"/>
        </w:rPr>
        <w:t>，</w:t>
      </w:r>
      <w:r w:rsidR="000E0585" w:rsidRPr="00A1360E">
        <w:rPr>
          <w:rFonts w:ascii="Times New Roman" w:eastAsia="仿宋_GB2312" w:hint="eastAsia"/>
          <w:color w:val="000000"/>
          <w:kern w:val="0"/>
          <w:sz w:val="32"/>
          <w:szCs w:val="32"/>
        </w:rPr>
        <w:t>保证其质量管理体系的持续有效运行。</w:t>
      </w:r>
      <w:r w:rsidR="000E0585">
        <w:rPr>
          <w:rFonts w:ascii="Times New Roman" w:eastAsia="仿宋_GB2312" w:hint="eastAsia"/>
          <w:color w:val="000000"/>
          <w:kern w:val="0"/>
          <w:sz w:val="32"/>
          <w:szCs w:val="32"/>
        </w:rPr>
        <w:t>然后还应根据法规要求评估是否需要进行变更注册或首次注册，如需经过审批，则应待审批完成后才能将这种材料变化融入实际生产中。</w:t>
      </w:r>
    </w:p>
    <w:p w:rsidR="0061486F" w:rsidRDefault="0061486F" w:rsidP="0061486F">
      <w:pPr>
        <w:ind w:firstLineChars="200" w:firstLine="640"/>
        <w:rPr>
          <w:rFonts w:ascii="Times New Roman" w:eastAsia="仿宋_GB2312"/>
          <w:color w:val="000000"/>
          <w:kern w:val="0"/>
          <w:sz w:val="32"/>
          <w:szCs w:val="32"/>
        </w:rPr>
      </w:pPr>
      <w:r>
        <w:rPr>
          <w:rFonts w:ascii="Times New Roman" w:eastAsia="仿宋_GB2312" w:hint="eastAsia"/>
          <w:color w:val="000000"/>
          <w:kern w:val="0"/>
          <w:sz w:val="32"/>
          <w:szCs w:val="32"/>
        </w:rPr>
        <w:t>最后，风险管理应贯穿于医疗器械产品整个生命周期，</w:t>
      </w:r>
      <w:r w:rsidR="0068122D">
        <w:rPr>
          <w:rFonts w:ascii="Times New Roman" w:eastAsia="仿宋_GB2312" w:hint="eastAsia"/>
          <w:color w:val="000000"/>
          <w:kern w:val="0"/>
          <w:sz w:val="32"/>
          <w:szCs w:val="32"/>
        </w:rPr>
        <w:t>变更后产品上市后也应继续通过不良事件监测等手段对</w:t>
      </w:r>
      <w:r w:rsidRPr="0061486F">
        <w:rPr>
          <w:rFonts w:ascii="Times New Roman" w:eastAsia="仿宋_GB2312" w:hint="eastAsia"/>
          <w:color w:val="000000"/>
          <w:kern w:val="0"/>
          <w:sz w:val="32"/>
          <w:szCs w:val="32"/>
        </w:rPr>
        <w:t>医疗器械风险信息进行收集、评价、干预、控制、预防</w:t>
      </w:r>
      <w:r w:rsidR="0068122D">
        <w:rPr>
          <w:rFonts w:ascii="Times New Roman" w:eastAsia="仿宋_GB2312" w:hint="eastAsia"/>
          <w:color w:val="000000"/>
          <w:kern w:val="0"/>
          <w:sz w:val="32"/>
          <w:szCs w:val="32"/>
        </w:rPr>
        <w:t>，</w:t>
      </w:r>
      <w:r w:rsidRPr="0061486F">
        <w:rPr>
          <w:rFonts w:ascii="Times New Roman" w:eastAsia="仿宋_GB2312" w:hint="eastAsia"/>
          <w:color w:val="000000"/>
          <w:kern w:val="0"/>
          <w:sz w:val="32"/>
          <w:szCs w:val="32"/>
        </w:rPr>
        <w:t>最大限度地控制医疗器械潜在的风险，才能保证医疗器械安全有效。</w:t>
      </w:r>
    </w:p>
    <w:p w:rsidR="009221E2" w:rsidRPr="000E0585" w:rsidRDefault="009221E2" w:rsidP="00A1360E">
      <w:pPr>
        <w:rPr>
          <w:rFonts w:ascii="Times New Roman" w:eastAsia="仿宋_GB2312" w:hAnsi="Times New Roman"/>
          <w:sz w:val="32"/>
          <w:szCs w:val="32"/>
        </w:rPr>
      </w:pPr>
    </w:p>
    <w:p w:rsidR="00A1360E" w:rsidRPr="00A1360E" w:rsidRDefault="00A1360E" w:rsidP="00A1360E">
      <w:pPr>
        <w:rPr>
          <w:rFonts w:ascii="Times New Roman" w:eastAsia="仿宋_GB2312" w:hAnsi="Times New Roman"/>
          <w:sz w:val="32"/>
          <w:szCs w:val="32"/>
        </w:rPr>
      </w:pPr>
      <w:r w:rsidRPr="00A1360E">
        <w:rPr>
          <w:rFonts w:ascii="Times New Roman" w:eastAsia="仿宋_GB2312" w:hAnsi="Times New Roman" w:hint="eastAsia"/>
          <w:sz w:val="32"/>
          <w:szCs w:val="32"/>
        </w:rPr>
        <w:t>参考文献：</w:t>
      </w:r>
    </w:p>
    <w:p w:rsidR="00A1360E" w:rsidRPr="009D3BCA" w:rsidRDefault="00A1360E" w:rsidP="009D3BCA">
      <w:pPr>
        <w:snapToGrid w:val="0"/>
        <w:spacing w:line="360" w:lineRule="auto"/>
        <w:contextualSpacing/>
        <w:rPr>
          <w:rFonts w:ascii="Times New Roman" w:eastAsia="仿宋_GB2312" w:hAnsi="Times New Roman"/>
          <w:sz w:val="30"/>
          <w:szCs w:val="30"/>
        </w:rPr>
      </w:pPr>
      <w:proofErr w:type="gramStart"/>
      <w:r w:rsidRPr="009D3BCA">
        <w:rPr>
          <w:rFonts w:ascii="Times New Roman" w:eastAsia="仿宋_GB2312" w:hAnsi="Times New Roman" w:hint="eastAsia"/>
          <w:sz w:val="30"/>
          <w:szCs w:val="30"/>
        </w:rPr>
        <w:t>1.FDA</w:t>
      </w:r>
      <w:r w:rsidR="00677D0A">
        <w:rPr>
          <w:rFonts w:ascii="Times New Roman" w:eastAsia="仿宋_GB2312" w:hAnsi="Times New Roman" w:hint="eastAsia"/>
          <w:sz w:val="30"/>
          <w:szCs w:val="30"/>
        </w:rPr>
        <w:t>.</w:t>
      </w:r>
      <w:r w:rsidRPr="009D3BCA">
        <w:rPr>
          <w:rFonts w:ascii="Times New Roman" w:eastAsia="仿宋_GB2312" w:hAnsi="Times New Roman"/>
          <w:sz w:val="30"/>
          <w:szCs w:val="30"/>
        </w:rPr>
        <w:t>Deciding</w:t>
      </w:r>
      <w:proofErr w:type="gramEnd"/>
      <w:r w:rsidRPr="009D3BCA">
        <w:rPr>
          <w:rFonts w:ascii="Times New Roman" w:eastAsia="仿宋_GB2312" w:hAnsi="Times New Roman"/>
          <w:sz w:val="30"/>
          <w:szCs w:val="30"/>
        </w:rPr>
        <w:t xml:space="preserve"> When to Submit a 510(k) for a Change to an Existing Device</w:t>
      </w:r>
      <w:r w:rsidR="00677D0A">
        <w:rPr>
          <w:rFonts w:ascii="Times New Roman" w:eastAsia="仿宋_GB2312" w:hAnsi="Times New Roman" w:hint="eastAsia"/>
          <w:sz w:val="30"/>
          <w:szCs w:val="30"/>
        </w:rPr>
        <w:t>[EB/OL].</w:t>
      </w:r>
      <w:r w:rsidR="0022266C" w:rsidRPr="0022266C">
        <w:t xml:space="preserve"> </w:t>
      </w:r>
      <w:r w:rsidR="0022266C" w:rsidRPr="0022266C">
        <w:rPr>
          <w:rFonts w:ascii="Times New Roman" w:eastAsia="仿宋_GB2312" w:hAnsi="Times New Roman"/>
          <w:sz w:val="30"/>
          <w:szCs w:val="30"/>
        </w:rPr>
        <w:t>https://www.fda.gov/regulatory-information/search-fda-guidance-documents/deciding-when-submit-510k-change-existing-device</w:t>
      </w:r>
      <w:r w:rsidR="0022266C">
        <w:rPr>
          <w:rFonts w:ascii="Times New Roman" w:eastAsia="仿宋_GB2312" w:hAnsi="Times New Roman" w:hint="eastAsia"/>
          <w:sz w:val="30"/>
          <w:szCs w:val="30"/>
        </w:rPr>
        <w:t>,2017-10/2019-05.</w:t>
      </w:r>
    </w:p>
    <w:p w:rsidR="00A1360E" w:rsidRPr="009D3BCA" w:rsidRDefault="00A1360E" w:rsidP="009D3BCA">
      <w:pPr>
        <w:snapToGrid w:val="0"/>
        <w:spacing w:line="360" w:lineRule="auto"/>
        <w:contextualSpacing/>
        <w:rPr>
          <w:rFonts w:ascii="Times New Roman" w:eastAsia="仿宋_GB2312" w:hAnsi="Times New Roman"/>
          <w:sz w:val="30"/>
          <w:szCs w:val="30"/>
        </w:rPr>
      </w:pPr>
      <w:r w:rsidRPr="009D3BCA">
        <w:rPr>
          <w:rFonts w:ascii="Times New Roman" w:eastAsia="仿宋_GB2312" w:hAnsi="Times New Roman" w:hint="eastAsia"/>
          <w:sz w:val="30"/>
          <w:szCs w:val="30"/>
        </w:rPr>
        <w:t>2.</w:t>
      </w:r>
      <w:r w:rsidR="009D3BCA" w:rsidRPr="009D3BCA">
        <w:rPr>
          <w:rFonts w:hint="eastAsia"/>
          <w:sz w:val="30"/>
          <w:szCs w:val="30"/>
        </w:rPr>
        <w:t xml:space="preserve"> </w:t>
      </w:r>
      <w:r w:rsidR="0022266C" w:rsidRPr="00F07B6E">
        <w:rPr>
          <w:rFonts w:ascii="Times New Roman" w:eastAsia="仿宋_GB2312" w:hAnsi="Times New Roman" w:hint="eastAsia"/>
          <w:sz w:val="30"/>
          <w:szCs w:val="30"/>
        </w:rPr>
        <w:t>国家药品监督管理局</w:t>
      </w:r>
      <w:r w:rsidR="0022266C" w:rsidRPr="00F07B6E">
        <w:rPr>
          <w:rFonts w:ascii="Times New Roman" w:eastAsia="仿宋_GB2312" w:hAnsi="Times New Roman" w:hint="eastAsia"/>
          <w:sz w:val="30"/>
          <w:szCs w:val="30"/>
        </w:rPr>
        <w:t>.</w:t>
      </w:r>
      <w:r w:rsidR="009D3BCA" w:rsidRPr="009D3BCA">
        <w:rPr>
          <w:rFonts w:ascii="Times New Roman" w:eastAsia="仿宋_GB2312" w:hAnsi="Times New Roman" w:hint="eastAsia"/>
          <w:sz w:val="30"/>
          <w:szCs w:val="30"/>
        </w:rPr>
        <w:t>医疗器械动物实验研究技术审查指导原则</w:t>
      </w:r>
      <w:r w:rsidR="009D3BCA" w:rsidRPr="009D3BCA">
        <w:rPr>
          <w:rFonts w:ascii="Times New Roman" w:eastAsia="仿宋_GB2312" w:hAnsi="Times New Roman" w:hint="eastAsia"/>
          <w:sz w:val="30"/>
          <w:szCs w:val="30"/>
        </w:rPr>
        <w:t xml:space="preserve"> </w:t>
      </w:r>
      <w:r w:rsidR="009D3BCA" w:rsidRPr="009D3BCA">
        <w:rPr>
          <w:rFonts w:ascii="Times New Roman" w:eastAsia="仿宋_GB2312" w:hAnsi="Times New Roman" w:hint="eastAsia"/>
          <w:sz w:val="30"/>
          <w:szCs w:val="30"/>
        </w:rPr>
        <w:t>第一部分：决策原则</w:t>
      </w:r>
      <w:r w:rsidR="0022266C">
        <w:rPr>
          <w:rFonts w:ascii="Times New Roman" w:eastAsia="仿宋_GB2312" w:hAnsi="Times New Roman" w:hint="eastAsia"/>
          <w:sz w:val="30"/>
          <w:szCs w:val="30"/>
        </w:rPr>
        <w:t>[EB/OL].</w:t>
      </w:r>
      <w:r w:rsidR="0022266C" w:rsidRPr="00F07B6E">
        <w:rPr>
          <w:rFonts w:ascii="Times New Roman" w:eastAsia="仿宋_GB2312" w:hAnsi="Times New Roman"/>
          <w:sz w:val="30"/>
          <w:szCs w:val="30"/>
        </w:rPr>
        <w:t xml:space="preserve"> </w:t>
      </w:r>
      <w:r w:rsidR="0022266C" w:rsidRPr="0022266C">
        <w:rPr>
          <w:rFonts w:ascii="Times New Roman" w:eastAsia="仿宋_GB2312" w:hAnsi="Times New Roman"/>
          <w:sz w:val="30"/>
          <w:szCs w:val="30"/>
        </w:rPr>
        <w:t>http://www.nmpa.gov.cn/WS04/CL2138/336317.html</w:t>
      </w:r>
      <w:r w:rsidR="00F07B6E">
        <w:rPr>
          <w:rFonts w:ascii="Times New Roman" w:eastAsia="仿宋_GB2312" w:hAnsi="Times New Roman" w:hint="eastAsia"/>
          <w:sz w:val="30"/>
          <w:szCs w:val="30"/>
        </w:rPr>
        <w:t>,2019-04/2019-05.</w:t>
      </w:r>
    </w:p>
    <w:p w:rsidR="009D3BCA" w:rsidRPr="0022266C" w:rsidRDefault="009D3BCA" w:rsidP="009D3BCA">
      <w:pPr>
        <w:snapToGrid w:val="0"/>
        <w:spacing w:line="360" w:lineRule="auto"/>
        <w:contextualSpacing/>
        <w:rPr>
          <w:rFonts w:ascii="Times New Roman" w:eastAsia="仿宋_GB2312" w:hAnsi="Times New Roman"/>
          <w:sz w:val="30"/>
          <w:szCs w:val="30"/>
        </w:rPr>
      </w:pPr>
      <w:r w:rsidRPr="009D3BCA">
        <w:rPr>
          <w:rFonts w:ascii="Times New Roman" w:eastAsia="仿宋_GB2312" w:hAnsi="Times New Roman" w:hint="eastAsia"/>
          <w:sz w:val="30"/>
          <w:szCs w:val="30"/>
        </w:rPr>
        <w:t>3.</w:t>
      </w:r>
      <w:r w:rsidRPr="009D3BCA">
        <w:rPr>
          <w:rFonts w:ascii="Times New Roman" w:eastAsia="仿宋_GB2312" w:hAnsi="Times New Roman"/>
          <w:sz w:val="30"/>
          <w:szCs w:val="30"/>
        </w:rPr>
        <w:t xml:space="preserve"> </w:t>
      </w:r>
      <w:r w:rsidRPr="009D3BCA">
        <w:rPr>
          <w:rFonts w:ascii="Times New Roman" w:eastAsia="仿宋_GB2312" w:hAnsi="Times New Roman" w:hint="eastAsia"/>
          <w:sz w:val="30"/>
          <w:szCs w:val="30"/>
        </w:rPr>
        <w:t>FDA</w:t>
      </w:r>
      <w:r w:rsidR="0022266C">
        <w:rPr>
          <w:rFonts w:ascii="Times New Roman" w:eastAsia="仿宋_GB2312" w:hAnsi="Times New Roman" w:hint="eastAsia"/>
          <w:sz w:val="30"/>
          <w:szCs w:val="30"/>
        </w:rPr>
        <w:t>.</w:t>
      </w:r>
      <w:r w:rsidR="0022266C" w:rsidRPr="009D3BCA">
        <w:rPr>
          <w:rFonts w:ascii="Times New Roman" w:eastAsia="仿宋_GB2312" w:hAnsi="Times New Roman"/>
          <w:sz w:val="30"/>
          <w:szCs w:val="30"/>
        </w:rPr>
        <w:t xml:space="preserve"> </w:t>
      </w:r>
      <w:r w:rsidRPr="009D3BCA">
        <w:rPr>
          <w:rFonts w:ascii="Times New Roman" w:eastAsia="仿宋_GB2312" w:hAnsi="Times New Roman"/>
          <w:sz w:val="30"/>
          <w:szCs w:val="30"/>
        </w:rPr>
        <w:t xml:space="preserve">Deciding When to Submit a 510(k) for a Software Change to an Existing </w:t>
      </w:r>
      <w:proofErr w:type="gramStart"/>
      <w:r w:rsidRPr="009D3BCA">
        <w:rPr>
          <w:rFonts w:ascii="Times New Roman" w:eastAsia="仿宋_GB2312" w:hAnsi="Times New Roman"/>
          <w:sz w:val="30"/>
          <w:szCs w:val="30"/>
        </w:rPr>
        <w:t>Device</w:t>
      </w:r>
      <w:r w:rsidR="0022266C">
        <w:rPr>
          <w:rFonts w:ascii="Times New Roman" w:eastAsia="仿宋_GB2312" w:hAnsi="Times New Roman" w:hint="eastAsia"/>
          <w:sz w:val="30"/>
          <w:szCs w:val="30"/>
        </w:rPr>
        <w:t>[</w:t>
      </w:r>
      <w:proofErr w:type="gramEnd"/>
      <w:r w:rsidR="0022266C">
        <w:rPr>
          <w:rFonts w:ascii="Times New Roman" w:eastAsia="仿宋_GB2312" w:hAnsi="Times New Roman" w:hint="eastAsia"/>
          <w:sz w:val="30"/>
          <w:szCs w:val="30"/>
        </w:rPr>
        <w:t>EB/OL].</w:t>
      </w:r>
      <w:r w:rsidR="0022266C" w:rsidRPr="0022266C">
        <w:t xml:space="preserve"> </w:t>
      </w:r>
      <w:r w:rsidR="0022266C" w:rsidRPr="0022266C">
        <w:rPr>
          <w:rFonts w:ascii="Times New Roman" w:eastAsia="仿宋_GB2312" w:hAnsi="Times New Roman"/>
          <w:sz w:val="30"/>
          <w:szCs w:val="30"/>
        </w:rPr>
        <w:t>https://www.fda.gov/regulatory-information/search-fda-guidance-documents/deciding-when-submit-510k-software-change-existing-device</w:t>
      </w:r>
      <w:r w:rsidR="0022266C">
        <w:rPr>
          <w:rFonts w:ascii="Times New Roman" w:eastAsia="仿宋_GB2312" w:hAnsi="Times New Roman" w:hint="eastAsia"/>
          <w:sz w:val="30"/>
          <w:szCs w:val="30"/>
        </w:rPr>
        <w:t>,2017-10/2019-05.</w:t>
      </w:r>
    </w:p>
    <w:p w:rsidR="009D3BCA" w:rsidRDefault="009D3BCA" w:rsidP="009D3BCA">
      <w:pPr>
        <w:snapToGrid w:val="0"/>
        <w:spacing w:line="360" w:lineRule="auto"/>
        <w:contextualSpacing/>
        <w:rPr>
          <w:rFonts w:ascii="Times New Roman" w:eastAsia="仿宋_GB2312" w:hAnsi="Times New Roman"/>
          <w:sz w:val="30"/>
          <w:szCs w:val="30"/>
        </w:rPr>
      </w:pPr>
      <w:r w:rsidRPr="009D3BCA">
        <w:rPr>
          <w:rFonts w:ascii="Times New Roman" w:eastAsia="仿宋_GB2312" w:hAnsi="Times New Roman" w:hint="eastAsia"/>
          <w:sz w:val="30"/>
          <w:szCs w:val="30"/>
        </w:rPr>
        <w:t>4.FDA</w:t>
      </w:r>
      <w:r w:rsidRPr="009D3BCA">
        <w:rPr>
          <w:rFonts w:ascii="Times New Roman" w:eastAsia="仿宋_GB2312" w:hAnsi="Times New Roman" w:hint="eastAsia"/>
          <w:sz w:val="30"/>
          <w:szCs w:val="30"/>
        </w:rPr>
        <w:t>：</w:t>
      </w:r>
      <w:r w:rsidRPr="009D3BCA">
        <w:rPr>
          <w:rFonts w:ascii="Times New Roman" w:eastAsia="仿宋_GB2312" w:hAnsi="Times New Roman"/>
          <w:sz w:val="30"/>
          <w:szCs w:val="30"/>
        </w:rPr>
        <w:t>30-Day Notices, 135-Day Premarket</w:t>
      </w:r>
      <w:r w:rsidRPr="009D3BCA">
        <w:rPr>
          <w:rFonts w:ascii="Times New Roman" w:eastAsia="仿宋_GB2312" w:hAnsi="Times New Roman" w:hint="eastAsia"/>
          <w:sz w:val="30"/>
          <w:szCs w:val="30"/>
        </w:rPr>
        <w:t xml:space="preserve"> </w:t>
      </w:r>
      <w:r w:rsidRPr="009D3BCA">
        <w:rPr>
          <w:rFonts w:ascii="Times New Roman" w:eastAsia="仿宋_GB2312" w:hAnsi="Times New Roman"/>
          <w:sz w:val="30"/>
          <w:szCs w:val="30"/>
        </w:rPr>
        <w:t>Approval (PMA) Supplements and 75-Day Humanitarian Device Exemption</w:t>
      </w:r>
      <w:r w:rsidRPr="009D3BCA">
        <w:rPr>
          <w:rFonts w:ascii="Times New Roman" w:eastAsia="仿宋_GB2312" w:hAnsi="Times New Roman" w:hint="eastAsia"/>
          <w:sz w:val="30"/>
          <w:szCs w:val="30"/>
        </w:rPr>
        <w:t xml:space="preserve"> </w:t>
      </w:r>
      <w:r w:rsidRPr="009D3BCA">
        <w:rPr>
          <w:rFonts w:ascii="Times New Roman" w:eastAsia="仿宋_GB2312" w:hAnsi="Times New Roman"/>
          <w:sz w:val="30"/>
          <w:szCs w:val="30"/>
        </w:rPr>
        <w:t>(HDE) Supplements for Manufacturing</w:t>
      </w:r>
      <w:r w:rsidRPr="009D3BCA">
        <w:rPr>
          <w:rFonts w:ascii="Times New Roman" w:eastAsia="仿宋_GB2312" w:hAnsi="Times New Roman" w:hint="eastAsia"/>
          <w:sz w:val="30"/>
          <w:szCs w:val="30"/>
        </w:rPr>
        <w:t xml:space="preserve"> </w:t>
      </w:r>
      <w:r w:rsidRPr="009D3BCA">
        <w:rPr>
          <w:rFonts w:ascii="Times New Roman" w:eastAsia="仿宋_GB2312" w:hAnsi="Times New Roman"/>
          <w:sz w:val="30"/>
          <w:szCs w:val="30"/>
        </w:rPr>
        <w:t xml:space="preserve">Method or Process </w:t>
      </w:r>
      <w:proofErr w:type="gramStart"/>
      <w:r w:rsidRPr="009D3BCA">
        <w:rPr>
          <w:rFonts w:ascii="Times New Roman" w:eastAsia="仿宋_GB2312" w:hAnsi="Times New Roman"/>
          <w:sz w:val="30"/>
          <w:szCs w:val="30"/>
        </w:rPr>
        <w:t>Changes</w:t>
      </w:r>
      <w:r w:rsidR="0022266C">
        <w:rPr>
          <w:rFonts w:ascii="Times New Roman" w:eastAsia="仿宋_GB2312" w:hAnsi="Times New Roman" w:hint="eastAsia"/>
          <w:sz w:val="30"/>
          <w:szCs w:val="30"/>
        </w:rPr>
        <w:t>[</w:t>
      </w:r>
      <w:proofErr w:type="gramEnd"/>
      <w:r w:rsidR="0022266C">
        <w:rPr>
          <w:rFonts w:ascii="Times New Roman" w:eastAsia="仿宋_GB2312" w:hAnsi="Times New Roman" w:hint="eastAsia"/>
          <w:sz w:val="30"/>
          <w:szCs w:val="30"/>
        </w:rPr>
        <w:t>EB/OL].</w:t>
      </w:r>
      <w:r w:rsidR="0022266C" w:rsidRPr="0022266C">
        <w:t xml:space="preserve"> </w:t>
      </w:r>
      <w:r w:rsidR="0022266C" w:rsidRPr="0022266C">
        <w:rPr>
          <w:rFonts w:ascii="Times New Roman" w:eastAsia="仿宋_GB2312" w:hAnsi="Times New Roman"/>
          <w:sz w:val="30"/>
          <w:szCs w:val="30"/>
        </w:rPr>
        <w:t>https://www.fda.gov/regulatory-information/search-fda-guidance-documents/30-day-notices-135-day-premarket-approval-pma-supplements-and-75-day-humanitarian-device-exemption</w:t>
      </w:r>
      <w:r w:rsidR="0022266C">
        <w:rPr>
          <w:rFonts w:ascii="Times New Roman" w:eastAsia="仿宋_GB2312" w:hAnsi="Times New Roman" w:hint="eastAsia"/>
          <w:sz w:val="30"/>
          <w:szCs w:val="30"/>
        </w:rPr>
        <w:t>,2011-04/2019-05.</w:t>
      </w:r>
    </w:p>
    <w:p w:rsidR="00F071E5" w:rsidRPr="00A1360E" w:rsidRDefault="00D867CE" w:rsidP="00F07B6E">
      <w:pPr>
        <w:snapToGrid w:val="0"/>
        <w:spacing w:line="360" w:lineRule="auto"/>
        <w:contextualSpacing/>
        <w:rPr>
          <w:rFonts w:ascii="Times New Roman" w:eastAsia="仿宋_GB2312" w:hAnsi="Times New Roman"/>
          <w:sz w:val="32"/>
          <w:szCs w:val="32"/>
        </w:rPr>
        <w:sectPr w:rsidR="00F071E5" w:rsidRPr="00A1360E" w:rsidSect="00E83E8A">
          <w:footerReference w:type="default" r:id="rId7"/>
          <w:pgSz w:w="11906" w:h="16838"/>
          <w:pgMar w:top="1440" w:right="1800" w:bottom="1440" w:left="1800" w:header="851" w:footer="992" w:gutter="0"/>
          <w:pgNumType w:fmt="numberInDash" w:start="1"/>
          <w:cols w:space="425"/>
          <w:docGrid w:type="lines" w:linePitch="312"/>
        </w:sectPr>
      </w:pPr>
      <w:r>
        <w:rPr>
          <w:rFonts w:ascii="Times New Roman" w:eastAsia="仿宋_GB2312" w:hAnsi="Times New Roman" w:hint="eastAsia"/>
          <w:sz w:val="30"/>
          <w:szCs w:val="30"/>
        </w:rPr>
        <w:t>5.</w:t>
      </w:r>
      <w:r w:rsidR="00F07B6E" w:rsidRPr="00F07B6E">
        <w:rPr>
          <w:rFonts w:hint="eastAsia"/>
        </w:rPr>
        <w:t xml:space="preserve"> </w:t>
      </w:r>
      <w:r w:rsidR="00F07B6E" w:rsidRPr="00F07B6E">
        <w:rPr>
          <w:rFonts w:ascii="Times New Roman" w:eastAsia="仿宋_GB2312" w:hAnsi="Times New Roman" w:hint="eastAsia"/>
          <w:sz w:val="30"/>
          <w:szCs w:val="30"/>
        </w:rPr>
        <w:t>YY/T 0316-2016</w:t>
      </w:r>
      <w:r w:rsidR="00F07B6E">
        <w:rPr>
          <w:rFonts w:ascii="Times New Roman" w:eastAsia="仿宋_GB2312" w:hAnsi="Times New Roman" w:hint="eastAsia"/>
          <w:sz w:val="30"/>
          <w:szCs w:val="30"/>
        </w:rPr>
        <w:t>,</w:t>
      </w:r>
      <w:r w:rsidR="00F07B6E" w:rsidRPr="00F07B6E">
        <w:rPr>
          <w:rFonts w:ascii="Times New Roman" w:eastAsia="仿宋_GB2312" w:hAnsi="Times New Roman" w:hint="eastAsia"/>
          <w:sz w:val="30"/>
          <w:szCs w:val="30"/>
        </w:rPr>
        <w:t>医疗器械</w:t>
      </w:r>
      <w:r w:rsidR="00F07B6E">
        <w:rPr>
          <w:rFonts w:ascii="Times New Roman" w:eastAsia="仿宋_GB2312" w:hAnsi="Times New Roman" w:hint="eastAsia"/>
          <w:sz w:val="30"/>
          <w:szCs w:val="30"/>
        </w:rPr>
        <w:t xml:space="preserve"> </w:t>
      </w:r>
      <w:r w:rsidR="00F07B6E" w:rsidRPr="00F07B6E">
        <w:rPr>
          <w:rFonts w:ascii="Times New Roman" w:eastAsia="仿宋_GB2312" w:hAnsi="Times New Roman" w:hint="eastAsia"/>
          <w:sz w:val="30"/>
          <w:szCs w:val="30"/>
        </w:rPr>
        <w:t>风险管理对医疗器械的应用</w:t>
      </w:r>
      <w:r w:rsidR="00F07B6E">
        <w:rPr>
          <w:rFonts w:ascii="Times New Roman" w:eastAsia="仿宋_GB2312" w:hAnsi="Times New Roman" w:hint="eastAsia"/>
          <w:sz w:val="30"/>
          <w:szCs w:val="30"/>
        </w:rPr>
        <w:t>[S].</w:t>
      </w:r>
      <w:r w:rsidR="00F071E5" w:rsidRPr="00A1360E">
        <w:rPr>
          <w:rFonts w:ascii="Times New Roman" w:eastAsia="仿宋_GB2312" w:hAnsi="Times New Roman"/>
          <w:sz w:val="32"/>
          <w:szCs w:val="32"/>
        </w:rPr>
        <w:br w:type="page"/>
      </w:r>
    </w:p>
    <w:p w:rsidR="00400810" w:rsidRPr="00A1360E" w:rsidRDefault="00A25291" w:rsidP="000462BD">
      <w:pPr>
        <w:ind w:firstLineChars="200" w:firstLine="640"/>
        <w:rPr>
          <w:rFonts w:ascii="Times New Roman" w:eastAsia="仿宋_GB2312" w:hAnsi="Times New Roman"/>
          <w:sz w:val="32"/>
          <w:szCs w:val="32"/>
        </w:rPr>
      </w:pPr>
      <w:r w:rsidRPr="00A1360E">
        <w:rPr>
          <w:rFonts w:ascii="Times New Roman" w:eastAsia="仿宋_GB2312" w:hAnsi="Times New Roman"/>
          <w:sz w:val="32"/>
          <w:szCs w:val="32"/>
        </w:rPr>
        <w:lastRenderedPageBreak/>
        <w:t>附录</w:t>
      </w:r>
      <w:r w:rsidRPr="00A1360E">
        <w:rPr>
          <w:rFonts w:ascii="Times New Roman" w:eastAsia="仿宋_GB2312" w:hAnsi="Times New Roman" w:hint="eastAsia"/>
          <w:sz w:val="32"/>
          <w:szCs w:val="32"/>
        </w:rPr>
        <w:t>1</w:t>
      </w:r>
    </w:p>
    <w:p w:rsidR="005E0654" w:rsidRPr="005E0654" w:rsidRDefault="00FF149D" w:rsidP="00677D0A">
      <w:pPr>
        <w:jc w:val="center"/>
        <w:rPr>
          <w:rFonts w:ascii="Times New Roman" w:eastAsia="仿宋_GB2312"/>
          <w:color w:val="000000"/>
          <w:kern w:val="0"/>
          <w:sz w:val="32"/>
          <w:szCs w:val="32"/>
        </w:rPr>
      </w:pPr>
      <w:r>
        <w:rPr>
          <w:rFonts w:ascii="Times New Roman" w:eastAsia="方正小标宋简体" w:hAnsi="Times New Roman"/>
          <w:noProof/>
          <w:sz w:val="36"/>
          <w:szCs w:val="36"/>
        </w:rPr>
        <w:pict>
          <v:group id="_x0000_s1215" style="position:absolute;left:0;text-align:left;margin-left:-33.4pt;margin-top:48.75pt;width:754.3pt;height:325.35pt;z-index:252182528" coordorigin="772,3396" coordsize="15086,6507">
            <v:shapetype id="_x0000_t4" coordsize="21600,21600" o:spt="4" path="m10800,l,10800,10800,21600,21600,10800xe">
              <v:stroke joinstyle="miter"/>
              <v:path gradientshapeok="t" o:connecttype="rect" textboxrect="5400,5400,16200,16200"/>
            </v:shapetype>
            <v:shape id="_x0000_s1035" type="#_x0000_t4" style="position:absolute;left:772;top:4533;width:2025;height:1710" o:regroupid="22" fillcolor="#f2f2f2 [3052]">
              <v:fill color2="fill lighten(146)" rotate="t" method="linear sigma" focus="100%" type="gradient"/>
              <v:textbox style="mso-next-textbox:#_x0000_s1035">
                <w:txbxContent>
                  <w:p w:rsidR="0040662B" w:rsidRPr="00D14B7D" w:rsidRDefault="0040662B" w:rsidP="00CF0685">
                    <w:pPr>
                      <w:snapToGrid w:val="0"/>
                      <w:jc w:val="center"/>
                    </w:pPr>
                    <w:r w:rsidRPr="00712120">
                      <w:rPr>
                        <w:rFonts w:ascii="Arial" w:hAnsi="Arial" w:cs="Arial"/>
                        <w:snapToGrid w:val="0"/>
                        <w:kern w:val="0"/>
                        <w:sz w:val="15"/>
                        <w:szCs w:val="15"/>
                      </w:rPr>
                      <w:t>材料类型、</w:t>
                    </w:r>
                    <w:r>
                      <w:rPr>
                        <w:rFonts w:ascii="Arial" w:hAnsi="Arial" w:cs="Arial"/>
                        <w:snapToGrid w:val="0"/>
                        <w:kern w:val="0"/>
                        <w:sz w:val="15"/>
                        <w:szCs w:val="15"/>
                      </w:rPr>
                      <w:t>组分</w:t>
                    </w:r>
                    <w:r>
                      <w:rPr>
                        <w:rFonts w:ascii="Arial" w:hAnsi="Arial" w:cs="Arial" w:hint="eastAsia"/>
                        <w:snapToGrid w:val="0"/>
                        <w:kern w:val="0"/>
                        <w:sz w:val="15"/>
                        <w:szCs w:val="15"/>
                      </w:rPr>
                      <w:t>/</w:t>
                    </w:r>
                    <w:r w:rsidRPr="00712120">
                      <w:rPr>
                        <w:rFonts w:ascii="Arial" w:hAnsi="Arial" w:cs="Arial"/>
                        <w:snapToGrid w:val="0"/>
                        <w:kern w:val="0"/>
                        <w:sz w:val="15"/>
                        <w:szCs w:val="15"/>
                      </w:rPr>
                      <w:t>配方、</w:t>
                    </w:r>
                    <w:r>
                      <w:rPr>
                        <w:rFonts w:ascii="Arial" w:hAnsi="Arial" w:cs="Arial"/>
                        <w:snapToGrid w:val="0"/>
                        <w:kern w:val="0"/>
                        <w:sz w:val="15"/>
                        <w:szCs w:val="15"/>
                      </w:rPr>
                      <w:t>加工工艺等是否发生</w:t>
                    </w:r>
                    <w:r>
                      <w:rPr>
                        <w:rFonts w:ascii="Arial" w:hAnsi="Arial" w:cs="Arial" w:hint="eastAsia"/>
                        <w:snapToGrid w:val="0"/>
                        <w:kern w:val="0"/>
                        <w:sz w:val="15"/>
                        <w:szCs w:val="15"/>
                      </w:rPr>
                      <w:t>改变</w:t>
                    </w:r>
                  </w:p>
                </w:txbxContent>
              </v:textbox>
            </v:shape>
            <v:shapetype id="_x0000_t202" coordsize="21600,21600" o:spt="202" path="m,l,21600r21600,l21600,xe">
              <v:stroke joinstyle="miter"/>
              <v:path gradientshapeok="t" o:connecttype="rect"/>
            </v:shapetype>
            <v:shape id="_x0000_s1175" type="#_x0000_t202" style="position:absolute;left:1936;top:6370;width:401;height:471;mso-height-percent:200;mso-height-percent:200;mso-width-relative:margin;mso-height-relative:margin" o:regroupid="22" fillcolor="#f2dbdb [661]" strokecolor="black [3213]">
              <v:fill color2="fill darken(231)" rotate="t" method="linear sigma" focus="100%" type="gradient"/>
              <v:textbox style="mso-next-textbox:#_x0000_s1175;mso-fit-shape-to-text:t">
                <w:txbxContent>
                  <w:p w:rsidR="0040662B" w:rsidRPr="005D13A5" w:rsidRDefault="0040662B" w:rsidP="006E0762">
                    <w:pPr>
                      <w:rPr>
                        <w:sz w:val="15"/>
                        <w:szCs w:val="15"/>
                      </w:rPr>
                    </w:pPr>
                    <w:proofErr w:type="gramStart"/>
                    <w:r>
                      <w:rPr>
                        <w:rFonts w:hint="eastAsia"/>
                        <w:sz w:val="15"/>
                        <w:szCs w:val="15"/>
                      </w:rPr>
                      <w:t>否</w:t>
                    </w:r>
                    <w:proofErr w:type="gramEnd"/>
                  </w:p>
                </w:txbxContent>
              </v:textbox>
            </v:shape>
            <v:shapetype id="_x0000_t32" coordsize="21600,21600" o:spt="32" o:oned="t" path="m,l21600,21600e" filled="f">
              <v:path arrowok="t" fillok="f" o:connecttype="none"/>
              <o:lock v:ext="edit" shapetype="t"/>
            </v:shapetype>
            <v:shape id="_x0000_s1177" type="#_x0000_t32" style="position:absolute;left:1773;top:6246;width:1;height:735" o:connectortype="straight" o:regroupid="22">
              <v:stroke endarrow="block"/>
            </v:shape>
            <v:rect id="_x0000_s1178" style="position:absolute;left:1130;top:7032;width:1309;height:418" o:regroupid="22" fillcolor="#c6d9f1 [671]">
              <v:fill color2="fill lighten(188)" rotate="t" method="linear sigma" focus="100%" type="gradient"/>
              <v:textbox style="mso-next-textbox:#_x0000_s1178">
                <w:txbxContent>
                  <w:p w:rsidR="0040662B" w:rsidRPr="004F28F3" w:rsidRDefault="0040662B" w:rsidP="006E0762">
                    <w:pPr>
                      <w:snapToGrid w:val="0"/>
                      <w:jc w:val="center"/>
                      <w:rPr>
                        <w:rFonts w:ascii="Arial" w:hAnsi="Arial" w:cs="Arial"/>
                        <w:sz w:val="15"/>
                        <w:szCs w:val="15"/>
                      </w:rPr>
                    </w:pPr>
                    <w:r w:rsidRPr="00F50B02">
                      <w:rPr>
                        <w:rFonts w:ascii="Arial" w:hAnsi="Arial" w:cs="Arial" w:hint="eastAsia"/>
                        <w:snapToGrid w:val="0"/>
                        <w:kern w:val="0"/>
                        <w:sz w:val="15"/>
                        <w:szCs w:val="15"/>
                      </w:rPr>
                      <w:t>无需</w:t>
                    </w:r>
                    <w:r w:rsidRPr="00F50B02">
                      <w:rPr>
                        <w:rFonts w:ascii="Arial" w:hAnsi="Arial" w:cs="Arial"/>
                        <w:snapToGrid w:val="0"/>
                        <w:kern w:val="0"/>
                        <w:sz w:val="15"/>
                        <w:szCs w:val="15"/>
                      </w:rPr>
                      <w:t>更多评估</w:t>
                    </w:r>
                  </w:p>
                </w:txbxContent>
              </v:textbox>
            </v:rect>
            <v:rect id="_x0000_s1106" style="position:absolute;left:11622;top:9127;width:1309;height:776" o:regroupid="23" fillcolor="#c6d9f1 [671]">
              <v:fill color2="fill lighten(188)" rotate="t" method="linear sigma" focus="100%" type="gradient"/>
              <v:textbox style="mso-next-textbox:#_x0000_s1106">
                <w:txbxContent>
                  <w:p w:rsidR="0040662B" w:rsidRPr="004F28F3" w:rsidRDefault="00F0711E" w:rsidP="004F28F3">
                    <w:pPr>
                      <w:snapToGrid w:val="0"/>
                      <w:jc w:val="center"/>
                      <w:rPr>
                        <w:rFonts w:ascii="Arial" w:hAnsi="Arial" w:cs="Arial"/>
                        <w:sz w:val="15"/>
                        <w:szCs w:val="15"/>
                      </w:rPr>
                    </w:pPr>
                    <w:r>
                      <w:rPr>
                        <w:rFonts w:ascii="Arial" w:hAnsi="Arial" w:cs="Arial" w:hint="eastAsia"/>
                        <w:snapToGrid w:val="0"/>
                        <w:kern w:val="0"/>
                        <w:sz w:val="15"/>
                        <w:szCs w:val="15"/>
                      </w:rPr>
                      <w:t>采取风险控制措施直至拒绝变化</w:t>
                    </w:r>
                  </w:p>
                </w:txbxContent>
              </v:textbox>
            </v:rect>
            <v:shape id="_x0000_s1028" type="#_x0000_t202" style="position:absolute;left:4122;top:4189;width:1290;height:1185;visibility:visible;mso-width-relative:margin;mso-height-relative:margin" o:regroupid="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1028" inset="0,0,0,0">
                <w:txbxContent>
                  <w:p w:rsidR="0040662B" w:rsidRDefault="0040662B" w:rsidP="00767321">
                    <w:pPr>
                      <w:snapToGrid w:val="0"/>
                      <w:jc w:val="center"/>
                      <w:rPr>
                        <w:rFonts w:ascii="Arial" w:hAnsi="Arial" w:cs="Arial"/>
                        <w:b/>
                        <w:snapToGrid w:val="0"/>
                        <w:kern w:val="0"/>
                        <w:sz w:val="15"/>
                        <w:szCs w:val="15"/>
                      </w:rPr>
                    </w:pPr>
                  </w:p>
                  <w:p w:rsidR="0040662B" w:rsidRDefault="0040662B"/>
                </w:txbxContent>
              </v:textbox>
            </v:shape>
            <v:shapetype id="_x0000_t110" coordsize="21600,21600" o:spt="110" path="m10800,l,10800,10800,21600,21600,10800xe">
              <v:stroke joinstyle="miter"/>
              <v:path gradientshapeok="t" o:connecttype="rect" textboxrect="5400,5400,16200,16200"/>
            </v:shapetype>
            <v:shape id="_x0000_s1090" type="#_x0000_t110" style="position:absolute;left:10743;top:4580;width:2727;height:1615" o:regroupid="23" fillcolor="#f2f2f2 [3052]">
              <v:fill color2="fill lighten(146)" rotate="t" method="linear sigma" focus="100%" type="gradient"/>
              <v:textbox style="mso-next-textbox:#_x0000_s1090">
                <w:txbxContent>
                  <w:p w:rsidR="0040662B" w:rsidRPr="004F28F3" w:rsidRDefault="00F0711E" w:rsidP="0073593B">
                    <w:pPr>
                      <w:snapToGrid w:val="0"/>
                      <w:rPr>
                        <w:sz w:val="15"/>
                        <w:szCs w:val="15"/>
                      </w:rPr>
                    </w:pPr>
                    <w:r>
                      <w:rPr>
                        <w:rFonts w:hint="eastAsia"/>
                        <w:sz w:val="15"/>
                        <w:szCs w:val="15"/>
                      </w:rPr>
                      <w:t>通过</w:t>
                    </w:r>
                    <w:r w:rsidR="0040662B">
                      <w:rPr>
                        <w:rFonts w:hint="eastAsia"/>
                        <w:sz w:val="15"/>
                        <w:szCs w:val="15"/>
                      </w:rPr>
                      <w:t>生物相容性评价</w:t>
                    </w:r>
                    <w:r w:rsidR="0073593B">
                      <w:rPr>
                        <w:rFonts w:hint="eastAsia"/>
                        <w:sz w:val="15"/>
                        <w:szCs w:val="15"/>
                      </w:rPr>
                      <w:t>、</w:t>
                    </w:r>
                    <w:r>
                      <w:rPr>
                        <w:rFonts w:hint="eastAsia"/>
                        <w:sz w:val="15"/>
                        <w:szCs w:val="15"/>
                      </w:rPr>
                      <w:t>实验室研究等非临床手段是否已评估</w:t>
                    </w:r>
                    <w:r w:rsidR="0073593B">
                      <w:rPr>
                        <w:rFonts w:hint="eastAsia"/>
                        <w:sz w:val="15"/>
                        <w:szCs w:val="15"/>
                      </w:rPr>
                      <w:t>了所有风险</w:t>
                    </w:r>
                  </w:p>
                </w:txbxContent>
              </v:textbox>
            </v:shape>
            <v:shape id="_x0000_s1096" type="#_x0000_t32" style="position:absolute;left:12140;top:6197;width:1;height:641" o:connectortype="straight" o:regroupid="23">
              <v:stroke endarrow="block"/>
            </v:shape>
            <v:shape id="_x0000_s1109" type="#_x0000_t202" style="position:absolute;left:11622;top:6246;width:326;height:471;mso-height-percent:200;mso-height-percent:200;mso-width-relative:margin;mso-height-relative:margin" o:regroupid="23" fillcolor="#d8d8d8 [2732]" strokecolor="black [3213]">
              <v:fill color2="fill darken(118)" rotate="t" method="linear sigma" focus="100%" type="gradient"/>
              <v:textbox style="mso-next-textbox:#_x0000_s1109;mso-fit-shape-to-text:t">
                <w:txbxContent>
                  <w:p w:rsidR="0040662B" w:rsidRPr="005D13A5" w:rsidRDefault="0040662B" w:rsidP="004F28F3">
                    <w:pPr>
                      <w:rPr>
                        <w:sz w:val="15"/>
                        <w:szCs w:val="15"/>
                      </w:rPr>
                    </w:pPr>
                    <w:r>
                      <w:rPr>
                        <w:sz w:val="15"/>
                        <w:szCs w:val="15"/>
                      </w:rPr>
                      <w:t>是</w:t>
                    </w:r>
                  </w:p>
                </w:txbxContent>
              </v:textbox>
            </v:shape>
            <v:shape id="_x0000_s1114" type="#_x0000_t202" style="position:absolute;left:14424;top:5732;width:396;height:471;mso-height-percent:200;mso-height-percent:200;mso-width-relative:margin;mso-height-relative:margin" o:regroupid="23" fillcolor="#f2dbdb [661]" strokecolor="black [3213]">
              <v:fill color2="fill darken(231)" rotate="t" method="linear sigma" focus="100%" type="gradient"/>
              <v:textbox style="mso-next-textbox:#_x0000_s1114;mso-fit-shape-to-text:t">
                <w:txbxContent>
                  <w:p w:rsidR="0040662B" w:rsidRPr="005D13A5" w:rsidRDefault="0040662B" w:rsidP="004F28F3">
                    <w:pPr>
                      <w:rPr>
                        <w:sz w:val="15"/>
                        <w:szCs w:val="15"/>
                      </w:rPr>
                    </w:pPr>
                    <w:proofErr w:type="gramStart"/>
                    <w:r>
                      <w:rPr>
                        <w:rFonts w:hint="eastAsia"/>
                        <w:sz w:val="15"/>
                        <w:szCs w:val="15"/>
                      </w:rPr>
                      <w:t>否</w:t>
                    </w:r>
                    <w:proofErr w:type="gramEnd"/>
                  </w:p>
                </w:txbxContent>
              </v:textbox>
            </v:shape>
            <v:shape id="_x0000_s1127" type="#_x0000_t32" style="position:absolute;left:8614;top:5374;width:546;height:0" o:connectortype="straight" o:regroupid="23">
              <v:stroke endarrow="block"/>
            </v:shape>
            <v:shape id="_x0000_s1135" type="#_x0000_t32" style="position:absolute;left:5547;top:5374;width:413;height:0" o:connectortype="straight" o:regroupid="23">
              <v:stroke endarrow="block"/>
            </v:shape>
            <v:shape id="_x0000_s1050" type="#_x0000_t32" style="position:absolute;left:2830;top:5388;width:480;height:0" o:connectortype="straight" o:regroupid="23">
              <v:stroke endarrow="block"/>
            </v:shape>
            <v:shape id="_x0000_s1154" type="#_x0000_t202" style="position:absolute;left:4598;top:5157;width:927;height:431;mso-width-relative:margin;mso-height-relative:margin" o:regroupid="23" fillcolor="#f2f2f2 [3052]">
              <v:fill color2="fill lighten(249)" rotate="t" method="linear sigma" focus="100%" type="gradient"/>
              <v:textbox style="mso-next-textbox:#_x0000_s1154">
                <w:txbxContent>
                  <w:p w:rsidR="0040662B" w:rsidRPr="000462BD" w:rsidRDefault="0040662B" w:rsidP="00282C66">
                    <w:pPr>
                      <w:jc w:val="left"/>
                      <w:rPr>
                        <w:sz w:val="15"/>
                        <w:szCs w:val="15"/>
                      </w:rPr>
                    </w:pPr>
                    <w:r w:rsidRPr="000462BD">
                      <w:rPr>
                        <w:rFonts w:hint="eastAsia"/>
                        <w:sz w:val="15"/>
                        <w:szCs w:val="15"/>
                      </w:rPr>
                      <w:t>风险</w:t>
                    </w:r>
                    <w:r>
                      <w:rPr>
                        <w:rFonts w:hint="eastAsia"/>
                        <w:sz w:val="15"/>
                        <w:szCs w:val="15"/>
                      </w:rPr>
                      <w:t>分析</w:t>
                    </w:r>
                  </w:p>
                </w:txbxContent>
              </v:textbox>
            </v:shape>
            <v:shape id="_x0000_s1155" type="#_x0000_t202" style="position:absolute;left:9139;top:5147;width:1012;height:419;mso-width-relative:margin;mso-height-relative:margin" o:regroupid="23" fillcolor="#f2f2f2 [3052]">
              <v:fill color2="fill lighten(249)" rotate="t" method="linear sigma" focus="100%" type="gradient"/>
              <v:textbox style="mso-next-textbox:#_x0000_s1155">
                <w:txbxContent>
                  <w:p w:rsidR="0040662B" w:rsidRPr="000462BD" w:rsidRDefault="0040662B" w:rsidP="00282C66">
                    <w:pPr>
                      <w:rPr>
                        <w:sz w:val="15"/>
                        <w:szCs w:val="15"/>
                      </w:rPr>
                    </w:pPr>
                    <w:r w:rsidRPr="000462BD">
                      <w:rPr>
                        <w:rFonts w:hint="eastAsia"/>
                        <w:sz w:val="15"/>
                        <w:szCs w:val="15"/>
                      </w:rPr>
                      <w:t>风险</w:t>
                    </w:r>
                    <w:r w:rsidR="00F0711E">
                      <w:rPr>
                        <w:rFonts w:hint="eastAsia"/>
                        <w:sz w:val="15"/>
                        <w:szCs w:val="15"/>
                      </w:rPr>
                      <w:t>评价</w:t>
                    </w:r>
                  </w:p>
                </w:txbxContent>
              </v:textbox>
            </v:shape>
            <v:rect id="_x0000_s1161" style="position:absolute;left:8957;top:7423;width:1023;height:418" o:regroupid="23" fillcolor="#c6d9f1 [671]">
              <v:fill color2="fill lighten(188)" rotate="t" method="linear sigma" focus="100%" type="gradient"/>
              <v:textbox style="mso-next-textbox:#_x0000_s1161">
                <w:txbxContent>
                  <w:p w:rsidR="0040662B" w:rsidRPr="004F28F3" w:rsidRDefault="00FC1B31" w:rsidP="00574A52">
                    <w:pPr>
                      <w:snapToGrid w:val="0"/>
                      <w:jc w:val="center"/>
                      <w:rPr>
                        <w:rFonts w:ascii="Arial" w:hAnsi="Arial" w:cs="Arial"/>
                        <w:sz w:val="15"/>
                        <w:szCs w:val="15"/>
                      </w:rPr>
                    </w:pPr>
                    <w:r>
                      <w:rPr>
                        <w:rFonts w:ascii="Arial" w:hAnsi="Arial" w:cs="Arial" w:hint="eastAsia"/>
                        <w:snapToGrid w:val="0"/>
                        <w:kern w:val="0"/>
                        <w:sz w:val="15"/>
                        <w:szCs w:val="15"/>
                      </w:rPr>
                      <w:t>接受变化</w:t>
                    </w:r>
                  </w:p>
                </w:txbxContent>
              </v:textbox>
            </v:rect>
            <v:shape id="_x0000_s1163" type="#_x0000_t32" style="position:absolute;left:10151;top:5390;width:551;height:0" o:connectortype="straight" o:regroupid="23">
              <v:stroke endarrow="block"/>
            </v:shape>
            <v:group id="_x0000_s1182" style="position:absolute;left:5935;top:3396;width:2671;height:4019" coordorigin="5188,3959" coordsize="2671,4019" o:regroupid="23">
              <v:shape id="_x0000_s1125" type="#_x0000_t32" style="position:absolute;left:5188;top:4133;width:0;height:3664" o:connectortype="straight" o:regroupid="18"/>
              <v:shape id="_x0000_s1126" type="#_x0000_t32" style="position:absolute;left:7859;top:4127;width:0;height:3614" o:connectortype="straight" o:regroupid="18"/>
              <v:shape id="_x0000_s1140" type="#_x0000_t32" style="position:absolute;left:5189;top:5070;width:311;height:1" o:connectortype="straight" o:regroupid="18">
                <v:stroke endarrow="block"/>
              </v:shape>
              <v:shape id="_x0000_s1156" type="#_x0000_t32" style="position:absolute;left:7406;top:5031;width:439;height:0" o:connectortype="straight" o:regroupid="18"/>
              <v:shape id="_x0000_s1157" type="#_x0000_t32" style="position:absolute;left:7418;top:5923;width:441;height:4" o:connectortype="straight" o:regroupid="18"/>
              <v:shape id="_x0000_s1158" type="#_x0000_t32" style="position:absolute;left:7418;top:6868;width:427;height:0" o:connectortype="straight" o:regroupid="18"/>
              <v:shape id="_x0000_s1159" type="#_x0000_t32" style="position:absolute;left:7413;top:7741;width:446;height:0" o:connectortype="straight" o:regroupid="18"/>
              <v:shape id="_x0000_s1047" type="#_x0000_t32" style="position:absolute;left:5188;top:4133;width:340;height:2;flip:y" o:connectortype="straight" o:regroupid="18">
                <v:stroke endarrow="block"/>
              </v:shape>
              <v:shape id="_x0000_s1146" type="#_x0000_t32" style="position:absolute;left:5188;top:5947;width:312;height:4;flip:y" o:connectortype="straight" o:regroupid="18">
                <v:stroke endarrow="block"/>
              </v:shape>
              <v:shape id="_x0000_s1149" type="#_x0000_t32" style="position:absolute;left:5188;top:6896;width:312;height:0" o:connectortype="straight" o:regroupid="18">
                <v:stroke endarrow="block"/>
              </v:shape>
              <v:shape id="_x0000_s1152" type="#_x0000_t32" style="position:absolute;left:5188;top:7797;width:312;height:6;flip:y" o:connectortype="straight" o:regroupid="18">
                <v:stroke endarrow="block"/>
              </v:shape>
              <v:shape id="_x0000_s1168" type="#_x0000_t202" style="position:absolute;left:5558;top:3959;width:1791;height:431;mso-width-relative:margin;mso-height-relative:margin" o:regroupid="18" fillcolor="#f2f2f2 [3052]">
                <v:fill color2="fill lighten(249)" rotate="t" method="linear sigma" focus="100%" type="gradient"/>
                <v:textbox style="mso-next-textbox:#_x0000_s1168">
                  <w:txbxContent>
                    <w:p w:rsidR="0040662B" w:rsidRPr="000462BD" w:rsidRDefault="0040662B" w:rsidP="000A6ADF">
                      <w:pPr>
                        <w:jc w:val="left"/>
                        <w:rPr>
                          <w:sz w:val="15"/>
                          <w:szCs w:val="15"/>
                        </w:rPr>
                      </w:pPr>
                      <w:r>
                        <w:rPr>
                          <w:rFonts w:hint="eastAsia"/>
                          <w:sz w:val="15"/>
                          <w:szCs w:val="15"/>
                        </w:rPr>
                        <w:t>生物相容性危害</w:t>
                      </w:r>
                    </w:p>
                  </w:txbxContent>
                </v:textbox>
              </v:shape>
              <v:shape id="_x0000_s1169" type="#_x0000_t202" style="position:absolute;left:5528;top:4806;width:1849;height:431;mso-width-relative:margin;mso-height-relative:margin" o:regroupid="18" fillcolor="#f2f2f2 [3052]">
                <v:fill color2="fill lighten(249)" rotate="t" method="linear sigma" focus="100%" type="gradient"/>
                <v:textbox style="mso-next-textbox:#_x0000_s1169">
                  <w:txbxContent>
                    <w:p w:rsidR="0040662B" w:rsidRPr="000462BD" w:rsidRDefault="0040662B" w:rsidP="000A6ADF">
                      <w:pPr>
                        <w:jc w:val="left"/>
                        <w:rPr>
                          <w:sz w:val="15"/>
                          <w:szCs w:val="15"/>
                        </w:rPr>
                      </w:pPr>
                      <w:r>
                        <w:rPr>
                          <w:rFonts w:hint="eastAsia"/>
                          <w:sz w:val="15"/>
                          <w:szCs w:val="15"/>
                        </w:rPr>
                        <w:t>理化性能风险</w:t>
                      </w:r>
                    </w:p>
                  </w:txbxContent>
                </v:textbox>
              </v:shape>
              <v:shape id="_x0000_s1170" type="#_x0000_t202" style="position:absolute;left:5528;top:5720;width:1849;height:431;mso-width-relative:margin;mso-height-relative:margin" o:regroupid="18" fillcolor="#f2f2f2 [3052]">
                <v:fill color2="fill lighten(249)" rotate="t" method="linear sigma" focus="100%" type="gradient"/>
                <v:textbox style="mso-next-textbox:#_x0000_s1170">
                  <w:txbxContent>
                    <w:p w:rsidR="0040662B" w:rsidRPr="000462BD" w:rsidRDefault="0040662B" w:rsidP="000A6ADF">
                      <w:pPr>
                        <w:jc w:val="left"/>
                        <w:rPr>
                          <w:sz w:val="15"/>
                          <w:szCs w:val="15"/>
                        </w:rPr>
                      </w:pPr>
                      <w:r>
                        <w:rPr>
                          <w:rFonts w:hint="eastAsia"/>
                          <w:sz w:val="15"/>
                          <w:szCs w:val="15"/>
                        </w:rPr>
                        <w:t>无菌风险</w:t>
                      </w:r>
                    </w:p>
                  </w:txbxContent>
                </v:textbox>
              </v:shape>
              <v:shape id="_x0000_s1171" type="#_x0000_t202" style="position:absolute;left:5500;top:6651;width:1877;height:431;mso-width-relative:margin;mso-height-relative:margin" o:regroupid="18" fillcolor="#f2f2f2 [3052]">
                <v:fill color2="fill lighten(249)" rotate="t" method="linear sigma" focus="100%" type="gradient"/>
                <v:textbox style="mso-next-textbox:#_x0000_s1171">
                  <w:txbxContent>
                    <w:p w:rsidR="0040662B" w:rsidRPr="000462BD" w:rsidRDefault="0040662B" w:rsidP="000A6ADF">
                      <w:pPr>
                        <w:jc w:val="left"/>
                        <w:rPr>
                          <w:sz w:val="15"/>
                          <w:szCs w:val="15"/>
                        </w:rPr>
                      </w:pPr>
                      <w:r>
                        <w:rPr>
                          <w:sz w:val="15"/>
                          <w:szCs w:val="15"/>
                        </w:rPr>
                        <w:t>生物安全性危害</w:t>
                      </w:r>
                    </w:p>
                  </w:txbxContent>
                </v:textbox>
              </v:shape>
              <v:shape id="_x0000_s1172" type="#_x0000_t202" style="position:absolute;left:5500;top:7512;width:1877;height:466;mso-width-relative:margin;mso-height-relative:margin" o:regroupid="18" fillcolor="#f2f2f2 [3052]">
                <v:fill color2="fill lighten(249)" rotate="t" method="linear sigma" focus="100%" type="gradient"/>
                <v:textbox style="mso-next-textbox:#_x0000_s1172">
                  <w:txbxContent>
                    <w:p w:rsidR="0040662B" w:rsidRPr="000462BD" w:rsidRDefault="0040662B" w:rsidP="000A6ADF">
                      <w:pPr>
                        <w:jc w:val="left"/>
                        <w:rPr>
                          <w:sz w:val="15"/>
                          <w:szCs w:val="15"/>
                        </w:rPr>
                      </w:pPr>
                      <w:r>
                        <w:rPr>
                          <w:rFonts w:hint="eastAsia"/>
                          <w:sz w:val="15"/>
                          <w:szCs w:val="15"/>
                        </w:rPr>
                        <w:t>其他</w:t>
                      </w:r>
                      <w:r w:rsidR="00311955">
                        <w:rPr>
                          <w:rFonts w:hint="eastAsia"/>
                          <w:sz w:val="15"/>
                          <w:szCs w:val="15"/>
                        </w:rPr>
                        <w:t>安全有效性</w:t>
                      </w:r>
                      <w:r>
                        <w:rPr>
                          <w:rFonts w:hint="eastAsia"/>
                          <w:sz w:val="15"/>
                          <w:szCs w:val="15"/>
                        </w:rPr>
                        <w:t>风险等</w:t>
                      </w:r>
                    </w:p>
                  </w:txbxContent>
                </v:textbox>
              </v:shape>
              <v:shape id="_x0000_s1173" type="#_x0000_t32" style="position:absolute;left:7364;top:4133;width:481;height:0" o:connectortype="straight" o:regroupid="18"/>
            </v:group>
            <v:shape id="_x0000_s1174" type="#_x0000_t202" style="position:absolute;left:2844;top:4851;width:357;height:402;mso-width-relative:margin;mso-height-relative:margin" o:regroupid="23" fillcolor="#d8d8d8 [2732]" strokecolor="black [3213]">
              <v:fill color2="fill darken(118)" rotate="t" method="linear sigma" focus="100%" type="gradient"/>
              <v:textbox style="mso-next-textbox:#_x0000_s1174">
                <w:txbxContent>
                  <w:p w:rsidR="0040662B" w:rsidRPr="005D13A5" w:rsidRDefault="0040662B" w:rsidP="006E0762">
                    <w:pPr>
                      <w:rPr>
                        <w:sz w:val="15"/>
                        <w:szCs w:val="15"/>
                      </w:rPr>
                    </w:pPr>
                    <w:r>
                      <w:rPr>
                        <w:sz w:val="15"/>
                        <w:szCs w:val="15"/>
                      </w:rPr>
                      <w:t>是</w:t>
                    </w:r>
                  </w:p>
                </w:txbxContent>
              </v:textbox>
            </v:shape>
            <v:shape id="_x0000_s1183" type="#_x0000_t202" style="position:absolute;left:3312;top:4991;width:810;height:775;mso-width-relative:margin;mso-height-relative:margin" o:regroupid="23" fillcolor="#f2f2f2 [3052]">
              <v:fill color2="fill lighten(249)" rotate="t" method="linear sigma" focus="100%" type="gradient"/>
              <v:textbox style="mso-next-textbox:#_x0000_s1183">
                <w:txbxContent>
                  <w:p w:rsidR="00F0711E" w:rsidRPr="000462BD" w:rsidRDefault="00F0711E" w:rsidP="00F0711E">
                    <w:pPr>
                      <w:jc w:val="left"/>
                      <w:rPr>
                        <w:sz w:val="15"/>
                        <w:szCs w:val="15"/>
                      </w:rPr>
                    </w:pPr>
                    <w:r>
                      <w:rPr>
                        <w:sz w:val="15"/>
                        <w:szCs w:val="15"/>
                      </w:rPr>
                      <w:t>明确变化形式</w:t>
                    </w:r>
                  </w:p>
                </w:txbxContent>
              </v:textbox>
            </v:shape>
            <v:shape id="_x0000_s1184" type="#_x0000_t32" style="position:absolute;left:4134;top:5390;width:480;height:0" o:connectortype="straight" o:regroupid="23">
              <v:stroke endarrow="block"/>
            </v:shape>
            <v:shape id="_x0000_s1187" type="#_x0000_t202" style="position:absolute;left:12358;top:8454;width:326;height:471;mso-height-percent:200;mso-height-percent:200;mso-width-relative:margin;mso-height-relative:margin" o:regroupid="23" fillcolor="#d8d8d8 [2732]" strokecolor="black [3213]">
              <v:fill color2="fill darken(118)" rotate="t" method="linear sigma" focus="100%" type="gradient"/>
              <v:textbox style="mso-next-textbox:#_x0000_s1187;mso-fit-shape-to-text:t">
                <w:txbxContent>
                  <w:p w:rsidR="00F0711E" w:rsidRPr="005D13A5" w:rsidRDefault="00F0711E" w:rsidP="00F0711E">
                    <w:pPr>
                      <w:rPr>
                        <w:sz w:val="15"/>
                        <w:szCs w:val="15"/>
                      </w:rPr>
                    </w:pPr>
                    <w:r>
                      <w:rPr>
                        <w:sz w:val="15"/>
                        <w:szCs w:val="15"/>
                      </w:rPr>
                      <w:t>是</w:t>
                    </w:r>
                  </w:p>
                </w:txbxContent>
              </v:textbox>
            </v:shape>
            <v:shape id="_x0000_s1188" type="#_x0000_t32" style="position:absolute;left:12141;top:8437;width:1;height:621" o:connectortype="straight" o:regroupid="23">
              <v:stroke endarrow="block"/>
            </v:shape>
            <v:shape id="_x0000_s1195" type="#_x0000_t32" style="position:absolute;left:10062;top:7635;width:745;height:0;flip:x" o:connectortype="straight" o:regroupid="23">
              <v:stroke endarrow="block"/>
            </v:shape>
            <v:shape id="_x0000_s1196" type="#_x0000_t202" style="position:absolute;left:10324;top:7062;width:396;height:471;mso-height-percent:200;mso-height-percent:200;mso-width-relative:margin;mso-height-relative:margin" o:regroupid="23" fillcolor="#f2dbdb [661]" strokecolor="black [3213]">
              <v:fill color2="fill darken(231)" rotate="t" method="linear sigma" focus="100%" type="gradient"/>
              <v:textbox style="mso-next-textbox:#_x0000_s1196;mso-fit-shape-to-text:t">
                <w:txbxContent>
                  <w:p w:rsidR="00FC1B31" w:rsidRPr="005D13A5" w:rsidRDefault="00FC1B31" w:rsidP="00FC1B31">
                    <w:pPr>
                      <w:rPr>
                        <w:sz w:val="15"/>
                        <w:szCs w:val="15"/>
                      </w:rPr>
                    </w:pPr>
                    <w:proofErr w:type="gramStart"/>
                    <w:r>
                      <w:rPr>
                        <w:rFonts w:hint="eastAsia"/>
                        <w:sz w:val="15"/>
                        <w:szCs w:val="15"/>
                      </w:rPr>
                      <w:t>否</w:t>
                    </w:r>
                    <w:proofErr w:type="gramEnd"/>
                  </w:p>
                </w:txbxContent>
              </v:textbox>
            </v:shape>
            <v:shape id="_x0000_s1199" type="#_x0000_t32" style="position:absolute;left:12225;top:6779;width:1820;height:1;flip:x" o:connectortype="straight" o:regroupid="23">
              <v:stroke endarrow="block"/>
            </v:shape>
            <v:shape id="_x0000_s1205" type="#_x0000_t202" style="position:absolute;left:14045;top:6596;width:1813;height:385;mso-width-relative:margin;mso-height-relative:margin" o:regroupid="23" fillcolor="#f2f2f2 [3052]">
              <v:fill color2="fill lighten(249)" rotate="t" method="linear sigma" focus="100%" type="gradient"/>
              <v:textbox style="mso-next-textbox:#_x0000_s1205">
                <w:txbxContent>
                  <w:p w:rsidR="00A774C0" w:rsidRPr="000462BD" w:rsidRDefault="00A774C0" w:rsidP="00A774C0">
                    <w:pPr>
                      <w:snapToGrid w:val="0"/>
                      <w:contextualSpacing/>
                      <w:rPr>
                        <w:sz w:val="15"/>
                        <w:szCs w:val="15"/>
                      </w:rPr>
                    </w:pPr>
                    <w:r>
                      <w:rPr>
                        <w:rFonts w:hint="eastAsia"/>
                        <w:sz w:val="15"/>
                        <w:szCs w:val="15"/>
                      </w:rPr>
                      <w:t>临床评价评估其余风险</w:t>
                    </w:r>
                  </w:p>
                </w:txbxContent>
              </v:textbox>
            </v:shape>
            <v:shape id="_x0000_s1206" type="#_x0000_t110" style="position:absolute;left:10807;top:6822;width:2727;height:1615" o:regroupid="23" fillcolor="#f2f2f2 [3052]">
              <v:fill color2="fill lighten(146)" rotate="t" method="linear sigma" focus="100%" type="gradient"/>
              <v:textbox style="mso-next-textbox:#_x0000_s1206">
                <w:txbxContent>
                  <w:p w:rsidR="00BC31BD" w:rsidRDefault="00BC31BD" w:rsidP="00BC31BD">
                    <w:pPr>
                      <w:snapToGrid w:val="0"/>
                      <w:jc w:val="center"/>
                      <w:rPr>
                        <w:rFonts w:ascii="Arial" w:hAnsi="Arial" w:cs="Arial"/>
                        <w:snapToGrid w:val="0"/>
                        <w:kern w:val="0"/>
                        <w:sz w:val="15"/>
                        <w:szCs w:val="15"/>
                      </w:rPr>
                    </w:pPr>
                  </w:p>
                  <w:p w:rsidR="00BC31BD" w:rsidRPr="004F28F3" w:rsidRDefault="00BC31BD" w:rsidP="00BC31BD">
                    <w:pPr>
                      <w:snapToGrid w:val="0"/>
                      <w:jc w:val="center"/>
                      <w:rPr>
                        <w:rFonts w:ascii="Arial" w:hAnsi="Arial" w:cs="Arial"/>
                        <w:sz w:val="15"/>
                        <w:szCs w:val="15"/>
                      </w:rPr>
                    </w:pPr>
                    <w:r>
                      <w:rPr>
                        <w:rFonts w:ascii="Arial" w:hAnsi="Arial" w:cs="Arial" w:hint="eastAsia"/>
                        <w:snapToGrid w:val="0"/>
                        <w:kern w:val="0"/>
                        <w:sz w:val="15"/>
                        <w:szCs w:val="15"/>
                      </w:rPr>
                      <w:t>是否需要采取风险控制措施降低风险</w:t>
                    </w:r>
                  </w:p>
                  <w:p w:rsidR="00BC31BD" w:rsidRPr="00BC31BD" w:rsidRDefault="00BC31BD" w:rsidP="00BC31BD">
                    <w:pPr>
                      <w:rPr>
                        <w:szCs w:val="15"/>
                      </w:rPr>
                    </w:pPr>
                  </w:p>
                </w:txbxContent>
              </v:textbox>
            </v:shape>
            <v:shape id="_x0000_s1208" type="#_x0000_t32" style="position:absolute;left:13470;top:5384;width:1434;height:0" o:connectortype="straight" o:regroupid="23"/>
            <v:shape id="_x0000_s1214" type="#_x0000_t32" style="position:absolute;left:14904;top:5384;width:0;height:1135" o:connectortype="straight">
              <v:stroke endarrow="block"/>
            </v:shape>
          </v:group>
        </w:pict>
      </w:r>
      <w:r w:rsidR="00A25291" w:rsidRPr="00A1360E">
        <w:rPr>
          <w:rFonts w:ascii="Times New Roman" w:eastAsia="方正小标宋简体" w:hAnsi="Times New Roman" w:hint="eastAsia"/>
          <w:sz w:val="36"/>
          <w:szCs w:val="36"/>
        </w:rPr>
        <w:t>无源医疗器械产品原材料改变评价</w:t>
      </w:r>
      <w:r w:rsidR="00B520B2">
        <w:rPr>
          <w:rFonts w:ascii="Times New Roman" w:eastAsia="方正小标宋简体" w:hAnsi="Times New Roman" w:hint="eastAsia"/>
          <w:sz w:val="36"/>
          <w:szCs w:val="36"/>
        </w:rPr>
        <w:t>流程</w:t>
      </w:r>
    </w:p>
    <w:sectPr w:rsidR="005E0654" w:rsidRPr="005E0654" w:rsidSect="00677D0A">
      <w:pgSz w:w="16838" w:h="11906" w:orient="landscape" w:code="9"/>
      <w:pgMar w:top="1797" w:right="1440" w:bottom="1797" w:left="144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00DA04" w15:done="0"/>
  <w15:commentEx w15:paraId="6105BF30" w15:done="0"/>
  <w15:commentEx w15:paraId="1919AB5C" w15:done="0"/>
  <w15:commentEx w15:paraId="73054F37" w15:done="0"/>
  <w15:commentEx w15:paraId="11F906EC" w15:done="0"/>
  <w15:commentEx w15:paraId="3EAE9439" w15:done="0"/>
  <w15:commentEx w15:paraId="1486E800" w15:done="0"/>
  <w15:commentEx w15:paraId="4E7D5418" w15:done="0"/>
  <w15:commentEx w15:paraId="11FE9F07" w15:done="0"/>
  <w15:commentEx w15:paraId="633678AE" w15:done="0"/>
  <w15:commentEx w15:paraId="5E5BA678" w15:done="0"/>
  <w15:commentEx w15:paraId="3C512F5C" w15:done="0"/>
  <w15:commentEx w15:paraId="18A41F2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8D3" w:rsidRDefault="006458D3" w:rsidP="00163380">
      <w:r>
        <w:separator/>
      </w:r>
    </w:p>
  </w:endnote>
  <w:endnote w:type="continuationSeparator" w:id="0">
    <w:p w:rsidR="006458D3" w:rsidRDefault="006458D3" w:rsidP="001633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682188"/>
      <w:docPartObj>
        <w:docPartGallery w:val="Page Numbers (Bottom of Page)"/>
        <w:docPartUnique/>
      </w:docPartObj>
    </w:sdtPr>
    <w:sdtContent>
      <w:p w:rsidR="0040662B" w:rsidRDefault="004F769E" w:rsidP="00E83E8A">
        <w:pPr>
          <w:pStyle w:val="a5"/>
          <w:jc w:val="center"/>
        </w:pPr>
        <w:fldSimple w:instr=" PAGE   \* MERGEFORMAT ">
          <w:r w:rsidR="00FF149D" w:rsidRPr="00FF149D">
            <w:rPr>
              <w:noProof/>
              <w:lang w:val="zh-CN"/>
            </w:rPr>
            <w:t>25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8D3" w:rsidRDefault="006458D3" w:rsidP="00163380">
      <w:r>
        <w:separator/>
      </w:r>
    </w:p>
  </w:footnote>
  <w:footnote w:type="continuationSeparator" w:id="0">
    <w:p w:rsidR="006458D3" w:rsidRDefault="006458D3" w:rsidP="001633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7629C"/>
    <w:multiLevelType w:val="hybridMultilevel"/>
    <w:tmpl w:val="6F101960"/>
    <w:lvl w:ilvl="0" w:tplc="59C66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HTF">
    <w15:presenceInfo w15:providerId="None" w15:userId="QHT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31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123C"/>
    <w:rsid w:val="00004805"/>
    <w:rsid w:val="00024F24"/>
    <w:rsid w:val="00027892"/>
    <w:rsid w:val="000309A0"/>
    <w:rsid w:val="00030B8E"/>
    <w:rsid w:val="00031889"/>
    <w:rsid w:val="000337A8"/>
    <w:rsid w:val="0003505D"/>
    <w:rsid w:val="000462BD"/>
    <w:rsid w:val="00047224"/>
    <w:rsid w:val="00063A47"/>
    <w:rsid w:val="00063DFF"/>
    <w:rsid w:val="00064773"/>
    <w:rsid w:val="00090761"/>
    <w:rsid w:val="000908F6"/>
    <w:rsid w:val="000963EB"/>
    <w:rsid w:val="000A20D0"/>
    <w:rsid w:val="000A289F"/>
    <w:rsid w:val="000A6ADF"/>
    <w:rsid w:val="000B0C77"/>
    <w:rsid w:val="000B32E5"/>
    <w:rsid w:val="000D0E5B"/>
    <w:rsid w:val="000D4B4F"/>
    <w:rsid w:val="000E0585"/>
    <w:rsid w:val="000F2253"/>
    <w:rsid w:val="001061F9"/>
    <w:rsid w:val="001121B3"/>
    <w:rsid w:val="0011718F"/>
    <w:rsid w:val="00125BF9"/>
    <w:rsid w:val="00135D1F"/>
    <w:rsid w:val="00136752"/>
    <w:rsid w:val="00145921"/>
    <w:rsid w:val="00145A42"/>
    <w:rsid w:val="0015047F"/>
    <w:rsid w:val="00157F65"/>
    <w:rsid w:val="001618C4"/>
    <w:rsid w:val="00161CDE"/>
    <w:rsid w:val="00163380"/>
    <w:rsid w:val="001712AB"/>
    <w:rsid w:val="001769B1"/>
    <w:rsid w:val="001837F0"/>
    <w:rsid w:val="00187A5D"/>
    <w:rsid w:val="00196633"/>
    <w:rsid w:val="001A09C3"/>
    <w:rsid w:val="001B2CE2"/>
    <w:rsid w:val="001B4AC1"/>
    <w:rsid w:val="001C3975"/>
    <w:rsid w:val="001C42F5"/>
    <w:rsid w:val="001E01FD"/>
    <w:rsid w:val="001F2FD7"/>
    <w:rsid w:val="00204773"/>
    <w:rsid w:val="002207D4"/>
    <w:rsid w:val="0022266C"/>
    <w:rsid w:val="0023083F"/>
    <w:rsid w:val="00233058"/>
    <w:rsid w:val="00235919"/>
    <w:rsid w:val="00244E8E"/>
    <w:rsid w:val="002504C3"/>
    <w:rsid w:val="00250F89"/>
    <w:rsid w:val="00252233"/>
    <w:rsid w:val="00264475"/>
    <w:rsid w:val="00266D30"/>
    <w:rsid w:val="00276D6F"/>
    <w:rsid w:val="00282C66"/>
    <w:rsid w:val="00283F3E"/>
    <w:rsid w:val="0029086D"/>
    <w:rsid w:val="0029602D"/>
    <w:rsid w:val="002975D1"/>
    <w:rsid w:val="00297A47"/>
    <w:rsid w:val="002B583B"/>
    <w:rsid w:val="002D55A5"/>
    <w:rsid w:val="002E5E83"/>
    <w:rsid w:val="002F7134"/>
    <w:rsid w:val="0030493A"/>
    <w:rsid w:val="00311168"/>
    <w:rsid w:val="00311955"/>
    <w:rsid w:val="0031763A"/>
    <w:rsid w:val="00324BB8"/>
    <w:rsid w:val="00325C61"/>
    <w:rsid w:val="00345DF3"/>
    <w:rsid w:val="00362C62"/>
    <w:rsid w:val="00364FD3"/>
    <w:rsid w:val="00364FE6"/>
    <w:rsid w:val="0037114B"/>
    <w:rsid w:val="00371CE9"/>
    <w:rsid w:val="00380A80"/>
    <w:rsid w:val="0039057F"/>
    <w:rsid w:val="0039201B"/>
    <w:rsid w:val="003A169E"/>
    <w:rsid w:val="003B6558"/>
    <w:rsid w:val="003D0552"/>
    <w:rsid w:val="003D2258"/>
    <w:rsid w:val="003D2C57"/>
    <w:rsid w:val="003F69D3"/>
    <w:rsid w:val="00400810"/>
    <w:rsid w:val="00405BE0"/>
    <w:rsid w:val="0040662B"/>
    <w:rsid w:val="00413EAB"/>
    <w:rsid w:val="00426E8A"/>
    <w:rsid w:val="004323AE"/>
    <w:rsid w:val="004323B4"/>
    <w:rsid w:val="00432C31"/>
    <w:rsid w:val="00440D10"/>
    <w:rsid w:val="0045290B"/>
    <w:rsid w:val="004551BA"/>
    <w:rsid w:val="00467E22"/>
    <w:rsid w:val="00477ED9"/>
    <w:rsid w:val="004876CB"/>
    <w:rsid w:val="00491160"/>
    <w:rsid w:val="00491A71"/>
    <w:rsid w:val="00494D30"/>
    <w:rsid w:val="004952FF"/>
    <w:rsid w:val="004B0C21"/>
    <w:rsid w:val="004B5D84"/>
    <w:rsid w:val="004C2012"/>
    <w:rsid w:val="004E24B3"/>
    <w:rsid w:val="004E32DD"/>
    <w:rsid w:val="004E403C"/>
    <w:rsid w:val="004F28F3"/>
    <w:rsid w:val="004F2CA4"/>
    <w:rsid w:val="004F769E"/>
    <w:rsid w:val="004F7A51"/>
    <w:rsid w:val="00507B46"/>
    <w:rsid w:val="00517E85"/>
    <w:rsid w:val="00521E21"/>
    <w:rsid w:val="00523C07"/>
    <w:rsid w:val="00537118"/>
    <w:rsid w:val="00542224"/>
    <w:rsid w:val="00546DE9"/>
    <w:rsid w:val="00550BC9"/>
    <w:rsid w:val="00574A52"/>
    <w:rsid w:val="00574AB9"/>
    <w:rsid w:val="00581052"/>
    <w:rsid w:val="00584AB5"/>
    <w:rsid w:val="00584B73"/>
    <w:rsid w:val="0058661A"/>
    <w:rsid w:val="00592C66"/>
    <w:rsid w:val="005A3A3E"/>
    <w:rsid w:val="005B658D"/>
    <w:rsid w:val="005B69ED"/>
    <w:rsid w:val="005C00D1"/>
    <w:rsid w:val="005C1D5A"/>
    <w:rsid w:val="005C1F58"/>
    <w:rsid w:val="005C4F7B"/>
    <w:rsid w:val="005D13A5"/>
    <w:rsid w:val="005E0654"/>
    <w:rsid w:val="005E282B"/>
    <w:rsid w:val="005F0DDA"/>
    <w:rsid w:val="005F144C"/>
    <w:rsid w:val="005F18E0"/>
    <w:rsid w:val="005F7444"/>
    <w:rsid w:val="006000A5"/>
    <w:rsid w:val="00605632"/>
    <w:rsid w:val="0061486F"/>
    <w:rsid w:val="00620C75"/>
    <w:rsid w:val="00622DE9"/>
    <w:rsid w:val="006233D8"/>
    <w:rsid w:val="00625461"/>
    <w:rsid w:val="006456A7"/>
    <w:rsid w:val="006458D3"/>
    <w:rsid w:val="006472E0"/>
    <w:rsid w:val="00650860"/>
    <w:rsid w:val="0065123C"/>
    <w:rsid w:val="006518E5"/>
    <w:rsid w:val="00661267"/>
    <w:rsid w:val="00662D5F"/>
    <w:rsid w:val="00670D3E"/>
    <w:rsid w:val="00677D0A"/>
    <w:rsid w:val="0068122D"/>
    <w:rsid w:val="00684D30"/>
    <w:rsid w:val="00692977"/>
    <w:rsid w:val="00697F16"/>
    <w:rsid w:val="006A580D"/>
    <w:rsid w:val="006D09B8"/>
    <w:rsid w:val="006D6E9A"/>
    <w:rsid w:val="006E0762"/>
    <w:rsid w:val="006E5AA1"/>
    <w:rsid w:val="006E5EF6"/>
    <w:rsid w:val="006F28FA"/>
    <w:rsid w:val="00717CF7"/>
    <w:rsid w:val="0072291C"/>
    <w:rsid w:val="007245A4"/>
    <w:rsid w:val="0073593B"/>
    <w:rsid w:val="0074135E"/>
    <w:rsid w:val="00752B44"/>
    <w:rsid w:val="00752E15"/>
    <w:rsid w:val="00764F3D"/>
    <w:rsid w:val="00767321"/>
    <w:rsid w:val="007748F9"/>
    <w:rsid w:val="007877A7"/>
    <w:rsid w:val="00791FAB"/>
    <w:rsid w:val="007A6BDC"/>
    <w:rsid w:val="007B6F24"/>
    <w:rsid w:val="007D0F0E"/>
    <w:rsid w:val="007D1663"/>
    <w:rsid w:val="007E16CD"/>
    <w:rsid w:val="007E49D1"/>
    <w:rsid w:val="007E6D88"/>
    <w:rsid w:val="007E7A6B"/>
    <w:rsid w:val="008070A3"/>
    <w:rsid w:val="0081373F"/>
    <w:rsid w:val="00813996"/>
    <w:rsid w:val="00814342"/>
    <w:rsid w:val="008201E9"/>
    <w:rsid w:val="00825A4F"/>
    <w:rsid w:val="008377A6"/>
    <w:rsid w:val="0084532A"/>
    <w:rsid w:val="0087019B"/>
    <w:rsid w:val="00870438"/>
    <w:rsid w:val="008720D8"/>
    <w:rsid w:val="0088505B"/>
    <w:rsid w:val="00887E51"/>
    <w:rsid w:val="0089522A"/>
    <w:rsid w:val="008A058B"/>
    <w:rsid w:val="008A4F16"/>
    <w:rsid w:val="008B5BA7"/>
    <w:rsid w:val="008D2C34"/>
    <w:rsid w:val="008D74D4"/>
    <w:rsid w:val="008F0D46"/>
    <w:rsid w:val="008F2AC1"/>
    <w:rsid w:val="00903F68"/>
    <w:rsid w:val="00904C6C"/>
    <w:rsid w:val="00913CFD"/>
    <w:rsid w:val="009221E2"/>
    <w:rsid w:val="009314D0"/>
    <w:rsid w:val="00946ECA"/>
    <w:rsid w:val="00952DDD"/>
    <w:rsid w:val="009556B6"/>
    <w:rsid w:val="009708D3"/>
    <w:rsid w:val="00981422"/>
    <w:rsid w:val="00982DFC"/>
    <w:rsid w:val="009959DE"/>
    <w:rsid w:val="00996CC1"/>
    <w:rsid w:val="009A1042"/>
    <w:rsid w:val="009A5CBD"/>
    <w:rsid w:val="009B431A"/>
    <w:rsid w:val="009C4CF0"/>
    <w:rsid w:val="009D3BCA"/>
    <w:rsid w:val="009E3A53"/>
    <w:rsid w:val="009F2134"/>
    <w:rsid w:val="009F45CC"/>
    <w:rsid w:val="009F74E1"/>
    <w:rsid w:val="00A12805"/>
    <w:rsid w:val="00A1360E"/>
    <w:rsid w:val="00A14268"/>
    <w:rsid w:val="00A22D3E"/>
    <w:rsid w:val="00A23956"/>
    <w:rsid w:val="00A25291"/>
    <w:rsid w:val="00A36775"/>
    <w:rsid w:val="00A41495"/>
    <w:rsid w:val="00A41BA9"/>
    <w:rsid w:val="00A50CC1"/>
    <w:rsid w:val="00A646CD"/>
    <w:rsid w:val="00A75D96"/>
    <w:rsid w:val="00A774C0"/>
    <w:rsid w:val="00A84413"/>
    <w:rsid w:val="00A93986"/>
    <w:rsid w:val="00A97D9B"/>
    <w:rsid w:val="00AB3BB9"/>
    <w:rsid w:val="00AB7957"/>
    <w:rsid w:val="00AC0670"/>
    <w:rsid w:val="00AC49E3"/>
    <w:rsid w:val="00AD5A65"/>
    <w:rsid w:val="00AE4AC5"/>
    <w:rsid w:val="00AE51E3"/>
    <w:rsid w:val="00AE66F9"/>
    <w:rsid w:val="00B01172"/>
    <w:rsid w:val="00B113DF"/>
    <w:rsid w:val="00B11F69"/>
    <w:rsid w:val="00B13D2B"/>
    <w:rsid w:val="00B16923"/>
    <w:rsid w:val="00B21E6C"/>
    <w:rsid w:val="00B3145C"/>
    <w:rsid w:val="00B3256B"/>
    <w:rsid w:val="00B40926"/>
    <w:rsid w:val="00B520B2"/>
    <w:rsid w:val="00B54885"/>
    <w:rsid w:val="00B54CDC"/>
    <w:rsid w:val="00B55B64"/>
    <w:rsid w:val="00B8413F"/>
    <w:rsid w:val="00B85699"/>
    <w:rsid w:val="00B92141"/>
    <w:rsid w:val="00B94C81"/>
    <w:rsid w:val="00BA1B41"/>
    <w:rsid w:val="00BA71DE"/>
    <w:rsid w:val="00BB0A2F"/>
    <w:rsid w:val="00BB30D3"/>
    <w:rsid w:val="00BB38BD"/>
    <w:rsid w:val="00BC31BD"/>
    <w:rsid w:val="00BC7E15"/>
    <w:rsid w:val="00BD3E2A"/>
    <w:rsid w:val="00BD5383"/>
    <w:rsid w:val="00BE614A"/>
    <w:rsid w:val="00BF27C0"/>
    <w:rsid w:val="00BF3A09"/>
    <w:rsid w:val="00C0315C"/>
    <w:rsid w:val="00C11CD0"/>
    <w:rsid w:val="00C207BE"/>
    <w:rsid w:val="00C344B3"/>
    <w:rsid w:val="00C35799"/>
    <w:rsid w:val="00C363AB"/>
    <w:rsid w:val="00C513E8"/>
    <w:rsid w:val="00C567FA"/>
    <w:rsid w:val="00C57584"/>
    <w:rsid w:val="00C614BF"/>
    <w:rsid w:val="00C62579"/>
    <w:rsid w:val="00C642A6"/>
    <w:rsid w:val="00C92C98"/>
    <w:rsid w:val="00CC0B41"/>
    <w:rsid w:val="00CC43A8"/>
    <w:rsid w:val="00CC57D4"/>
    <w:rsid w:val="00CD2D23"/>
    <w:rsid w:val="00CE48CB"/>
    <w:rsid w:val="00CF0685"/>
    <w:rsid w:val="00CF2D08"/>
    <w:rsid w:val="00CF486F"/>
    <w:rsid w:val="00D06048"/>
    <w:rsid w:val="00D14B7D"/>
    <w:rsid w:val="00D265BD"/>
    <w:rsid w:val="00D372CC"/>
    <w:rsid w:val="00D52BB4"/>
    <w:rsid w:val="00D55B64"/>
    <w:rsid w:val="00D71E94"/>
    <w:rsid w:val="00D76B84"/>
    <w:rsid w:val="00D867CE"/>
    <w:rsid w:val="00D91264"/>
    <w:rsid w:val="00D944D1"/>
    <w:rsid w:val="00D971D7"/>
    <w:rsid w:val="00DA38B3"/>
    <w:rsid w:val="00DB4985"/>
    <w:rsid w:val="00DC2FED"/>
    <w:rsid w:val="00DC7C8B"/>
    <w:rsid w:val="00DD0A6D"/>
    <w:rsid w:val="00DD0BB8"/>
    <w:rsid w:val="00DD30B3"/>
    <w:rsid w:val="00DF2FC8"/>
    <w:rsid w:val="00DF4662"/>
    <w:rsid w:val="00DF6DDB"/>
    <w:rsid w:val="00DF70A6"/>
    <w:rsid w:val="00E04083"/>
    <w:rsid w:val="00E05108"/>
    <w:rsid w:val="00E11241"/>
    <w:rsid w:val="00E14E3B"/>
    <w:rsid w:val="00E17674"/>
    <w:rsid w:val="00E3537C"/>
    <w:rsid w:val="00E434D5"/>
    <w:rsid w:val="00E44CCC"/>
    <w:rsid w:val="00E44FED"/>
    <w:rsid w:val="00E517AF"/>
    <w:rsid w:val="00E638FB"/>
    <w:rsid w:val="00E67A1E"/>
    <w:rsid w:val="00E83E8A"/>
    <w:rsid w:val="00EA42FF"/>
    <w:rsid w:val="00EA489D"/>
    <w:rsid w:val="00EB6097"/>
    <w:rsid w:val="00EC295A"/>
    <w:rsid w:val="00ED6479"/>
    <w:rsid w:val="00EE24AD"/>
    <w:rsid w:val="00EE5853"/>
    <w:rsid w:val="00EE79BF"/>
    <w:rsid w:val="00F0711E"/>
    <w:rsid w:val="00F071E5"/>
    <w:rsid w:val="00F07B6E"/>
    <w:rsid w:val="00F20BC4"/>
    <w:rsid w:val="00F32AFC"/>
    <w:rsid w:val="00F35551"/>
    <w:rsid w:val="00F43DE1"/>
    <w:rsid w:val="00F50B02"/>
    <w:rsid w:val="00F551B3"/>
    <w:rsid w:val="00F67117"/>
    <w:rsid w:val="00F7195B"/>
    <w:rsid w:val="00F8326B"/>
    <w:rsid w:val="00F96980"/>
    <w:rsid w:val="00FA5AB9"/>
    <w:rsid w:val="00FA7DCF"/>
    <w:rsid w:val="00FB32DC"/>
    <w:rsid w:val="00FB3635"/>
    <w:rsid w:val="00FB4888"/>
    <w:rsid w:val="00FC1B31"/>
    <w:rsid w:val="00FD445D"/>
    <w:rsid w:val="00FD5B6F"/>
    <w:rsid w:val="00FF0C3C"/>
    <w:rsid w:val="00FF14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rules v:ext="edit">
        <o:r id="V:Rule26" type="connector" idref="#_x0000_s1126"/>
        <o:r id="V:Rule27" type="connector" idref="#_x0000_s1163"/>
        <o:r id="V:Rule28" type="connector" idref="#_x0000_s1208"/>
        <o:r id="V:Rule29" type="connector" idref="#_x0000_s1195"/>
        <o:r id="V:Rule31" type="connector" idref="#_x0000_s1135"/>
        <o:r id="V:Rule32" type="connector" idref="#_x0000_s1096"/>
        <o:r id="V:Rule33" type="connector" idref="#_x0000_s1047"/>
        <o:r id="V:Rule34" type="connector" idref="#_x0000_s1177"/>
        <o:r id="V:Rule35" type="connector" idref="#_x0000_s1158"/>
        <o:r id="V:Rule36" type="connector" idref="#_x0000_s1149"/>
        <o:r id="V:Rule38" type="connector" idref="#_x0000_s1050"/>
        <o:r id="V:Rule39" type="connector" idref="#_x0000_s1140"/>
        <o:r id="V:Rule40" type="connector" idref="#_x0000_s1127"/>
        <o:r id="V:Rule41" type="connector" idref="#_x0000_s1125"/>
        <o:r id="V:Rule42" type="connector" idref="#_x0000_s1146"/>
        <o:r id="V:Rule43" type="connector" idref="#_x0000_s1173"/>
        <o:r id="V:Rule44" type="connector" idref="#_x0000_s1184"/>
        <o:r id="V:Rule45" type="connector" idref="#_x0000_s1188"/>
        <o:r id="V:Rule46" type="connector" idref="#_x0000_s1199"/>
        <o:r id="V:Rule47" type="connector" idref="#_x0000_s1152"/>
        <o:r id="V:Rule48" type="connector" idref="#_x0000_s1159"/>
        <o:r id="V:Rule49" type="connector" idref="#_x0000_s1156"/>
        <o:r id="V:Rule50" type="connector" idref="#_x0000_s1157"/>
        <o:r id="V:Rule52" type="connector" idref="#_x0000_s1214"/>
      </o:rules>
      <o:regrouptable v:ext="edit">
        <o:entry new="1" old="0"/>
        <o:entry new="2" old="0"/>
        <o:entry new="3" old="0"/>
        <o:entry new="4" old="0"/>
        <o:entry new="5" old="4"/>
        <o:entry new="6" old="0"/>
        <o:entry new="7" old="0"/>
        <o:entry new="8" old="0"/>
        <o:entry new="9" old="0"/>
        <o:entry new="10" old="0"/>
        <o:entry new="11" old="0"/>
        <o:entry new="12" old="11"/>
        <o:entry new="13" old="11"/>
        <o:entry new="14" old="11"/>
        <o:entry new="15" old="11"/>
        <o:entry new="16" old="0"/>
        <o:entry new="17" old="0"/>
        <o:entry new="18" old="0"/>
        <o:entry new="19" old="0"/>
        <o:entry new="20" old="19"/>
        <o:entry new="21" old="0"/>
        <o:entry new="22" old="21"/>
        <o:entry new="23" old="2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0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03F68"/>
  </w:style>
  <w:style w:type="paragraph" w:styleId="a3">
    <w:name w:val="Balloon Text"/>
    <w:basedOn w:val="a"/>
    <w:link w:val="Char"/>
    <w:uiPriority w:val="99"/>
    <w:semiHidden/>
    <w:unhideWhenUsed/>
    <w:rsid w:val="00581052"/>
    <w:rPr>
      <w:sz w:val="18"/>
      <w:szCs w:val="18"/>
    </w:rPr>
  </w:style>
  <w:style w:type="character" w:customStyle="1" w:styleId="Char">
    <w:name w:val="批注框文本 Char"/>
    <w:basedOn w:val="a0"/>
    <w:link w:val="a3"/>
    <w:uiPriority w:val="99"/>
    <w:semiHidden/>
    <w:rsid w:val="00581052"/>
    <w:rPr>
      <w:sz w:val="18"/>
      <w:szCs w:val="18"/>
    </w:rPr>
  </w:style>
  <w:style w:type="paragraph" w:styleId="a4">
    <w:name w:val="header"/>
    <w:basedOn w:val="a"/>
    <w:link w:val="Char0"/>
    <w:uiPriority w:val="99"/>
    <w:unhideWhenUsed/>
    <w:rsid w:val="001633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63380"/>
    <w:rPr>
      <w:sz w:val="18"/>
      <w:szCs w:val="18"/>
    </w:rPr>
  </w:style>
  <w:style w:type="paragraph" w:styleId="a5">
    <w:name w:val="footer"/>
    <w:basedOn w:val="a"/>
    <w:link w:val="Char1"/>
    <w:uiPriority w:val="99"/>
    <w:unhideWhenUsed/>
    <w:rsid w:val="00163380"/>
    <w:pPr>
      <w:tabs>
        <w:tab w:val="center" w:pos="4153"/>
        <w:tab w:val="right" w:pos="8306"/>
      </w:tabs>
      <w:snapToGrid w:val="0"/>
      <w:jc w:val="left"/>
    </w:pPr>
    <w:rPr>
      <w:sz w:val="18"/>
      <w:szCs w:val="18"/>
    </w:rPr>
  </w:style>
  <w:style w:type="character" w:customStyle="1" w:styleId="Char1">
    <w:name w:val="页脚 Char"/>
    <w:basedOn w:val="a0"/>
    <w:link w:val="a5"/>
    <w:uiPriority w:val="99"/>
    <w:rsid w:val="00163380"/>
    <w:rPr>
      <w:sz w:val="18"/>
      <w:szCs w:val="18"/>
    </w:rPr>
  </w:style>
  <w:style w:type="character" w:styleId="a6">
    <w:name w:val="annotation reference"/>
    <w:basedOn w:val="a0"/>
    <w:uiPriority w:val="99"/>
    <w:semiHidden/>
    <w:unhideWhenUsed/>
    <w:rsid w:val="00A22D3E"/>
    <w:rPr>
      <w:sz w:val="21"/>
      <w:szCs w:val="21"/>
    </w:rPr>
  </w:style>
  <w:style w:type="paragraph" w:styleId="a7">
    <w:name w:val="annotation text"/>
    <w:basedOn w:val="a"/>
    <w:link w:val="Char2"/>
    <w:uiPriority w:val="99"/>
    <w:semiHidden/>
    <w:unhideWhenUsed/>
    <w:rsid w:val="00A22D3E"/>
    <w:pPr>
      <w:jc w:val="left"/>
    </w:pPr>
  </w:style>
  <w:style w:type="character" w:customStyle="1" w:styleId="Char2">
    <w:name w:val="批注文字 Char"/>
    <w:basedOn w:val="a0"/>
    <w:link w:val="a7"/>
    <w:uiPriority w:val="99"/>
    <w:semiHidden/>
    <w:rsid w:val="00A22D3E"/>
  </w:style>
  <w:style w:type="paragraph" w:styleId="a8">
    <w:name w:val="annotation subject"/>
    <w:basedOn w:val="a7"/>
    <w:next w:val="a7"/>
    <w:link w:val="Char3"/>
    <w:uiPriority w:val="99"/>
    <w:semiHidden/>
    <w:unhideWhenUsed/>
    <w:rsid w:val="00A22D3E"/>
    <w:rPr>
      <w:b/>
      <w:bCs/>
    </w:rPr>
  </w:style>
  <w:style w:type="character" w:customStyle="1" w:styleId="Char3">
    <w:name w:val="批注主题 Char"/>
    <w:basedOn w:val="Char2"/>
    <w:link w:val="a8"/>
    <w:uiPriority w:val="99"/>
    <w:semiHidden/>
    <w:rsid w:val="00A22D3E"/>
    <w:rPr>
      <w:b/>
      <w:bCs/>
    </w:rPr>
  </w:style>
  <w:style w:type="character" w:styleId="a9">
    <w:name w:val="Hyperlink"/>
    <w:basedOn w:val="a0"/>
    <w:uiPriority w:val="99"/>
    <w:unhideWhenUsed/>
    <w:rsid w:val="00F07B6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230879">
      <w:bodyDiv w:val="1"/>
      <w:marLeft w:val="0"/>
      <w:marRight w:val="0"/>
      <w:marTop w:val="0"/>
      <w:marBottom w:val="0"/>
      <w:divBdr>
        <w:top w:val="none" w:sz="0" w:space="0" w:color="auto"/>
        <w:left w:val="none" w:sz="0" w:space="0" w:color="auto"/>
        <w:bottom w:val="none" w:sz="0" w:space="0" w:color="auto"/>
        <w:right w:val="none" w:sz="0" w:space="0" w:color="auto"/>
      </w:divBdr>
    </w:div>
    <w:div w:id="171381739">
      <w:bodyDiv w:val="1"/>
      <w:marLeft w:val="0"/>
      <w:marRight w:val="0"/>
      <w:marTop w:val="0"/>
      <w:marBottom w:val="0"/>
      <w:divBdr>
        <w:top w:val="none" w:sz="0" w:space="0" w:color="auto"/>
        <w:left w:val="none" w:sz="0" w:space="0" w:color="auto"/>
        <w:bottom w:val="none" w:sz="0" w:space="0" w:color="auto"/>
        <w:right w:val="none" w:sz="0" w:space="0" w:color="auto"/>
      </w:divBdr>
      <w:divsChild>
        <w:div w:id="863057141">
          <w:marLeft w:val="0"/>
          <w:marRight w:val="0"/>
          <w:marTop w:val="0"/>
          <w:marBottom w:val="0"/>
          <w:divBdr>
            <w:top w:val="none" w:sz="0" w:space="0" w:color="auto"/>
            <w:left w:val="none" w:sz="0" w:space="0" w:color="auto"/>
            <w:bottom w:val="none" w:sz="0" w:space="0" w:color="auto"/>
            <w:right w:val="none" w:sz="0" w:space="0" w:color="auto"/>
          </w:divBdr>
        </w:div>
        <w:div w:id="1116363709">
          <w:marLeft w:val="0"/>
          <w:marRight w:val="0"/>
          <w:marTop w:val="0"/>
          <w:marBottom w:val="0"/>
          <w:divBdr>
            <w:top w:val="none" w:sz="0" w:space="0" w:color="auto"/>
            <w:left w:val="none" w:sz="0" w:space="0" w:color="auto"/>
            <w:bottom w:val="none" w:sz="0" w:space="0" w:color="auto"/>
            <w:right w:val="none" w:sz="0" w:space="0" w:color="auto"/>
          </w:divBdr>
        </w:div>
      </w:divsChild>
    </w:div>
    <w:div w:id="317881204">
      <w:bodyDiv w:val="1"/>
      <w:marLeft w:val="0"/>
      <w:marRight w:val="0"/>
      <w:marTop w:val="0"/>
      <w:marBottom w:val="0"/>
      <w:divBdr>
        <w:top w:val="none" w:sz="0" w:space="0" w:color="auto"/>
        <w:left w:val="none" w:sz="0" w:space="0" w:color="auto"/>
        <w:bottom w:val="none" w:sz="0" w:space="0" w:color="auto"/>
        <w:right w:val="none" w:sz="0" w:space="0" w:color="auto"/>
      </w:divBdr>
    </w:div>
    <w:div w:id="579094445">
      <w:bodyDiv w:val="1"/>
      <w:marLeft w:val="0"/>
      <w:marRight w:val="0"/>
      <w:marTop w:val="0"/>
      <w:marBottom w:val="0"/>
      <w:divBdr>
        <w:top w:val="none" w:sz="0" w:space="0" w:color="auto"/>
        <w:left w:val="none" w:sz="0" w:space="0" w:color="auto"/>
        <w:bottom w:val="none" w:sz="0" w:space="0" w:color="auto"/>
        <w:right w:val="none" w:sz="0" w:space="0" w:color="auto"/>
      </w:divBdr>
      <w:divsChild>
        <w:div w:id="2137940144">
          <w:marLeft w:val="0"/>
          <w:marRight w:val="0"/>
          <w:marTop w:val="0"/>
          <w:marBottom w:val="0"/>
          <w:divBdr>
            <w:top w:val="none" w:sz="0" w:space="0" w:color="auto"/>
            <w:left w:val="none" w:sz="0" w:space="0" w:color="auto"/>
            <w:bottom w:val="none" w:sz="0" w:space="0" w:color="auto"/>
            <w:right w:val="none" w:sz="0" w:space="0" w:color="auto"/>
          </w:divBdr>
          <w:divsChild>
            <w:div w:id="2072533308">
              <w:marLeft w:val="0"/>
              <w:marRight w:val="1455"/>
              <w:marTop w:val="75"/>
              <w:marBottom w:val="225"/>
              <w:divBdr>
                <w:top w:val="none" w:sz="0" w:space="0" w:color="auto"/>
                <w:left w:val="none" w:sz="0" w:space="0" w:color="auto"/>
                <w:bottom w:val="none" w:sz="0" w:space="0" w:color="auto"/>
                <w:right w:val="none" w:sz="0" w:space="0" w:color="auto"/>
              </w:divBdr>
              <w:divsChild>
                <w:div w:id="7468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8995">
      <w:bodyDiv w:val="1"/>
      <w:marLeft w:val="0"/>
      <w:marRight w:val="0"/>
      <w:marTop w:val="0"/>
      <w:marBottom w:val="0"/>
      <w:divBdr>
        <w:top w:val="none" w:sz="0" w:space="0" w:color="auto"/>
        <w:left w:val="none" w:sz="0" w:space="0" w:color="auto"/>
        <w:bottom w:val="none" w:sz="0" w:space="0" w:color="auto"/>
        <w:right w:val="none" w:sz="0" w:space="0" w:color="auto"/>
      </w:divBdr>
    </w:div>
    <w:div w:id="1021467690">
      <w:bodyDiv w:val="1"/>
      <w:marLeft w:val="0"/>
      <w:marRight w:val="0"/>
      <w:marTop w:val="0"/>
      <w:marBottom w:val="0"/>
      <w:divBdr>
        <w:top w:val="none" w:sz="0" w:space="0" w:color="auto"/>
        <w:left w:val="none" w:sz="0" w:space="0" w:color="auto"/>
        <w:bottom w:val="none" w:sz="0" w:space="0" w:color="auto"/>
        <w:right w:val="none" w:sz="0" w:space="0" w:color="auto"/>
      </w:divBdr>
    </w:div>
    <w:div w:id="17608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1894</Words>
  <Characters>10801</Characters>
  <Application>Microsoft Office Word</Application>
  <DocSecurity>0</DocSecurity>
  <Lines>90</Lines>
  <Paragraphs>25</Paragraphs>
  <ScaleCrop>false</ScaleCrop>
  <Company>Hewlett-Packard Company</Company>
  <LinksUpToDate>false</LinksUpToDate>
  <CharactersWithSpaces>12670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叶成红</cp:lastModifiedBy>
  <cp:revision>6</cp:revision>
  <cp:lastPrinted>2019-03-26T05:15:00Z</cp:lastPrinted>
  <dcterms:created xsi:type="dcterms:W3CDTF">2019-06-25T02:01:00Z</dcterms:created>
  <dcterms:modified xsi:type="dcterms:W3CDTF">2019-06-25T05:13:00Z</dcterms:modified>
</cp:coreProperties>
</file>