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Fonts w:hint="eastAsia" w:ascii="黑体" w:hAnsi="黑体" w:eastAsia="黑体" w:cs="黑体"/>
          <w:sz w:val="32"/>
          <w:szCs w:val="32"/>
          <w:lang w:val="en-US" w:eastAsia="zh-CN"/>
        </w:rPr>
      </w:pPr>
      <w:bookmarkStart w:id="1" w:name="_GoBack"/>
      <w:bookmarkEnd w:id="1"/>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6</w:t>
      </w:r>
    </w:p>
    <w:p>
      <w:pPr>
        <w:spacing w:line="560" w:lineRule="exact"/>
        <w:jc w:val="left"/>
        <w:rPr>
          <w:rFonts w:hint="eastAsia" w:ascii="黑体" w:hAnsi="黑体" w:eastAsia="黑体" w:cs="黑体"/>
          <w:sz w:val="32"/>
          <w:szCs w:val="32"/>
          <w:lang w:val="en-US" w:eastAsia="zh-CN"/>
        </w:rPr>
      </w:pPr>
    </w:p>
    <w:p>
      <w:pPr>
        <w:spacing w:line="560" w:lineRule="exact"/>
        <w:jc w:val="center"/>
        <w:rPr>
          <w:rFonts w:eastAsia="方正小标宋简体"/>
          <w:sz w:val="44"/>
          <w:szCs w:val="44"/>
        </w:rPr>
      </w:pPr>
      <w:r>
        <w:rPr>
          <w:rFonts w:hint="eastAsia" w:eastAsia="方正小标宋简体"/>
          <w:sz w:val="44"/>
          <w:szCs w:val="44"/>
        </w:rPr>
        <w:t>冲击波治疗仪</w:t>
      </w:r>
      <w:r>
        <w:rPr>
          <w:rFonts w:eastAsia="方正小标宋简体"/>
          <w:sz w:val="44"/>
          <w:szCs w:val="44"/>
        </w:rPr>
        <w:t>注册技术</w:t>
      </w:r>
      <w:r>
        <w:rPr>
          <w:rFonts w:hint="eastAsia" w:eastAsia="方正小标宋简体"/>
          <w:sz w:val="44"/>
          <w:szCs w:val="44"/>
        </w:rPr>
        <w:t>审查</w:t>
      </w:r>
      <w:r>
        <w:rPr>
          <w:rFonts w:eastAsia="方正小标宋简体"/>
          <w:sz w:val="44"/>
          <w:szCs w:val="44"/>
        </w:rPr>
        <w:t>指导原则</w:t>
      </w:r>
    </w:p>
    <w:p>
      <w:pPr>
        <w:spacing w:line="560" w:lineRule="exact"/>
        <w:jc w:val="center"/>
        <w:rPr>
          <w:rFonts w:eastAsia="方正小标宋简体"/>
          <w:sz w:val="32"/>
          <w:szCs w:val="32"/>
        </w:rPr>
      </w:pPr>
    </w:p>
    <w:p>
      <w:pPr>
        <w:spacing w:line="560" w:lineRule="exact"/>
        <w:ind w:firstLine="640" w:firstLineChars="200"/>
        <w:rPr>
          <w:rFonts w:eastAsia="仿宋_GB2312"/>
          <w:sz w:val="32"/>
          <w:szCs w:val="32"/>
        </w:rPr>
      </w:pPr>
      <w:r>
        <w:rPr>
          <w:rFonts w:eastAsia="仿宋_GB2312"/>
          <w:sz w:val="32"/>
          <w:szCs w:val="32"/>
        </w:rPr>
        <w:t>本指导原则旨在指导注册申请人对第二类</w:t>
      </w:r>
      <w:r>
        <w:rPr>
          <w:rFonts w:hint="eastAsia" w:eastAsia="仿宋_GB2312"/>
          <w:sz w:val="32"/>
          <w:szCs w:val="32"/>
        </w:rPr>
        <w:t>冲击波治疗仪</w:t>
      </w:r>
      <w:r>
        <w:rPr>
          <w:rFonts w:eastAsia="仿宋_GB2312"/>
          <w:sz w:val="32"/>
          <w:szCs w:val="32"/>
        </w:rPr>
        <w:t>产品注册申报资料的准备及撰写，同时也为技术审评部门审评注册申报资料提供参考。</w:t>
      </w:r>
    </w:p>
    <w:p>
      <w:pPr>
        <w:spacing w:line="560" w:lineRule="exact"/>
        <w:ind w:firstLine="640" w:firstLineChars="200"/>
        <w:rPr>
          <w:rFonts w:eastAsia="仿宋_GB2312"/>
          <w:sz w:val="32"/>
          <w:szCs w:val="32"/>
        </w:rPr>
      </w:pPr>
      <w:r>
        <w:rPr>
          <w:rFonts w:eastAsia="仿宋_GB2312"/>
          <w:sz w:val="32"/>
          <w:szCs w:val="32"/>
        </w:rPr>
        <w:t>本指导原则是对冲击波治疗仪的一般要求，申请人应依据产品的具体特性确定其中内容是否适用，若不适用，需具体阐述理由及相应的科学依据，并依据产品的具体特性对注册申报资料的内容进行充实和细化。</w:t>
      </w:r>
    </w:p>
    <w:p>
      <w:pPr>
        <w:spacing w:line="560" w:lineRule="exact"/>
        <w:ind w:firstLine="640" w:firstLineChars="200"/>
        <w:rPr>
          <w:rFonts w:eastAsia="仿宋_GB2312"/>
          <w:sz w:val="32"/>
          <w:szCs w:val="32"/>
        </w:rPr>
      </w:pPr>
      <w:r>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pPr>
        <w:spacing w:line="560" w:lineRule="exact"/>
        <w:ind w:firstLine="640" w:firstLineChars="200"/>
        <w:rPr>
          <w:rFonts w:eastAsia="仿宋_GB2312"/>
          <w:sz w:val="32"/>
          <w:szCs w:val="32"/>
        </w:rPr>
      </w:pPr>
      <w:r>
        <w:rPr>
          <w:rFonts w:eastAsia="仿宋_GB2312"/>
          <w:sz w:val="32"/>
          <w:szCs w:val="32"/>
        </w:rPr>
        <w:t>本指导原则是在现行法规、标准体系及当前认知水平下制定的，随着法规、标准体系的不断完善和科学技术的不断发展，本指导原则相关内容也将适时进行调整。</w:t>
      </w:r>
    </w:p>
    <w:p>
      <w:pPr>
        <w:tabs>
          <w:tab w:val="center" w:pos="4473"/>
        </w:tabs>
        <w:spacing w:line="560" w:lineRule="exact"/>
        <w:ind w:firstLine="640" w:firstLineChars="200"/>
        <w:outlineLvl w:val="0"/>
        <w:rPr>
          <w:rFonts w:eastAsia="黑体"/>
          <w:bCs/>
          <w:sz w:val="32"/>
          <w:szCs w:val="32"/>
        </w:rPr>
      </w:pPr>
      <w:r>
        <w:rPr>
          <w:rFonts w:hAnsi="黑体" w:eastAsia="黑体"/>
          <w:bCs/>
          <w:sz w:val="32"/>
          <w:szCs w:val="32"/>
        </w:rPr>
        <w:t>一、适用范围</w:t>
      </w:r>
    </w:p>
    <w:p>
      <w:pPr>
        <w:spacing w:line="560" w:lineRule="exact"/>
        <w:ind w:left="420" w:leftChars="200" w:firstLine="217" w:firstLineChars="68"/>
        <w:rPr>
          <w:rFonts w:eastAsia="仿宋_GB2312"/>
          <w:sz w:val="32"/>
          <w:szCs w:val="32"/>
        </w:rPr>
      </w:pPr>
      <w:r>
        <w:rPr>
          <w:rFonts w:eastAsia="仿宋_GB2312"/>
          <w:sz w:val="32"/>
          <w:szCs w:val="32"/>
        </w:rPr>
        <w:t>本指导原则适用于</w:t>
      </w:r>
      <w:r>
        <w:rPr>
          <w:rFonts w:hint="eastAsia" w:eastAsia="仿宋_GB2312"/>
          <w:sz w:val="32"/>
          <w:szCs w:val="32"/>
        </w:rPr>
        <w:t>气压弹道式</w:t>
      </w:r>
      <w:r>
        <w:rPr>
          <w:rFonts w:eastAsia="仿宋_GB2312"/>
          <w:sz w:val="32"/>
          <w:szCs w:val="32"/>
        </w:rPr>
        <w:t>的冲击波治疗仪。</w:t>
      </w:r>
    </w:p>
    <w:p>
      <w:pPr>
        <w:spacing w:line="560" w:lineRule="exact"/>
        <w:ind w:firstLine="640" w:firstLineChars="200"/>
        <w:rPr>
          <w:rFonts w:eastAsia="仿宋_GB2312"/>
          <w:sz w:val="32"/>
          <w:szCs w:val="32"/>
        </w:rPr>
      </w:pPr>
      <w:r>
        <w:rPr>
          <w:rFonts w:eastAsia="仿宋_GB2312"/>
          <w:sz w:val="32"/>
          <w:szCs w:val="32"/>
        </w:rPr>
        <w:t>其他</w:t>
      </w:r>
      <w:r>
        <w:rPr>
          <w:rFonts w:hint="eastAsia" w:eastAsia="仿宋_GB2312"/>
          <w:sz w:val="32"/>
          <w:szCs w:val="32"/>
        </w:rPr>
        <w:t>类型的冲击波治疗仪</w:t>
      </w:r>
      <w:r>
        <w:rPr>
          <w:rFonts w:eastAsia="仿宋_GB2312"/>
          <w:sz w:val="32"/>
          <w:szCs w:val="32"/>
        </w:rPr>
        <w:t>设备可参考本指导原则。</w:t>
      </w:r>
    </w:p>
    <w:p>
      <w:pPr>
        <w:spacing w:line="560" w:lineRule="exact"/>
        <w:ind w:firstLine="640" w:firstLineChars="200"/>
        <w:rPr>
          <w:rFonts w:eastAsia="仿宋_GB2312"/>
          <w:sz w:val="32"/>
          <w:szCs w:val="32"/>
        </w:rPr>
      </w:pPr>
      <w:r>
        <w:rPr>
          <w:rFonts w:eastAsia="仿宋_GB2312"/>
          <w:sz w:val="32"/>
          <w:szCs w:val="32"/>
        </w:rPr>
        <w:t>根据新</w:t>
      </w:r>
      <w:r>
        <w:rPr>
          <w:rFonts w:hint="eastAsia" w:eastAsia="仿宋_GB2312"/>
          <w:sz w:val="32"/>
          <w:szCs w:val="32"/>
        </w:rPr>
        <w:t>《医疗器械</w:t>
      </w:r>
      <w:r>
        <w:rPr>
          <w:rFonts w:eastAsia="仿宋_GB2312"/>
          <w:sz w:val="32"/>
          <w:szCs w:val="32"/>
        </w:rPr>
        <w:t>分类目录</w:t>
      </w:r>
      <w:r>
        <w:rPr>
          <w:rFonts w:hint="eastAsia" w:eastAsia="仿宋_GB2312"/>
          <w:sz w:val="32"/>
          <w:szCs w:val="32"/>
        </w:rPr>
        <w:t>》（国家食品药品监督管理总局公告</w:t>
      </w:r>
      <w:r>
        <w:rPr>
          <w:rFonts w:ascii="Times New Roman" w:hAnsi="Times New Roman" w:eastAsia="仿宋_GB2312"/>
          <w:sz w:val="32"/>
          <w:szCs w:val="32"/>
        </w:rPr>
        <w:t>2017</w:t>
      </w:r>
      <w:r>
        <w:rPr>
          <w:rFonts w:hint="eastAsia" w:eastAsia="仿宋_GB2312"/>
          <w:sz w:val="32"/>
          <w:szCs w:val="32"/>
        </w:rPr>
        <w:t>年第</w:t>
      </w:r>
      <w:r>
        <w:rPr>
          <w:rFonts w:ascii="Times New Roman" w:hAnsi="Times New Roman" w:eastAsia="仿宋_GB2312"/>
          <w:sz w:val="32"/>
          <w:szCs w:val="32"/>
        </w:rPr>
        <w:t>104</w:t>
      </w:r>
      <w:r>
        <w:rPr>
          <w:rFonts w:hint="eastAsia" w:eastAsia="仿宋_GB2312"/>
          <w:sz w:val="32"/>
          <w:szCs w:val="32"/>
        </w:rPr>
        <w:t>号）</w:t>
      </w:r>
      <w:r>
        <w:rPr>
          <w:rFonts w:eastAsia="仿宋_GB2312"/>
          <w:sz w:val="32"/>
          <w:szCs w:val="32"/>
        </w:rPr>
        <w:t>，分类编码为</w:t>
      </w:r>
      <w:r>
        <w:rPr>
          <w:rFonts w:ascii="Times New Roman" w:hAnsi="Times New Roman" w:eastAsia="仿宋_GB2312"/>
          <w:sz w:val="32"/>
          <w:szCs w:val="32"/>
        </w:rPr>
        <w:t>09</w:t>
      </w:r>
      <w:r>
        <w:rPr>
          <w:rFonts w:hint="eastAsia" w:eastAsia="仿宋_GB2312"/>
          <w:sz w:val="32"/>
          <w:szCs w:val="32"/>
        </w:rPr>
        <w:t>（物理治疗</w:t>
      </w:r>
      <w:r>
        <w:rPr>
          <w:rFonts w:eastAsia="仿宋_GB2312"/>
          <w:sz w:val="32"/>
          <w:szCs w:val="32"/>
        </w:rPr>
        <w:t>器械</w:t>
      </w:r>
      <w:r>
        <w:rPr>
          <w:rFonts w:hint="eastAsia" w:eastAsia="仿宋_GB2312"/>
          <w:sz w:val="32"/>
          <w:szCs w:val="32"/>
        </w:rPr>
        <w:t>）—</w:t>
      </w:r>
      <w:r>
        <w:rPr>
          <w:rFonts w:ascii="Times New Roman" w:hAnsi="Times New Roman" w:eastAsia="仿宋_GB2312"/>
          <w:sz w:val="32"/>
          <w:szCs w:val="32"/>
        </w:rPr>
        <w:t>04</w:t>
      </w:r>
      <w:r>
        <w:rPr>
          <w:rFonts w:hint="eastAsia" w:eastAsia="仿宋_GB2312"/>
          <w:sz w:val="32"/>
          <w:szCs w:val="32"/>
        </w:rPr>
        <w:t>（力疗</w:t>
      </w:r>
      <w:r>
        <w:rPr>
          <w:rFonts w:eastAsia="仿宋_GB2312"/>
          <w:sz w:val="32"/>
          <w:szCs w:val="32"/>
        </w:rPr>
        <w:t>设备</w:t>
      </w:r>
      <w:r>
        <w:rPr>
          <w:rFonts w:ascii="Times New Roman" w:hAnsi="Times New Roman" w:eastAsia="楷体_GB2312"/>
          <w:color w:val="000000"/>
          <w:sz w:val="32"/>
          <w:szCs w:val="32"/>
        </w:rPr>
        <w:t>/</w:t>
      </w:r>
      <w:r>
        <w:rPr>
          <w:rFonts w:hint="eastAsia" w:eastAsia="仿宋_GB2312"/>
          <w:sz w:val="32"/>
          <w:szCs w:val="32"/>
        </w:rPr>
        <w:t>器具）—</w:t>
      </w:r>
      <w:r>
        <w:rPr>
          <w:rFonts w:ascii="Times New Roman" w:hAnsi="Times New Roman" w:eastAsia="仿宋_GB2312"/>
          <w:sz w:val="32"/>
          <w:szCs w:val="32"/>
        </w:rPr>
        <w:t>05</w:t>
      </w:r>
      <w:r>
        <w:rPr>
          <w:rFonts w:hint="eastAsia" w:eastAsia="仿宋_GB2312"/>
          <w:sz w:val="32"/>
          <w:szCs w:val="32"/>
        </w:rPr>
        <w:t>（冲击波治疗设备）</w:t>
      </w:r>
      <w:r>
        <w:rPr>
          <w:rFonts w:eastAsia="仿宋_GB2312"/>
          <w:sz w:val="32"/>
          <w:szCs w:val="32"/>
        </w:rPr>
        <w:t xml:space="preserve">。 </w:t>
      </w:r>
    </w:p>
    <w:p>
      <w:pPr>
        <w:tabs>
          <w:tab w:val="center" w:pos="4473"/>
        </w:tabs>
        <w:spacing w:line="560" w:lineRule="exact"/>
        <w:ind w:firstLine="640" w:firstLineChars="200"/>
        <w:outlineLvl w:val="0"/>
        <w:rPr>
          <w:rFonts w:eastAsia="黑体"/>
          <w:bCs/>
          <w:sz w:val="32"/>
          <w:szCs w:val="32"/>
        </w:rPr>
      </w:pPr>
      <w:r>
        <w:rPr>
          <w:rFonts w:hAnsi="黑体" w:eastAsia="黑体"/>
          <w:bCs/>
          <w:sz w:val="32"/>
          <w:szCs w:val="32"/>
        </w:rPr>
        <w:t>二、技术审查要点</w:t>
      </w:r>
    </w:p>
    <w:p>
      <w:pPr>
        <w:spacing w:line="560" w:lineRule="exact"/>
        <w:ind w:right="-67" w:rightChars="-32" w:firstLine="640" w:firstLineChars="200"/>
        <w:outlineLvl w:val="1"/>
        <w:rPr>
          <w:rFonts w:eastAsia="楷体"/>
          <w:sz w:val="32"/>
          <w:szCs w:val="32"/>
        </w:rPr>
      </w:pPr>
      <w:r>
        <w:rPr>
          <w:rFonts w:eastAsia="楷体_GB2312"/>
          <w:sz w:val="32"/>
          <w:szCs w:val="32"/>
        </w:rPr>
        <w:t xml:space="preserve">（一）产品名称要求  </w:t>
      </w:r>
    </w:p>
    <w:p>
      <w:pPr>
        <w:spacing w:line="560" w:lineRule="exact"/>
        <w:ind w:firstLine="640" w:firstLineChars="200"/>
        <w:jc w:val="left"/>
        <w:rPr>
          <w:rFonts w:eastAsia="仿宋_GB2312"/>
          <w:sz w:val="32"/>
          <w:szCs w:val="32"/>
        </w:rPr>
      </w:pPr>
      <w:r>
        <w:rPr>
          <w:rFonts w:eastAsia="仿宋_GB2312"/>
          <w:sz w:val="32"/>
          <w:szCs w:val="32"/>
        </w:rPr>
        <w:t>产品的命名应采用《医疗器械分类目录》或国家标准、行业标准上的通用名称，或以产品结构、控制方式为依据命名，应符合《医疗器械通用名称命名规则》</w:t>
      </w:r>
      <w:r>
        <w:rPr>
          <w:rFonts w:hint="eastAsia" w:eastAsia="仿宋_GB2312"/>
          <w:sz w:val="32"/>
          <w:szCs w:val="32"/>
        </w:rPr>
        <w:t>（国家食品药品监督管理总局令第</w:t>
      </w:r>
      <w:r>
        <w:rPr>
          <w:rFonts w:ascii="Times New Roman" w:hAnsi="Times New Roman" w:eastAsia="仿宋_GB2312"/>
          <w:sz w:val="32"/>
          <w:szCs w:val="32"/>
        </w:rPr>
        <w:t>19</w:t>
      </w:r>
      <w:r>
        <w:rPr>
          <w:rFonts w:hint="eastAsia" w:eastAsia="仿宋_GB2312"/>
          <w:sz w:val="32"/>
          <w:szCs w:val="32"/>
        </w:rPr>
        <w:t>号）</w:t>
      </w:r>
      <w:r>
        <w:rPr>
          <w:rFonts w:eastAsia="仿宋_GB2312"/>
          <w:sz w:val="32"/>
          <w:szCs w:val="32"/>
        </w:rPr>
        <w:t>的要求。</w:t>
      </w:r>
    </w:p>
    <w:p>
      <w:pPr>
        <w:spacing w:line="560" w:lineRule="exact"/>
        <w:ind w:firstLine="640" w:firstLineChars="200"/>
        <w:jc w:val="left"/>
        <w:rPr>
          <w:rFonts w:eastAsia="仿宋_GB2312"/>
          <w:sz w:val="32"/>
          <w:szCs w:val="32"/>
        </w:rPr>
      </w:pPr>
      <w:r>
        <w:rPr>
          <w:rFonts w:eastAsia="仿宋_GB2312"/>
          <w:sz w:val="32"/>
          <w:szCs w:val="32"/>
        </w:rPr>
        <w:t>建议使用的名称有：冲击波治疗仪、</w:t>
      </w:r>
      <w:r>
        <w:rPr>
          <w:rFonts w:hint="eastAsia" w:eastAsia="仿宋_GB2312"/>
          <w:sz w:val="32"/>
          <w:szCs w:val="32"/>
        </w:rPr>
        <w:t>气压弹道式体外冲击波治疗仪</w:t>
      </w:r>
      <w:r>
        <w:rPr>
          <w:rFonts w:eastAsia="仿宋_GB2312"/>
          <w:sz w:val="32"/>
          <w:szCs w:val="32"/>
        </w:rPr>
        <w:t>。</w:t>
      </w:r>
    </w:p>
    <w:p>
      <w:pPr>
        <w:spacing w:line="560" w:lineRule="exact"/>
        <w:ind w:right="-67" w:rightChars="-32" w:firstLine="640" w:firstLineChars="200"/>
        <w:outlineLvl w:val="1"/>
        <w:rPr>
          <w:rFonts w:eastAsia="楷体_GB2312"/>
          <w:sz w:val="32"/>
          <w:szCs w:val="32"/>
        </w:rPr>
      </w:pPr>
      <w:r>
        <w:rPr>
          <w:rFonts w:eastAsia="楷体_GB2312"/>
          <w:sz w:val="32"/>
          <w:szCs w:val="32"/>
        </w:rPr>
        <w:t>（二）产品的结构和组成</w:t>
      </w:r>
      <w:bookmarkStart w:id="0" w:name="_Toc251021029"/>
    </w:p>
    <w:p>
      <w:pPr>
        <w:autoSpaceDE w:val="0"/>
        <w:autoSpaceDN w:val="0"/>
        <w:spacing w:line="560" w:lineRule="exact"/>
        <w:ind w:firstLine="640" w:firstLineChars="200"/>
        <w:rPr>
          <w:rFonts w:eastAsia="仿宋_GB2312"/>
          <w:kern w:val="0"/>
          <w:sz w:val="32"/>
          <w:szCs w:val="32"/>
        </w:rPr>
      </w:pPr>
      <w:r>
        <w:rPr>
          <w:rFonts w:eastAsia="仿宋_GB2312"/>
          <w:kern w:val="0"/>
          <w:sz w:val="32"/>
          <w:szCs w:val="32"/>
        </w:rPr>
        <w:t>冲击波治疗仪一般由</w:t>
      </w:r>
      <w:r>
        <w:rPr>
          <w:rFonts w:hint="eastAsia" w:eastAsia="仿宋_GB2312"/>
          <w:kern w:val="0"/>
          <w:sz w:val="32"/>
          <w:szCs w:val="32"/>
        </w:rPr>
        <w:t>主机、控制手柄（内含子弹体）、治疗头和空气压缩机（一般包含在主机内）</w:t>
      </w:r>
      <w:r>
        <w:rPr>
          <w:rFonts w:eastAsia="仿宋_GB2312"/>
          <w:kern w:val="0"/>
          <w:sz w:val="32"/>
          <w:szCs w:val="32"/>
        </w:rPr>
        <w:t>及相关附件组成。</w:t>
      </w:r>
      <w:r>
        <w:rPr>
          <w:rFonts w:hint="eastAsia" w:eastAsia="仿宋_GB2312"/>
          <w:kern w:val="0"/>
          <w:sz w:val="32"/>
          <w:szCs w:val="32"/>
        </w:rPr>
        <w:t>主机部分一般可包括控制电路（包括主板、电源模块、显示器等）、电磁阀、过滤器、安全阀和连接管路等，控制手柄可包括手柄主体、电磁阀、子弹体和弹道管、触发按钮和连接管路等。</w:t>
      </w:r>
      <w:r>
        <w:rPr>
          <w:rFonts w:eastAsia="仿宋_GB2312"/>
          <w:kern w:val="0"/>
          <w:sz w:val="32"/>
          <w:szCs w:val="32"/>
        </w:rPr>
        <w:t>不同生产企业的产品，在结构上存在一定差异，可不完全与本部分描述一致。</w:t>
      </w:r>
      <w:r>
        <w:rPr>
          <w:rFonts w:hint="eastAsia" w:eastAsia="仿宋_GB2312"/>
          <w:kern w:val="0"/>
          <w:sz w:val="32"/>
          <w:szCs w:val="32"/>
        </w:rPr>
        <w:t>产品结构框图示例如下：</w:t>
      </w:r>
    </w:p>
    <w:p>
      <w:pPr>
        <w:ind w:firstLine="420"/>
        <w:jc w:val="center"/>
      </w:pPr>
      <w:r>
        <w:drawing>
          <wp:inline distT="0" distB="0" distL="114300" distR="114300">
            <wp:extent cx="5620385" cy="103568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620385" cy="1035685"/>
                    </a:xfrm>
                    <a:prstGeom prst="rect">
                      <a:avLst/>
                    </a:prstGeom>
                    <a:noFill/>
                    <a:ln>
                      <a:noFill/>
                    </a:ln>
                  </pic:spPr>
                </pic:pic>
              </a:graphicData>
            </a:graphic>
          </wp:inline>
        </w:drawing>
      </w:r>
    </w:p>
    <w:p>
      <w:pPr>
        <w:autoSpaceDE w:val="0"/>
        <w:autoSpaceDN w:val="0"/>
        <w:spacing w:line="520" w:lineRule="exact"/>
        <w:ind w:firstLine="425" w:firstLineChars="133"/>
        <w:jc w:val="center"/>
        <w:rPr>
          <w:rFonts w:eastAsia="仿宋_GB2312"/>
          <w:kern w:val="0"/>
          <w:sz w:val="32"/>
          <w:szCs w:val="32"/>
        </w:rPr>
      </w:pPr>
      <w:r>
        <w:rPr>
          <w:rFonts w:hint="eastAsia" w:eastAsia="仿宋_GB2312"/>
          <w:kern w:val="0"/>
          <w:sz w:val="32"/>
          <w:szCs w:val="32"/>
        </w:rPr>
        <w:t>图</w:t>
      </w:r>
      <w:r>
        <w:rPr>
          <w:rFonts w:ascii="Times New Roman" w:hAnsi="Times New Roman" w:eastAsia="仿宋_GB2312"/>
          <w:kern w:val="0"/>
          <w:sz w:val="32"/>
          <w:szCs w:val="32"/>
        </w:rPr>
        <w:t>1</w:t>
      </w:r>
      <w:r>
        <w:rPr>
          <w:rFonts w:hint="eastAsia" w:eastAsia="仿宋_GB2312"/>
          <w:kern w:val="0"/>
          <w:sz w:val="32"/>
          <w:szCs w:val="32"/>
        </w:rPr>
        <w:t xml:space="preserve"> 气压弹道冲击波治疗仪结构框图</w:t>
      </w:r>
    </w:p>
    <w:p>
      <w:pPr>
        <w:autoSpaceDE w:val="0"/>
        <w:autoSpaceDN w:val="0"/>
        <w:spacing w:line="520" w:lineRule="exact"/>
        <w:ind w:firstLine="640" w:firstLineChars="200"/>
        <w:rPr>
          <w:rFonts w:eastAsia="仿宋_GB2312"/>
          <w:kern w:val="0"/>
          <w:sz w:val="32"/>
          <w:szCs w:val="32"/>
        </w:rPr>
      </w:pPr>
      <w:r>
        <w:rPr>
          <w:rFonts w:hint="eastAsia" w:eastAsia="仿宋_GB2312"/>
          <w:kern w:val="0"/>
          <w:sz w:val="32"/>
          <w:szCs w:val="32"/>
        </w:rPr>
        <w:t>注：上述结构组成及示意图仅供参考，具体产品结构组成应根据实际产品确定。</w:t>
      </w:r>
    </w:p>
    <w:bookmarkEnd w:id="0"/>
    <w:p>
      <w:pPr>
        <w:numPr>
          <w:ilvl w:val="0"/>
          <w:numId w:val="1"/>
        </w:numPr>
        <w:spacing w:line="560" w:lineRule="exact"/>
        <w:ind w:right="-67" w:rightChars="-32" w:firstLine="640" w:firstLineChars="200"/>
        <w:outlineLvl w:val="1"/>
        <w:rPr>
          <w:rFonts w:eastAsia="楷体_GB2312"/>
          <w:sz w:val="32"/>
          <w:szCs w:val="32"/>
        </w:rPr>
      </w:pPr>
      <w:r>
        <w:rPr>
          <w:rFonts w:eastAsia="楷体_GB2312"/>
          <w:sz w:val="32"/>
          <w:szCs w:val="32"/>
        </w:rPr>
        <w:t>产品工作原理</w:t>
      </w:r>
      <w:r>
        <w:rPr>
          <w:rFonts w:ascii="Times New Roman" w:hAnsi="Times New Roman" w:eastAsia="楷体_GB2312"/>
          <w:sz w:val="32"/>
          <w:szCs w:val="32"/>
        </w:rPr>
        <w:t>/</w:t>
      </w:r>
      <w:r>
        <w:rPr>
          <w:rFonts w:eastAsia="楷体_GB2312"/>
          <w:sz w:val="32"/>
          <w:szCs w:val="32"/>
        </w:rPr>
        <w:t>作用机理</w:t>
      </w:r>
    </w:p>
    <w:p>
      <w:pPr>
        <w:numPr>
          <w:ilvl w:val="255"/>
          <w:numId w:val="0"/>
        </w:numPr>
        <w:tabs>
          <w:tab w:val="left" w:pos="579"/>
        </w:tabs>
        <w:autoSpaceDE w:val="0"/>
        <w:autoSpaceDN w:val="0"/>
        <w:spacing w:line="560" w:lineRule="exact"/>
        <w:ind w:firstLine="640" w:firstLineChars="200"/>
        <w:rPr>
          <w:rFonts w:eastAsia="仿宋_GB2312"/>
          <w:kern w:val="0"/>
          <w:sz w:val="32"/>
          <w:szCs w:val="32"/>
        </w:rPr>
      </w:pPr>
      <w:r>
        <w:rPr>
          <w:rFonts w:ascii="Times New Roman" w:hAnsi="Times New Roman" w:eastAsia="仿宋_GB2312"/>
          <w:kern w:val="0"/>
          <w:sz w:val="32"/>
          <w:szCs w:val="32"/>
        </w:rPr>
        <w:t>1</w:t>
      </w:r>
      <w:r>
        <w:rPr>
          <w:rFonts w:hint="eastAsia" w:ascii="Times New Roman" w:hAnsi="Times New Roman" w:eastAsia="仿宋_GB2312"/>
          <w:kern w:val="0"/>
          <w:sz w:val="32"/>
          <w:szCs w:val="32"/>
        </w:rPr>
        <w:t>.</w:t>
      </w:r>
      <w:r>
        <w:rPr>
          <w:rFonts w:hint="eastAsia" w:eastAsia="仿宋_GB2312"/>
          <w:kern w:val="0"/>
          <w:sz w:val="32"/>
          <w:szCs w:val="32"/>
        </w:rPr>
        <w:t>工作原理：</w:t>
      </w:r>
    </w:p>
    <w:p>
      <w:pPr>
        <w:autoSpaceDE w:val="0"/>
        <w:autoSpaceDN w:val="0"/>
        <w:spacing w:line="560" w:lineRule="exact"/>
        <w:ind w:firstLine="425" w:firstLineChars="133"/>
        <w:rPr>
          <w:rFonts w:eastAsia="仿宋_GB2312"/>
          <w:kern w:val="0"/>
          <w:sz w:val="32"/>
          <w:szCs w:val="32"/>
        </w:rPr>
      </w:pPr>
      <w:r>
        <w:rPr>
          <w:rFonts w:hint="eastAsia" w:eastAsia="仿宋_GB2312"/>
          <w:sz w:val="32"/>
          <w:szCs w:val="32"/>
        </w:rPr>
        <w:t>气压弹道式</w:t>
      </w:r>
      <w:r>
        <w:rPr>
          <w:rFonts w:hint="eastAsia" w:eastAsia="仿宋_GB2312"/>
          <w:kern w:val="0"/>
          <w:sz w:val="32"/>
          <w:szCs w:val="32"/>
        </w:rPr>
        <w:t>体外冲击波治疗仪是通过空气压缩机压缩空气，经主机控制使压缩空气推动控制手柄中的子弹体，子弹体再撞击治疗头，产生冲击波。</w:t>
      </w:r>
    </w:p>
    <w:p>
      <w:pPr>
        <w:autoSpaceDE w:val="0"/>
        <w:autoSpaceDN w:val="0"/>
        <w:spacing w:line="560" w:lineRule="exact"/>
        <w:ind w:firstLine="640" w:firstLineChars="200"/>
        <w:rPr>
          <w:rFonts w:eastAsia="仿宋_GB2312"/>
          <w:kern w:val="0"/>
          <w:sz w:val="32"/>
          <w:szCs w:val="32"/>
        </w:rPr>
      </w:pPr>
      <w:r>
        <w:rPr>
          <w:rFonts w:ascii="Times New Roman" w:hAnsi="Times New Roman" w:eastAsia="仿宋_GB2312"/>
          <w:kern w:val="0"/>
          <w:sz w:val="32"/>
          <w:szCs w:val="32"/>
        </w:rPr>
        <w:t>2</w:t>
      </w:r>
      <w:r>
        <w:rPr>
          <w:rFonts w:hint="eastAsia" w:ascii="Times New Roman" w:hAnsi="Times New Roman" w:eastAsia="仿宋_GB2312"/>
          <w:kern w:val="0"/>
          <w:sz w:val="32"/>
          <w:szCs w:val="32"/>
        </w:rPr>
        <w:t>.</w:t>
      </w:r>
      <w:r>
        <w:rPr>
          <w:rFonts w:hint="eastAsia" w:eastAsia="仿宋_GB2312"/>
          <w:kern w:val="0"/>
          <w:sz w:val="32"/>
          <w:szCs w:val="32"/>
        </w:rPr>
        <w:t>作用机理：</w:t>
      </w:r>
    </w:p>
    <w:p>
      <w:pPr>
        <w:spacing w:line="560" w:lineRule="exact"/>
        <w:ind w:right="-67" w:rightChars="-32" w:firstLine="640" w:firstLineChars="200"/>
        <w:outlineLvl w:val="1"/>
        <w:rPr>
          <w:rFonts w:eastAsia="仿宋_GB2312"/>
          <w:sz w:val="32"/>
          <w:szCs w:val="32"/>
        </w:rPr>
      </w:pPr>
      <w:r>
        <w:rPr>
          <w:rFonts w:hint="eastAsia" w:eastAsia="仿宋_GB2312"/>
          <w:sz w:val="32"/>
          <w:szCs w:val="32"/>
        </w:rPr>
        <w:t>冲击波是一种通过振动、高速运动等导致介质快速或极速压缩而聚集产生能量的具有力学特性的声波，可引起介质的压强、温度、密度等物理性质发生跳跃式改变。</w:t>
      </w:r>
    </w:p>
    <w:p>
      <w:pPr>
        <w:overflowPunct w:val="0"/>
        <w:spacing w:line="560" w:lineRule="exact"/>
        <w:ind w:firstLine="640" w:firstLineChars="200"/>
        <w:rPr>
          <w:rFonts w:ascii="楷体_GB2312" w:eastAsia="楷体_GB2312"/>
          <w:sz w:val="32"/>
          <w:szCs w:val="28"/>
        </w:rPr>
      </w:pPr>
      <w:r>
        <w:rPr>
          <w:rFonts w:hint="eastAsia" w:ascii="楷体_GB2312" w:eastAsia="楷体_GB2312"/>
          <w:sz w:val="32"/>
          <w:szCs w:val="28"/>
        </w:rPr>
        <w:t>（四）注册单元划分的原则和实例</w:t>
      </w:r>
    </w:p>
    <w:p>
      <w:pPr>
        <w:autoSpaceDE w:val="0"/>
        <w:autoSpaceDN w:val="0"/>
        <w:spacing w:line="560" w:lineRule="exact"/>
        <w:ind w:firstLine="640" w:firstLineChars="200"/>
        <w:rPr>
          <w:rFonts w:ascii="仿宋_GB2312" w:eastAsia="仿宋_GB2312"/>
          <w:kern w:val="0"/>
          <w:sz w:val="32"/>
          <w:szCs w:val="32"/>
        </w:rPr>
      </w:pPr>
      <w:r>
        <w:rPr>
          <w:rFonts w:hint="eastAsia" w:ascii="仿宋_GB2312" w:hAnsi="仿宋" w:eastAsia="仿宋_GB2312"/>
          <w:kern w:val="0"/>
          <w:sz w:val="32"/>
          <w:szCs w:val="32"/>
        </w:rPr>
        <w:t>注册单元划分一般以产品的技术结构、性能指标和适用范围为划分依据。适用范围、产品性能、技术原理和结构组成（控制手柄，治疗头，子弹体、压缩机和主机）基本相同的不同型号医疗器械，原则上可划分为同一注册单元。但如果各型号间在适用范围、性能、结构方面差异较大，则应划分为不同的注册单元。</w:t>
      </w:r>
    </w:p>
    <w:p>
      <w:pPr>
        <w:spacing w:line="560" w:lineRule="exact"/>
        <w:ind w:right="-67" w:rightChars="-32" w:firstLine="640" w:firstLineChars="200"/>
        <w:outlineLvl w:val="1"/>
        <w:rPr>
          <w:rFonts w:eastAsia="楷体_GB2312"/>
          <w:sz w:val="32"/>
          <w:szCs w:val="32"/>
        </w:rPr>
      </w:pPr>
      <w:r>
        <w:rPr>
          <w:rFonts w:eastAsia="楷体_GB2312"/>
          <w:sz w:val="32"/>
          <w:szCs w:val="32"/>
        </w:rPr>
        <w:t>（五）产品适用的相关标准</w:t>
      </w:r>
    </w:p>
    <w:p>
      <w:pPr>
        <w:autoSpaceDE w:val="0"/>
        <w:autoSpaceDN w:val="0"/>
        <w:spacing w:line="560" w:lineRule="exact"/>
        <w:ind w:firstLine="640" w:firstLineChars="200"/>
        <w:rPr>
          <w:rFonts w:ascii="仿宋_GB2312" w:eastAsia="仿宋_GB2312"/>
          <w:kern w:val="0"/>
          <w:sz w:val="32"/>
          <w:szCs w:val="32"/>
        </w:rPr>
      </w:pPr>
      <w:r>
        <w:rPr>
          <w:rFonts w:hint="eastAsia" w:ascii="仿宋_GB2312" w:hAnsi="仿宋" w:eastAsia="仿宋_GB2312"/>
          <w:kern w:val="0"/>
          <w:sz w:val="32"/>
          <w:szCs w:val="32"/>
        </w:rPr>
        <w:t>目前与产品相关的国家标准、行业标准列举如下：</w:t>
      </w:r>
      <w:r>
        <w:rPr>
          <w:rFonts w:hint="eastAsia" w:ascii="仿宋_GB2312" w:eastAsia="仿宋_GB2312"/>
          <w:kern w:val="0"/>
          <w:sz w:val="32"/>
          <w:szCs w:val="32"/>
        </w:rPr>
        <w:t xml:space="preserve"> </w:t>
      </w:r>
    </w:p>
    <w:p>
      <w:pPr>
        <w:autoSpaceDE w:val="0"/>
        <w:autoSpaceDN w:val="0"/>
        <w:spacing w:line="520" w:lineRule="exact"/>
        <w:ind w:firstLine="560" w:firstLineChars="200"/>
        <w:jc w:val="center"/>
        <w:rPr>
          <w:rFonts w:ascii="黑体" w:hAnsi="黑体" w:eastAsia="黑体"/>
          <w:kern w:val="0"/>
          <w:sz w:val="28"/>
          <w:szCs w:val="32"/>
        </w:rPr>
      </w:pPr>
      <w:r>
        <w:rPr>
          <w:rFonts w:ascii="黑体" w:hAnsi="黑体" w:eastAsia="黑体"/>
          <w:kern w:val="0"/>
          <w:sz w:val="28"/>
          <w:szCs w:val="32"/>
        </w:rPr>
        <w:t>表</w:t>
      </w:r>
      <w:r>
        <w:rPr>
          <w:rFonts w:hint="eastAsia" w:ascii="黑体" w:hAnsi="黑体" w:eastAsia="黑体"/>
          <w:kern w:val="0"/>
          <w:sz w:val="28"/>
          <w:szCs w:val="32"/>
        </w:rPr>
        <w:t>1</w:t>
      </w:r>
      <w:r>
        <w:rPr>
          <w:rFonts w:ascii="黑体" w:hAnsi="黑体" w:eastAsia="黑体"/>
          <w:kern w:val="0"/>
          <w:sz w:val="28"/>
          <w:szCs w:val="32"/>
        </w:rPr>
        <w:t xml:space="preserve"> </w:t>
      </w:r>
      <w:r>
        <w:rPr>
          <w:rFonts w:hint="eastAsia" w:ascii="黑体" w:hAnsi="黑体" w:eastAsia="黑体"/>
          <w:kern w:val="0"/>
          <w:sz w:val="28"/>
          <w:szCs w:val="32"/>
        </w:rPr>
        <w:t xml:space="preserve"> </w:t>
      </w:r>
      <w:r>
        <w:rPr>
          <w:rFonts w:ascii="黑体" w:hAnsi="黑体" w:eastAsia="黑体"/>
          <w:kern w:val="0"/>
          <w:sz w:val="28"/>
          <w:szCs w:val="32"/>
        </w:rPr>
        <w:t>相关产品标准</w:t>
      </w:r>
    </w:p>
    <w:tbl>
      <w:tblPr>
        <w:tblStyle w:val="9"/>
        <w:tblW w:w="8530" w:type="dxa"/>
        <w:tblInd w:w="2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黑体"/>
                <w:kern w:val="0"/>
                <w:sz w:val="28"/>
                <w:szCs w:val="32"/>
              </w:rPr>
            </w:pPr>
            <w:r>
              <w:rPr>
                <w:rFonts w:ascii="Times New Roman" w:hAnsi="Times New Roman" w:eastAsia="仿宋_GB2312"/>
                <w:kern w:val="0"/>
                <w:sz w:val="28"/>
                <w:szCs w:val="28"/>
              </w:rPr>
              <w:t>GB/T 191</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2008</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包装储运图示标志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黑体"/>
                <w:kern w:val="0"/>
                <w:sz w:val="28"/>
                <w:szCs w:val="32"/>
              </w:rPr>
            </w:pPr>
            <w:r>
              <w:rPr>
                <w:rFonts w:ascii="Times New Roman" w:hAnsi="Times New Roman" w:eastAsia="仿宋_GB2312"/>
                <w:kern w:val="0"/>
                <w:sz w:val="28"/>
                <w:szCs w:val="28"/>
              </w:rPr>
              <w:t>GB 9706.1</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2007</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医用电气设备 第</w:t>
            </w:r>
            <w:r>
              <w:rPr>
                <w:rFonts w:ascii="Times New Roman" w:hAnsi="Times New Roman" w:eastAsia="仿宋_GB2312"/>
                <w:kern w:val="0"/>
                <w:sz w:val="28"/>
                <w:szCs w:val="28"/>
              </w:rPr>
              <w:t>1</w:t>
            </w:r>
            <w:r>
              <w:rPr>
                <w:rFonts w:eastAsia="仿宋_GB2312"/>
                <w:kern w:val="0"/>
                <w:sz w:val="28"/>
                <w:szCs w:val="28"/>
              </w:rPr>
              <w:t>部分：安全通用要求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黑体"/>
                <w:kern w:val="0"/>
                <w:sz w:val="28"/>
                <w:szCs w:val="32"/>
              </w:rPr>
            </w:pPr>
            <w:r>
              <w:rPr>
                <w:rFonts w:ascii="Times New Roman" w:hAnsi="Times New Roman" w:eastAsia="仿宋_GB2312"/>
                <w:kern w:val="0"/>
                <w:sz w:val="28"/>
                <w:szCs w:val="28"/>
              </w:rPr>
              <w:t>GB/T 14710</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2009</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医用电器环境要求及试验方法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黑体"/>
                <w:kern w:val="0"/>
                <w:sz w:val="28"/>
                <w:szCs w:val="32"/>
              </w:rPr>
            </w:pPr>
            <w:r>
              <w:rPr>
                <w:rFonts w:ascii="Times New Roman" w:hAnsi="Times New Roman" w:eastAsia="仿宋_GB2312"/>
                <w:kern w:val="0"/>
                <w:sz w:val="28"/>
                <w:szCs w:val="28"/>
              </w:rPr>
              <w:t>GB/T 16886.1</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2011</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医疗器械生物学评价第</w:t>
            </w:r>
            <w:r>
              <w:rPr>
                <w:rFonts w:ascii="Times New Roman" w:hAnsi="Times New Roman" w:eastAsia="仿宋_GB2312"/>
                <w:kern w:val="0"/>
                <w:sz w:val="28"/>
                <w:szCs w:val="28"/>
              </w:rPr>
              <w:t>1</w:t>
            </w:r>
            <w:r>
              <w:rPr>
                <w:rFonts w:eastAsia="仿宋_GB2312"/>
                <w:kern w:val="0"/>
                <w:sz w:val="28"/>
                <w:szCs w:val="28"/>
              </w:rPr>
              <w:t>部分：风险管理过程中的评价与试验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32"/>
              </w:rPr>
            </w:pPr>
            <w:r>
              <w:rPr>
                <w:rFonts w:ascii="Times New Roman" w:hAnsi="Times New Roman" w:eastAsia="仿宋_GB2312"/>
                <w:kern w:val="0"/>
                <w:sz w:val="28"/>
                <w:szCs w:val="28"/>
              </w:rPr>
              <w:t>GB/T 16886.5</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2017</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医疗器械生物学评价第</w:t>
            </w:r>
            <w:r>
              <w:rPr>
                <w:rFonts w:ascii="Times New Roman" w:hAnsi="Times New Roman" w:eastAsia="仿宋_GB2312"/>
                <w:kern w:val="0"/>
                <w:sz w:val="28"/>
                <w:szCs w:val="28"/>
              </w:rPr>
              <w:t>5</w:t>
            </w:r>
            <w:r>
              <w:rPr>
                <w:rFonts w:eastAsia="仿宋_GB2312"/>
                <w:kern w:val="0"/>
                <w:sz w:val="28"/>
                <w:szCs w:val="28"/>
              </w:rPr>
              <w:t>部分：体外细胞毒性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32"/>
              </w:rPr>
            </w:pPr>
            <w:r>
              <w:rPr>
                <w:rFonts w:ascii="Times New Roman" w:hAnsi="Times New Roman" w:eastAsia="仿宋_GB2312"/>
                <w:kern w:val="0"/>
                <w:sz w:val="28"/>
                <w:szCs w:val="28"/>
              </w:rPr>
              <w:t>GB/T 16886.10</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2017</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医疗器械生物学评价第</w:t>
            </w:r>
            <w:r>
              <w:rPr>
                <w:rFonts w:ascii="Times New Roman" w:hAnsi="Times New Roman" w:eastAsia="仿宋_GB2312"/>
                <w:kern w:val="0"/>
                <w:sz w:val="28"/>
                <w:szCs w:val="28"/>
              </w:rPr>
              <w:t>10</w:t>
            </w:r>
            <w:r>
              <w:rPr>
                <w:rFonts w:eastAsia="仿宋_GB2312"/>
                <w:kern w:val="0"/>
                <w:sz w:val="28"/>
                <w:szCs w:val="28"/>
              </w:rPr>
              <w:t>部分：刺激与迟发型超敏反应试验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32"/>
              </w:rPr>
            </w:pPr>
            <w:r>
              <w:rPr>
                <w:rFonts w:ascii="Times New Roman" w:hAnsi="Times New Roman" w:eastAsia="仿宋_GB2312"/>
                <w:kern w:val="0"/>
                <w:sz w:val="28"/>
                <w:szCs w:val="28"/>
              </w:rPr>
              <w:t>GB/T 16886.12</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2017</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医疗器械生物学评价第</w:t>
            </w:r>
            <w:r>
              <w:rPr>
                <w:rFonts w:ascii="Times New Roman" w:hAnsi="Times New Roman" w:eastAsia="仿宋_GB2312"/>
                <w:kern w:val="0"/>
                <w:sz w:val="28"/>
                <w:szCs w:val="28"/>
              </w:rPr>
              <w:t>12</w:t>
            </w:r>
            <w:r>
              <w:rPr>
                <w:rFonts w:eastAsia="仿宋_GB2312"/>
                <w:kern w:val="0"/>
                <w:sz w:val="28"/>
                <w:szCs w:val="28"/>
              </w:rPr>
              <w:t>部分：样品制备与参照样品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黑体"/>
                <w:kern w:val="0"/>
                <w:sz w:val="28"/>
                <w:szCs w:val="32"/>
              </w:rPr>
            </w:pPr>
            <w:r>
              <w:rPr>
                <w:rFonts w:ascii="Times New Roman" w:hAnsi="Times New Roman" w:eastAsia="仿宋_GB2312"/>
                <w:kern w:val="0"/>
                <w:sz w:val="28"/>
                <w:szCs w:val="28"/>
              </w:rPr>
              <w:t>YY/T 0466.1</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2016</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医疗器械 用于医疗器械标签、标记和提供信息的符号 第</w:t>
            </w:r>
            <w:r>
              <w:rPr>
                <w:rFonts w:ascii="Times New Roman" w:hAnsi="Times New Roman" w:eastAsia="仿宋_GB2312"/>
                <w:kern w:val="0"/>
                <w:sz w:val="28"/>
                <w:szCs w:val="28"/>
              </w:rPr>
              <w:t>1</w:t>
            </w:r>
            <w:r>
              <w:rPr>
                <w:rFonts w:eastAsia="仿宋_GB2312"/>
                <w:kern w:val="0"/>
                <w:sz w:val="28"/>
                <w:szCs w:val="28"/>
              </w:rPr>
              <w:t>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28"/>
              </w:rPr>
            </w:pPr>
            <w:r>
              <w:rPr>
                <w:rFonts w:ascii="Times New Roman" w:hAnsi="Times New Roman" w:eastAsia="仿宋_GB2312"/>
                <w:kern w:val="0"/>
                <w:sz w:val="28"/>
                <w:szCs w:val="28"/>
              </w:rPr>
              <w:t>YY 0505</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2012</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医用电气设备 第</w:t>
            </w:r>
            <w:r>
              <w:rPr>
                <w:rFonts w:ascii="Times New Roman" w:hAnsi="Times New Roman" w:eastAsia="楷体"/>
                <w:kern w:val="0"/>
                <w:sz w:val="28"/>
                <w:szCs w:val="28"/>
              </w:rPr>
              <w:t>1</w:t>
            </w:r>
            <w:r>
              <w:rPr>
                <w:rFonts w:hint="eastAsia" w:ascii="Times New Roman" w:hAnsi="Times New Roman" w:eastAsia="楷体"/>
                <w:kern w:val="0"/>
                <w:sz w:val="28"/>
                <w:szCs w:val="28"/>
              </w:rPr>
              <w:t>—</w:t>
            </w:r>
            <w:r>
              <w:rPr>
                <w:rFonts w:ascii="Times New Roman" w:hAnsi="Times New Roman" w:eastAsia="楷体"/>
                <w:kern w:val="0"/>
                <w:sz w:val="28"/>
                <w:szCs w:val="28"/>
              </w:rPr>
              <w:t>2</w:t>
            </w:r>
            <w:r>
              <w:rPr>
                <w:rFonts w:eastAsia="仿宋_GB2312"/>
                <w:kern w:val="0"/>
                <w:sz w:val="28"/>
                <w:szCs w:val="28"/>
              </w:rPr>
              <w:t>部分：安全通用要求 并列标准：电磁兼容 要求和试验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28"/>
              </w:rPr>
            </w:pPr>
            <w:r>
              <w:rPr>
                <w:rFonts w:ascii="Times New Roman" w:hAnsi="Times New Roman" w:eastAsia="仿宋_GB2312"/>
                <w:kern w:val="0"/>
                <w:sz w:val="28"/>
                <w:szCs w:val="28"/>
              </w:rPr>
              <w:t>YY/T 0316</w:t>
            </w:r>
            <w:r>
              <w:rPr>
                <w:rFonts w:hint="eastAsia" w:ascii="Times New Roman" w:hAnsi="Times New Roman" w:eastAsia="仿宋_GB2312"/>
                <w:kern w:val="0"/>
                <w:sz w:val="28"/>
                <w:szCs w:val="28"/>
              </w:rPr>
              <w:t>—</w:t>
            </w:r>
            <w:r>
              <w:rPr>
                <w:rFonts w:ascii="Times New Roman" w:hAnsi="Times New Roman" w:eastAsia="仿宋_GB2312"/>
                <w:kern w:val="0"/>
                <w:sz w:val="28"/>
                <w:szCs w:val="28"/>
              </w:rPr>
              <w:t>2016</w:t>
            </w:r>
          </w:p>
        </w:tc>
        <w:tc>
          <w:tcPr>
            <w:tcW w:w="5549" w:type="dxa"/>
          </w:tcPr>
          <w:p>
            <w:pPr>
              <w:autoSpaceDE w:val="0"/>
              <w:autoSpaceDN w:val="0"/>
              <w:spacing w:line="520" w:lineRule="exact"/>
              <w:jc w:val="left"/>
              <w:rPr>
                <w:rFonts w:ascii="黑体" w:hAnsi="黑体" w:eastAsia="黑体"/>
                <w:kern w:val="0"/>
                <w:sz w:val="28"/>
                <w:szCs w:val="32"/>
              </w:rPr>
            </w:pPr>
            <w:r>
              <w:rPr>
                <w:rFonts w:eastAsia="仿宋_GB2312"/>
                <w:kern w:val="0"/>
                <w:sz w:val="28"/>
                <w:szCs w:val="28"/>
              </w:rPr>
              <w:t>医疗器械 风险管理对医疗器械的应用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28"/>
              </w:rPr>
            </w:pPr>
            <w:r>
              <w:rPr>
                <w:rFonts w:ascii="Times New Roman" w:hAnsi="Times New Roman" w:eastAsia="仿宋_GB2312"/>
                <w:kern w:val="0"/>
                <w:sz w:val="28"/>
                <w:szCs w:val="28"/>
              </w:rPr>
              <w:t>YY 0950—2015</w:t>
            </w:r>
          </w:p>
        </w:tc>
        <w:tc>
          <w:tcPr>
            <w:tcW w:w="5549" w:type="dxa"/>
          </w:tcPr>
          <w:p>
            <w:pPr>
              <w:autoSpaceDE w:val="0"/>
              <w:autoSpaceDN w:val="0"/>
              <w:spacing w:line="520" w:lineRule="exact"/>
              <w:jc w:val="left"/>
              <w:rPr>
                <w:rFonts w:ascii="黑体" w:hAnsi="黑体" w:eastAsia="黑体"/>
                <w:kern w:val="0"/>
                <w:sz w:val="28"/>
                <w:szCs w:val="32"/>
              </w:rPr>
            </w:pPr>
            <w:r>
              <w:rPr>
                <w:rFonts w:hint="eastAsia" w:eastAsia="仿宋_GB2312"/>
                <w:kern w:val="0"/>
                <w:sz w:val="28"/>
                <w:szCs w:val="28"/>
              </w:rPr>
              <w:t>气压弹道式体外压力波治疗设备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dxa"/>
            <w:vAlign w:val="center"/>
          </w:tcPr>
          <w:p>
            <w:pPr>
              <w:autoSpaceDE w:val="0"/>
              <w:autoSpaceDN w:val="0"/>
              <w:spacing w:line="520" w:lineRule="exact"/>
              <w:jc w:val="left"/>
              <w:rPr>
                <w:rFonts w:ascii="Times New Roman" w:hAnsi="Times New Roman" w:eastAsia="仿宋_GB2312"/>
                <w:kern w:val="0"/>
                <w:sz w:val="28"/>
                <w:szCs w:val="28"/>
              </w:rPr>
            </w:pPr>
            <w:r>
              <w:rPr>
                <w:rFonts w:ascii="Times New Roman" w:hAnsi="Times New Roman" w:eastAsia="仿宋_GB2312"/>
                <w:kern w:val="0"/>
                <w:sz w:val="28"/>
                <w:szCs w:val="28"/>
              </w:rPr>
              <w:t>YY 1057-2016</w:t>
            </w:r>
          </w:p>
        </w:tc>
        <w:tc>
          <w:tcPr>
            <w:tcW w:w="5549" w:type="dxa"/>
          </w:tcPr>
          <w:p>
            <w:pPr>
              <w:autoSpaceDE w:val="0"/>
              <w:autoSpaceDN w:val="0"/>
              <w:spacing w:line="520" w:lineRule="exact"/>
              <w:jc w:val="left"/>
              <w:rPr>
                <w:rFonts w:eastAsia="仿宋_GB2312"/>
                <w:kern w:val="0"/>
                <w:sz w:val="28"/>
                <w:szCs w:val="28"/>
              </w:rPr>
            </w:pPr>
            <w:r>
              <w:rPr>
                <w:rFonts w:hint="eastAsia" w:eastAsia="仿宋_GB2312"/>
                <w:kern w:val="0"/>
                <w:sz w:val="28"/>
                <w:szCs w:val="28"/>
              </w:rPr>
              <w:t>医用脚踏开关通用技术条件</w:t>
            </w:r>
          </w:p>
        </w:tc>
      </w:tr>
    </w:tbl>
    <w:p>
      <w:pPr>
        <w:spacing w:line="240" w:lineRule="exact"/>
        <w:rPr>
          <w:sz w:val="24"/>
        </w:rPr>
      </w:pPr>
      <w:r>
        <w:rPr>
          <w:sz w:val="24"/>
        </w:rPr>
        <w:t xml:space="preserve">    </w:t>
      </w:r>
    </w:p>
    <w:p>
      <w:pPr>
        <w:autoSpaceDE w:val="0"/>
        <w:autoSpaceDN w:val="0"/>
        <w:spacing w:line="560" w:lineRule="exact"/>
        <w:ind w:firstLine="640" w:firstLineChars="200"/>
        <w:rPr>
          <w:rFonts w:eastAsia="仿宋_GB2312"/>
          <w:kern w:val="0"/>
          <w:sz w:val="32"/>
          <w:szCs w:val="32"/>
        </w:rPr>
      </w:pPr>
      <w:r>
        <w:rPr>
          <w:rFonts w:eastAsia="仿宋_GB2312"/>
          <w:kern w:val="0"/>
          <w:sz w:val="32"/>
          <w:szCs w:val="32"/>
        </w:rPr>
        <w:t>上述标准包括了产品经常涉及的标准。有的企业还会根据产品的特点引用一些行业外的标准和一些较为特殊的标准。</w:t>
      </w:r>
    </w:p>
    <w:p>
      <w:pPr>
        <w:autoSpaceDE w:val="0"/>
        <w:autoSpaceDN w:val="0"/>
        <w:spacing w:line="560" w:lineRule="exact"/>
        <w:ind w:firstLine="640" w:firstLineChars="200"/>
        <w:rPr>
          <w:rFonts w:eastAsia="仿宋_GB2312"/>
          <w:kern w:val="0"/>
          <w:sz w:val="32"/>
          <w:szCs w:val="32"/>
        </w:rPr>
      </w:pPr>
      <w:r>
        <w:rPr>
          <w:rFonts w:eastAsia="仿宋_GB2312"/>
          <w:kern w:val="0"/>
          <w:sz w:val="32"/>
          <w:szCs w:val="32"/>
        </w:rPr>
        <w:t>产品适用及引用标准的审查可以分两步来进行。首先对引用标准的齐全性和适宜性进行审查，也就是在编写产品技术要求时与产品相关的国家标准、行业标准是否进行了引用，以及引用是否准确。其次对引用标准的采纳情况进行审查。即所引用的标准中的条款要求，是否在产品技术要求中进行了实质性的条款引用。这种引用通常采用两种方式，文字表述繁多、内容复杂的可以直接引用标准及条文号，比较简单的也可以直接引述具体要求。</w:t>
      </w:r>
    </w:p>
    <w:p>
      <w:pPr>
        <w:autoSpaceDE w:val="0"/>
        <w:autoSpaceDN w:val="0"/>
        <w:spacing w:line="560" w:lineRule="exact"/>
        <w:ind w:firstLine="640" w:firstLineChars="200"/>
        <w:rPr>
          <w:rFonts w:eastAsia="仿宋_GB2312"/>
          <w:kern w:val="0"/>
          <w:sz w:val="32"/>
          <w:szCs w:val="32"/>
        </w:rPr>
      </w:pPr>
      <w:r>
        <w:rPr>
          <w:rFonts w:eastAsia="仿宋_GB2312"/>
          <w:kern w:val="0"/>
          <w:sz w:val="32"/>
          <w:szCs w:val="32"/>
        </w:rPr>
        <w:t>如有新版强制性国家标准、行业标准发布实施，产品性能指标等要求应执行最新版本的国家标准、行业标准。</w:t>
      </w:r>
    </w:p>
    <w:p>
      <w:pPr>
        <w:spacing w:line="560" w:lineRule="exact"/>
        <w:ind w:right="-67" w:rightChars="-32" w:firstLine="640" w:firstLineChars="200"/>
        <w:outlineLvl w:val="1"/>
        <w:rPr>
          <w:rFonts w:eastAsia="楷体_GB2312"/>
          <w:sz w:val="32"/>
          <w:szCs w:val="32"/>
        </w:rPr>
      </w:pPr>
      <w:r>
        <w:rPr>
          <w:rFonts w:eastAsia="楷体_GB2312"/>
          <w:sz w:val="32"/>
          <w:szCs w:val="32"/>
        </w:rPr>
        <w:t>（六）产品的适用范围</w:t>
      </w:r>
      <w:r>
        <w:rPr>
          <w:rFonts w:ascii="Times New Roman" w:hAnsi="Times New Roman" w:eastAsia="楷体_GB2312"/>
          <w:sz w:val="32"/>
          <w:szCs w:val="32"/>
        </w:rPr>
        <w:t>/</w:t>
      </w:r>
      <w:r>
        <w:rPr>
          <w:rFonts w:eastAsia="楷体_GB2312"/>
          <w:sz w:val="32"/>
          <w:szCs w:val="32"/>
        </w:rPr>
        <w:t>预期用途</w:t>
      </w:r>
      <w:r>
        <w:rPr>
          <w:rFonts w:ascii="Times New Roman" w:hAnsi="Times New Roman" w:eastAsia="楷体_GB2312"/>
          <w:sz w:val="32"/>
          <w:szCs w:val="32"/>
        </w:rPr>
        <w:t>/</w:t>
      </w:r>
      <w:r>
        <w:rPr>
          <w:rFonts w:eastAsia="楷体_GB2312"/>
          <w:sz w:val="32"/>
          <w:szCs w:val="32"/>
        </w:rPr>
        <w:t>禁忌证</w:t>
      </w:r>
    </w:p>
    <w:p>
      <w:pPr>
        <w:spacing w:line="560" w:lineRule="exact"/>
        <w:ind w:firstLine="640" w:firstLineChars="200"/>
        <w:rPr>
          <w:rFonts w:eastAsia="仿宋_GB2312"/>
          <w:sz w:val="32"/>
          <w:szCs w:val="32"/>
        </w:rPr>
      </w:pPr>
      <w:r>
        <w:rPr>
          <w:rFonts w:ascii="Times New Roman" w:hAnsi="Times New Roman" w:eastAsia="仿宋_GB2312"/>
          <w:sz w:val="32"/>
          <w:szCs w:val="32"/>
        </w:rPr>
        <w:t>1</w:t>
      </w:r>
      <w:r>
        <w:rPr>
          <w:rFonts w:hint="eastAsia" w:ascii="Times New Roman" w:hAnsi="Times New Roman" w:eastAsia="仿宋_GB2312"/>
          <w:sz w:val="32"/>
          <w:szCs w:val="32"/>
        </w:rPr>
        <w:t>.</w:t>
      </w:r>
      <w:r>
        <w:rPr>
          <w:rFonts w:hint="eastAsia" w:eastAsia="仿宋_GB2312"/>
          <w:sz w:val="32"/>
          <w:szCs w:val="32"/>
        </w:rPr>
        <w:t>适用范围</w:t>
      </w:r>
    </w:p>
    <w:p>
      <w:pPr>
        <w:spacing w:line="560" w:lineRule="exact"/>
        <w:ind w:firstLine="640" w:firstLineChars="200"/>
        <w:rPr>
          <w:rFonts w:eastAsia="仿宋_GB2312"/>
          <w:sz w:val="32"/>
          <w:szCs w:val="32"/>
        </w:rPr>
      </w:pPr>
      <w:r>
        <w:rPr>
          <w:rFonts w:hint="eastAsia" w:eastAsia="仿宋_GB2312"/>
          <w:sz w:val="32"/>
          <w:szCs w:val="32"/>
        </w:rPr>
        <w:t>产品具体适用范围应与申报产品性能、配置等一致，应有相应的临床评价资料支持。适用范围应体现适应证：</w:t>
      </w:r>
    </w:p>
    <w:p>
      <w:pPr>
        <w:spacing w:line="560" w:lineRule="exact"/>
        <w:ind w:firstLine="640" w:firstLineChars="200"/>
        <w:rPr>
          <w:rFonts w:eastAsia="仿宋_GB2312"/>
          <w:sz w:val="32"/>
          <w:szCs w:val="32"/>
        </w:rPr>
      </w:pPr>
      <w:r>
        <w:rPr>
          <w:rFonts w:hint="eastAsia" w:eastAsia="仿宋_GB2312"/>
          <w:sz w:val="32"/>
          <w:szCs w:val="32"/>
        </w:rPr>
        <w:t>例如：</w:t>
      </w:r>
    </w:p>
    <w:p>
      <w:pPr>
        <w:spacing w:line="560" w:lineRule="exact"/>
        <w:ind w:firstLine="640" w:firstLineChars="200"/>
        <w:rPr>
          <w:rFonts w:eastAsia="仿宋_GB2312"/>
          <w:sz w:val="32"/>
          <w:szCs w:val="32"/>
        </w:rPr>
      </w:pPr>
      <w:r>
        <w:rPr>
          <w:rFonts w:hint="eastAsia" w:eastAsia="仿宋_GB2312"/>
          <w:sz w:val="32"/>
          <w:szCs w:val="32"/>
        </w:rPr>
        <w:t>该产品适用于对肩周炎、网球肘的辅助治疗。</w:t>
      </w:r>
    </w:p>
    <w:p>
      <w:pPr>
        <w:spacing w:line="560" w:lineRule="exact"/>
        <w:ind w:firstLine="640" w:firstLineChars="200"/>
        <w:rPr>
          <w:rFonts w:eastAsia="仿宋_GB2312"/>
          <w:sz w:val="32"/>
          <w:szCs w:val="32"/>
        </w:rPr>
      </w:pPr>
      <w:r>
        <w:rPr>
          <w:rFonts w:hint="eastAsia" w:eastAsia="仿宋_GB2312"/>
          <w:sz w:val="32"/>
          <w:szCs w:val="32"/>
        </w:rPr>
        <w:t>本产品供医疗机构中具备相关专业知识的操作者使用。</w:t>
      </w:r>
    </w:p>
    <w:p>
      <w:pPr>
        <w:spacing w:line="560" w:lineRule="exact"/>
        <w:ind w:firstLine="640" w:firstLineChars="200"/>
        <w:rPr>
          <w:rFonts w:eastAsia="仿宋_GB2312"/>
          <w:sz w:val="32"/>
          <w:szCs w:val="32"/>
        </w:rPr>
      </w:pPr>
      <w:r>
        <w:rPr>
          <w:rFonts w:ascii="Times New Roman" w:hAnsi="Times New Roman" w:eastAsia="仿宋_GB2312"/>
          <w:sz w:val="32"/>
          <w:szCs w:val="32"/>
        </w:rPr>
        <w:t>2.</w:t>
      </w:r>
      <w:r>
        <w:rPr>
          <w:rFonts w:hint="eastAsia" w:eastAsia="仿宋_GB2312"/>
          <w:sz w:val="32"/>
          <w:szCs w:val="32"/>
        </w:rPr>
        <w:t>禁忌证</w:t>
      </w:r>
    </w:p>
    <w:p>
      <w:pPr>
        <w:spacing w:line="560" w:lineRule="exact"/>
        <w:ind w:firstLine="640" w:firstLineChars="200"/>
        <w:rPr>
          <w:rFonts w:eastAsia="仿宋_GB2312"/>
          <w:sz w:val="32"/>
          <w:szCs w:val="32"/>
        </w:rPr>
      </w:pPr>
      <w:r>
        <w:rPr>
          <w:rFonts w:hint="eastAsia" w:eastAsia="仿宋_GB2312"/>
          <w:sz w:val="32"/>
          <w:szCs w:val="32"/>
        </w:rPr>
        <w:t>应说明产品禁忌证：如出血性疾病、凝血功能障碍患者、血栓局部及临近区域、儿童骨骺端、严重认知障碍及精神疾病患者、起搏器局部、肿瘤局部、孕妇下腹部、肌腱筋膜断裂及严重损伤患者、脑、脊髓、大血管及重要神经干走行区域等以及医生认为不适宜的情况。</w:t>
      </w:r>
    </w:p>
    <w:p>
      <w:pPr>
        <w:spacing w:line="560" w:lineRule="exact"/>
        <w:ind w:right="-67" w:rightChars="-32" w:firstLine="640" w:firstLineChars="200"/>
        <w:outlineLvl w:val="1"/>
        <w:rPr>
          <w:rFonts w:eastAsia="楷体_GB2312"/>
          <w:sz w:val="32"/>
          <w:szCs w:val="32"/>
        </w:rPr>
      </w:pPr>
      <w:r>
        <w:rPr>
          <w:rFonts w:eastAsia="楷体_GB2312"/>
          <w:sz w:val="32"/>
          <w:szCs w:val="32"/>
        </w:rPr>
        <w:t>（</w:t>
      </w:r>
      <w:r>
        <w:rPr>
          <w:rFonts w:hint="eastAsia" w:eastAsia="楷体_GB2312"/>
          <w:sz w:val="32"/>
          <w:szCs w:val="32"/>
        </w:rPr>
        <w:t>七</w:t>
      </w:r>
      <w:r>
        <w:rPr>
          <w:rFonts w:eastAsia="楷体_GB2312"/>
          <w:sz w:val="32"/>
          <w:szCs w:val="32"/>
        </w:rPr>
        <w:t>）产品的主要风险</w:t>
      </w:r>
    </w:p>
    <w:p>
      <w:pPr>
        <w:spacing w:line="560" w:lineRule="exact"/>
        <w:ind w:firstLine="640" w:firstLineChars="200"/>
        <w:rPr>
          <w:rFonts w:eastAsia="仿宋_GB2312"/>
          <w:sz w:val="32"/>
          <w:szCs w:val="32"/>
        </w:rPr>
      </w:pPr>
      <w:r>
        <w:rPr>
          <w:rFonts w:ascii="Times New Roman" w:hAnsi="Times New Roman" w:eastAsia="仿宋_GB2312"/>
          <w:sz w:val="32"/>
          <w:szCs w:val="32"/>
        </w:rPr>
        <w:t>1.</w:t>
      </w:r>
      <w:r>
        <w:rPr>
          <w:rFonts w:eastAsia="仿宋_GB2312"/>
          <w:sz w:val="32"/>
          <w:szCs w:val="32"/>
        </w:rPr>
        <w:t>冲击波治疗仪的风险分析资料应符合</w:t>
      </w:r>
      <w:r>
        <w:rPr>
          <w:rFonts w:ascii="Times New Roman" w:hAnsi="Times New Roman" w:eastAsia="仿宋_GB2312"/>
          <w:sz w:val="32"/>
          <w:szCs w:val="32"/>
        </w:rPr>
        <w:t>YY/T 0316</w:t>
      </w:r>
      <w:r>
        <w:rPr>
          <w:rFonts w:hint="eastAsia" w:ascii="仿宋_GB2312" w:hAnsi="仿宋_GB2312" w:eastAsia="仿宋_GB2312" w:cs="仿宋_GB2312"/>
          <w:sz w:val="32"/>
          <w:szCs w:val="32"/>
        </w:rPr>
        <w:t>—</w:t>
      </w:r>
      <w:r>
        <w:rPr>
          <w:rFonts w:ascii="Times New Roman" w:hAnsi="Times New Roman" w:eastAsia="仿宋_GB2312"/>
          <w:sz w:val="32"/>
          <w:szCs w:val="32"/>
        </w:rPr>
        <w:t>2016</w:t>
      </w:r>
      <w:r>
        <w:rPr>
          <w:rFonts w:eastAsia="仿宋_GB2312"/>
          <w:sz w:val="32"/>
          <w:szCs w:val="32"/>
        </w:rPr>
        <w:t>《医疗器械 风险管理对医疗器械的应用》的有关要求，审查要点包括：</w:t>
      </w:r>
    </w:p>
    <w:p>
      <w:pPr>
        <w:spacing w:line="560" w:lineRule="exact"/>
        <w:ind w:firstLine="640" w:firstLineChars="200"/>
        <w:rPr>
          <w:rFonts w:eastAsia="仿宋_GB2312"/>
          <w:sz w:val="32"/>
          <w:szCs w:val="32"/>
        </w:rPr>
      </w:pPr>
      <w:r>
        <w:rPr>
          <w:rFonts w:eastAsia="仿宋_GB2312"/>
          <w:sz w:val="32"/>
          <w:szCs w:val="32"/>
        </w:rPr>
        <w:t>（</w:t>
      </w:r>
      <w:r>
        <w:rPr>
          <w:rFonts w:ascii="Times New Roman" w:hAnsi="Times New Roman" w:eastAsia="仿宋_GB2312"/>
          <w:sz w:val="32"/>
          <w:szCs w:val="32"/>
        </w:rPr>
        <w:t>1</w:t>
      </w:r>
      <w:r>
        <w:rPr>
          <w:rFonts w:eastAsia="仿宋_GB2312"/>
          <w:sz w:val="32"/>
          <w:szCs w:val="32"/>
        </w:rPr>
        <w:t>）识别医疗器械与安全有关特性的问题，可参考</w:t>
      </w:r>
      <w:r>
        <w:rPr>
          <w:rFonts w:ascii="Times New Roman" w:hAnsi="Times New Roman" w:eastAsia="仿宋_GB2312"/>
          <w:sz w:val="32"/>
          <w:szCs w:val="32"/>
        </w:rPr>
        <w:t>YY/T 0316</w:t>
      </w:r>
      <w:r>
        <w:rPr>
          <w:rFonts w:hint="eastAsia" w:ascii="仿宋_GB2312" w:hAnsi="仿宋_GB2312" w:eastAsia="仿宋_GB2312" w:cs="仿宋_GB2312"/>
          <w:sz w:val="32"/>
          <w:szCs w:val="32"/>
        </w:rPr>
        <w:t>—</w:t>
      </w:r>
      <w:r>
        <w:rPr>
          <w:rFonts w:ascii="Times New Roman" w:hAnsi="Times New Roman" w:eastAsia="仿宋_GB2312"/>
          <w:sz w:val="32"/>
          <w:szCs w:val="32"/>
        </w:rPr>
        <w:t>2016</w:t>
      </w:r>
      <w:r>
        <w:rPr>
          <w:rFonts w:eastAsia="仿宋_GB2312"/>
          <w:sz w:val="32"/>
          <w:szCs w:val="32"/>
        </w:rPr>
        <w:t>的附录</w:t>
      </w:r>
      <w:r>
        <w:rPr>
          <w:rFonts w:ascii="Times New Roman" w:hAnsi="Times New Roman" w:eastAsia="仿宋_GB2312"/>
          <w:sz w:val="32"/>
          <w:szCs w:val="32"/>
        </w:rPr>
        <w:t>C</w:t>
      </w:r>
      <w:r>
        <w:rPr>
          <w:rFonts w:eastAsia="仿宋_GB2312"/>
          <w:sz w:val="32"/>
          <w:szCs w:val="32"/>
        </w:rPr>
        <w:t>。</w:t>
      </w:r>
    </w:p>
    <w:p>
      <w:pPr>
        <w:spacing w:line="560" w:lineRule="exact"/>
        <w:ind w:firstLine="640" w:firstLineChars="200"/>
        <w:rPr>
          <w:rFonts w:eastAsia="仿宋_GB2312"/>
          <w:sz w:val="32"/>
          <w:szCs w:val="32"/>
        </w:rPr>
      </w:pPr>
      <w:r>
        <w:rPr>
          <w:rFonts w:eastAsia="仿宋_GB2312"/>
          <w:sz w:val="32"/>
          <w:szCs w:val="32"/>
        </w:rPr>
        <w:t>（</w:t>
      </w:r>
      <w:r>
        <w:rPr>
          <w:rFonts w:ascii="Times New Roman" w:hAnsi="Times New Roman" w:eastAsia="仿宋_GB2312"/>
          <w:sz w:val="32"/>
          <w:szCs w:val="32"/>
        </w:rPr>
        <w:t>2</w:t>
      </w:r>
      <w:r>
        <w:rPr>
          <w:rFonts w:eastAsia="仿宋_GB2312"/>
          <w:sz w:val="32"/>
          <w:szCs w:val="32"/>
        </w:rPr>
        <w:t>）危险（源）、可预见的事件序列和危险情况，可参考</w:t>
      </w:r>
      <w:r>
        <w:rPr>
          <w:rFonts w:ascii="Times New Roman" w:hAnsi="Times New Roman" w:eastAsia="仿宋_GB2312"/>
          <w:sz w:val="32"/>
          <w:szCs w:val="32"/>
        </w:rPr>
        <w:t>YY/T</w:t>
      </w:r>
      <w:r>
        <w:rPr>
          <w:rFonts w:ascii="Times New Roman" w:hAnsi="Times New Roman"/>
        </w:rPr>
        <w:t xml:space="preserve"> </w:t>
      </w:r>
      <w:r>
        <w:rPr>
          <w:rFonts w:ascii="Times New Roman" w:hAnsi="Times New Roman" w:eastAsia="仿宋_GB2312"/>
          <w:sz w:val="32"/>
          <w:szCs w:val="32"/>
        </w:rPr>
        <w:t>0316</w:t>
      </w:r>
      <w:r>
        <w:rPr>
          <w:rFonts w:hint="eastAsia" w:ascii="仿宋_GB2312" w:hAnsi="仿宋_GB2312" w:eastAsia="仿宋_GB2312" w:cs="仿宋_GB2312"/>
          <w:sz w:val="32"/>
          <w:szCs w:val="32"/>
        </w:rPr>
        <w:t>—</w:t>
      </w:r>
      <w:r>
        <w:rPr>
          <w:rFonts w:ascii="Times New Roman" w:hAnsi="Times New Roman" w:eastAsia="仿宋_GB2312"/>
          <w:sz w:val="32"/>
          <w:szCs w:val="32"/>
        </w:rPr>
        <w:t>2016</w:t>
      </w:r>
      <w:r>
        <w:rPr>
          <w:rFonts w:eastAsia="仿宋_GB2312"/>
          <w:sz w:val="32"/>
          <w:szCs w:val="32"/>
        </w:rPr>
        <w:t>的附录</w:t>
      </w:r>
      <w:r>
        <w:rPr>
          <w:rFonts w:ascii="Times New Roman" w:hAnsi="Times New Roman" w:eastAsia="仿宋_GB2312"/>
          <w:sz w:val="32"/>
          <w:szCs w:val="32"/>
        </w:rPr>
        <w:t>E、I</w:t>
      </w:r>
      <w:r>
        <w:rPr>
          <w:rFonts w:eastAsia="仿宋_GB2312"/>
          <w:sz w:val="32"/>
          <w:szCs w:val="32"/>
        </w:rPr>
        <w:t>。</w:t>
      </w:r>
    </w:p>
    <w:p>
      <w:pPr>
        <w:spacing w:line="560" w:lineRule="exact"/>
        <w:ind w:firstLine="640" w:firstLineChars="200"/>
        <w:rPr>
          <w:rFonts w:eastAsia="仿宋_GB2312"/>
          <w:sz w:val="32"/>
          <w:szCs w:val="32"/>
        </w:rPr>
      </w:pPr>
      <w:r>
        <w:rPr>
          <w:rFonts w:eastAsia="仿宋_GB2312"/>
          <w:sz w:val="32"/>
          <w:szCs w:val="32"/>
        </w:rPr>
        <w:t>（</w:t>
      </w:r>
      <w:r>
        <w:rPr>
          <w:rFonts w:ascii="Times New Roman" w:hAnsi="Times New Roman" w:eastAsia="仿宋_GB2312"/>
          <w:sz w:val="32"/>
          <w:szCs w:val="32"/>
        </w:rPr>
        <w:t>3</w:t>
      </w:r>
      <w:r>
        <w:rPr>
          <w:rFonts w:eastAsia="仿宋_GB2312"/>
          <w:sz w:val="32"/>
          <w:szCs w:val="32"/>
        </w:rPr>
        <w:t>）风险可接受准则，降低风险的措施及采取措施后风险的可接收程度，是否有新的风险产生。</w:t>
      </w:r>
    </w:p>
    <w:p>
      <w:pPr>
        <w:spacing w:line="560" w:lineRule="exact"/>
        <w:ind w:firstLine="640" w:firstLineChars="200"/>
        <w:rPr>
          <w:rFonts w:eastAsia="仿宋_GB2312"/>
          <w:sz w:val="32"/>
          <w:szCs w:val="32"/>
        </w:rPr>
      </w:pPr>
      <w:r>
        <w:rPr>
          <w:rFonts w:eastAsia="仿宋_GB2312"/>
          <w:sz w:val="32"/>
          <w:szCs w:val="32"/>
        </w:rPr>
        <w:t>（</w:t>
      </w:r>
      <w:r>
        <w:rPr>
          <w:rFonts w:ascii="Times New Roman" w:hAnsi="Times New Roman" w:eastAsia="仿宋_GB2312"/>
          <w:sz w:val="32"/>
          <w:szCs w:val="32"/>
        </w:rPr>
        <w:t>4</w:t>
      </w:r>
      <w:r>
        <w:rPr>
          <w:rFonts w:eastAsia="仿宋_GB2312"/>
          <w:sz w:val="32"/>
          <w:szCs w:val="32"/>
        </w:rPr>
        <w:t>）风险控制的方案与实施、综合剩余风险的可接受评价，可参考</w:t>
      </w:r>
      <w:r>
        <w:rPr>
          <w:rFonts w:ascii="Times New Roman" w:hAnsi="Times New Roman" w:eastAsia="仿宋_GB2312"/>
          <w:sz w:val="32"/>
          <w:szCs w:val="32"/>
        </w:rPr>
        <w:t>YY/T 0316—2016</w:t>
      </w:r>
      <w:r>
        <w:rPr>
          <w:rFonts w:eastAsia="仿宋_GB2312"/>
          <w:sz w:val="32"/>
          <w:szCs w:val="32"/>
        </w:rPr>
        <w:t>的附录</w:t>
      </w:r>
      <w:r>
        <w:rPr>
          <w:rFonts w:ascii="Times New Roman" w:hAnsi="Times New Roman" w:eastAsia="仿宋_GB2312"/>
          <w:sz w:val="32"/>
          <w:szCs w:val="32"/>
        </w:rPr>
        <w:t>F、G、J</w:t>
      </w:r>
      <w:r>
        <w:rPr>
          <w:rFonts w:eastAsia="仿宋_GB2312"/>
          <w:sz w:val="32"/>
          <w:szCs w:val="32"/>
        </w:rPr>
        <w:t>。</w:t>
      </w:r>
    </w:p>
    <w:p>
      <w:pPr>
        <w:spacing w:line="560" w:lineRule="exact"/>
        <w:ind w:firstLine="640" w:firstLineChars="200"/>
        <w:rPr>
          <w:rFonts w:eastAsia="仿宋_GB2312"/>
          <w:sz w:val="32"/>
          <w:szCs w:val="32"/>
        </w:rPr>
      </w:pPr>
      <w:r>
        <w:rPr>
          <w:rFonts w:ascii="Times New Roman" w:hAnsi="Times New Roman" w:eastAsia="仿宋_GB2312"/>
          <w:sz w:val="32"/>
          <w:szCs w:val="32"/>
        </w:rPr>
        <w:t>2.</w:t>
      </w:r>
      <w:r>
        <w:rPr>
          <w:rFonts w:eastAsia="仿宋_GB2312"/>
          <w:sz w:val="32"/>
          <w:szCs w:val="32"/>
        </w:rPr>
        <w:t>根据</w:t>
      </w:r>
      <w:r>
        <w:rPr>
          <w:rFonts w:ascii="Times New Roman" w:hAnsi="Times New Roman" w:eastAsia="仿宋_GB2312"/>
          <w:sz w:val="32"/>
          <w:szCs w:val="32"/>
        </w:rPr>
        <w:t>YY/T 0316—2016</w:t>
      </w:r>
      <w:r>
        <w:rPr>
          <w:rFonts w:eastAsia="仿宋_GB2312"/>
          <w:sz w:val="32"/>
          <w:szCs w:val="32"/>
        </w:rPr>
        <w:t>的附录</w:t>
      </w:r>
      <w:r>
        <w:rPr>
          <w:rFonts w:ascii="Times New Roman" w:hAnsi="Times New Roman" w:eastAsia="仿宋_GB2312"/>
          <w:sz w:val="32"/>
          <w:szCs w:val="32"/>
        </w:rPr>
        <w:t>E</w:t>
      </w:r>
      <w:r>
        <w:rPr>
          <w:rFonts w:eastAsia="仿宋_GB2312"/>
          <w:sz w:val="32"/>
          <w:szCs w:val="32"/>
        </w:rPr>
        <w:t>，列举了冲击波治疗仪产品可能涉及的危险（源）（见表</w:t>
      </w:r>
      <w:r>
        <w:rPr>
          <w:rFonts w:ascii="Times New Roman" w:hAnsi="Times New Roman" w:eastAsia="仿宋_GB2312"/>
          <w:sz w:val="32"/>
          <w:szCs w:val="32"/>
        </w:rPr>
        <w:t>2</w:t>
      </w:r>
      <w:r>
        <w:rPr>
          <w:rFonts w:eastAsia="仿宋_GB2312"/>
          <w:sz w:val="32"/>
          <w:szCs w:val="32"/>
        </w:rPr>
        <w:t>），企业还应根据自身产品特点确定其他危险（源）。针对产品的各项风险，企业应采取应对措施，确保风险降到可接受的程度。</w:t>
      </w:r>
    </w:p>
    <w:p>
      <w:pPr>
        <w:spacing w:line="560" w:lineRule="exact"/>
        <w:jc w:val="center"/>
        <w:rPr>
          <w:rFonts w:ascii="黑体" w:hAnsi="黑体" w:eastAsia="黑体"/>
          <w:sz w:val="28"/>
          <w:szCs w:val="32"/>
        </w:rPr>
      </w:pPr>
      <w:r>
        <w:rPr>
          <w:rFonts w:ascii="黑体" w:hAnsi="黑体" w:eastAsia="黑体"/>
          <w:sz w:val="28"/>
          <w:szCs w:val="32"/>
        </w:rPr>
        <w:t>表</w:t>
      </w:r>
      <w:r>
        <w:rPr>
          <w:rFonts w:hint="eastAsia" w:ascii="黑体" w:hAnsi="黑体" w:eastAsia="黑体"/>
          <w:sz w:val="28"/>
          <w:szCs w:val="32"/>
        </w:rPr>
        <w:t xml:space="preserve">2  </w:t>
      </w:r>
      <w:r>
        <w:rPr>
          <w:rFonts w:ascii="黑体" w:hAnsi="黑体" w:eastAsia="黑体"/>
          <w:sz w:val="28"/>
          <w:szCs w:val="32"/>
        </w:rPr>
        <w:t>产品主要危险（源）、可预见的事件序列和</w:t>
      </w:r>
    </w:p>
    <w:p>
      <w:pPr>
        <w:spacing w:line="560" w:lineRule="exact"/>
        <w:jc w:val="center"/>
        <w:rPr>
          <w:rFonts w:ascii="黑体" w:hAnsi="黑体" w:eastAsia="黑体"/>
          <w:sz w:val="28"/>
          <w:szCs w:val="32"/>
        </w:rPr>
      </w:pPr>
      <w:r>
        <w:rPr>
          <w:rFonts w:ascii="黑体" w:hAnsi="黑体" w:eastAsia="黑体"/>
          <w:sz w:val="28"/>
          <w:szCs w:val="32"/>
        </w:rPr>
        <w:t>可能发生的伤害之间的关系</w:t>
      </w:r>
    </w:p>
    <w:tbl>
      <w:tblPr>
        <w:tblStyle w:val="9"/>
        <w:tblW w:w="899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70"/>
        <w:gridCol w:w="5103"/>
        <w:gridCol w:w="2325"/>
        <w:tblGridChange w:id="0">
          <w:tblGrid>
            <w:gridCol w:w="1570"/>
            <w:gridCol w:w="5103"/>
            <w:gridCol w:w="2325"/>
          </w:tblGrid>
        </w:tblGridChange>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80" w:hRule="atLeast"/>
          <w:tblHeader/>
          <w:jc w:val="center"/>
        </w:trPr>
        <w:tc>
          <w:tcPr>
            <w:tcW w:w="1570"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ascii="黑体" w:hAnsi="黑体" w:eastAsia="黑体"/>
                <w:sz w:val="28"/>
                <w:szCs w:val="28"/>
              </w:rPr>
            </w:pPr>
            <w:r>
              <w:rPr>
                <w:rFonts w:ascii="黑体" w:hAnsi="黑体" w:eastAsia="黑体"/>
                <w:sz w:val="28"/>
                <w:szCs w:val="28"/>
              </w:rPr>
              <w:t>危险（源）</w:t>
            </w:r>
          </w:p>
        </w:tc>
        <w:tc>
          <w:tcPr>
            <w:tcW w:w="5103"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ascii="黑体" w:hAnsi="黑体" w:eastAsia="黑体"/>
                <w:sz w:val="28"/>
                <w:szCs w:val="28"/>
              </w:rPr>
            </w:pPr>
            <w:r>
              <w:rPr>
                <w:rFonts w:ascii="黑体" w:hAnsi="黑体" w:eastAsia="黑体"/>
                <w:sz w:val="28"/>
                <w:szCs w:val="28"/>
              </w:rPr>
              <w:t>可预见的事件序列</w:t>
            </w:r>
          </w:p>
        </w:tc>
        <w:tc>
          <w:tcPr>
            <w:tcW w:w="2325" w:type="dxa"/>
            <w:tcBorders>
              <w:top w:val="single" w:color="auto" w:sz="4" w:space="0"/>
              <w:left w:val="single" w:color="auto" w:sz="4" w:space="0"/>
              <w:bottom w:val="single" w:color="auto" w:sz="4" w:space="0"/>
              <w:right w:val="single" w:color="auto" w:sz="4" w:space="0"/>
            </w:tcBorders>
          </w:tcPr>
          <w:p>
            <w:pPr>
              <w:spacing w:line="520" w:lineRule="exact"/>
              <w:jc w:val="center"/>
              <w:rPr>
                <w:rFonts w:ascii="黑体" w:hAnsi="黑体" w:eastAsia="黑体"/>
                <w:sz w:val="28"/>
                <w:szCs w:val="28"/>
              </w:rPr>
            </w:pPr>
            <w:r>
              <w:rPr>
                <w:rFonts w:ascii="黑体" w:hAnsi="黑体" w:eastAsia="黑体"/>
                <w:sz w:val="28"/>
                <w:szCs w:val="28"/>
              </w:rPr>
              <w:t>伤害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710" w:hRule="atLeast"/>
          <w:jc w:val="center"/>
        </w:trPr>
        <w:tc>
          <w:tcPr>
            <w:tcW w:w="1570"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sz w:val="28"/>
                <w:szCs w:val="28"/>
              </w:rPr>
              <w:t>电能</w:t>
            </w:r>
          </w:p>
        </w:tc>
        <w:tc>
          <w:tcPr>
            <w:tcW w:w="5103"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保护接地阻抗、可触及部分的接触电压、电介质强度不符合要求；</w:t>
            </w:r>
          </w:p>
          <w:p>
            <w:pPr>
              <w:spacing w:line="520" w:lineRule="exact"/>
              <w:rPr>
                <w:rFonts w:eastAsia="仿宋_GB2312"/>
                <w:sz w:val="28"/>
                <w:szCs w:val="28"/>
              </w:rPr>
            </w:pPr>
            <w:r>
              <w:rPr>
                <w:rFonts w:eastAsia="仿宋_GB2312"/>
                <w:sz w:val="28"/>
                <w:szCs w:val="28"/>
              </w:rPr>
              <w:t>机器外壳的防护罩封闭不良；不适当的供电电压；电磁兼容性能不符合要求。</w:t>
            </w:r>
          </w:p>
        </w:tc>
        <w:tc>
          <w:tcPr>
            <w:tcW w:w="2325"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严重时导致操作人员触电死亡；</w:t>
            </w:r>
          </w:p>
          <w:p>
            <w:pPr>
              <w:spacing w:line="520" w:lineRule="exact"/>
              <w:rPr>
                <w:rFonts w:eastAsia="仿宋_GB2312"/>
                <w:sz w:val="28"/>
                <w:szCs w:val="28"/>
              </w:rPr>
            </w:pPr>
            <w:r>
              <w:rPr>
                <w:rFonts w:eastAsia="仿宋_GB2312"/>
                <w:sz w:val="28"/>
                <w:szCs w:val="28"/>
              </w:rPr>
              <w:t>影响其他设备的正常运转，导致人体伤害。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8" w:hRule="atLeast"/>
          <w:jc w:val="center"/>
        </w:trPr>
        <w:tc>
          <w:tcPr>
            <w:tcW w:w="1570"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sz w:val="28"/>
                <w:szCs w:val="28"/>
              </w:rPr>
              <w:t>机械</w:t>
            </w:r>
          </w:p>
        </w:tc>
        <w:tc>
          <w:tcPr>
            <w:tcW w:w="5103"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设备外壳粗糙、有毛刺；设备没有足够的外壳机械强度和刚度；机械稳定性不够。</w:t>
            </w:r>
          </w:p>
        </w:tc>
        <w:tc>
          <w:tcPr>
            <w:tcW w:w="2325"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导致操作人员碰伤、挤伤、划伤等伤害。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39" w:hRule="atLeast"/>
          <w:jc w:val="center"/>
        </w:trPr>
        <w:tc>
          <w:tcPr>
            <w:tcW w:w="1570"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sz w:val="28"/>
                <w:szCs w:val="28"/>
              </w:rPr>
              <w:t>噪声</w:t>
            </w:r>
          </w:p>
        </w:tc>
        <w:tc>
          <w:tcPr>
            <w:tcW w:w="5103"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系统管路互碰或运动部件损坏；压缩机噪声。</w:t>
            </w:r>
          </w:p>
        </w:tc>
        <w:tc>
          <w:tcPr>
            <w:tcW w:w="2325"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噪声污染。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87" w:hRule="atLeast"/>
          <w:jc w:val="center"/>
        </w:trPr>
        <w:tc>
          <w:tcPr>
            <w:tcW w:w="1570" w:type="dxa"/>
            <w:tcBorders>
              <w:top w:val="single" w:color="auto" w:sz="4" w:space="0"/>
              <w:left w:val="single" w:color="auto" w:sz="4" w:space="0"/>
              <w:bottom w:val="single" w:color="auto" w:sz="4" w:space="0"/>
              <w:right w:val="single" w:color="auto" w:sz="4" w:space="0"/>
            </w:tcBorders>
            <w:vAlign w:val="center"/>
          </w:tcPr>
          <w:p>
            <w:pPr>
              <w:spacing w:line="520" w:lineRule="exact"/>
              <w:jc w:val="center"/>
              <w:rPr>
                <w:rFonts w:eastAsia="仿宋_GB2312"/>
                <w:sz w:val="28"/>
                <w:szCs w:val="28"/>
              </w:rPr>
            </w:pPr>
            <w:r>
              <w:rPr>
                <w:rFonts w:hint="eastAsia" w:eastAsia="仿宋_GB2312"/>
                <w:sz w:val="28"/>
                <w:szCs w:val="28"/>
              </w:rPr>
              <w:t>生物学和化学危险（源）</w:t>
            </w:r>
          </w:p>
        </w:tc>
        <w:tc>
          <w:tcPr>
            <w:tcW w:w="5103"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hint="eastAsia" w:eastAsia="仿宋_GB2312"/>
                <w:sz w:val="28"/>
                <w:szCs w:val="28"/>
              </w:rPr>
              <w:t>组成产品的各原材料生物相容性较差，有毒性；产品消毒不当，或未进行清洁消毒处理。</w:t>
            </w:r>
          </w:p>
        </w:tc>
        <w:tc>
          <w:tcPr>
            <w:tcW w:w="2325" w:type="dxa"/>
            <w:tcBorders>
              <w:top w:val="single" w:color="auto" w:sz="4" w:space="0"/>
              <w:left w:val="single" w:color="auto" w:sz="4" w:space="0"/>
              <w:bottom w:val="single" w:color="auto" w:sz="4" w:space="0"/>
              <w:right w:val="single" w:color="auto" w:sz="4" w:space="0"/>
            </w:tcBorders>
            <w:vAlign w:val="center"/>
          </w:tcPr>
          <w:p>
            <w:pPr>
              <w:spacing w:line="520" w:lineRule="exact"/>
              <w:rPr>
                <w:rFonts w:eastAsia="仿宋_GB2312"/>
                <w:sz w:val="28"/>
                <w:szCs w:val="28"/>
              </w:rPr>
            </w:pPr>
            <w:r>
              <w:rPr>
                <w:rFonts w:hint="eastAsia" w:eastAsia="仿宋_GB2312"/>
                <w:sz w:val="28"/>
                <w:szCs w:val="28"/>
              </w:rPr>
              <w:t>使用者皮肤受到刺激；人员感染。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43" w:hRule="atLeast"/>
          <w:jc w:val="center"/>
        </w:trPr>
        <w:tc>
          <w:tcPr>
            <w:tcW w:w="1570" w:type="dxa"/>
            <w:tcBorders>
              <w:top w:val="single" w:color="auto" w:sz="4" w:space="0"/>
              <w:left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sz w:val="28"/>
                <w:szCs w:val="28"/>
              </w:rPr>
              <w:t>人为因素</w:t>
            </w:r>
          </w:p>
        </w:tc>
        <w:tc>
          <w:tcPr>
            <w:tcW w:w="5103"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操作人员使用不当；</w:t>
            </w:r>
            <w:r>
              <w:rPr>
                <w:rFonts w:hint="eastAsia" w:eastAsia="仿宋_GB2312"/>
                <w:sz w:val="28"/>
                <w:szCs w:val="28"/>
              </w:rPr>
              <w:t>治疗模式设定不恰当；</w:t>
            </w:r>
            <w:r>
              <w:rPr>
                <w:rFonts w:eastAsia="仿宋_GB2312"/>
                <w:sz w:val="28"/>
                <w:szCs w:val="28"/>
              </w:rPr>
              <w:t>软件被误操作</w:t>
            </w:r>
            <w:r>
              <w:rPr>
                <w:rFonts w:hint="eastAsia" w:eastAsia="仿宋_GB2312"/>
                <w:sz w:val="28"/>
                <w:szCs w:val="28"/>
              </w:rPr>
              <w:t>。</w:t>
            </w:r>
          </w:p>
        </w:tc>
        <w:tc>
          <w:tcPr>
            <w:tcW w:w="2325"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hint="eastAsia" w:eastAsia="仿宋_GB2312"/>
                <w:sz w:val="28"/>
                <w:szCs w:val="28"/>
              </w:rPr>
              <w:t>延误治疗。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283" w:hRule="atLeast"/>
          <w:jc w:val="center"/>
        </w:trPr>
        <w:tc>
          <w:tcPr>
            <w:tcW w:w="1570" w:type="dxa"/>
            <w:tcBorders>
              <w:top w:val="single" w:color="auto" w:sz="4" w:space="0"/>
              <w:left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sz w:val="28"/>
                <w:szCs w:val="28"/>
              </w:rPr>
              <w:t>随机信息</w:t>
            </w:r>
          </w:p>
        </w:tc>
        <w:tc>
          <w:tcPr>
            <w:tcW w:w="5103"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eastAsia="仿宋_GB2312"/>
                <w:sz w:val="28"/>
                <w:szCs w:val="28"/>
              </w:rPr>
              <w:t>外部和内部标记不全面、标记不正确或不能够清楚易认，标记位置不恰当，以及标记不能够永久贴牢；说明书缺少必要的警告说明和详细的使用方法；缺少详细的日常使用维护规范；说明书中有关维护、保养等内容不明确。如：预防性检查、保养以及保养周期等；对设备的使用寿命或终止使用的条件没有明确规定。</w:t>
            </w:r>
          </w:p>
        </w:tc>
        <w:tc>
          <w:tcPr>
            <w:tcW w:w="2325"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hint="eastAsia" w:eastAsia="仿宋_GB2312"/>
                <w:sz w:val="28"/>
                <w:szCs w:val="28"/>
              </w:rPr>
              <w:t>对患者造成二次伤害或不能正确操作，延误治疗。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127" w:hRule="atLeast"/>
          <w:jc w:val="center"/>
        </w:trPr>
        <w:tc>
          <w:tcPr>
            <w:tcW w:w="1570" w:type="dxa"/>
            <w:tcBorders>
              <w:top w:val="single" w:color="auto" w:sz="4" w:space="0"/>
              <w:left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kern w:val="0"/>
                <w:sz w:val="28"/>
                <w:szCs w:val="28"/>
              </w:rPr>
              <w:t>运输和贮藏</w:t>
            </w:r>
          </w:p>
        </w:tc>
        <w:tc>
          <w:tcPr>
            <w:tcW w:w="5103" w:type="dxa"/>
            <w:tcBorders>
              <w:top w:val="single" w:color="auto" w:sz="4" w:space="0"/>
              <w:left w:val="single" w:color="auto" w:sz="4" w:space="0"/>
              <w:right w:val="single" w:color="auto" w:sz="4" w:space="0"/>
            </w:tcBorders>
            <w:vAlign w:val="center"/>
          </w:tcPr>
          <w:p>
            <w:pPr>
              <w:autoSpaceDE w:val="0"/>
              <w:autoSpaceDN w:val="0"/>
              <w:adjustRightInd w:val="0"/>
              <w:spacing w:line="440" w:lineRule="exact"/>
              <w:ind w:right="-67" w:rightChars="-32"/>
              <w:rPr>
                <w:rFonts w:eastAsia="仿宋_GB2312"/>
                <w:kern w:val="0"/>
                <w:sz w:val="28"/>
                <w:szCs w:val="28"/>
              </w:rPr>
            </w:pPr>
            <w:r>
              <w:rPr>
                <w:rFonts w:eastAsia="仿宋_GB2312"/>
                <w:kern w:val="0"/>
                <w:sz w:val="28"/>
                <w:szCs w:val="28"/>
              </w:rPr>
              <w:t>不恰当的包装：产品防护不当导致设备运输过程中损坏等。</w:t>
            </w:r>
          </w:p>
          <w:p>
            <w:pPr>
              <w:spacing w:line="520" w:lineRule="exact"/>
              <w:rPr>
                <w:rFonts w:eastAsia="仿宋_GB2312"/>
                <w:sz w:val="28"/>
                <w:szCs w:val="28"/>
              </w:rPr>
            </w:pPr>
            <w:r>
              <w:rPr>
                <w:rFonts w:eastAsia="仿宋_GB2312"/>
                <w:kern w:val="0"/>
                <w:sz w:val="28"/>
                <w:szCs w:val="28"/>
              </w:rPr>
              <w:t>不适当的环境条件：在超出设备规定的贮藏环境（温度、湿度、压力）贮藏设备，导致设备不能正常工作等。</w:t>
            </w:r>
          </w:p>
        </w:tc>
        <w:tc>
          <w:tcPr>
            <w:tcW w:w="2325"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hint="eastAsia" w:eastAsia="仿宋_GB2312"/>
                <w:sz w:val="28"/>
                <w:szCs w:val="28"/>
              </w:rPr>
              <w:t>影响产品质量，治疗效果不佳。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672" w:hRule="atLeast"/>
          <w:jc w:val="center"/>
        </w:trPr>
        <w:tc>
          <w:tcPr>
            <w:tcW w:w="1570" w:type="dxa"/>
            <w:tcBorders>
              <w:top w:val="single" w:color="auto" w:sz="4" w:space="0"/>
              <w:left w:val="single" w:color="auto" w:sz="4" w:space="0"/>
              <w:right w:val="single" w:color="auto" w:sz="4" w:space="0"/>
            </w:tcBorders>
            <w:vAlign w:val="center"/>
          </w:tcPr>
          <w:p>
            <w:pPr>
              <w:spacing w:line="520" w:lineRule="exact"/>
              <w:jc w:val="center"/>
              <w:rPr>
                <w:rFonts w:eastAsia="仿宋_GB2312"/>
                <w:sz w:val="28"/>
                <w:szCs w:val="28"/>
              </w:rPr>
            </w:pPr>
            <w:r>
              <w:rPr>
                <w:rFonts w:eastAsia="仿宋_GB2312"/>
                <w:kern w:val="0"/>
                <w:sz w:val="28"/>
                <w:szCs w:val="28"/>
              </w:rPr>
              <w:t>失效模式</w:t>
            </w:r>
          </w:p>
        </w:tc>
        <w:tc>
          <w:tcPr>
            <w:tcW w:w="5103"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eastAsia="仿宋_GB2312"/>
                <w:kern w:val="0"/>
                <w:sz w:val="28"/>
                <w:szCs w:val="28"/>
              </w:rPr>
              <w:t>由于老化、磨损和重复使用而致功能退化：长时间使用后</w:t>
            </w:r>
            <w:r>
              <w:rPr>
                <w:rFonts w:hint="eastAsia" w:eastAsia="仿宋_GB2312"/>
                <w:kern w:val="0"/>
                <w:sz w:val="28"/>
                <w:szCs w:val="28"/>
              </w:rPr>
              <w:t>气泵漏气</w:t>
            </w:r>
            <w:r>
              <w:rPr>
                <w:rFonts w:eastAsia="仿宋_GB2312"/>
                <w:kern w:val="0"/>
                <w:sz w:val="28"/>
                <w:szCs w:val="28"/>
              </w:rPr>
              <w:t>，</w:t>
            </w:r>
            <w:r>
              <w:rPr>
                <w:rFonts w:hint="eastAsia" w:eastAsia="仿宋_GB2312"/>
                <w:kern w:val="0"/>
                <w:sz w:val="28"/>
                <w:szCs w:val="28"/>
              </w:rPr>
              <w:t>触发按键失灵等。</w:t>
            </w:r>
          </w:p>
        </w:tc>
        <w:tc>
          <w:tcPr>
            <w:tcW w:w="2325" w:type="dxa"/>
            <w:tcBorders>
              <w:top w:val="single" w:color="auto" w:sz="4" w:space="0"/>
              <w:left w:val="single" w:color="auto" w:sz="4" w:space="0"/>
              <w:right w:val="single" w:color="auto" w:sz="4" w:space="0"/>
            </w:tcBorders>
            <w:vAlign w:val="center"/>
          </w:tcPr>
          <w:p>
            <w:pPr>
              <w:spacing w:line="520" w:lineRule="exact"/>
              <w:rPr>
                <w:rFonts w:eastAsia="仿宋_GB2312"/>
                <w:sz w:val="28"/>
                <w:szCs w:val="28"/>
              </w:rPr>
            </w:pPr>
            <w:r>
              <w:rPr>
                <w:rFonts w:hint="eastAsia" w:eastAsia="仿宋_GB2312"/>
                <w:sz w:val="28"/>
                <w:szCs w:val="28"/>
              </w:rPr>
              <w:t>失去医疗作用。</w:t>
            </w:r>
          </w:p>
        </w:tc>
      </w:tr>
    </w:tbl>
    <w:p>
      <w:pPr>
        <w:spacing w:line="240" w:lineRule="exact"/>
        <w:jc w:val="left"/>
        <w:rPr>
          <w:rFonts w:eastAsia="楷体"/>
          <w:bCs/>
          <w:sz w:val="32"/>
          <w:szCs w:val="32"/>
        </w:rPr>
      </w:pPr>
    </w:p>
    <w:p>
      <w:pPr>
        <w:autoSpaceDE w:val="0"/>
        <w:autoSpaceDN w:val="0"/>
        <w:spacing w:line="520" w:lineRule="exact"/>
        <w:ind w:firstLine="640" w:firstLineChars="200"/>
        <w:rPr>
          <w:rFonts w:eastAsia="仿宋_GB2312"/>
          <w:kern w:val="0"/>
          <w:sz w:val="32"/>
          <w:szCs w:val="32"/>
        </w:rPr>
      </w:pPr>
      <w:r>
        <w:rPr>
          <w:rFonts w:hint="eastAsia" w:eastAsia="仿宋_GB2312"/>
          <w:kern w:val="0"/>
          <w:sz w:val="32"/>
          <w:szCs w:val="32"/>
        </w:rPr>
        <w:t>企业还应根据自身产品特点确定其他危险，并对采取控制措施后的剩余风险进行分析和评价。</w:t>
      </w:r>
    </w:p>
    <w:p>
      <w:pPr>
        <w:spacing w:line="520" w:lineRule="exact"/>
        <w:ind w:right="-67" w:rightChars="-32" w:firstLine="640" w:firstLineChars="200"/>
        <w:outlineLvl w:val="1"/>
        <w:rPr>
          <w:rFonts w:eastAsia="楷体_GB2312"/>
          <w:sz w:val="32"/>
          <w:szCs w:val="32"/>
        </w:rPr>
      </w:pPr>
      <w:r>
        <w:rPr>
          <w:rFonts w:eastAsia="楷体_GB2312"/>
          <w:sz w:val="32"/>
          <w:szCs w:val="32"/>
        </w:rPr>
        <w:t>（</w:t>
      </w:r>
      <w:r>
        <w:rPr>
          <w:rFonts w:hint="eastAsia" w:eastAsia="楷体_GB2312"/>
          <w:sz w:val="32"/>
          <w:szCs w:val="32"/>
        </w:rPr>
        <w:t>八</w:t>
      </w:r>
      <w:r>
        <w:rPr>
          <w:rFonts w:eastAsia="楷体_GB2312"/>
          <w:sz w:val="32"/>
          <w:szCs w:val="32"/>
        </w:rPr>
        <w:t>）产品研究要求</w:t>
      </w:r>
    </w:p>
    <w:p>
      <w:pPr>
        <w:spacing w:line="520" w:lineRule="exact"/>
        <w:ind w:firstLine="640" w:firstLineChars="200"/>
        <w:outlineLvl w:val="2"/>
        <w:rPr>
          <w:rFonts w:eastAsia="仿宋_GB2312"/>
          <w:sz w:val="32"/>
          <w:szCs w:val="32"/>
        </w:rPr>
      </w:pPr>
      <w:r>
        <w:rPr>
          <w:rFonts w:ascii="Times New Roman" w:hAnsi="Times New Roman" w:eastAsia="仿宋_GB2312"/>
          <w:sz w:val="32"/>
          <w:szCs w:val="32"/>
        </w:rPr>
        <w:t>1.</w:t>
      </w:r>
      <w:r>
        <w:rPr>
          <w:rFonts w:eastAsia="仿宋_GB2312"/>
          <w:sz w:val="32"/>
          <w:szCs w:val="32"/>
        </w:rPr>
        <w:t>产品性能研究</w:t>
      </w:r>
    </w:p>
    <w:p>
      <w:pPr>
        <w:spacing w:line="520" w:lineRule="exact"/>
        <w:ind w:firstLine="640" w:firstLineChars="200"/>
        <w:rPr>
          <w:rFonts w:eastAsia="仿宋_GB2312"/>
          <w:sz w:val="32"/>
          <w:szCs w:val="32"/>
        </w:rPr>
      </w:pPr>
      <w:r>
        <w:rPr>
          <w:rFonts w:eastAsia="仿宋_GB2312"/>
          <w:sz w:val="32"/>
          <w:szCs w:val="32"/>
        </w:rPr>
        <w:t>应当提供产品性能研究资料以及产品技术要求的研究和编制说明，包括功能性、安全性指标（如电气安全与电磁兼容）以及与质量控制相关的其他指标的确定依据，所采用的标准或方法、采用的原因及理论基础。</w:t>
      </w:r>
    </w:p>
    <w:p>
      <w:pPr>
        <w:spacing w:line="520" w:lineRule="exact"/>
        <w:ind w:firstLine="640" w:firstLineChars="200"/>
        <w:rPr>
          <w:rFonts w:eastAsia="仿宋_GB2312"/>
          <w:sz w:val="32"/>
          <w:szCs w:val="32"/>
        </w:rPr>
      </w:pPr>
      <w:r>
        <w:rPr>
          <w:rFonts w:eastAsia="仿宋_GB2312"/>
          <w:sz w:val="32"/>
          <w:szCs w:val="32"/>
        </w:rPr>
        <w:t>研究资料中，需对冲击波治疗仪产品所采用的</w:t>
      </w:r>
      <w:r>
        <w:rPr>
          <w:rFonts w:hint="eastAsia" w:eastAsia="仿宋_GB2312"/>
          <w:sz w:val="32"/>
          <w:szCs w:val="32"/>
        </w:rPr>
        <w:t>工作</w:t>
      </w:r>
      <w:r>
        <w:rPr>
          <w:rFonts w:eastAsia="仿宋_GB2312"/>
          <w:sz w:val="32"/>
          <w:szCs w:val="32"/>
        </w:rPr>
        <w:t>原理进行详细描述，</w:t>
      </w:r>
      <w:r>
        <w:rPr>
          <w:rFonts w:hint="eastAsia" w:eastAsia="仿宋_GB2312"/>
          <w:sz w:val="32"/>
          <w:szCs w:val="32"/>
        </w:rPr>
        <w:t>应对能量密度、穿透深度、紧急状态下保护措施等关键指标进行研究</w:t>
      </w:r>
      <w:r>
        <w:rPr>
          <w:rFonts w:eastAsia="仿宋_GB2312"/>
          <w:sz w:val="32"/>
          <w:szCs w:val="32"/>
        </w:rPr>
        <w:t>。</w:t>
      </w:r>
    </w:p>
    <w:p>
      <w:pPr>
        <w:spacing w:line="520" w:lineRule="exact"/>
        <w:ind w:firstLine="640" w:firstLineChars="200"/>
        <w:rPr>
          <w:rFonts w:eastAsia="仿宋_GB2312"/>
          <w:sz w:val="32"/>
          <w:szCs w:val="32"/>
        </w:rPr>
      </w:pPr>
      <w:r>
        <w:rPr>
          <w:rFonts w:ascii="Times New Roman" w:hAnsi="Times New Roman" w:eastAsia="仿宋_GB2312"/>
          <w:sz w:val="32"/>
          <w:szCs w:val="32"/>
        </w:rPr>
        <w:t>2.</w:t>
      </w:r>
      <w:r>
        <w:rPr>
          <w:rFonts w:hint="eastAsia" w:eastAsia="仿宋_GB2312"/>
          <w:sz w:val="32"/>
          <w:szCs w:val="32"/>
        </w:rPr>
        <w:t>生物相容性评价研究</w:t>
      </w:r>
    </w:p>
    <w:p>
      <w:pPr>
        <w:spacing w:line="520" w:lineRule="exact"/>
        <w:ind w:firstLine="640" w:firstLineChars="200"/>
        <w:rPr>
          <w:rFonts w:eastAsia="仿宋_GB2312"/>
          <w:sz w:val="32"/>
          <w:szCs w:val="32"/>
        </w:rPr>
      </w:pPr>
      <w:r>
        <w:rPr>
          <w:rFonts w:hint="eastAsia" w:eastAsia="仿宋_GB2312"/>
          <w:sz w:val="32"/>
          <w:szCs w:val="32"/>
        </w:rPr>
        <w:t>直接接触或间接接触患者和使用者的材料组成，应当按</w:t>
      </w:r>
      <w:r>
        <w:rPr>
          <w:rFonts w:ascii="Times New Roman" w:hAnsi="Times New Roman" w:eastAsia="仿宋_GB2312"/>
          <w:sz w:val="32"/>
          <w:szCs w:val="32"/>
        </w:rPr>
        <w:t>GB/T 16886.1—2011</w:t>
      </w:r>
      <w:r>
        <w:rPr>
          <w:rFonts w:hint="eastAsia" w:eastAsia="仿宋_GB2312"/>
          <w:sz w:val="32"/>
          <w:szCs w:val="32"/>
        </w:rPr>
        <w:t>《医疗器械生物学评价第</w:t>
      </w:r>
      <w:r>
        <w:rPr>
          <w:rFonts w:ascii="Times New Roman" w:hAnsi="Times New Roman" w:eastAsia="仿宋_GB2312"/>
          <w:sz w:val="32"/>
          <w:szCs w:val="32"/>
        </w:rPr>
        <w:t>1</w:t>
      </w:r>
      <w:r>
        <w:rPr>
          <w:rFonts w:hint="eastAsia" w:eastAsia="仿宋_GB2312"/>
          <w:sz w:val="32"/>
          <w:szCs w:val="32"/>
        </w:rPr>
        <w:t>部分：风险管理过程中的评价与试验》规定的原则进行生物相容性评价，并给出清单，提供所有与人体</w:t>
      </w:r>
      <w:r>
        <w:rPr>
          <w:rFonts w:eastAsia="仿宋_GB2312"/>
          <w:sz w:val="32"/>
          <w:szCs w:val="32"/>
        </w:rPr>
        <w:t>接触</w:t>
      </w:r>
      <w:r>
        <w:rPr>
          <w:rFonts w:hint="eastAsia" w:eastAsia="仿宋_GB2312"/>
          <w:sz w:val="32"/>
          <w:szCs w:val="32"/>
        </w:rPr>
        <w:t>材料的名称和基本成分名称。</w:t>
      </w:r>
    </w:p>
    <w:p>
      <w:pPr>
        <w:spacing w:line="520" w:lineRule="exact"/>
        <w:ind w:firstLine="640" w:firstLineChars="200"/>
        <w:outlineLvl w:val="2"/>
        <w:rPr>
          <w:rFonts w:eastAsia="仿宋_GB2312"/>
          <w:sz w:val="32"/>
          <w:szCs w:val="32"/>
        </w:rPr>
      </w:pPr>
      <w:r>
        <w:rPr>
          <w:rFonts w:ascii="Times New Roman" w:hAnsi="Times New Roman" w:eastAsia="仿宋_GB2312"/>
          <w:sz w:val="32"/>
          <w:szCs w:val="32"/>
        </w:rPr>
        <w:t>3.</w:t>
      </w:r>
      <w:r>
        <w:rPr>
          <w:rFonts w:eastAsia="仿宋_GB2312"/>
          <w:sz w:val="32"/>
          <w:szCs w:val="32"/>
        </w:rPr>
        <w:t>消毒工艺研究</w:t>
      </w:r>
    </w:p>
    <w:p>
      <w:pPr>
        <w:spacing w:line="520" w:lineRule="exact"/>
        <w:ind w:firstLine="640" w:firstLineChars="200"/>
        <w:rPr>
          <w:rFonts w:eastAsia="仿宋_GB2312"/>
          <w:sz w:val="32"/>
          <w:szCs w:val="32"/>
        </w:rPr>
      </w:pPr>
      <w:r>
        <w:rPr>
          <w:rFonts w:eastAsia="仿宋_GB2312"/>
          <w:sz w:val="32"/>
          <w:szCs w:val="32"/>
        </w:rPr>
        <w:t>应当明确推荐的消毒工艺（方法和参数）以及所推荐消毒方法的确定依据及必要的验证资料。</w:t>
      </w:r>
    </w:p>
    <w:p>
      <w:pPr>
        <w:spacing w:line="520" w:lineRule="exact"/>
        <w:ind w:firstLine="640" w:firstLineChars="200"/>
        <w:outlineLvl w:val="2"/>
        <w:rPr>
          <w:rFonts w:eastAsia="仿宋_GB2312"/>
          <w:sz w:val="32"/>
          <w:szCs w:val="32"/>
        </w:rPr>
      </w:pPr>
      <w:r>
        <w:rPr>
          <w:rFonts w:ascii="Times New Roman" w:hAnsi="Times New Roman" w:eastAsia="仿宋_GB2312"/>
          <w:sz w:val="32"/>
          <w:szCs w:val="32"/>
        </w:rPr>
        <w:t>4.</w:t>
      </w:r>
      <w:r>
        <w:rPr>
          <w:rFonts w:eastAsia="仿宋_GB2312"/>
          <w:sz w:val="32"/>
          <w:szCs w:val="32"/>
        </w:rPr>
        <w:t>产品有效期和包装研究</w:t>
      </w:r>
    </w:p>
    <w:p>
      <w:pPr>
        <w:spacing w:line="520" w:lineRule="exact"/>
        <w:ind w:firstLine="640" w:firstLineChars="200"/>
        <w:outlineLvl w:val="2"/>
        <w:rPr>
          <w:rFonts w:eastAsia="仿宋_GB2312"/>
          <w:sz w:val="32"/>
          <w:szCs w:val="32"/>
        </w:rPr>
      </w:pPr>
      <w:r>
        <w:rPr>
          <w:rFonts w:eastAsia="仿宋_GB2312"/>
          <w:sz w:val="32"/>
          <w:szCs w:val="32"/>
        </w:rPr>
        <w:t>有效期参见</w:t>
      </w:r>
      <w:r>
        <w:rPr>
          <w:rFonts w:hint="eastAsia" w:eastAsia="仿宋_GB2312"/>
          <w:sz w:val="32"/>
          <w:szCs w:val="32"/>
        </w:rPr>
        <w:t>《有源医疗器械使用期限技术审查指导原则》</w:t>
      </w:r>
      <w:r>
        <w:rPr>
          <w:rFonts w:eastAsia="仿宋_GB2312"/>
          <w:sz w:val="32"/>
          <w:szCs w:val="32"/>
        </w:rPr>
        <w:t>的相关要求</w:t>
      </w:r>
      <w:r>
        <w:rPr>
          <w:rFonts w:hint="eastAsia"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因各生产企业采用的原材料不同，同时考虑到使用频次的不同及一些不可预期的因素，产品的实际有效期会不同。应对产品有效期进行研究验证。</w:t>
      </w:r>
    </w:p>
    <w:p>
      <w:pPr>
        <w:spacing w:line="520" w:lineRule="exact"/>
        <w:ind w:firstLine="640" w:firstLineChars="200"/>
        <w:rPr>
          <w:rFonts w:eastAsia="仿宋_GB2312"/>
          <w:sz w:val="32"/>
          <w:szCs w:val="32"/>
        </w:rPr>
      </w:pPr>
      <w:r>
        <w:rPr>
          <w:rFonts w:hint="eastAsia" w:eastAsia="仿宋_GB2312"/>
          <w:sz w:val="32"/>
          <w:szCs w:val="32"/>
        </w:rPr>
        <w:t>应根据自身产品临床应用和产品设计情况，确定出产品整机</w:t>
      </w:r>
      <w:r>
        <w:rPr>
          <w:rFonts w:eastAsia="仿宋_GB2312"/>
          <w:sz w:val="32"/>
          <w:szCs w:val="32"/>
        </w:rPr>
        <w:t>、</w:t>
      </w:r>
      <w:r>
        <w:rPr>
          <w:rFonts w:hint="eastAsia" w:eastAsia="仿宋_GB2312"/>
          <w:sz w:val="32"/>
          <w:szCs w:val="32"/>
        </w:rPr>
        <w:t>关键部件（如控制</w:t>
      </w:r>
      <w:r>
        <w:rPr>
          <w:rFonts w:eastAsia="仿宋_GB2312"/>
          <w:sz w:val="32"/>
          <w:szCs w:val="32"/>
        </w:rPr>
        <w:t>手柄</w:t>
      </w:r>
      <w:r>
        <w:rPr>
          <w:rFonts w:hint="eastAsia" w:eastAsia="仿宋_GB2312"/>
          <w:sz w:val="32"/>
          <w:szCs w:val="32"/>
        </w:rPr>
        <w:t>）。应明确在预期使用条件下，关键部件的使用期限，及可更换部件的定期保养维护时间和更换频次，且应提供确定使用寿命和更换频次的理论依据。</w:t>
      </w:r>
    </w:p>
    <w:p>
      <w:pPr>
        <w:spacing w:line="520" w:lineRule="exact"/>
        <w:ind w:firstLine="640" w:firstLineChars="200"/>
        <w:rPr>
          <w:rFonts w:eastAsia="仿宋_GB2312"/>
          <w:sz w:val="32"/>
          <w:szCs w:val="32"/>
        </w:rPr>
      </w:pPr>
      <w:r>
        <w:rPr>
          <w:rFonts w:eastAsia="仿宋_GB2312"/>
          <w:sz w:val="32"/>
          <w:szCs w:val="32"/>
        </w:rPr>
        <w:t>产品经环境试验和模拟运输试验验证，包装应符合运输和贮存的要求。</w:t>
      </w:r>
    </w:p>
    <w:p>
      <w:pPr>
        <w:spacing w:line="520" w:lineRule="exact"/>
        <w:ind w:firstLine="640" w:firstLineChars="200"/>
        <w:outlineLvl w:val="2"/>
        <w:rPr>
          <w:rFonts w:eastAsia="仿宋_GB2312"/>
          <w:sz w:val="32"/>
          <w:szCs w:val="32"/>
        </w:rPr>
      </w:pPr>
      <w:r>
        <w:rPr>
          <w:rFonts w:ascii="Times New Roman" w:hAnsi="Times New Roman" w:eastAsia="仿宋_GB2312"/>
          <w:sz w:val="32"/>
          <w:szCs w:val="32"/>
        </w:rPr>
        <w:t>5.</w:t>
      </w:r>
      <w:r>
        <w:rPr>
          <w:rFonts w:eastAsia="仿宋_GB2312"/>
          <w:sz w:val="32"/>
          <w:szCs w:val="32"/>
        </w:rPr>
        <w:t>软件研究</w:t>
      </w:r>
    </w:p>
    <w:p>
      <w:pPr>
        <w:spacing w:line="520" w:lineRule="exact"/>
        <w:ind w:firstLine="640" w:firstLineChars="200"/>
        <w:rPr>
          <w:rFonts w:eastAsia="仿宋_GB2312"/>
          <w:sz w:val="32"/>
          <w:szCs w:val="32"/>
        </w:rPr>
      </w:pPr>
      <w:r>
        <w:rPr>
          <w:rFonts w:eastAsia="仿宋_GB2312"/>
          <w:sz w:val="32"/>
          <w:szCs w:val="32"/>
        </w:rPr>
        <w:t>参见《医疗器械软件注册技术审查指导原则》（国家食品药品监督管理总局通告</w:t>
      </w:r>
      <w:r>
        <w:rPr>
          <w:rFonts w:ascii="Times New Roman" w:hAnsi="Times New Roman" w:eastAsia="仿宋_GB2312"/>
          <w:sz w:val="32"/>
          <w:szCs w:val="32"/>
        </w:rPr>
        <w:t>2015</w:t>
      </w:r>
      <w:r>
        <w:rPr>
          <w:rFonts w:eastAsia="仿宋_GB2312"/>
          <w:sz w:val="32"/>
          <w:szCs w:val="32"/>
        </w:rPr>
        <w:t>年第</w:t>
      </w:r>
      <w:r>
        <w:rPr>
          <w:rFonts w:ascii="Times New Roman" w:hAnsi="Times New Roman" w:eastAsia="仿宋_GB2312"/>
          <w:sz w:val="32"/>
          <w:szCs w:val="32"/>
        </w:rPr>
        <w:t>50</w:t>
      </w:r>
      <w:r>
        <w:rPr>
          <w:rFonts w:eastAsia="仿宋_GB2312"/>
          <w:sz w:val="32"/>
          <w:szCs w:val="32"/>
        </w:rPr>
        <w:t>号）的相关要求。</w:t>
      </w:r>
    </w:p>
    <w:p>
      <w:pPr>
        <w:spacing w:line="520" w:lineRule="exact"/>
        <w:ind w:firstLine="640" w:firstLineChars="200"/>
        <w:rPr>
          <w:rFonts w:eastAsia="仿宋_GB2312"/>
          <w:sz w:val="32"/>
          <w:szCs w:val="32"/>
        </w:rPr>
      </w:pPr>
      <w:r>
        <w:rPr>
          <w:rFonts w:eastAsia="仿宋_GB2312"/>
          <w:sz w:val="32"/>
          <w:szCs w:val="32"/>
        </w:rPr>
        <w:t>对于具有网络连接功能以进行电子数据交换</w:t>
      </w:r>
      <w:r>
        <w:rPr>
          <w:rFonts w:hint="eastAsia" w:eastAsia="仿宋_GB2312"/>
          <w:sz w:val="32"/>
          <w:szCs w:val="32"/>
        </w:rPr>
        <w:t>、</w:t>
      </w:r>
      <w:r>
        <w:rPr>
          <w:rFonts w:eastAsia="仿宋_GB2312"/>
          <w:sz w:val="32"/>
          <w:szCs w:val="32"/>
        </w:rPr>
        <w:t>远程监测</w:t>
      </w:r>
      <w:r>
        <w:rPr>
          <w:rFonts w:hint="eastAsia" w:eastAsia="仿宋_GB2312"/>
          <w:sz w:val="32"/>
          <w:szCs w:val="32"/>
        </w:rPr>
        <w:t>或采用存储媒介以进行电子数据交换</w:t>
      </w:r>
      <w:r>
        <w:rPr>
          <w:rFonts w:eastAsia="仿宋_GB2312"/>
          <w:sz w:val="32"/>
          <w:szCs w:val="32"/>
        </w:rPr>
        <w:t>产品，还应当按照《医疗器械网络安全注册技术审查指导原则》（国家食品药品监督管理总局通告</w:t>
      </w:r>
      <w:r>
        <w:rPr>
          <w:rFonts w:ascii="Times New Roman" w:hAnsi="Times New Roman" w:eastAsia="仿宋_GB2312"/>
          <w:sz w:val="32"/>
          <w:szCs w:val="32"/>
        </w:rPr>
        <w:t>2017</w:t>
      </w:r>
      <w:r>
        <w:rPr>
          <w:rFonts w:eastAsia="仿宋_GB2312"/>
          <w:sz w:val="32"/>
          <w:szCs w:val="32"/>
        </w:rPr>
        <w:t>年第</w:t>
      </w:r>
      <w:r>
        <w:rPr>
          <w:rFonts w:ascii="Times New Roman" w:hAnsi="Times New Roman" w:eastAsia="仿宋_GB2312"/>
          <w:sz w:val="32"/>
          <w:szCs w:val="32"/>
        </w:rPr>
        <w:t>13</w:t>
      </w:r>
      <w:r>
        <w:rPr>
          <w:rFonts w:eastAsia="仿宋_GB2312"/>
          <w:sz w:val="32"/>
          <w:szCs w:val="32"/>
        </w:rPr>
        <w:t>号）</w:t>
      </w:r>
      <w:r>
        <w:rPr>
          <w:rFonts w:hint="eastAsia" w:eastAsia="仿宋_GB2312"/>
          <w:sz w:val="32"/>
          <w:szCs w:val="32"/>
        </w:rPr>
        <w:t>的要求</w:t>
      </w:r>
      <w:r>
        <w:rPr>
          <w:rFonts w:eastAsia="仿宋_GB2312"/>
          <w:sz w:val="32"/>
          <w:szCs w:val="32"/>
        </w:rPr>
        <w:t>单独提交一份网络安全描述文档</w:t>
      </w:r>
      <w:r>
        <w:rPr>
          <w:rFonts w:hint="eastAsia" w:eastAsia="仿宋_GB2312"/>
          <w:sz w:val="32"/>
          <w:szCs w:val="32"/>
        </w:rPr>
        <w:t>，在产品技术要求中明确数据接口、用户访问控制的要求，在说明书中明确网络安全相关要求。在许可事项变更时，注册申请人应根据网络安全更新情况提交网络安全描述文档或常规安全补丁描述文档或无变化真实性声明，如适用应当在产品技术要求或说明书中体现网络安全的变更内容。在延续注册时，如适用，注册申请人应单独提交一份常规安全补丁描述文档。</w:t>
      </w:r>
    </w:p>
    <w:p>
      <w:pPr>
        <w:spacing w:line="520" w:lineRule="exact"/>
        <w:ind w:firstLine="640" w:firstLineChars="200"/>
        <w:outlineLvl w:val="2"/>
        <w:rPr>
          <w:rFonts w:eastAsia="仿宋_GB2312"/>
          <w:sz w:val="32"/>
          <w:szCs w:val="32"/>
        </w:rPr>
      </w:pPr>
      <w:r>
        <w:rPr>
          <w:rFonts w:ascii="Times New Roman" w:hAnsi="Times New Roman" w:eastAsia="仿宋_GB2312"/>
          <w:sz w:val="32"/>
          <w:szCs w:val="32"/>
        </w:rPr>
        <w:t>6.</w:t>
      </w:r>
      <w:r>
        <w:rPr>
          <w:rFonts w:eastAsia="仿宋_GB2312"/>
          <w:sz w:val="32"/>
          <w:szCs w:val="32"/>
        </w:rPr>
        <w:t>其他资料</w:t>
      </w:r>
    </w:p>
    <w:p>
      <w:pPr>
        <w:spacing w:line="520" w:lineRule="exact"/>
        <w:ind w:firstLine="640" w:firstLineChars="200"/>
        <w:rPr>
          <w:rFonts w:eastAsia="仿宋_GB2312"/>
          <w:sz w:val="32"/>
          <w:szCs w:val="32"/>
        </w:rPr>
      </w:pPr>
      <w:r>
        <w:rPr>
          <w:rFonts w:eastAsia="仿宋_GB2312"/>
          <w:sz w:val="32"/>
          <w:szCs w:val="32"/>
        </w:rPr>
        <w:t>证明产品安全性、有效性的其他研究资料。</w:t>
      </w:r>
    </w:p>
    <w:p>
      <w:pPr>
        <w:spacing w:line="520" w:lineRule="exact"/>
        <w:ind w:right="-67" w:rightChars="-32" w:firstLine="640" w:firstLineChars="200"/>
        <w:outlineLvl w:val="1"/>
        <w:rPr>
          <w:rFonts w:eastAsia="楷体_GB2312"/>
          <w:sz w:val="32"/>
          <w:szCs w:val="32"/>
        </w:rPr>
      </w:pPr>
      <w:r>
        <w:rPr>
          <w:rFonts w:eastAsia="楷体_GB2312"/>
          <w:sz w:val="32"/>
          <w:szCs w:val="32"/>
        </w:rPr>
        <w:t>（九）产品技术要求的主要性能指标</w:t>
      </w:r>
    </w:p>
    <w:p>
      <w:pPr>
        <w:autoSpaceDE w:val="0"/>
        <w:autoSpaceDN w:val="0"/>
        <w:spacing w:line="520" w:lineRule="exact"/>
        <w:ind w:firstLine="640" w:firstLineChars="200"/>
        <w:rPr>
          <w:rFonts w:eastAsia="仿宋_GB2312"/>
          <w:kern w:val="0"/>
          <w:sz w:val="32"/>
          <w:szCs w:val="32"/>
        </w:rPr>
      </w:pPr>
      <w:r>
        <w:rPr>
          <w:rFonts w:eastAsia="仿宋_GB2312"/>
          <w:sz w:val="32"/>
          <w:szCs w:val="32"/>
        </w:rPr>
        <w:t>不同企业可根据自身产品的技术特点制定性能指标要求，但不得低于相关强制性国家标准、行业标准的要求。如对标准中有部分条款不适用，企业应提交编制说明充分阐述不适用的原因。</w:t>
      </w:r>
      <w:r>
        <w:rPr>
          <w:rFonts w:eastAsia="仿宋_GB2312"/>
          <w:kern w:val="0"/>
          <w:sz w:val="32"/>
          <w:szCs w:val="32"/>
        </w:rPr>
        <w:t>产品技术要求的审查是产品主要技术性能指标审查中最重要的环节之一。</w:t>
      </w:r>
      <w:r>
        <w:rPr>
          <w:rFonts w:hint="eastAsia" w:eastAsia="仿宋_GB2312"/>
          <w:kern w:val="0"/>
          <w:sz w:val="32"/>
          <w:szCs w:val="32"/>
        </w:rPr>
        <w:t>应按照《医疗器械产品技术要求编写指导原则》（国家食品药品监督管理总局通告</w:t>
      </w:r>
      <w:r>
        <w:rPr>
          <w:rFonts w:ascii="Times New Roman" w:hAnsi="Times New Roman" w:eastAsia="仿宋_GB2312"/>
          <w:kern w:val="0"/>
          <w:sz w:val="32"/>
          <w:szCs w:val="32"/>
        </w:rPr>
        <w:t>2014</w:t>
      </w:r>
      <w:r>
        <w:rPr>
          <w:rFonts w:hint="eastAsia" w:eastAsia="仿宋_GB2312"/>
          <w:kern w:val="0"/>
          <w:sz w:val="32"/>
          <w:szCs w:val="32"/>
        </w:rPr>
        <w:t>年第</w:t>
      </w:r>
      <w:r>
        <w:rPr>
          <w:rFonts w:ascii="Times New Roman" w:hAnsi="Times New Roman" w:eastAsia="仿宋_GB2312"/>
          <w:kern w:val="0"/>
          <w:sz w:val="32"/>
          <w:szCs w:val="32"/>
        </w:rPr>
        <w:t>9</w:t>
      </w:r>
      <w:r>
        <w:rPr>
          <w:rFonts w:hint="eastAsia" w:eastAsia="仿宋_GB2312"/>
          <w:kern w:val="0"/>
          <w:sz w:val="32"/>
          <w:szCs w:val="32"/>
        </w:rPr>
        <w:t>号）的规定编制。</w:t>
      </w:r>
    </w:p>
    <w:p>
      <w:pPr>
        <w:autoSpaceDE w:val="0"/>
        <w:autoSpaceDN w:val="0"/>
        <w:spacing w:line="520" w:lineRule="exact"/>
        <w:ind w:firstLine="640" w:firstLineChars="200"/>
        <w:rPr>
          <w:rFonts w:eastAsia="仿宋_GB2312"/>
          <w:kern w:val="0"/>
          <w:sz w:val="32"/>
          <w:szCs w:val="32"/>
        </w:rPr>
      </w:pPr>
      <w:r>
        <w:rPr>
          <w:rFonts w:eastAsia="仿宋_GB2312"/>
          <w:kern w:val="0"/>
          <w:sz w:val="32"/>
          <w:szCs w:val="32"/>
        </w:rPr>
        <w:t>可以通过是否具有以下主要内容来进行审评。</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w:t>
      </w:r>
      <w:r>
        <w:rPr>
          <w:rFonts w:eastAsia="仿宋_GB2312"/>
          <w:kern w:val="0"/>
          <w:sz w:val="32"/>
          <w:szCs w:val="32"/>
        </w:rPr>
        <w:t>规格型号</w:t>
      </w:r>
    </w:p>
    <w:p>
      <w:pPr>
        <w:autoSpaceDE w:val="0"/>
        <w:autoSpaceDN w:val="0"/>
        <w:spacing w:line="520" w:lineRule="exact"/>
        <w:ind w:firstLine="640" w:firstLineChars="200"/>
        <w:rPr>
          <w:rFonts w:eastAsia="仿宋_GB2312"/>
          <w:kern w:val="0"/>
          <w:sz w:val="32"/>
          <w:szCs w:val="32"/>
        </w:rPr>
      </w:pPr>
      <w:r>
        <w:rPr>
          <w:rFonts w:hint="eastAsia" w:eastAsia="仿宋_GB2312"/>
          <w:kern w:val="0"/>
          <w:sz w:val="32"/>
          <w:szCs w:val="32"/>
        </w:rPr>
        <w:t>在</w:t>
      </w:r>
      <w:r>
        <w:rPr>
          <w:rFonts w:eastAsia="仿宋_GB2312"/>
          <w:kern w:val="0"/>
          <w:sz w:val="32"/>
          <w:szCs w:val="32"/>
        </w:rPr>
        <w:t>符合注册单元划分规则的前提下可</w:t>
      </w:r>
      <w:r>
        <w:rPr>
          <w:rFonts w:hint="eastAsia" w:eastAsia="仿宋_GB2312"/>
          <w:kern w:val="0"/>
          <w:sz w:val="32"/>
          <w:szCs w:val="32"/>
        </w:rPr>
        <w:t>根据不同的适用范围</w:t>
      </w:r>
      <w:r>
        <w:rPr>
          <w:rFonts w:eastAsia="仿宋_GB2312"/>
          <w:kern w:val="0"/>
          <w:sz w:val="32"/>
          <w:szCs w:val="32"/>
        </w:rPr>
        <w:t>、</w:t>
      </w:r>
      <w:r>
        <w:rPr>
          <w:rFonts w:hint="eastAsia" w:eastAsia="仿宋_GB2312"/>
          <w:kern w:val="0"/>
          <w:sz w:val="32"/>
          <w:szCs w:val="32"/>
        </w:rPr>
        <w:t>结构组成</w:t>
      </w:r>
      <w:r>
        <w:rPr>
          <w:rFonts w:eastAsia="仿宋_GB2312"/>
          <w:kern w:val="0"/>
          <w:sz w:val="32"/>
          <w:szCs w:val="32"/>
        </w:rPr>
        <w:t>、</w:t>
      </w:r>
      <w:r>
        <w:rPr>
          <w:rFonts w:hint="eastAsia" w:eastAsia="仿宋_GB2312"/>
          <w:kern w:val="0"/>
          <w:sz w:val="32"/>
          <w:szCs w:val="32"/>
        </w:rPr>
        <w:t>技术参数</w:t>
      </w:r>
      <w:r>
        <w:rPr>
          <w:rFonts w:eastAsia="仿宋_GB2312"/>
          <w:kern w:val="0"/>
          <w:sz w:val="32"/>
          <w:szCs w:val="32"/>
        </w:rPr>
        <w:t>分为不同</w:t>
      </w:r>
      <w:r>
        <w:rPr>
          <w:rFonts w:hint="eastAsia" w:eastAsia="仿宋_GB2312"/>
          <w:kern w:val="0"/>
          <w:sz w:val="32"/>
          <w:szCs w:val="32"/>
        </w:rPr>
        <w:t>的</w:t>
      </w:r>
      <w:r>
        <w:rPr>
          <w:rFonts w:eastAsia="仿宋_GB2312"/>
          <w:kern w:val="0"/>
          <w:sz w:val="32"/>
          <w:szCs w:val="32"/>
        </w:rPr>
        <w:t>规格型号</w:t>
      </w:r>
      <w:r>
        <w:rPr>
          <w:rFonts w:hint="eastAsia" w:eastAsia="仿宋_GB2312"/>
          <w:kern w:val="0"/>
          <w:sz w:val="32"/>
          <w:szCs w:val="32"/>
        </w:rPr>
        <w:t>。应明确</w:t>
      </w:r>
      <w:r>
        <w:rPr>
          <w:rFonts w:eastAsia="仿宋_GB2312"/>
          <w:kern w:val="0"/>
          <w:sz w:val="32"/>
          <w:szCs w:val="32"/>
        </w:rPr>
        <w:t>主机、控制手柄、其他组件的配合关系</w:t>
      </w:r>
      <w:r>
        <w:rPr>
          <w:rFonts w:hint="eastAsia" w:eastAsia="仿宋_GB2312"/>
          <w:kern w:val="0"/>
          <w:sz w:val="32"/>
          <w:szCs w:val="32"/>
        </w:rPr>
        <w:t>。</w:t>
      </w:r>
    </w:p>
    <w:p>
      <w:pPr>
        <w:autoSpaceDE w:val="0"/>
        <w:autoSpaceDN w:val="0"/>
        <w:spacing w:line="540" w:lineRule="exact"/>
        <w:ind w:firstLine="640" w:firstLineChars="200"/>
        <w:rPr>
          <w:rFonts w:eastAsia="仿宋_GB2312"/>
          <w:kern w:val="0"/>
          <w:sz w:val="32"/>
          <w:szCs w:val="32"/>
        </w:rPr>
      </w:pPr>
      <w:r>
        <w:rPr>
          <w:rFonts w:hint="eastAsia" w:eastAsia="仿宋_GB2312"/>
          <w:kern w:val="0"/>
          <w:sz w:val="32"/>
          <w:szCs w:val="32"/>
        </w:rPr>
        <w:t>应指明所有预期</w:t>
      </w:r>
      <w:r>
        <w:rPr>
          <w:rFonts w:eastAsia="仿宋_GB2312"/>
          <w:kern w:val="0"/>
          <w:sz w:val="32"/>
          <w:szCs w:val="32"/>
        </w:rPr>
        <w:t>与人体接触部分</w:t>
      </w:r>
      <w:r>
        <w:rPr>
          <w:rFonts w:hint="eastAsia" w:eastAsia="仿宋_GB2312"/>
          <w:kern w:val="0"/>
          <w:sz w:val="32"/>
          <w:szCs w:val="32"/>
        </w:rPr>
        <w:t>并</w:t>
      </w:r>
      <w:r>
        <w:rPr>
          <w:rFonts w:eastAsia="仿宋_GB2312"/>
          <w:kern w:val="0"/>
          <w:sz w:val="32"/>
          <w:szCs w:val="32"/>
        </w:rPr>
        <w:t>给出其材质。</w:t>
      </w:r>
    </w:p>
    <w:p>
      <w:pPr>
        <w:autoSpaceDE w:val="0"/>
        <w:autoSpaceDN w:val="0"/>
        <w:spacing w:line="540" w:lineRule="exact"/>
        <w:ind w:firstLine="640" w:firstLineChars="200"/>
        <w:rPr>
          <w:rFonts w:eastAsia="仿宋_GB2312"/>
          <w:kern w:val="0"/>
          <w:sz w:val="32"/>
          <w:szCs w:val="32"/>
        </w:rPr>
      </w:pPr>
      <w:r>
        <w:rPr>
          <w:rFonts w:ascii="Times New Roman" w:hAnsi="Times New Roman" w:eastAsia="仿宋_GB2312"/>
          <w:kern w:val="0"/>
          <w:sz w:val="32"/>
          <w:szCs w:val="32"/>
        </w:rPr>
        <w:t>2.</w:t>
      </w:r>
      <w:r>
        <w:rPr>
          <w:rFonts w:eastAsia="仿宋_GB2312"/>
          <w:kern w:val="0"/>
          <w:sz w:val="32"/>
          <w:szCs w:val="32"/>
        </w:rPr>
        <w:t>软件信息</w:t>
      </w:r>
    </w:p>
    <w:p>
      <w:pPr>
        <w:autoSpaceDE w:val="0"/>
        <w:autoSpaceDN w:val="0"/>
        <w:spacing w:line="540" w:lineRule="exact"/>
        <w:ind w:firstLine="640" w:firstLineChars="200"/>
        <w:rPr>
          <w:rFonts w:eastAsia="仿宋_GB2312"/>
          <w:kern w:val="0"/>
          <w:sz w:val="32"/>
          <w:szCs w:val="32"/>
        </w:rPr>
      </w:pPr>
      <w:r>
        <w:rPr>
          <w:rFonts w:hint="eastAsia" w:eastAsia="仿宋_GB2312"/>
          <w:kern w:val="0"/>
          <w:sz w:val="32"/>
          <w:szCs w:val="32"/>
        </w:rPr>
        <w:t>根据</w:t>
      </w:r>
      <w:r>
        <w:rPr>
          <w:rFonts w:eastAsia="仿宋_GB2312"/>
          <w:sz w:val="32"/>
          <w:szCs w:val="32"/>
        </w:rPr>
        <w:t>《医疗器械软件注册技术审查指导原则》（国家食品药品监督管理总局通告</w:t>
      </w:r>
      <w:r>
        <w:rPr>
          <w:rFonts w:ascii="Times New Roman" w:hAnsi="Times New Roman" w:eastAsia="仿宋_GB2312"/>
          <w:sz w:val="32"/>
          <w:szCs w:val="32"/>
        </w:rPr>
        <w:t>2015</w:t>
      </w:r>
      <w:r>
        <w:rPr>
          <w:rFonts w:eastAsia="仿宋_GB2312"/>
          <w:sz w:val="32"/>
          <w:szCs w:val="32"/>
        </w:rPr>
        <w:t>年第</w:t>
      </w:r>
      <w:r>
        <w:rPr>
          <w:rFonts w:ascii="Times New Roman" w:hAnsi="Times New Roman" w:eastAsia="仿宋_GB2312"/>
          <w:sz w:val="32"/>
          <w:szCs w:val="32"/>
        </w:rPr>
        <w:t>50</w:t>
      </w:r>
      <w:r>
        <w:rPr>
          <w:rFonts w:eastAsia="仿宋_GB2312"/>
          <w:sz w:val="32"/>
          <w:szCs w:val="32"/>
        </w:rPr>
        <w:t>号）</w:t>
      </w:r>
      <w:r>
        <w:rPr>
          <w:rFonts w:hint="eastAsia" w:eastAsia="仿宋_GB2312"/>
          <w:sz w:val="32"/>
          <w:szCs w:val="32"/>
        </w:rPr>
        <w:t>和</w:t>
      </w:r>
      <w:r>
        <w:rPr>
          <w:rFonts w:eastAsia="仿宋_GB2312"/>
          <w:sz w:val="32"/>
          <w:szCs w:val="32"/>
        </w:rPr>
        <w:t>《医疗器械网络安全注册技术审查指导原则》（国家食品药品监督管理总局通告</w:t>
      </w:r>
      <w:r>
        <w:rPr>
          <w:rFonts w:ascii="Times New Roman" w:hAnsi="Times New Roman" w:eastAsia="仿宋_GB2312"/>
          <w:sz w:val="32"/>
          <w:szCs w:val="32"/>
        </w:rPr>
        <w:t>2017</w:t>
      </w:r>
      <w:r>
        <w:rPr>
          <w:rFonts w:eastAsia="仿宋_GB2312"/>
          <w:sz w:val="32"/>
          <w:szCs w:val="32"/>
        </w:rPr>
        <w:t>年第13号）</w:t>
      </w:r>
      <w:r>
        <w:rPr>
          <w:rFonts w:hint="eastAsia" w:eastAsia="仿宋_GB2312"/>
          <w:sz w:val="32"/>
          <w:szCs w:val="32"/>
        </w:rPr>
        <w:t>的要求，</w:t>
      </w:r>
      <w:r>
        <w:rPr>
          <w:rFonts w:eastAsia="仿宋_GB2312"/>
          <w:kern w:val="0"/>
          <w:sz w:val="32"/>
          <w:szCs w:val="32"/>
        </w:rPr>
        <w:t>需对软件名称、型号规格、发布版本、</w:t>
      </w:r>
      <w:r>
        <w:rPr>
          <w:rFonts w:hint="eastAsia" w:eastAsia="仿宋_GB2312"/>
          <w:kern w:val="0"/>
          <w:sz w:val="32"/>
          <w:szCs w:val="32"/>
        </w:rPr>
        <w:t>完整</w:t>
      </w:r>
      <w:r>
        <w:rPr>
          <w:rFonts w:eastAsia="仿宋_GB2312"/>
          <w:kern w:val="0"/>
          <w:sz w:val="32"/>
          <w:szCs w:val="32"/>
        </w:rPr>
        <w:t>版本命名规则</w:t>
      </w:r>
      <w:r>
        <w:rPr>
          <w:rFonts w:hint="eastAsia" w:eastAsia="仿宋_GB2312"/>
          <w:kern w:val="0"/>
          <w:sz w:val="32"/>
          <w:szCs w:val="32"/>
        </w:rPr>
        <w:t>、运行环境等作出</w:t>
      </w:r>
      <w:r>
        <w:rPr>
          <w:rFonts w:eastAsia="仿宋_GB2312"/>
          <w:kern w:val="0"/>
          <w:sz w:val="32"/>
          <w:szCs w:val="32"/>
        </w:rPr>
        <w:t>规定。</w:t>
      </w:r>
      <w:r>
        <w:rPr>
          <w:rFonts w:hint="eastAsia" w:eastAsia="仿宋_GB2312"/>
          <w:kern w:val="0"/>
          <w:sz w:val="32"/>
          <w:szCs w:val="32"/>
        </w:rPr>
        <w:t>应明确软件全部临床功能纲要。</w:t>
      </w:r>
    </w:p>
    <w:p>
      <w:pPr>
        <w:autoSpaceDE w:val="0"/>
        <w:autoSpaceDN w:val="0"/>
        <w:spacing w:line="540" w:lineRule="exact"/>
        <w:ind w:firstLine="640" w:firstLineChars="200"/>
        <w:rPr>
          <w:rFonts w:eastAsia="仿宋_GB2312"/>
          <w:kern w:val="0"/>
          <w:sz w:val="32"/>
          <w:szCs w:val="32"/>
        </w:rPr>
      </w:pPr>
      <w:r>
        <w:rPr>
          <w:rFonts w:ascii="Times New Roman" w:hAnsi="Times New Roman" w:eastAsia="仿宋_GB2312"/>
          <w:kern w:val="0"/>
          <w:sz w:val="32"/>
          <w:szCs w:val="32"/>
        </w:rPr>
        <w:t>3.</w:t>
      </w:r>
      <w:r>
        <w:rPr>
          <w:rFonts w:eastAsia="仿宋_GB2312"/>
          <w:kern w:val="0"/>
          <w:sz w:val="32"/>
          <w:szCs w:val="32"/>
        </w:rPr>
        <w:t>性能</w:t>
      </w:r>
      <w:r>
        <w:rPr>
          <w:rFonts w:hint="eastAsia" w:eastAsia="仿宋_GB2312"/>
          <w:kern w:val="0"/>
          <w:sz w:val="32"/>
          <w:szCs w:val="32"/>
        </w:rPr>
        <w:t>指标</w:t>
      </w:r>
    </w:p>
    <w:p>
      <w:pPr>
        <w:autoSpaceDE w:val="0"/>
        <w:autoSpaceDN w:val="0"/>
        <w:spacing w:line="540" w:lineRule="exact"/>
        <w:ind w:firstLine="640" w:firstLineChars="200"/>
        <w:rPr>
          <w:rFonts w:eastAsia="仿宋_GB2312"/>
          <w:kern w:val="0"/>
          <w:sz w:val="32"/>
          <w:szCs w:val="32"/>
        </w:rPr>
      </w:pPr>
      <w:r>
        <w:rPr>
          <w:rFonts w:hint="eastAsia" w:eastAsia="仿宋_GB2312"/>
          <w:kern w:val="0"/>
          <w:sz w:val="32"/>
          <w:szCs w:val="32"/>
        </w:rPr>
        <w:t>制造商拟定的性能指标应涵盖</w:t>
      </w:r>
      <w:r>
        <w:rPr>
          <w:rFonts w:ascii="Times New Roman" w:hAnsi="Times New Roman" w:eastAsia="仿宋_GB2312"/>
          <w:kern w:val="0"/>
          <w:sz w:val="32"/>
          <w:szCs w:val="32"/>
        </w:rPr>
        <w:t>YY 0950—2015</w:t>
      </w:r>
      <w:r>
        <w:rPr>
          <w:rFonts w:hint="eastAsia" w:eastAsia="仿宋_GB2312"/>
          <w:kern w:val="0"/>
          <w:sz w:val="32"/>
          <w:szCs w:val="32"/>
        </w:rPr>
        <w:t>《气压弹道式体外压力波治设备》规定的安全要求和性能要求</w:t>
      </w:r>
      <w:r>
        <w:rPr>
          <w:rFonts w:eastAsia="仿宋_GB2312"/>
          <w:kern w:val="0"/>
          <w:sz w:val="32"/>
          <w:szCs w:val="32"/>
        </w:rPr>
        <w:t>。</w:t>
      </w:r>
      <w:r>
        <w:rPr>
          <w:rFonts w:hint="eastAsia" w:eastAsia="仿宋_GB2312"/>
          <w:kern w:val="0"/>
          <w:sz w:val="32"/>
          <w:szCs w:val="32"/>
        </w:rPr>
        <w:t>不同主机</w:t>
      </w:r>
      <w:r>
        <w:rPr>
          <w:rFonts w:ascii="Times New Roman" w:hAnsi="Times New Roman" w:eastAsia="仿宋_GB2312"/>
          <w:kern w:val="0"/>
          <w:sz w:val="32"/>
          <w:szCs w:val="32"/>
        </w:rPr>
        <w:t>/</w:t>
      </w:r>
      <w:r>
        <w:rPr>
          <w:rFonts w:hint="eastAsia" w:eastAsia="仿宋_GB2312"/>
          <w:kern w:val="0"/>
          <w:sz w:val="32"/>
          <w:szCs w:val="32"/>
        </w:rPr>
        <w:t>控制手柄</w:t>
      </w:r>
      <w:r>
        <w:rPr>
          <w:rFonts w:ascii="Times New Roman" w:hAnsi="Times New Roman" w:eastAsia="仿宋_GB2312"/>
          <w:kern w:val="0"/>
          <w:sz w:val="32"/>
          <w:szCs w:val="32"/>
        </w:rPr>
        <w:t>/</w:t>
      </w:r>
      <w:r>
        <w:rPr>
          <w:rFonts w:hint="eastAsia" w:eastAsia="仿宋_GB2312"/>
          <w:kern w:val="0"/>
          <w:sz w:val="32"/>
          <w:szCs w:val="32"/>
        </w:rPr>
        <w:t>治疗头组合应分别进行检测。</w:t>
      </w:r>
    </w:p>
    <w:p>
      <w:pPr>
        <w:autoSpaceDE w:val="0"/>
        <w:autoSpaceDN w:val="0"/>
        <w:spacing w:line="540" w:lineRule="exact"/>
        <w:ind w:firstLine="640" w:firstLineChars="200"/>
        <w:rPr>
          <w:rFonts w:eastAsia="仿宋_GB2312"/>
          <w:kern w:val="0"/>
          <w:sz w:val="32"/>
          <w:szCs w:val="32"/>
        </w:rPr>
      </w:pPr>
      <w:r>
        <w:rPr>
          <w:rFonts w:eastAsia="仿宋_GB2312"/>
          <w:kern w:val="0"/>
          <w:sz w:val="32"/>
          <w:szCs w:val="32"/>
        </w:rPr>
        <w:t>软件功能应符合说明书及软件描述文档中的功能描述。</w:t>
      </w:r>
    </w:p>
    <w:p>
      <w:pPr>
        <w:autoSpaceDE w:val="0"/>
        <w:autoSpaceDN w:val="0"/>
        <w:spacing w:line="540" w:lineRule="exact"/>
        <w:ind w:firstLine="640" w:firstLineChars="200"/>
        <w:rPr>
          <w:rFonts w:eastAsia="仿宋_GB2312"/>
          <w:kern w:val="0"/>
          <w:sz w:val="32"/>
          <w:szCs w:val="32"/>
        </w:rPr>
      </w:pPr>
      <w:r>
        <w:rPr>
          <w:rFonts w:eastAsia="仿宋_GB2312"/>
          <w:kern w:val="0"/>
          <w:sz w:val="32"/>
          <w:szCs w:val="32"/>
        </w:rPr>
        <w:t>若产品具有</w:t>
      </w:r>
      <w:r>
        <w:rPr>
          <w:rFonts w:eastAsia="仿宋_GB2312"/>
          <w:sz w:val="32"/>
          <w:szCs w:val="32"/>
        </w:rPr>
        <w:t>网络连接功能以进行电子数据交换</w:t>
      </w:r>
      <w:r>
        <w:rPr>
          <w:rFonts w:hint="eastAsia" w:eastAsia="仿宋_GB2312"/>
          <w:sz w:val="32"/>
          <w:szCs w:val="32"/>
        </w:rPr>
        <w:t>、</w:t>
      </w:r>
      <w:r>
        <w:rPr>
          <w:rFonts w:eastAsia="仿宋_GB2312"/>
          <w:sz w:val="32"/>
          <w:szCs w:val="32"/>
        </w:rPr>
        <w:t>远程监测</w:t>
      </w:r>
      <w:r>
        <w:rPr>
          <w:rFonts w:hint="eastAsia" w:eastAsia="仿宋_GB2312"/>
          <w:sz w:val="32"/>
          <w:szCs w:val="32"/>
        </w:rPr>
        <w:t>或采用存储媒介以进行电子数据交换的功能</w:t>
      </w:r>
      <w:r>
        <w:rPr>
          <w:rFonts w:eastAsia="仿宋_GB2312"/>
          <w:kern w:val="0"/>
          <w:sz w:val="32"/>
          <w:szCs w:val="32"/>
        </w:rPr>
        <w:t>，应</w:t>
      </w:r>
      <w:r>
        <w:rPr>
          <w:rFonts w:hint="eastAsia" w:eastAsia="仿宋_GB2312"/>
          <w:kern w:val="0"/>
          <w:sz w:val="32"/>
          <w:szCs w:val="32"/>
        </w:rPr>
        <w:t>根据</w:t>
      </w:r>
      <w:r>
        <w:rPr>
          <w:rFonts w:eastAsia="仿宋_GB2312"/>
          <w:sz w:val="32"/>
          <w:szCs w:val="32"/>
        </w:rPr>
        <w:t>《医疗器械网络安全注册技术审查指导原则》</w:t>
      </w:r>
      <w:r>
        <w:rPr>
          <w:rFonts w:eastAsia="仿宋_GB2312"/>
          <w:kern w:val="0"/>
          <w:sz w:val="32"/>
          <w:szCs w:val="32"/>
        </w:rPr>
        <w:t xml:space="preserve">制定相应要求。  </w:t>
      </w:r>
    </w:p>
    <w:p>
      <w:pPr>
        <w:autoSpaceDE w:val="0"/>
        <w:autoSpaceDN w:val="0"/>
        <w:spacing w:line="540" w:lineRule="exact"/>
        <w:ind w:firstLine="640" w:firstLineChars="200"/>
        <w:rPr>
          <w:rFonts w:eastAsia="仿宋_GB2312"/>
          <w:kern w:val="0"/>
          <w:sz w:val="32"/>
          <w:szCs w:val="32"/>
        </w:rPr>
      </w:pPr>
      <w:r>
        <w:rPr>
          <w:rFonts w:ascii="Times New Roman" w:hAnsi="Times New Roman" w:eastAsia="仿宋_GB2312"/>
          <w:kern w:val="0"/>
          <w:sz w:val="32"/>
          <w:szCs w:val="32"/>
        </w:rPr>
        <w:t>4.</w:t>
      </w:r>
      <w:r>
        <w:rPr>
          <w:rFonts w:eastAsia="仿宋_GB2312"/>
          <w:kern w:val="0"/>
          <w:sz w:val="32"/>
          <w:szCs w:val="32"/>
        </w:rPr>
        <w:t>安全性能</w:t>
      </w:r>
    </w:p>
    <w:p>
      <w:pPr>
        <w:autoSpaceDE w:val="0"/>
        <w:autoSpaceDN w:val="0"/>
        <w:spacing w:line="540" w:lineRule="exact"/>
        <w:ind w:firstLine="640" w:firstLineChars="200"/>
        <w:rPr>
          <w:rFonts w:eastAsia="仿宋_GB2312"/>
          <w:kern w:val="0"/>
          <w:sz w:val="32"/>
          <w:szCs w:val="32"/>
        </w:rPr>
      </w:pPr>
      <w:r>
        <w:rPr>
          <w:rFonts w:eastAsia="仿宋_GB2312"/>
          <w:kern w:val="0"/>
          <w:sz w:val="32"/>
          <w:szCs w:val="32"/>
        </w:rPr>
        <w:t>应符合</w:t>
      </w:r>
      <w:r>
        <w:rPr>
          <w:rFonts w:ascii="Times New Roman" w:hAnsi="Times New Roman" w:eastAsia="仿宋_GB2312"/>
          <w:kern w:val="0"/>
          <w:sz w:val="32"/>
          <w:szCs w:val="32"/>
        </w:rPr>
        <w:t>GB 9706.1</w:t>
      </w:r>
      <w:r>
        <w:rPr>
          <w:rFonts w:hint="eastAsia" w:ascii="Times New Roman" w:hAnsi="Times New Roman" w:eastAsia="仿宋_GB2312"/>
          <w:kern w:val="0"/>
          <w:sz w:val="32"/>
          <w:szCs w:val="32"/>
        </w:rPr>
        <w:t>—</w:t>
      </w:r>
      <w:r>
        <w:rPr>
          <w:rFonts w:ascii="Times New Roman" w:hAnsi="Times New Roman" w:eastAsia="仿宋_GB2312"/>
          <w:kern w:val="0"/>
          <w:sz w:val="32"/>
          <w:szCs w:val="32"/>
        </w:rPr>
        <w:t>2007</w:t>
      </w:r>
      <w:r>
        <w:rPr>
          <w:rFonts w:eastAsia="仿宋_GB2312"/>
          <w:kern w:val="0"/>
          <w:sz w:val="32"/>
          <w:szCs w:val="32"/>
        </w:rPr>
        <w:t>的要求</w:t>
      </w:r>
      <w:r>
        <w:rPr>
          <w:rFonts w:hint="eastAsia" w:eastAsia="仿宋_GB2312"/>
          <w:kern w:val="0"/>
          <w:sz w:val="32"/>
          <w:szCs w:val="32"/>
        </w:rPr>
        <w:t>。</w:t>
      </w:r>
    </w:p>
    <w:p>
      <w:pPr>
        <w:autoSpaceDE w:val="0"/>
        <w:autoSpaceDN w:val="0"/>
        <w:spacing w:line="540" w:lineRule="exact"/>
        <w:ind w:firstLine="640" w:firstLineChars="200"/>
        <w:rPr>
          <w:rFonts w:eastAsia="仿宋_GB2312"/>
          <w:kern w:val="0"/>
          <w:sz w:val="32"/>
          <w:szCs w:val="32"/>
        </w:rPr>
      </w:pPr>
      <w:r>
        <w:rPr>
          <w:rFonts w:ascii="Times New Roman" w:hAnsi="Times New Roman" w:eastAsia="仿宋_GB2312"/>
          <w:kern w:val="0"/>
          <w:sz w:val="32"/>
          <w:szCs w:val="32"/>
        </w:rPr>
        <w:t>5.</w:t>
      </w:r>
      <w:r>
        <w:rPr>
          <w:rFonts w:eastAsia="仿宋_GB2312"/>
          <w:kern w:val="0"/>
          <w:sz w:val="32"/>
          <w:szCs w:val="32"/>
        </w:rPr>
        <w:t>电磁兼容</w:t>
      </w:r>
      <w:r>
        <w:rPr>
          <w:rFonts w:eastAsia="仿宋_GB2312"/>
          <w:kern w:val="0"/>
          <w:sz w:val="32"/>
          <w:szCs w:val="32"/>
        </w:rPr>
        <w:tab/>
      </w:r>
    </w:p>
    <w:p>
      <w:pPr>
        <w:autoSpaceDE w:val="0"/>
        <w:autoSpaceDN w:val="0"/>
        <w:spacing w:line="540" w:lineRule="exact"/>
        <w:ind w:firstLine="640" w:firstLineChars="200"/>
        <w:rPr>
          <w:rFonts w:eastAsia="仿宋_GB2312"/>
          <w:kern w:val="0"/>
          <w:sz w:val="32"/>
          <w:szCs w:val="32"/>
        </w:rPr>
      </w:pPr>
      <w:r>
        <w:rPr>
          <w:rFonts w:eastAsia="仿宋_GB2312"/>
          <w:kern w:val="0"/>
          <w:sz w:val="32"/>
          <w:szCs w:val="32"/>
        </w:rPr>
        <w:t>应符合</w:t>
      </w:r>
      <w:r>
        <w:rPr>
          <w:rFonts w:ascii="Times New Roman" w:hAnsi="Times New Roman" w:eastAsia="仿宋_GB2312"/>
          <w:kern w:val="0"/>
          <w:sz w:val="32"/>
          <w:szCs w:val="32"/>
        </w:rPr>
        <w:t>YY 0505—2012</w:t>
      </w:r>
      <w:r>
        <w:rPr>
          <w:rFonts w:eastAsia="仿宋_GB2312"/>
          <w:kern w:val="0"/>
          <w:sz w:val="32"/>
          <w:szCs w:val="32"/>
        </w:rPr>
        <w:t>的要求。</w:t>
      </w:r>
      <w:r>
        <w:rPr>
          <w:rFonts w:hint="eastAsia" w:eastAsia="仿宋_GB2312"/>
          <w:kern w:val="0"/>
          <w:sz w:val="32"/>
          <w:szCs w:val="32"/>
        </w:rPr>
        <w:t>（应明确电磁兼容分组分类）</w:t>
      </w:r>
    </w:p>
    <w:p>
      <w:pPr>
        <w:autoSpaceDE w:val="0"/>
        <w:autoSpaceDN w:val="0"/>
        <w:spacing w:line="540" w:lineRule="exact"/>
        <w:ind w:firstLine="640" w:firstLineChars="200"/>
        <w:rPr>
          <w:rFonts w:eastAsia="仿宋_GB2312"/>
          <w:kern w:val="0"/>
          <w:sz w:val="32"/>
          <w:szCs w:val="32"/>
        </w:rPr>
      </w:pPr>
      <w:r>
        <w:rPr>
          <w:rFonts w:ascii="Times New Roman" w:hAnsi="Times New Roman" w:eastAsia="仿宋_GB2312"/>
          <w:kern w:val="0"/>
          <w:sz w:val="32"/>
          <w:szCs w:val="32"/>
        </w:rPr>
        <w:t>6.</w:t>
      </w:r>
      <w:r>
        <w:rPr>
          <w:rFonts w:eastAsia="仿宋_GB2312"/>
          <w:kern w:val="0"/>
          <w:sz w:val="32"/>
          <w:szCs w:val="32"/>
        </w:rPr>
        <w:t>环境试验</w:t>
      </w:r>
    </w:p>
    <w:p>
      <w:pPr>
        <w:autoSpaceDE w:val="0"/>
        <w:autoSpaceDN w:val="0"/>
        <w:spacing w:line="540" w:lineRule="exact"/>
        <w:ind w:firstLine="640" w:firstLineChars="200"/>
        <w:rPr>
          <w:rFonts w:eastAsia="仿宋_GB2312"/>
          <w:kern w:val="0"/>
          <w:sz w:val="32"/>
          <w:szCs w:val="32"/>
        </w:rPr>
      </w:pPr>
      <w:r>
        <w:rPr>
          <w:rFonts w:eastAsia="仿宋_GB2312"/>
          <w:kern w:val="0"/>
          <w:sz w:val="32"/>
          <w:szCs w:val="32"/>
        </w:rPr>
        <w:t>应符合</w:t>
      </w:r>
      <w:r>
        <w:rPr>
          <w:rFonts w:ascii="Times New Roman" w:hAnsi="Times New Roman" w:eastAsia="仿宋_GB2312"/>
          <w:kern w:val="0"/>
          <w:sz w:val="32"/>
          <w:szCs w:val="32"/>
        </w:rPr>
        <w:t>GB/T 14710</w:t>
      </w:r>
      <w:r>
        <w:rPr>
          <w:rFonts w:hint="eastAsia" w:ascii="Times New Roman" w:hAnsi="Times New Roman" w:eastAsia="仿宋_GB2312"/>
          <w:kern w:val="0"/>
          <w:sz w:val="32"/>
          <w:szCs w:val="32"/>
        </w:rPr>
        <w:t>—</w:t>
      </w:r>
      <w:r>
        <w:rPr>
          <w:rFonts w:ascii="Times New Roman" w:hAnsi="Times New Roman" w:eastAsia="仿宋_GB2312"/>
          <w:kern w:val="0"/>
          <w:sz w:val="32"/>
          <w:szCs w:val="32"/>
        </w:rPr>
        <w:t>2009</w:t>
      </w:r>
      <w:r>
        <w:rPr>
          <w:rFonts w:eastAsia="仿宋_GB2312"/>
          <w:kern w:val="0"/>
          <w:sz w:val="32"/>
          <w:szCs w:val="32"/>
        </w:rPr>
        <w:t>的要求。</w:t>
      </w:r>
    </w:p>
    <w:p>
      <w:pPr>
        <w:autoSpaceDE w:val="0"/>
        <w:autoSpaceDN w:val="0"/>
        <w:spacing w:line="540" w:lineRule="exact"/>
        <w:ind w:firstLine="640" w:firstLineChars="200"/>
        <w:rPr>
          <w:rFonts w:eastAsia="仿宋_GB2312"/>
          <w:kern w:val="0"/>
          <w:sz w:val="32"/>
          <w:szCs w:val="32"/>
        </w:rPr>
      </w:pPr>
      <w:r>
        <w:rPr>
          <w:rFonts w:eastAsia="仿宋_GB2312"/>
          <w:kern w:val="0"/>
          <w:sz w:val="32"/>
          <w:szCs w:val="32"/>
        </w:rPr>
        <w:t>应逐项审查上述要求和检验结果是否符合规定。</w:t>
      </w:r>
    </w:p>
    <w:p>
      <w:pPr>
        <w:spacing w:line="520" w:lineRule="exact"/>
        <w:ind w:right="-67" w:rightChars="-32" w:firstLine="640" w:firstLineChars="200"/>
        <w:outlineLvl w:val="1"/>
        <w:rPr>
          <w:rFonts w:eastAsia="楷体_GB2312"/>
          <w:sz w:val="32"/>
          <w:szCs w:val="32"/>
        </w:rPr>
      </w:pPr>
      <w:r>
        <w:rPr>
          <w:rFonts w:eastAsia="楷体_GB2312"/>
          <w:sz w:val="32"/>
          <w:szCs w:val="32"/>
        </w:rPr>
        <w:t>（十）同一注册单元内注册检验代表产品确定原则和实例</w:t>
      </w:r>
    </w:p>
    <w:p>
      <w:pPr>
        <w:autoSpaceDE w:val="0"/>
        <w:autoSpaceDN w:val="0"/>
        <w:spacing w:line="520" w:lineRule="exact"/>
        <w:ind w:firstLine="640" w:firstLineChars="200"/>
        <w:rPr>
          <w:rFonts w:eastAsia="仿宋_GB2312"/>
          <w:kern w:val="0"/>
          <w:sz w:val="32"/>
          <w:szCs w:val="32"/>
        </w:rPr>
      </w:pPr>
      <w:r>
        <w:rPr>
          <w:rFonts w:eastAsia="仿宋_GB2312"/>
          <w:kern w:val="0"/>
          <w:sz w:val="32"/>
          <w:szCs w:val="32"/>
        </w:rPr>
        <w:t>注册检验代表产品应是同一注册单元内能够代表本单元内其他产品安全性和有效性的产品</w:t>
      </w:r>
      <w:r>
        <w:rPr>
          <w:rFonts w:hint="eastAsia" w:eastAsia="仿宋_GB2312"/>
          <w:kern w:val="0"/>
          <w:sz w:val="32"/>
          <w:szCs w:val="32"/>
        </w:rPr>
        <w:t>，</w:t>
      </w:r>
      <w:r>
        <w:rPr>
          <w:rFonts w:eastAsia="仿宋_GB2312"/>
          <w:kern w:val="0"/>
          <w:sz w:val="32"/>
          <w:szCs w:val="32"/>
        </w:rPr>
        <w:t>应充分考虑产品功能、结构组成、控制方式及其他风险等方面</w:t>
      </w:r>
      <w:r>
        <w:rPr>
          <w:rFonts w:hint="eastAsia" w:eastAsia="仿宋_GB2312"/>
          <w:kern w:val="0"/>
          <w:sz w:val="32"/>
          <w:szCs w:val="32"/>
        </w:rPr>
        <w:t>；代表产品应是功能最齐全、结构最复杂、风险最高的产品。</w:t>
      </w:r>
    </w:p>
    <w:p>
      <w:pPr>
        <w:autoSpaceDE w:val="0"/>
        <w:autoSpaceDN w:val="0"/>
        <w:spacing w:line="520" w:lineRule="exact"/>
        <w:ind w:firstLine="640" w:firstLineChars="200"/>
        <w:rPr>
          <w:rFonts w:eastAsia="仿宋_GB2312"/>
          <w:kern w:val="0"/>
          <w:sz w:val="32"/>
          <w:szCs w:val="32"/>
        </w:rPr>
      </w:pPr>
      <w:r>
        <w:rPr>
          <w:rFonts w:eastAsia="仿宋_GB2312"/>
          <w:kern w:val="0"/>
          <w:sz w:val="32"/>
          <w:szCs w:val="32"/>
        </w:rPr>
        <w:t>注册单元内各型号的主要安全指标、性能指标不能被代表型号全部涵盖时，则应选择涵盖安全指标、性能指标最多的产品作为代表产品，同时还应考虑其他型号中未被代表型号所涵盖的安全指标及性能指标。</w:t>
      </w:r>
    </w:p>
    <w:p>
      <w:pPr>
        <w:autoSpaceDE w:val="0"/>
        <w:autoSpaceDN w:val="0"/>
        <w:spacing w:line="520" w:lineRule="exact"/>
        <w:ind w:firstLine="640" w:firstLineChars="200"/>
        <w:rPr>
          <w:rFonts w:eastAsia="仿宋_GB2312"/>
          <w:kern w:val="0"/>
          <w:sz w:val="32"/>
          <w:szCs w:val="32"/>
        </w:rPr>
      </w:pPr>
      <w:r>
        <w:rPr>
          <w:rFonts w:hint="eastAsia" w:eastAsia="仿宋_GB2312"/>
          <w:kern w:val="0"/>
          <w:sz w:val="32"/>
          <w:szCs w:val="32"/>
        </w:rPr>
        <w:t>该产品典型型号的选择应着重考虑以下因素：结构组成（如台式和立式）、工作压力、工作频率、输出通道、关键元器件异同等。</w:t>
      </w:r>
    </w:p>
    <w:p>
      <w:pPr>
        <w:spacing w:line="520" w:lineRule="exact"/>
        <w:ind w:right="-67" w:rightChars="-32" w:firstLine="640" w:firstLineChars="200"/>
        <w:outlineLvl w:val="1"/>
        <w:rPr>
          <w:rFonts w:eastAsia="楷体_GB2312"/>
          <w:sz w:val="32"/>
          <w:szCs w:val="32"/>
        </w:rPr>
      </w:pPr>
      <w:r>
        <w:rPr>
          <w:rFonts w:eastAsia="楷体_GB2312"/>
          <w:sz w:val="32"/>
          <w:szCs w:val="32"/>
        </w:rPr>
        <w:t>（十一）产品生产制造相关要求</w:t>
      </w:r>
    </w:p>
    <w:p>
      <w:pPr>
        <w:spacing w:line="520" w:lineRule="exact"/>
        <w:ind w:firstLine="640" w:firstLineChars="200"/>
        <w:jc w:val="left"/>
        <w:rPr>
          <w:rFonts w:eastAsia="仿宋_GB2312"/>
          <w:sz w:val="32"/>
          <w:szCs w:val="32"/>
        </w:rPr>
      </w:pPr>
      <w:r>
        <w:rPr>
          <w:rFonts w:eastAsia="仿宋_GB2312"/>
          <w:sz w:val="32"/>
          <w:szCs w:val="32"/>
        </w:rPr>
        <w:t>应当明确产品生产工艺过程，可采用流程图的形式，并说明其过程控制点</w:t>
      </w:r>
      <w:r>
        <w:rPr>
          <w:rFonts w:hint="eastAsia" w:eastAsia="仿宋_GB2312"/>
          <w:sz w:val="32"/>
          <w:szCs w:val="32"/>
        </w:rPr>
        <w:t>，特别是关键工序和特殊过程</w:t>
      </w:r>
      <w:r>
        <w:rPr>
          <w:rFonts w:eastAsia="仿宋_GB2312"/>
          <w:sz w:val="32"/>
          <w:szCs w:val="32"/>
        </w:rPr>
        <w:t>。</w:t>
      </w:r>
    </w:p>
    <w:p>
      <w:pPr>
        <w:spacing w:line="520" w:lineRule="exact"/>
        <w:ind w:firstLine="640" w:firstLineChars="200"/>
        <w:jc w:val="left"/>
        <w:rPr>
          <w:rFonts w:eastAsia="仿宋_GB2312"/>
          <w:sz w:val="32"/>
          <w:szCs w:val="32"/>
        </w:rPr>
      </w:pPr>
      <w:r>
        <w:rPr>
          <w:rFonts w:eastAsia="仿宋_GB2312"/>
          <w:sz w:val="32"/>
          <w:szCs w:val="32"/>
        </w:rPr>
        <w:t>本类产品的关键过程一般包括</w:t>
      </w:r>
      <w:r>
        <w:rPr>
          <w:rFonts w:hint="eastAsia" w:eastAsia="仿宋_GB2312"/>
          <w:sz w:val="32"/>
          <w:szCs w:val="32"/>
        </w:rPr>
        <w:t>整机线路板调试</w:t>
      </w:r>
      <w:r>
        <w:rPr>
          <w:rFonts w:eastAsia="仿宋_GB2312"/>
          <w:sz w:val="32"/>
          <w:szCs w:val="32"/>
        </w:rPr>
        <w:t>等。但当上述过程中的一个或多个通过外包的方式来实现时，生产企业应对外包过程实施有效控制。</w:t>
      </w:r>
    </w:p>
    <w:p>
      <w:pPr>
        <w:spacing w:line="520" w:lineRule="exact"/>
        <w:ind w:firstLine="640" w:firstLineChars="200"/>
        <w:jc w:val="left"/>
        <w:rPr>
          <w:rFonts w:eastAsia="仿宋_GB2312"/>
          <w:sz w:val="32"/>
          <w:szCs w:val="32"/>
        </w:rPr>
      </w:pPr>
      <w:r>
        <w:rPr>
          <w:rFonts w:eastAsia="仿宋_GB2312"/>
          <w:sz w:val="32"/>
          <w:szCs w:val="32"/>
        </w:rPr>
        <w:t>有多个研制、生产场地，应当分别明确每个研制、生产场地的生产制造和检验等具体情况。</w:t>
      </w:r>
    </w:p>
    <w:p>
      <w:pPr>
        <w:tabs>
          <w:tab w:val="left" w:pos="851"/>
        </w:tabs>
        <w:spacing w:line="520" w:lineRule="exact"/>
        <w:ind w:right="-67" w:rightChars="-32" w:firstLine="640" w:firstLineChars="200"/>
        <w:outlineLvl w:val="1"/>
        <w:rPr>
          <w:rFonts w:eastAsia="楷体_GB2312"/>
          <w:sz w:val="32"/>
          <w:szCs w:val="32"/>
        </w:rPr>
      </w:pPr>
      <w:r>
        <w:rPr>
          <w:rFonts w:eastAsia="楷体_GB2312"/>
          <w:sz w:val="32"/>
          <w:szCs w:val="32"/>
        </w:rPr>
        <w:t>（十二）产品的临床评价要求</w:t>
      </w:r>
    </w:p>
    <w:p>
      <w:pPr>
        <w:tabs>
          <w:tab w:val="left" w:pos="3948"/>
        </w:tabs>
        <w:spacing w:line="520" w:lineRule="exact"/>
        <w:ind w:firstLine="640" w:firstLineChars="200"/>
        <w:rPr>
          <w:rFonts w:eastAsia="仿宋_GB2312"/>
          <w:color w:val="000000"/>
          <w:sz w:val="32"/>
          <w:szCs w:val="32"/>
        </w:rPr>
      </w:pPr>
      <w:r>
        <w:rPr>
          <w:rFonts w:hint="eastAsia" w:eastAsia="仿宋_GB2312"/>
          <w:color w:val="000000"/>
          <w:sz w:val="32"/>
          <w:szCs w:val="32"/>
        </w:rPr>
        <w:t>临床评价应按照《医疗器械注册管理办法》（国家食品药品监督管理总局令</w:t>
      </w:r>
      <w:r>
        <w:rPr>
          <w:rFonts w:ascii="Times New Roman" w:hAnsi="Times New Roman" w:eastAsia="仿宋_GB2312"/>
          <w:color w:val="000000"/>
          <w:sz w:val="32"/>
          <w:szCs w:val="32"/>
        </w:rPr>
        <w:t>4</w:t>
      </w:r>
      <w:r>
        <w:rPr>
          <w:rFonts w:hint="eastAsia" w:eastAsia="仿宋_GB2312"/>
          <w:color w:val="000000"/>
          <w:sz w:val="32"/>
          <w:szCs w:val="32"/>
        </w:rPr>
        <w:t>号）、《医疗器械临床评价技术指导原则》（国家食品药品监督管理总局通告</w:t>
      </w:r>
      <w:r>
        <w:rPr>
          <w:rFonts w:ascii="Times New Roman" w:hAnsi="Times New Roman" w:eastAsia="仿宋_GB2312"/>
          <w:color w:val="000000"/>
          <w:sz w:val="32"/>
          <w:szCs w:val="32"/>
        </w:rPr>
        <w:t>2015</w:t>
      </w:r>
      <w:r>
        <w:rPr>
          <w:rFonts w:hint="eastAsia" w:eastAsia="仿宋_GB2312"/>
          <w:color w:val="000000"/>
          <w:sz w:val="32"/>
          <w:szCs w:val="32"/>
        </w:rPr>
        <w:t>年第</w:t>
      </w:r>
      <w:r>
        <w:rPr>
          <w:rFonts w:ascii="Times New Roman" w:hAnsi="Times New Roman" w:eastAsia="仿宋_GB2312"/>
          <w:color w:val="000000"/>
          <w:sz w:val="32"/>
          <w:szCs w:val="32"/>
        </w:rPr>
        <w:t>14</w:t>
      </w:r>
      <w:r>
        <w:rPr>
          <w:rFonts w:hint="eastAsia" w:eastAsia="仿宋_GB2312"/>
          <w:color w:val="000000"/>
          <w:sz w:val="32"/>
          <w:szCs w:val="32"/>
        </w:rPr>
        <w:t>号）及相关法规中的规定要求进行</w:t>
      </w:r>
      <w:r>
        <w:rPr>
          <w:rFonts w:eastAsia="仿宋_GB2312"/>
          <w:color w:val="000000"/>
          <w:sz w:val="32"/>
          <w:szCs w:val="32"/>
        </w:rPr>
        <w:t>。</w:t>
      </w:r>
    </w:p>
    <w:p>
      <w:pPr>
        <w:tabs>
          <w:tab w:val="left" w:pos="3948"/>
        </w:tabs>
        <w:spacing w:line="540" w:lineRule="exact"/>
        <w:ind w:firstLine="640" w:firstLineChars="200"/>
        <w:rPr>
          <w:rFonts w:eastAsia="仿宋_GB2312"/>
          <w:color w:val="000000"/>
          <w:kern w:val="0"/>
          <w:sz w:val="32"/>
          <w:szCs w:val="32"/>
        </w:rPr>
      </w:pPr>
      <w:r>
        <w:rPr>
          <w:rFonts w:ascii="Times New Roman" w:hAnsi="Times New Roman" w:eastAsia="仿宋_GB2312"/>
          <w:color w:val="000000"/>
          <w:kern w:val="0"/>
          <w:sz w:val="32"/>
          <w:szCs w:val="32"/>
        </w:rPr>
        <w:t>1.</w:t>
      </w:r>
      <w:r>
        <w:rPr>
          <w:rFonts w:hint="eastAsia" w:eastAsia="仿宋_GB2312"/>
          <w:color w:val="000000"/>
          <w:kern w:val="0"/>
          <w:sz w:val="32"/>
          <w:szCs w:val="32"/>
        </w:rPr>
        <w:t>通过同品种产品临床数据进行评价</w:t>
      </w:r>
    </w:p>
    <w:p>
      <w:pPr>
        <w:tabs>
          <w:tab w:val="left" w:pos="3948"/>
        </w:tabs>
        <w:spacing w:line="540" w:lineRule="exact"/>
        <w:ind w:firstLine="640" w:firstLineChars="200"/>
        <w:rPr>
          <w:rFonts w:eastAsia="仿宋_GB2312"/>
          <w:color w:val="000000"/>
          <w:kern w:val="0"/>
          <w:sz w:val="32"/>
          <w:szCs w:val="32"/>
        </w:rPr>
      </w:pPr>
      <w:r>
        <w:rPr>
          <w:rFonts w:hint="eastAsia" w:eastAsia="仿宋_GB2312"/>
          <w:color w:val="000000"/>
          <w:kern w:val="0"/>
          <w:sz w:val="32"/>
          <w:szCs w:val="32"/>
        </w:rPr>
        <w:t>对于通过同品种产品临床数据来进行评价的设备，申请人应依据其特点来选取拟进行比对的境内已上市同品种产品，并按照《医疗器械临床评价技术指导原则》中申报产品与同品种医疗器械的对比项目（有源医疗器械）逐条比对。</w:t>
      </w:r>
    </w:p>
    <w:p>
      <w:pPr>
        <w:tabs>
          <w:tab w:val="left" w:pos="3948"/>
        </w:tabs>
        <w:spacing w:line="540" w:lineRule="exact"/>
        <w:ind w:firstLine="640" w:firstLineChars="200"/>
        <w:rPr>
          <w:rFonts w:eastAsia="仿宋_GB2312"/>
          <w:color w:val="000000"/>
          <w:kern w:val="0"/>
          <w:sz w:val="32"/>
          <w:szCs w:val="32"/>
        </w:rPr>
      </w:pPr>
      <w:r>
        <w:rPr>
          <w:rFonts w:hint="eastAsia" w:eastAsia="仿宋_GB2312"/>
          <w:color w:val="000000"/>
          <w:kern w:val="0"/>
          <w:sz w:val="32"/>
          <w:szCs w:val="32"/>
        </w:rPr>
        <w:t>申报产品的基本原理、结构组成、适用范围、使用方法和性能要求（重点关注治疗头规格、工作压力、能量密度、穿透深度、碰撞频率、脉宽）应与同品种产品基本等同。</w:t>
      </w:r>
    </w:p>
    <w:p>
      <w:pPr>
        <w:tabs>
          <w:tab w:val="left" w:pos="3948"/>
        </w:tabs>
        <w:spacing w:line="540" w:lineRule="exact"/>
        <w:ind w:firstLine="640" w:firstLineChars="200"/>
        <w:rPr>
          <w:rFonts w:eastAsia="仿宋_GB2312"/>
          <w:color w:val="000000"/>
          <w:kern w:val="0"/>
          <w:sz w:val="32"/>
          <w:szCs w:val="32"/>
        </w:rPr>
      </w:pPr>
      <w:r>
        <w:rPr>
          <w:rFonts w:hint="eastAsia" w:eastAsia="仿宋_GB2312"/>
          <w:color w:val="000000"/>
          <w:kern w:val="0"/>
          <w:sz w:val="32"/>
          <w:szCs w:val="32"/>
        </w:rPr>
        <w:t>若申报产品与同品种产品存在差异性，应依据《医疗器械临床评价技术指导原则》（国家食品药品监督管理总局通告</w:t>
      </w:r>
      <w:r>
        <w:rPr>
          <w:rFonts w:ascii="Times New Roman" w:hAnsi="Times New Roman" w:eastAsia="仿宋_GB2312"/>
          <w:color w:val="000000"/>
          <w:kern w:val="0"/>
          <w:sz w:val="32"/>
          <w:szCs w:val="32"/>
        </w:rPr>
        <w:t>2015</w:t>
      </w:r>
      <w:r>
        <w:rPr>
          <w:rFonts w:hint="eastAsia" w:eastAsia="仿宋_GB2312"/>
          <w:color w:val="000000"/>
          <w:kern w:val="0"/>
          <w:sz w:val="32"/>
          <w:szCs w:val="32"/>
        </w:rPr>
        <w:t>年第</w:t>
      </w:r>
      <w:r>
        <w:rPr>
          <w:rFonts w:ascii="Times New Roman" w:hAnsi="Times New Roman" w:eastAsia="仿宋_GB2312"/>
          <w:color w:val="000000"/>
          <w:kern w:val="0"/>
          <w:sz w:val="32"/>
          <w:szCs w:val="32"/>
        </w:rPr>
        <w:t>14</w:t>
      </w:r>
      <w:r>
        <w:rPr>
          <w:rFonts w:hint="eastAsia" w:eastAsia="仿宋_GB2312"/>
          <w:color w:val="000000"/>
          <w:kern w:val="0"/>
          <w:sz w:val="32"/>
          <w:szCs w:val="32"/>
        </w:rPr>
        <w:t>号）中相关要求，提供差异性不会对安全有效性产生不利影响的支持性资料。对于基本原理、结构组成、适用范围、使用方法和性能要求需重点考虑的条款，如存在显著性差异，考虑到各项内容与临床使用的相关性，难以通过非临床验证的方式来证明</w:t>
      </w:r>
      <w:r>
        <w:rPr>
          <w:rFonts w:hint="eastAsia" w:ascii="Times New Roman" w:hAnsi="Times New Roman" w:eastAsia="仿宋_GB2312"/>
          <w:color w:val="000000"/>
          <w:spacing w:val="-4"/>
          <w:sz w:val="32"/>
          <w:szCs w:val="32"/>
        </w:rPr>
        <w:t>差异性是否对产品的安全有效性产生不利影响</w:t>
      </w:r>
      <w:r>
        <w:rPr>
          <w:rFonts w:hint="eastAsia" w:eastAsia="仿宋_GB2312"/>
          <w:color w:val="000000"/>
          <w:kern w:val="0"/>
          <w:sz w:val="32"/>
          <w:szCs w:val="32"/>
        </w:rPr>
        <w:t>，应提供申报产品自身的临床数据作为支持性资料。</w:t>
      </w:r>
    </w:p>
    <w:p>
      <w:pPr>
        <w:tabs>
          <w:tab w:val="left" w:pos="3948"/>
        </w:tabs>
        <w:spacing w:line="540" w:lineRule="exact"/>
        <w:ind w:firstLine="640" w:firstLineChars="200"/>
        <w:rPr>
          <w:rFonts w:eastAsia="仿宋_GB2312"/>
          <w:color w:val="000000"/>
          <w:kern w:val="0"/>
          <w:sz w:val="32"/>
          <w:szCs w:val="32"/>
        </w:rPr>
      </w:pPr>
      <w:r>
        <w:rPr>
          <w:rFonts w:hint="eastAsia" w:eastAsia="仿宋_GB2312"/>
          <w:color w:val="000000"/>
          <w:kern w:val="0"/>
          <w:sz w:val="32"/>
          <w:szCs w:val="32"/>
        </w:rPr>
        <w:t>所提交支持性资料如能够证明申报产品的差异不会对安全有效性产生不利影响，则可认为二者</w:t>
      </w:r>
      <w:r>
        <w:rPr>
          <w:rFonts w:hint="eastAsia" w:eastAsia="仿宋_GB2312"/>
          <w:color w:val="000000"/>
          <w:sz w:val="32"/>
          <w:szCs w:val="32"/>
        </w:rPr>
        <w:t>基本等同</w:t>
      </w:r>
      <w:r>
        <w:rPr>
          <w:rFonts w:hint="eastAsia" w:eastAsia="仿宋_GB2312"/>
          <w:color w:val="000000"/>
          <w:kern w:val="0"/>
          <w:sz w:val="32"/>
          <w:szCs w:val="32"/>
        </w:rPr>
        <w:t>。申请人应收集同品种医疗器械临床试验或临床使用获得的数据并进行分析评价，以确认申报产品在正常使用条件下可达到预期性能，与预期受益相比较，产品的风险可接受。</w:t>
      </w:r>
    </w:p>
    <w:p>
      <w:pPr>
        <w:tabs>
          <w:tab w:val="left" w:pos="3948"/>
        </w:tabs>
        <w:spacing w:line="540" w:lineRule="exact"/>
        <w:ind w:firstLine="640" w:firstLineChars="200"/>
        <w:rPr>
          <w:rFonts w:eastAsia="仿宋_GB2312"/>
          <w:color w:val="000000"/>
          <w:kern w:val="0"/>
          <w:sz w:val="32"/>
          <w:szCs w:val="32"/>
        </w:rPr>
      </w:pPr>
      <w:r>
        <w:rPr>
          <w:rFonts w:ascii="Times New Roman" w:hAnsi="Times New Roman" w:eastAsia="仿宋_GB2312"/>
          <w:color w:val="000000"/>
          <w:kern w:val="0"/>
          <w:sz w:val="32"/>
          <w:szCs w:val="32"/>
        </w:rPr>
        <w:t>2.</w:t>
      </w:r>
      <w:r>
        <w:rPr>
          <w:rFonts w:hint="eastAsia" w:eastAsia="仿宋_GB2312"/>
          <w:color w:val="000000"/>
          <w:kern w:val="0"/>
          <w:sz w:val="32"/>
          <w:szCs w:val="32"/>
        </w:rPr>
        <w:t>开展临床试验</w:t>
      </w:r>
    </w:p>
    <w:p>
      <w:pPr>
        <w:tabs>
          <w:tab w:val="left" w:pos="3948"/>
        </w:tabs>
        <w:spacing w:line="540" w:lineRule="exact"/>
        <w:ind w:firstLine="640" w:firstLineChars="200"/>
        <w:rPr>
          <w:rFonts w:eastAsia="仿宋"/>
          <w:color w:val="0000FF"/>
          <w:kern w:val="0"/>
          <w:sz w:val="32"/>
          <w:szCs w:val="32"/>
        </w:rPr>
      </w:pPr>
      <w:r>
        <w:rPr>
          <w:rFonts w:hint="eastAsia" w:eastAsia="仿宋_GB2312"/>
          <w:color w:val="000000"/>
          <w:kern w:val="0"/>
          <w:sz w:val="32"/>
          <w:szCs w:val="32"/>
        </w:rPr>
        <w:t>如需开展临床试验，</w:t>
      </w:r>
      <w:r>
        <w:rPr>
          <w:rFonts w:eastAsia="仿宋_GB2312"/>
          <w:color w:val="000000"/>
          <w:kern w:val="0"/>
          <w:sz w:val="32"/>
          <w:szCs w:val="32"/>
        </w:rPr>
        <w:t>申请人应</w:t>
      </w:r>
      <w:r>
        <w:rPr>
          <w:rFonts w:hint="eastAsia" w:eastAsia="仿宋_GB2312"/>
          <w:color w:val="000000"/>
          <w:kern w:val="0"/>
          <w:sz w:val="32"/>
          <w:szCs w:val="32"/>
        </w:rPr>
        <w:t>按照《医疗器械临床试验质量管理规范》开展临床试验。</w:t>
      </w:r>
    </w:p>
    <w:p>
      <w:pPr>
        <w:spacing w:line="520" w:lineRule="exact"/>
        <w:ind w:right="-67" w:rightChars="-32" w:firstLine="640" w:firstLineChars="200"/>
        <w:outlineLvl w:val="1"/>
        <w:rPr>
          <w:rFonts w:eastAsia="楷体_GB2312"/>
          <w:sz w:val="32"/>
          <w:szCs w:val="32"/>
        </w:rPr>
      </w:pPr>
      <w:r>
        <w:rPr>
          <w:rFonts w:eastAsia="楷体_GB2312"/>
          <w:sz w:val="32"/>
          <w:szCs w:val="32"/>
        </w:rPr>
        <w:t>（十三）产品的不良事件历史记录</w:t>
      </w:r>
    </w:p>
    <w:p>
      <w:pPr>
        <w:autoSpaceDE w:val="0"/>
        <w:autoSpaceDN w:val="0"/>
        <w:spacing w:line="520" w:lineRule="exact"/>
        <w:ind w:firstLine="640" w:firstLineChars="200"/>
        <w:rPr>
          <w:rFonts w:ascii="仿宋_GB2312" w:eastAsia="仿宋_GB2312"/>
          <w:kern w:val="0"/>
          <w:sz w:val="24"/>
          <w:szCs w:val="20"/>
        </w:rPr>
      </w:pPr>
      <w:r>
        <w:rPr>
          <w:rFonts w:hint="eastAsia" w:ascii="仿宋_GB2312" w:hAnsi="仿宋" w:eastAsia="仿宋_GB2312"/>
          <w:kern w:val="0"/>
          <w:sz w:val="32"/>
          <w:szCs w:val="32"/>
        </w:rPr>
        <w:t>注册申请人应关注和检索不良事件并提供产品不良事件的监测记录。</w:t>
      </w:r>
    </w:p>
    <w:p>
      <w:pPr>
        <w:spacing w:line="520" w:lineRule="exact"/>
        <w:ind w:right="-67" w:rightChars="-32" w:firstLine="640" w:firstLineChars="200"/>
        <w:outlineLvl w:val="1"/>
        <w:rPr>
          <w:rFonts w:eastAsia="楷体_GB2312"/>
          <w:sz w:val="32"/>
          <w:szCs w:val="32"/>
        </w:rPr>
      </w:pPr>
      <w:r>
        <w:rPr>
          <w:rFonts w:eastAsia="楷体_GB2312"/>
          <w:sz w:val="32"/>
          <w:szCs w:val="32"/>
        </w:rPr>
        <w:t>（十四）产品说明书和标签要求</w:t>
      </w:r>
    </w:p>
    <w:p>
      <w:pPr>
        <w:autoSpaceDE w:val="0"/>
        <w:autoSpaceDN w:val="0"/>
        <w:spacing w:line="520" w:lineRule="exact"/>
        <w:ind w:firstLine="656" w:firstLineChars="200"/>
        <w:rPr>
          <w:rFonts w:eastAsia="仿宋_GB2312"/>
          <w:spacing w:val="4"/>
          <w:kern w:val="0"/>
          <w:sz w:val="32"/>
          <w:szCs w:val="32"/>
        </w:rPr>
      </w:pPr>
      <w:r>
        <w:rPr>
          <w:rFonts w:eastAsia="仿宋_GB2312"/>
          <w:spacing w:val="4"/>
          <w:kern w:val="0"/>
          <w:sz w:val="32"/>
          <w:szCs w:val="32"/>
        </w:rPr>
        <w:t>说明书、标签</w:t>
      </w:r>
      <w:r>
        <w:rPr>
          <w:rFonts w:hint="eastAsia" w:eastAsia="仿宋_GB2312"/>
          <w:spacing w:val="4"/>
          <w:kern w:val="0"/>
          <w:sz w:val="32"/>
          <w:szCs w:val="32"/>
        </w:rPr>
        <w:t>、包装标识</w:t>
      </w:r>
      <w:r>
        <w:rPr>
          <w:rFonts w:eastAsia="仿宋_GB2312"/>
          <w:spacing w:val="4"/>
          <w:kern w:val="0"/>
          <w:sz w:val="32"/>
          <w:szCs w:val="32"/>
        </w:rPr>
        <w:t>应符合《医疗器械说明书和标签管理规定》</w:t>
      </w:r>
      <w:r>
        <w:rPr>
          <w:rFonts w:hint="eastAsia" w:eastAsia="仿宋_GB2312"/>
          <w:spacing w:val="4"/>
          <w:kern w:val="0"/>
          <w:sz w:val="32"/>
          <w:szCs w:val="32"/>
        </w:rPr>
        <w:t>（国家食品药品监督管理总局令第</w:t>
      </w:r>
      <w:r>
        <w:rPr>
          <w:rFonts w:ascii="Times New Roman" w:hAnsi="Times New Roman" w:eastAsia="仿宋_GB2312"/>
          <w:spacing w:val="4"/>
          <w:kern w:val="0"/>
          <w:sz w:val="32"/>
          <w:szCs w:val="32"/>
        </w:rPr>
        <w:t>6</w:t>
      </w:r>
      <w:r>
        <w:rPr>
          <w:rFonts w:hint="eastAsia" w:eastAsia="仿宋_GB2312"/>
          <w:spacing w:val="4"/>
          <w:kern w:val="0"/>
          <w:sz w:val="32"/>
          <w:szCs w:val="32"/>
        </w:rPr>
        <w:t>号）、</w:t>
      </w:r>
      <w:r>
        <w:rPr>
          <w:rFonts w:ascii="Times New Roman" w:hAnsi="Times New Roman" w:eastAsia="仿宋_GB2312"/>
          <w:sz w:val="32"/>
          <w:szCs w:val="22"/>
        </w:rPr>
        <w:t>GB 9706.1</w:t>
      </w:r>
      <w:r>
        <w:rPr>
          <w:rFonts w:eastAsia="仿宋_GB2312"/>
          <w:sz w:val="32"/>
          <w:szCs w:val="22"/>
        </w:rPr>
        <w:t>、</w:t>
      </w:r>
      <w:r>
        <w:rPr>
          <w:rFonts w:ascii="Times New Roman" w:hAnsi="Times New Roman" w:eastAsia="仿宋_GB2312"/>
          <w:sz w:val="32"/>
          <w:szCs w:val="32"/>
        </w:rPr>
        <w:t>YY/T 0466.1</w:t>
      </w:r>
      <w:r>
        <w:rPr>
          <w:rFonts w:hint="eastAsia" w:ascii="Times New Roman" w:hAnsi="Times New Roman" w:eastAsia="仿宋_GB2312"/>
          <w:sz w:val="32"/>
          <w:szCs w:val="32"/>
        </w:rPr>
        <w:t>、YY</w:t>
      </w:r>
      <w:r>
        <w:rPr>
          <w:rFonts w:ascii="Times New Roman" w:hAnsi="Times New Roman" w:eastAsia="仿宋_GB2312"/>
          <w:sz w:val="32"/>
          <w:szCs w:val="32"/>
        </w:rPr>
        <w:t xml:space="preserve"> </w:t>
      </w:r>
      <w:r>
        <w:rPr>
          <w:rFonts w:hint="eastAsia" w:ascii="Times New Roman" w:hAnsi="Times New Roman" w:eastAsia="仿宋_GB2312"/>
          <w:sz w:val="32"/>
          <w:szCs w:val="32"/>
        </w:rPr>
        <w:t>0950、</w:t>
      </w:r>
      <w:r>
        <w:rPr>
          <w:rFonts w:ascii="Times New Roman" w:hAnsi="Times New Roman" w:eastAsia="仿宋_GB2312"/>
          <w:sz w:val="32"/>
          <w:szCs w:val="22"/>
        </w:rPr>
        <w:t>YY 0505</w:t>
      </w:r>
      <w:r>
        <w:rPr>
          <w:rFonts w:eastAsia="仿宋_GB2312"/>
          <w:spacing w:val="4"/>
          <w:kern w:val="0"/>
          <w:sz w:val="32"/>
          <w:szCs w:val="32"/>
        </w:rPr>
        <w:t>的要求进行编写。</w:t>
      </w:r>
      <w:r>
        <w:rPr>
          <w:rFonts w:hint="eastAsia" w:eastAsia="仿宋_GB2312"/>
          <w:spacing w:val="4"/>
          <w:kern w:val="0"/>
          <w:sz w:val="32"/>
          <w:szCs w:val="32"/>
        </w:rPr>
        <w:t>一般应包括</w:t>
      </w:r>
      <w:r>
        <w:rPr>
          <w:rFonts w:eastAsia="仿宋_GB2312"/>
          <w:spacing w:val="4"/>
          <w:kern w:val="0"/>
          <w:sz w:val="32"/>
          <w:szCs w:val="32"/>
        </w:rPr>
        <w:t>以下内容：</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w:t>
      </w:r>
      <w:r>
        <w:rPr>
          <w:rFonts w:eastAsia="仿宋_GB2312"/>
          <w:kern w:val="0"/>
          <w:sz w:val="32"/>
          <w:szCs w:val="32"/>
        </w:rPr>
        <w:t>产品适用范围</w:t>
      </w:r>
      <w:r>
        <w:rPr>
          <w:rFonts w:hint="eastAsia" w:eastAsia="仿宋_GB2312"/>
          <w:kern w:val="0"/>
          <w:sz w:val="32"/>
          <w:szCs w:val="32"/>
        </w:rPr>
        <w:t>及禁忌证</w:t>
      </w:r>
      <w:r>
        <w:rPr>
          <w:rFonts w:eastAsia="仿宋_GB2312"/>
          <w:kern w:val="0"/>
          <w:sz w:val="32"/>
          <w:szCs w:val="32"/>
        </w:rPr>
        <w:t>、主要性能指标、软件发布版本。</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2.</w:t>
      </w:r>
      <w:r>
        <w:rPr>
          <w:rFonts w:eastAsia="仿宋_GB2312"/>
          <w:kern w:val="0"/>
          <w:sz w:val="32"/>
          <w:szCs w:val="32"/>
        </w:rPr>
        <w:t>关于</w:t>
      </w:r>
      <w:r>
        <w:rPr>
          <w:rFonts w:hint="eastAsia" w:eastAsia="仿宋_GB2312"/>
          <w:kern w:val="0"/>
          <w:sz w:val="32"/>
          <w:szCs w:val="32"/>
        </w:rPr>
        <w:t>工作</w:t>
      </w:r>
      <w:r>
        <w:rPr>
          <w:rFonts w:eastAsia="仿宋_GB2312"/>
          <w:kern w:val="0"/>
          <w:sz w:val="32"/>
          <w:szCs w:val="32"/>
        </w:rPr>
        <w:t>原理的说明、</w:t>
      </w:r>
      <w:r>
        <w:rPr>
          <w:rFonts w:hint="eastAsia" w:eastAsia="仿宋_GB2312"/>
          <w:kern w:val="0"/>
          <w:sz w:val="32"/>
          <w:szCs w:val="32"/>
        </w:rPr>
        <w:t>标签</w:t>
      </w:r>
      <w:r>
        <w:rPr>
          <w:rFonts w:eastAsia="仿宋_GB2312"/>
          <w:kern w:val="0"/>
          <w:sz w:val="32"/>
          <w:szCs w:val="32"/>
        </w:rPr>
        <w:t>。</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3.</w:t>
      </w:r>
      <w:r>
        <w:rPr>
          <w:rFonts w:hint="eastAsia" w:eastAsia="仿宋_GB2312"/>
          <w:kern w:val="0"/>
          <w:sz w:val="32"/>
          <w:szCs w:val="32"/>
        </w:rPr>
        <w:t>主要结构组成。</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4.</w:t>
      </w:r>
      <w:r>
        <w:rPr>
          <w:rFonts w:eastAsia="仿宋_GB2312"/>
          <w:kern w:val="0"/>
          <w:sz w:val="32"/>
          <w:szCs w:val="32"/>
        </w:rPr>
        <w:t>关于产品安装的说明。</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5.</w:t>
      </w:r>
      <w:r>
        <w:rPr>
          <w:rFonts w:eastAsia="仿宋_GB2312"/>
          <w:kern w:val="0"/>
          <w:sz w:val="32"/>
          <w:szCs w:val="32"/>
        </w:rPr>
        <w:t>对于产品使用方法、产品寿命、维护保养等情况的说明。</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6.</w:t>
      </w:r>
      <w:r>
        <w:rPr>
          <w:rFonts w:eastAsia="仿宋_GB2312"/>
          <w:kern w:val="0"/>
          <w:sz w:val="32"/>
          <w:szCs w:val="32"/>
        </w:rPr>
        <w:t>对于电磁兼容所声称的有关内容（预期场所、类别等）。</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7.</w:t>
      </w:r>
      <w:r>
        <w:rPr>
          <w:rFonts w:eastAsia="仿宋_GB2312"/>
          <w:kern w:val="0"/>
          <w:sz w:val="32"/>
          <w:szCs w:val="32"/>
        </w:rPr>
        <w:t>对于安全性方面的注意事项</w:t>
      </w:r>
      <w:r>
        <w:rPr>
          <w:rFonts w:hint="eastAsia" w:eastAsia="仿宋_GB2312"/>
          <w:kern w:val="0"/>
          <w:sz w:val="32"/>
          <w:szCs w:val="32"/>
        </w:rPr>
        <w:t>和提示。</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8.</w:t>
      </w:r>
      <w:r>
        <w:rPr>
          <w:rFonts w:eastAsia="仿宋_GB2312"/>
          <w:kern w:val="0"/>
          <w:sz w:val="32"/>
          <w:szCs w:val="32"/>
        </w:rPr>
        <w:t>警示性说明，如：不用于爆炸性环境</w:t>
      </w:r>
      <w:r>
        <w:rPr>
          <w:rFonts w:hint="eastAsia" w:eastAsia="仿宋_GB2312"/>
          <w:kern w:val="0"/>
          <w:sz w:val="32"/>
          <w:szCs w:val="32"/>
        </w:rPr>
        <w:t>，化学药品的保管场所等。</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9.</w:t>
      </w:r>
      <w:r>
        <w:rPr>
          <w:rFonts w:eastAsia="仿宋_GB2312"/>
          <w:kern w:val="0"/>
          <w:sz w:val="32"/>
          <w:szCs w:val="32"/>
        </w:rPr>
        <w:t>常见故障及排除方法。</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10.</w:t>
      </w:r>
      <w:r>
        <w:rPr>
          <w:rFonts w:eastAsia="仿宋_GB2312"/>
          <w:kern w:val="0"/>
          <w:sz w:val="32"/>
          <w:szCs w:val="32"/>
        </w:rPr>
        <w:t>清洁/消毒方式。</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11.</w:t>
      </w:r>
      <w:r>
        <w:rPr>
          <w:rFonts w:hint="eastAsia" w:eastAsia="仿宋_GB2312"/>
          <w:kern w:val="0"/>
          <w:sz w:val="32"/>
          <w:szCs w:val="32"/>
        </w:rPr>
        <w:t>运输条件、储存条件</w:t>
      </w:r>
      <w:r>
        <w:rPr>
          <w:rFonts w:eastAsia="仿宋_GB2312"/>
          <w:kern w:val="0"/>
          <w:sz w:val="32"/>
          <w:szCs w:val="32"/>
        </w:rPr>
        <w:t>。</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12.</w:t>
      </w:r>
      <w:r>
        <w:rPr>
          <w:rFonts w:hint="eastAsia" w:eastAsia="仿宋_GB2312"/>
          <w:kern w:val="0"/>
          <w:sz w:val="32"/>
          <w:szCs w:val="32"/>
        </w:rPr>
        <w:t>明确产品的配置清单、配件的更换周期及更换方法。</w:t>
      </w:r>
    </w:p>
    <w:p>
      <w:p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13.</w:t>
      </w:r>
      <w:r>
        <w:rPr>
          <w:rFonts w:hint="eastAsia" w:eastAsia="仿宋_GB2312"/>
          <w:kern w:val="0"/>
          <w:sz w:val="32"/>
          <w:szCs w:val="32"/>
        </w:rPr>
        <w:t>明确说明书的编制和修订日期等。</w:t>
      </w:r>
    </w:p>
    <w:p>
      <w:pPr>
        <w:autoSpaceDE w:val="0"/>
        <w:autoSpaceDN w:val="0"/>
        <w:spacing w:line="520" w:lineRule="exact"/>
        <w:ind w:firstLine="640" w:firstLineChars="200"/>
        <w:rPr>
          <w:rFonts w:eastAsia="仿宋_GB2312"/>
          <w:kern w:val="0"/>
          <w:sz w:val="32"/>
          <w:szCs w:val="32"/>
        </w:rPr>
      </w:pPr>
      <w:r>
        <w:rPr>
          <w:rFonts w:hint="eastAsia" w:eastAsia="仿宋_GB2312"/>
          <w:kern w:val="0"/>
          <w:sz w:val="32"/>
          <w:szCs w:val="32"/>
        </w:rPr>
        <w:t>产品说明书的内容均应有明确的来源，与综述资料、研究资料及产品技术要求等注册申报资料的内容保持一致。说明书中涉及技术内容且产品技术要求中未包含的，应提交相应验证资料。</w:t>
      </w:r>
    </w:p>
    <w:p>
      <w:pPr>
        <w:autoSpaceDE w:val="0"/>
        <w:autoSpaceDN w:val="0"/>
        <w:spacing w:line="520" w:lineRule="exact"/>
        <w:ind w:firstLine="640" w:firstLineChars="200"/>
        <w:rPr>
          <w:rFonts w:eastAsia="仿宋_GB2312"/>
          <w:kern w:val="0"/>
          <w:sz w:val="32"/>
          <w:szCs w:val="32"/>
        </w:rPr>
      </w:pPr>
      <w:r>
        <w:rPr>
          <w:rFonts w:hint="eastAsia" w:eastAsia="仿宋_GB2312"/>
          <w:kern w:val="0"/>
          <w:sz w:val="32"/>
          <w:szCs w:val="32"/>
        </w:rPr>
        <w:t>冲击波说明书中需要特别说明的内容：</w:t>
      </w:r>
    </w:p>
    <w:p>
      <w:pPr>
        <w:numPr>
          <w:ilvl w:val="255"/>
          <w:numId w:val="0"/>
        </w:num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1.</w:t>
      </w:r>
      <w:r>
        <w:rPr>
          <w:rFonts w:hint="eastAsia" w:eastAsia="仿宋_GB2312"/>
          <w:kern w:val="0"/>
          <w:sz w:val="32"/>
          <w:szCs w:val="32"/>
        </w:rPr>
        <w:t>如有不同类型的治疗头，应说明各个治疗头的差异性（如治疗头的适用范围、结构、能量密度、穿透深度等的差异性）；</w:t>
      </w:r>
    </w:p>
    <w:p>
      <w:pPr>
        <w:numPr>
          <w:ilvl w:val="255"/>
          <w:numId w:val="0"/>
        </w:numPr>
        <w:autoSpaceDE w:val="0"/>
        <w:autoSpaceDN w:val="0"/>
        <w:spacing w:line="520" w:lineRule="exact"/>
        <w:ind w:left="640"/>
        <w:rPr>
          <w:rFonts w:eastAsia="仿宋_GB2312"/>
          <w:kern w:val="0"/>
          <w:sz w:val="32"/>
          <w:szCs w:val="32"/>
        </w:rPr>
      </w:pPr>
      <w:r>
        <w:rPr>
          <w:rFonts w:ascii="Times New Roman" w:hAnsi="Times New Roman" w:eastAsia="仿宋_GB2312"/>
          <w:kern w:val="0"/>
          <w:sz w:val="32"/>
          <w:szCs w:val="32"/>
        </w:rPr>
        <w:t>2.</w:t>
      </w:r>
      <w:r>
        <w:rPr>
          <w:rFonts w:hint="eastAsia" w:eastAsia="仿宋_GB2312"/>
          <w:kern w:val="0"/>
          <w:sz w:val="32"/>
          <w:szCs w:val="32"/>
        </w:rPr>
        <w:t>治疗头、子弹体（如适用）的更换方式、保养及使用说明；</w:t>
      </w:r>
    </w:p>
    <w:p>
      <w:pPr>
        <w:numPr>
          <w:ilvl w:val="255"/>
          <w:numId w:val="0"/>
        </w:numPr>
        <w:autoSpaceDE w:val="0"/>
        <w:autoSpaceDN w:val="0"/>
        <w:spacing w:line="520" w:lineRule="exact"/>
        <w:ind w:firstLine="640" w:firstLineChars="200"/>
        <w:rPr>
          <w:rFonts w:eastAsia="仿宋_GB2312"/>
          <w:kern w:val="0"/>
          <w:sz w:val="32"/>
          <w:szCs w:val="32"/>
        </w:rPr>
      </w:pPr>
      <w:r>
        <w:rPr>
          <w:rFonts w:ascii="Times New Roman" w:hAnsi="Times New Roman" w:eastAsia="仿宋_GB2312"/>
          <w:kern w:val="0"/>
          <w:sz w:val="32"/>
          <w:szCs w:val="32"/>
        </w:rPr>
        <w:t>3.</w:t>
      </w:r>
      <w:r>
        <w:rPr>
          <w:rFonts w:hint="eastAsia" w:eastAsia="仿宋_GB2312"/>
          <w:kern w:val="0"/>
          <w:sz w:val="32"/>
          <w:szCs w:val="32"/>
        </w:rPr>
        <w:t>由于治疗头与人体直接接触，需说明治疗头的清洁</w:t>
      </w:r>
      <w:r>
        <w:rPr>
          <w:rFonts w:hint="default" w:ascii="Times New Roman" w:hAnsi="Times New Roman" w:eastAsia="仿宋_GB2312"/>
          <w:kern w:val="0"/>
          <w:sz w:val="32"/>
          <w:szCs w:val="32"/>
        </w:rPr>
        <w:t>/</w:t>
      </w:r>
      <w:r>
        <w:rPr>
          <w:rFonts w:hint="eastAsia" w:eastAsia="仿宋_GB2312"/>
          <w:kern w:val="0"/>
          <w:sz w:val="32"/>
          <w:szCs w:val="32"/>
        </w:rPr>
        <w:t>消毒方式。</w:t>
      </w:r>
    </w:p>
    <w:p>
      <w:pPr>
        <w:spacing w:line="520" w:lineRule="exact"/>
        <w:ind w:right="-67" w:rightChars="-32" w:firstLine="640" w:firstLineChars="200"/>
        <w:outlineLvl w:val="0"/>
        <w:rPr>
          <w:rFonts w:eastAsia="黑体"/>
          <w:sz w:val="32"/>
          <w:szCs w:val="32"/>
        </w:rPr>
      </w:pPr>
      <w:r>
        <w:rPr>
          <w:rFonts w:eastAsia="黑体"/>
          <w:sz w:val="32"/>
          <w:szCs w:val="32"/>
        </w:rPr>
        <w:t>三、审查关注点</w:t>
      </w:r>
    </w:p>
    <w:p>
      <w:pPr>
        <w:autoSpaceDE w:val="0"/>
        <w:autoSpaceDN w:val="0"/>
        <w:spacing w:line="520" w:lineRule="exact"/>
        <w:ind w:firstLine="640" w:firstLineChars="200"/>
        <w:rPr>
          <w:rFonts w:eastAsia="仿宋_GB2312"/>
          <w:kern w:val="0"/>
          <w:sz w:val="32"/>
          <w:szCs w:val="32"/>
        </w:rPr>
      </w:pPr>
      <w:r>
        <w:rPr>
          <w:rFonts w:eastAsia="仿宋_GB2312"/>
          <w:kern w:val="0"/>
          <w:sz w:val="32"/>
          <w:szCs w:val="32"/>
        </w:rPr>
        <w:t>（一）产品电气安全、电磁兼容和主要性能指标是否执行了国家和行业的强制性标准，是否引用了适用的推荐性标准。</w:t>
      </w:r>
    </w:p>
    <w:p>
      <w:pPr>
        <w:autoSpaceDE w:val="0"/>
        <w:autoSpaceDN w:val="0"/>
        <w:spacing w:line="520" w:lineRule="exact"/>
        <w:ind w:firstLine="640" w:firstLineChars="200"/>
        <w:rPr>
          <w:rFonts w:eastAsia="仿宋_GB2312"/>
          <w:kern w:val="0"/>
          <w:sz w:val="32"/>
          <w:szCs w:val="32"/>
        </w:rPr>
      </w:pPr>
      <w:r>
        <w:rPr>
          <w:rFonts w:eastAsia="仿宋_GB2312"/>
          <w:kern w:val="0"/>
          <w:sz w:val="32"/>
          <w:szCs w:val="32"/>
        </w:rPr>
        <w:t>（二）产品的主要风险是否已经列举，并通过风险控制措施使产品的风险在合理可接受的水平之内</w:t>
      </w:r>
      <w:r>
        <w:rPr>
          <w:rFonts w:hint="eastAsia" w:eastAsia="仿宋_GB2312"/>
          <w:kern w:val="0"/>
          <w:sz w:val="32"/>
          <w:szCs w:val="32"/>
        </w:rPr>
        <w:t>，是否收益大于风险</w:t>
      </w:r>
      <w:r>
        <w:rPr>
          <w:rFonts w:eastAsia="仿宋_GB2312"/>
          <w:kern w:val="0"/>
          <w:sz w:val="32"/>
          <w:szCs w:val="32"/>
        </w:rPr>
        <w:t>。</w:t>
      </w:r>
    </w:p>
    <w:p>
      <w:pPr>
        <w:autoSpaceDE w:val="0"/>
        <w:autoSpaceDN w:val="0"/>
        <w:spacing w:line="520" w:lineRule="exact"/>
        <w:ind w:firstLine="640" w:firstLineChars="200"/>
        <w:rPr>
          <w:rFonts w:eastAsia="仿宋_GB2312"/>
          <w:kern w:val="0"/>
          <w:sz w:val="32"/>
          <w:szCs w:val="32"/>
        </w:rPr>
      </w:pPr>
      <w:r>
        <w:rPr>
          <w:rFonts w:eastAsia="仿宋_GB2312"/>
          <w:kern w:val="0"/>
          <w:sz w:val="32"/>
          <w:szCs w:val="32"/>
        </w:rPr>
        <w:t>（三）</w:t>
      </w:r>
      <w:r>
        <w:rPr>
          <w:rFonts w:hint="eastAsia" w:eastAsia="仿宋_GB2312"/>
          <w:kern w:val="0"/>
          <w:sz w:val="32"/>
          <w:szCs w:val="32"/>
        </w:rPr>
        <w:t>产品的预期用途是否明确，</w:t>
      </w:r>
      <w:r>
        <w:rPr>
          <w:rFonts w:eastAsia="仿宋_GB2312"/>
          <w:kern w:val="0"/>
          <w:sz w:val="32"/>
          <w:szCs w:val="32"/>
        </w:rPr>
        <w:t>临床评价资料是否按照法规要求提供。</w:t>
      </w:r>
    </w:p>
    <w:p>
      <w:pPr>
        <w:tabs>
          <w:tab w:val="left" w:pos="3948"/>
        </w:tabs>
        <w:spacing w:line="520" w:lineRule="exact"/>
        <w:ind w:firstLine="640" w:firstLineChars="200"/>
        <w:rPr>
          <w:rFonts w:eastAsia="仿宋_GB2312"/>
          <w:sz w:val="32"/>
          <w:szCs w:val="32"/>
        </w:rPr>
      </w:pPr>
      <w:r>
        <w:rPr>
          <w:rFonts w:eastAsia="仿宋_GB2312"/>
          <w:sz w:val="32"/>
          <w:szCs w:val="32"/>
        </w:rPr>
        <w:t>（四）说明书是否符合《医疗器械说明书和标签管理规定》及相关国家标准、行业标准的规定。必须告知用户的信息是否完整。说明书中建议提供突发事项的应急预案</w:t>
      </w:r>
      <w:r>
        <w:rPr>
          <w:rFonts w:hint="eastAsia" w:eastAsia="仿宋_GB2312"/>
          <w:sz w:val="32"/>
          <w:szCs w:val="32"/>
        </w:rPr>
        <w:t>。</w:t>
      </w:r>
    </w:p>
    <w:p>
      <w:pPr>
        <w:tabs>
          <w:tab w:val="left" w:pos="3948"/>
        </w:tabs>
        <w:spacing w:line="520" w:lineRule="exact"/>
        <w:ind w:firstLine="640" w:firstLineChars="200"/>
        <w:outlineLvl w:val="9"/>
        <w:rPr>
          <w:rFonts w:hint="eastAsia" w:eastAsia="仿宋_GB2312"/>
          <w:sz w:val="32"/>
          <w:szCs w:val="32"/>
          <w:lang w:val="en-US" w:eastAsia="zh-CN"/>
        </w:rPr>
      </w:pPr>
      <w:r>
        <w:rPr>
          <w:rFonts w:hint="eastAsia" w:ascii="黑体" w:hAnsi="黑体" w:eastAsia="黑体"/>
          <w:sz w:val="32"/>
          <w:szCs w:val="32"/>
        </w:rPr>
        <w:t>四、编写单位</w:t>
      </w:r>
    </w:p>
    <w:p>
      <w:pPr>
        <w:tabs>
          <w:tab w:val="left" w:pos="3948"/>
        </w:tabs>
        <w:spacing w:line="520" w:lineRule="exact"/>
        <w:ind w:firstLine="640" w:firstLineChars="200"/>
        <w:outlineLvl w:val="9"/>
        <w:rPr>
          <w:rFonts w:eastAsia="仿宋_GB2312"/>
          <w:sz w:val="32"/>
          <w:szCs w:val="32"/>
        </w:rPr>
      </w:pPr>
      <w:r>
        <w:rPr>
          <w:rFonts w:hint="eastAsia" w:eastAsia="仿宋_GB2312"/>
          <w:sz w:val="32"/>
          <w:szCs w:val="32"/>
        </w:rPr>
        <w:t>广东省药品监督管理局审评认证中心</w:t>
      </w:r>
      <w:r>
        <w:rPr>
          <w:rFonts w:hint="eastAsia" w:eastAsia="仿宋_GB2312"/>
          <w:sz w:val="32"/>
          <w:szCs w:val="32"/>
          <w:lang w:eastAsia="zh-CN"/>
        </w:rPr>
        <w:t>。</w:t>
      </w:r>
    </w:p>
    <w:sectPr>
      <w:footerReference r:id="rId3" w:type="default"/>
      <w:footerReference r:id="rId4" w:type="even"/>
      <w:pgSz w:w="11906" w:h="16838"/>
      <w:pgMar w:top="1928" w:right="1531" w:bottom="1814" w:left="1531" w:header="851" w:footer="124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28"/>
        <w:szCs w:val="28"/>
      </w:rPr>
    </w:pP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13</w:t>
    </w:r>
    <w:r>
      <w:rPr>
        <w:rFonts w:ascii="Times New Roman" w:hAnsi="Times New Roman"/>
        <w:sz w:val="28"/>
        <w:szCs w:val="28"/>
      </w:rPr>
      <w:fldChar w:fldCharType="end"/>
    </w:r>
    <w:r>
      <w:rPr>
        <w:rFonts w:hint="eastAsia"/>
        <w:sz w:val="28"/>
        <w:szCs w:val="28"/>
      </w:rPr>
      <w:t xml:space="preserve"> —</w:t>
    </w:r>
    <w:r>
      <w:rPr>
        <w:rFonts w:hint="eastAsia"/>
        <w:color w:val="FFFFFF"/>
        <w:sz w:val="28"/>
        <w:szCs w:val="28"/>
      </w:rPr>
      <w:t>—</w:t>
    </w:r>
  </w:p>
  <w:p>
    <w:pPr>
      <w:pStyle w:val="5"/>
      <w:wordWrap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8"/>
        <w:szCs w:val="28"/>
      </w:rPr>
    </w:pPr>
    <w:r>
      <w:rPr>
        <w:rFonts w:hint="eastAsia"/>
        <w:color w:val="FFFFFF"/>
        <w:sz w:val="28"/>
        <w:szCs w:val="28"/>
      </w:rPr>
      <w:t>—</w:t>
    </w: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8</w:t>
    </w:r>
    <w:r>
      <w:rPr>
        <w:rFonts w:ascii="Times New Roman" w:hAnsi="Times New Roman"/>
        <w:sz w:val="28"/>
        <w:szCs w:val="28"/>
      </w:rPr>
      <w:fldChar w:fldCharType="end"/>
    </w:r>
    <w:r>
      <w:rPr>
        <w:rFonts w:hint="eastAsia"/>
        <w:sz w:val="28"/>
        <w:szCs w:val="28"/>
      </w:rPr>
      <w:t xml:space="preserve"> —</w:t>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271B4A"/>
    <w:multiLevelType w:val="singleLevel"/>
    <w:tmpl w:val="C3271B4A"/>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C8"/>
    <w:rsid w:val="000035AA"/>
    <w:rsid w:val="00004ED9"/>
    <w:rsid w:val="000077F1"/>
    <w:rsid w:val="0001553F"/>
    <w:rsid w:val="00016D27"/>
    <w:rsid w:val="00016E93"/>
    <w:rsid w:val="00025FC6"/>
    <w:rsid w:val="00034EAC"/>
    <w:rsid w:val="00035514"/>
    <w:rsid w:val="0004594B"/>
    <w:rsid w:val="00050CF7"/>
    <w:rsid w:val="00055355"/>
    <w:rsid w:val="0006253F"/>
    <w:rsid w:val="0006284C"/>
    <w:rsid w:val="00064A67"/>
    <w:rsid w:val="00071507"/>
    <w:rsid w:val="000725ED"/>
    <w:rsid w:val="00075103"/>
    <w:rsid w:val="000800BA"/>
    <w:rsid w:val="00082DA1"/>
    <w:rsid w:val="000A2989"/>
    <w:rsid w:val="000B1917"/>
    <w:rsid w:val="000B2B60"/>
    <w:rsid w:val="000B738A"/>
    <w:rsid w:val="000C013B"/>
    <w:rsid w:val="000D13BC"/>
    <w:rsid w:val="000D550A"/>
    <w:rsid w:val="000E0170"/>
    <w:rsid w:val="000E301D"/>
    <w:rsid w:val="000E3DB1"/>
    <w:rsid w:val="000F2B8D"/>
    <w:rsid w:val="00101F08"/>
    <w:rsid w:val="00102D61"/>
    <w:rsid w:val="001034D0"/>
    <w:rsid w:val="001104FA"/>
    <w:rsid w:val="00127D58"/>
    <w:rsid w:val="00131044"/>
    <w:rsid w:val="00137874"/>
    <w:rsid w:val="0014737E"/>
    <w:rsid w:val="0015199F"/>
    <w:rsid w:val="001550D7"/>
    <w:rsid w:val="00156970"/>
    <w:rsid w:val="00157D65"/>
    <w:rsid w:val="00165648"/>
    <w:rsid w:val="001713C7"/>
    <w:rsid w:val="001858AC"/>
    <w:rsid w:val="00186786"/>
    <w:rsid w:val="00187E51"/>
    <w:rsid w:val="00195104"/>
    <w:rsid w:val="001A429D"/>
    <w:rsid w:val="001B6290"/>
    <w:rsid w:val="001C492C"/>
    <w:rsid w:val="001C6281"/>
    <w:rsid w:val="001D6B8B"/>
    <w:rsid w:val="001E2F7C"/>
    <w:rsid w:val="001E4B87"/>
    <w:rsid w:val="001F3CF5"/>
    <w:rsid w:val="001F3FB0"/>
    <w:rsid w:val="00203844"/>
    <w:rsid w:val="00204B69"/>
    <w:rsid w:val="00214F56"/>
    <w:rsid w:val="00230C3D"/>
    <w:rsid w:val="00230CE5"/>
    <w:rsid w:val="0023119F"/>
    <w:rsid w:val="002332EC"/>
    <w:rsid w:val="0023730F"/>
    <w:rsid w:val="00247F9A"/>
    <w:rsid w:val="00250852"/>
    <w:rsid w:val="00257185"/>
    <w:rsid w:val="00266CEB"/>
    <w:rsid w:val="00270DD8"/>
    <w:rsid w:val="00277D15"/>
    <w:rsid w:val="002823D1"/>
    <w:rsid w:val="002911EC"/>
    <w:rsid w:val="002A510C"/>
    <w:rsid w:val="002A7F53"/>
    <w:rsid w:val="002B28D3"/>
    <w:rsid w:val="002B6FA2"/>
    <w:rsid w:val="002B7A09"/>
    <w:rsid w:val="002C12E4"/>
    <w:rsid w:val="002C1A5A"/>
    <w:rsid w:val="002D0325"/>
    <w:rsid w:val="002F2CC3"/>
    <w:rsid w:val="00315A1B"/>
    <w:rsid w:val="003231E3"/>
    <w:rsid w:val="003266C2"/>
    <w:rsid w:val="00331181"/>
    <w:rsid w:val="00331C18"/>
    <w:rsid w:val="003330A7"/>
    <w:rsid w:val="0035031B"/>
    <w:rsid w:val="00351116"/>
    <w:rsid w:val="00352FFE"/>
    <w:rsid w:val="003541F0"/>
    <w:rsid w:val="00357900"/>
    <w:rsid w:val="0036067D"/>
    <w:rsid w:val="00360BB7"/>
    <w:rsid w:val="0036326B"/>
    <w:rsid w:val="00364185"/>
    <w:rsid w:val="00365BAE"/>
    <w:rsid w:val="003705CA"/>
    <w:rsid w:val="00390E15"/>
    <w:rsid w:val="003B1533"/>
    <w:rsid w:val="003B452F"/>
    <w:rsid w:val="003B5B9E"/>
    <w:rsid w:val="003C2FA0"/>
    <w:rsid w:val="003C4044"/>
    <w:rsid w:val="003C4A36"/>
    <w:rsid w:val="003C4E2B"/>
    <w:rsid w:val="003D08E2"/>
    <w:rsid w:val="003E2F54"/>
    <w:rsid w:val="003E7CB8"/>
    <w:rsid w:val="003F3943"/>
    <w:rsid w:val="003F3BCB"/>
    <w:rsid w:val="0040358F"/>
    <w:rsid w:val="00403957"/>
    <w:rsid w:val="004055ED"/>
    <w:rsid w:val="00405AE4"/>
    <w:rsid w:val="004156E9"/>
    <w:rsid w:val="004218DC"/>
    <w:rsid w:val="00423FB8"/>
    <w:rsid w:val="004405E8"/>
    <w:rsid w:val="00441365"/>
    <w:rsid w:val="00444EBD"/>
    <w:rsid w:val="004476C9"/>
    <w:rsid w:val="00453B18"/>
    <w:rsid w:val="00465B12"/>
    <w:rsid w:val="0049460B"/>
    <w:rsid w:val="0049527D"/>
    <w:rsid w:val="004A48F4"/>
    <w:rsid w:val="004C5109"/>
    <w:rsid w:val="004D7576"/>
    <w:rsid w:val="004E44E5"/>
    <w:rsid w:val="004E5AC4"/>
    <w:rsid w:val="004F1665"/>
    <w:rsid w:val="004F27D3"/>
    <w:rsid w:val="004F2BB2"/>
    <w:rsid w:val="00511BFB"/>
    <w:rsid w:val="00525A57"/>
    <w:rsid w:val="00531278"/>
    <w:rsid w:val="005327F1"/>
    <w:rsid w:val="00533189"/>
    <w:rsid w:val="005410CE"/>
    <w:rsid w:val="005516C0"/>
    <w:rsid w:val="00562315"/>
    <w:rsid w:val="0056324D"/>
    <w:rsid w:val="00564625"/>
    <w:rsid w:val="0056661D"/>
    <w:rsid w:val="00567FB8"/>
    <w:rsid w:val="00572853"/>
    <w:rsid w:val="00580EF9"/>
    <w:rsid w:val="005851D5"/>
    <w:rsid w:val="00585343"/>
    <w:rsid w:val="00592033"/>
    <w:rsid w:val="00593C49"/>
    <w:rsid w:val="00595652"/>
    <w:rsid w:val="00596614"/>
    <w:rsid w:val="00596AE9"/>
    <w:rsid w:val="005A7F3D"/>
    <w:rsid w:val="005B12BF"/>
    <w:rsid w:val="005B404F"/>
    <w:rsid w:val="005B5F08"/>
    <w:rsid w:val="005B7736"/>
    <w:rsid w:val="005C7D80"/>
    <w:rsid w:val="005D20CB"/>
    <w:rsid w:val="005D7D24"/>
    <w:rsid w:val="005D7FB2"/>
    <w:rsid w:val="005E0247"/>
    <w:rsid w:val="005E7258"/>
    <w:rsid w:val="005E7595"/>
    <w:rsid w:val="005F3668"/>
    <w:rsid w:val="005F4ADA"/>
    <w:rsid w:val="00603887"/>
    <w:rsid w:val="006052CA"/>
    <w:rsid w:val="00612531"/>
    <w:rsid w:val="0062217C"/>
    <w:rsid w:val="00626812"/>
    <w:rsid w:val="006304F2"/>
    <w:rsid w:val="00633EBC"/>
    <w:rsid w:val="0063718E"/>
    <w:rsid w:val="006428CA"/>
    <w:rsid w:val="00645D4A"/>
    <w:rsid w:val="00653C7E"/>
    <w:rsid w:val="0067038A"/>
    <w:rsid w:val="00673EAB"/>
    <w:rsid w:val="0068013E"/>
    <w:rsid w:val="00690209"/>
    <w:rsid w:val="006B1DAD"/>
    <w:rsid w:val="006C6D62"/>
    <w:rsid w:val="006D2F74"/>
    <w:rsid w:val="006D3D5E"/>
    <w:rsid w:val="006E0E17"/>
    <w:rsid w:val="006E2A91"/>
    <w:rsid w:val="006F3FAD"/>
    <w:rsid w:val="00700149"/>
    <w:rsid w:val="00702F0C"/>
    <w:rsid w:val="00706D24"/>
    <w:rsid w:val="00727597"/>
    <w:rsid w:val="00733F18"/>
    <w:rsid w:val="00735046"/>
    <w:rsid w:val="00763DE3"/>
    <w:rsid w:val="00766F07"/>
    <w:rsid w:val="007722E6"/>
    <w:rsid w:val="00776654"/>
    <w:rsid w:val="00787E7D"/>
    <w:rsid w:val="007A468A"/>
    <w:rsid w:val="007A5EAE"/>
    <w:rsid w:val="007B029F"/>
    <w:rsid w:val="007B409A"/>
    <w:rsid w:val="007B5B0E"/>
    <w:rsid w:val="007B71E9"/>
    <w:rsid w:val="007C72C1"/>
    <w:rsid w:val="007D3FF7"/>
    <w:rsid w:val="007E0E30"/>
    <w:rsid w:val="007E136A"/>
    <w:rsid w:val="007E23AA"/>
    <w:rsid w:val="007F0734"/>
    <w:rsid w:val="007F6C62"/>
    <w:rsid w:val="008044C1"/>
    <w:rsid w:val="0080591C"/>
    <w:rsid w:val="00821BAF"/>
    <w:rsid w:val="00821C5C"/>
    <w:rsid w:val="0082292F"/>
    <w:rsid w:val="00831841"/>
    <w:rsid w:val="0083259A"/>
    <w:rsid w:val="00835E36"/>
    <w:rsid w:val="00836BD3"/>
    <w:rsid w:val="00836E78"/>
    <w:rsid w:val="00840DEF"/>
    <w:rsid w:val="00845649"/>
    <w:rsid w:val="008457F1"/>
    <w:rsid w:val="00853181"/>
    <w:rsid w:val="00853D5B"/>
    <w:rsid w:val="00860B50"/>
    <w:rsid w:val="00863C35"/>
    <w:rsid w:val="008660BF"/>
    <w:rsid w:val="00866EAF"/>
    <w:rsid w:val="00876407"/>
    <w:rsid w:val="008777AC"/>
    <w:rsid w:val="008857B8"/>
    <w:rsid w:val="0088617B"/>
    <w:rsid w:val="00886E17"/>
    <w:rsid w:val="00892C64"/>
    <w:rsid w:val="00894B4F"/>
    <w:rsid w:val="008A04C1"/>
    <w:rsid w:val="008B133E"/>
    <w:rsid w:val="008B6432"/>
    <w:rsid w:val="008B7D73"/>
    <w:rsid w:val="008C461A"/>
    <w:rsid w:val="008C5ECE"/>
    <w:rsid w:val="008C74C4"/>
    <w:rsid w:val="008D04DF"/>
    <w:rsid w:val="008D1126"/>
    <w:rsid w:val="008D5DE0"/>
    <w:rsid w:val="008E3C4D"/>
    <w:rsid w:val="008E454C"/>
    <w:rsid w:val="008E7575"/>
    <w:rsid w:val="008F09C0"/>
    <w:rsid w:val="008F464F"/>
    <w:rsid w:val="008F6D31"/>
    <w:rsid w:val="009025F3"/>
    <w:rsid w:val="00903CAE"/>
    <w:rsid w:val="00907545"/>
    <w:rsid w:val="00911379"/>
    <w:rsid w:val="00917E65"/>
    <w:rsid w:val="009202DF"/>
    <w:rsid w:val="00926229"/>
    <w:rsid w:val="009305F4"/>
    <w:rsid w:val="00932E99"/>
    <w:rsid w:val="00933F94"/>
    <w:rsid w:val="00937902"/>
    <w:rsid w:val="00944679"/>
    <w:rsid w:val="00947695"/>
    <w:rsid w:val="00950329"/>
    <w:rsid w:val="00950CD1"/>
    <w:rsid w:val="009608F0"/>
    <w:rsid w:val="00961B33"/>
    <w:rsid w:val="0097437D"/>
    <w:rsid w:val="00974E8E"/>
    <w:rsid w:val="00977E0B"/>
    <w:rsid w:val="00980F03"/>
    <w:rsid w:val="00982A1B"/>
    <w:rsid w:val="009869EE"/>
    <w:rsid w:val="00991BF3"/>
    <w:rsid w:val="009970DF"/>
    <w:rsid w:val="009A0378"/>
    <w:rsid w:val="009A1829"/>
    <w:rsid w:val="009A2DB4"/>
    <w:rsid w:val="009B77E0"/>
    <w:rsid w:val="009C359E"/>
    <w:rsid w:val="009D2D69"/>
    <w:rsid w:val="009D35CA"/>
    <w:rsid w:val="009D43B2"/>
    <w:rsid w:val="009D7C65"/>
    <w:rsid w:val="009E049B"/>
    <w:rsid w:val="009F2360"/>
    <w:rsid w:val="009F57EE"/>
    <w:rsid w:val="009F5EC9"/>
    <w:rsid w:val="009F7A9C"/>
    <w:rsid w:val="00A017BE"/>
    <w:rsid w:val="00A03AD8"/>
    <w:rsid w:val="00A122DB"/>
    <w:rsid w:val="00A12384"/>
    <w:rsid w:val="00A20E81"/>
    <w:rsid w:val="00A24E9C"/>
    <w:rsid w:val="00A251EC"/>
    <w:rsid w:val="00A254E3"/>
    <w:rsid w:val="00A30AB5"/>
    <w:rsid w:val="00A351E7"/>
    <w:rsid w:val="00A53DB7"/>
    <w:rsid w:val="00A62362"/>
    <w:rsid w:val="00A646C6"/>
    <w:rsid w:val="00A65BFC"/>
    <w:rsid w:val="00A72DA4"/>
    <w:rsid w:val="00A8280B"/>
    <w:rsid w:val="00A82CA2"/>
    <w:rsid w:val="00AA426B"/>
    <w:rsid w:val="00AB79FC"/>
    <w:rsid w:val="00AC2D33"/>
    <w:rsid w:val="00AC7667"/>
    <w:rsid w:val="00AD2AFB"/>
    <w:rsid w:val="00AE4836"/>
    <w:rsid w:val="00B07EE9"/>
    <w:rsid w:val="00B10065"/>
    <w:rsid w:val="00B11072"/>
    <w:rsid w:val="00B21D81"/>
    <w:rsid w:val="00B25838"/>
    <w:rsid w:val="00B26E23"/>
    <w:rsid w:val="00B32501"/>
    <w:rsid w:val="00B33ADB"/>
    <w:rsid w:val="00B354ED"/>
    <w:rsid w:val="00B42B73"/>
    <w:rsid w:val="00B46D6D"/>
    <w:rsid w:val="00B535AA"/>
    <w:rsid w:val="00B55497"/>
    <w:rsid w:val="00B60176"/>
    <w:rsid w:val="00B66582"/>
    <w:rsid w:val="00B76755"/>
    <w:rsid w:val="00B84EF7"/>
    <w:rsid w:val="00B916AB"/>
    <w:rsid w:val="00B953A7"/>
    <w:rsid w:val="00BA00D5"/>
    <w:rsid w:val="00BA1FC7"/>
    <w:rsid w:val="00BA2B3C"/>
    <w:rsid w:val="00BB025F"/>
    <w:rsid w:val="00BB2541"/>
    <w:rsid w:val="00BC002F"/>
    <w:rsid w:val="00BC58C4"/>
    <w:rsid w:val="00BD1626"/>
    <w:rsid w:val="00BD7D4C"/>
    <w:rsid w:val="00BE16F8"/>
    <w:rsid w:val="00BE5AC1"/>
    <w:rsid w:val="00C05B69"/>
    <w:rsid w:val="00C05E77"/>
    <w:rsid w:val="00C0739A"/>
    <w:rsid w:val="00C12917"/>
    <w:rsid w:val="00C1570A"/>
    <w:rsid w:val="00C36EAE"/>
    <w:rsid w:val="00C37ADC"/>
    <w:rsid w:val="00C418EE"/>
    <w:rsid w:val="00C41ED2"/>
    <w:rsid w:val="00C42524"/>
    <w:rsid w:val="00C57201"/>
    <w:rsid w:val="00C578A0"/>
    <w:rsid w:val="00C85A53"/>
    <w:rsid w:val="00C86895"/>
    <w:rsid w:val="00C873F9"/>
    <w:rsid w:val="00C87D14"/>
    <w:rsid w:val="00C92BC0"/>
    <w:rsid w:val="00C96073"/>
    <w:rsid w:val="00CA2B21"/>
    <w:rsid w:val="00CA3B44"/>
    <w:rsid w:val="00CC0BF1"/>
    <w:rsid w:val="00CC6505"/>
    <w:rsid w:val="00CC7ACD"/>
    <w:rsid w:val="00CE49B7"/>
    <w:rsid w:val="00CE7083"/>
    <w:rsid w:val="00CE71BF"/>
    <w:rsid w:val="00CE7A0B"/>
    <w:rsid w:val="00D03FFD"/>
    <w:rsid w:val="00D0628A"/>
    <w:rsid w:val="00D1236C"/>
    <w:rsid w:val="00D162D7"/>
    <w:rsid w:val="00D233B5"/>
    <w:rsid w:val="00D2547A"/>
    <w:rsid w:val="00D257C6"/>
    <w:rsid w:val="00D27346"/>
    <w:rsid w:val="00D3414A"/>
    <w:rsid w:val="00D3562A"/>
    <w:rsid w:val="00D42B64"/>
    <w:rsid w:val="00D46C76"/>
    <w:rsid w:val="00D50228"/>
    <w:rsid w:val="00D53A64"/>
    <w:rsid w:val="00D61B72"/>
    <w:rsid w:val="00D6757C"/>
    <w:rsid w:val="00D818AE"/>
    <w:rsid w:val="00D84A2D"/>
    <w:rsid w:val="00D92168"/>
    <w:rsid w:val="00D976CE"/>
    <w:rsid w:val="00D978F3"/>
    <w:rsid w:val="00DA52BD"/>
    <w:rsid w:val="00DC1B8D"/>
    <w:rsid w:val="00DC42BB"/>
    <w:rsid w:val="00DC6C45"/>
    <w:rsid w:val="00DD1E4F"/>
    <w:rsid w:val="00DD24CC"/>
    <w:rsid w:val="00DD5C43"/>
    <w:rsid w:val="00DE78F4"/>
    <w:rsid w:val="00DF1936"/>
    <w:rsid w:val="00E05A99"/>
    <w:rsid w:val="00E1224D"/>
    <w:rsid w:val="00E12E3A"/>
    <w:rsid w:val="00E21A5A"/>
    <w:rsid w:val="00E334B7"/>
    <w:rsid w:val="00E41A1A"/>
    <w:rsid w:val="00E50F51"/>
    <w:rsid w:val="00E51E3F"/>
    <w:rsid w:val="00E531A1"/>
    <w:rsid w:val="00E5466C"/>
    <w:rsid w:val="00E60060"/>
    <w:rsid w:val="00E621B1"/>
    <w:rsid w:val="00E73776"/>
    <w:rsid w:val="00E74680"/>
    <w:rsid w:val="00E81311"/>
    <w:rsid w:val="00EA15BB"/>
    <w:rsid w:val="00EB2575"/>
    <w:rsid w:val="00ED05AB"/>
    <w:rsid w:val="00ED2031"/>
    <w:rsid w:val="00ED643C"/>
    <w:rsid w:val="00EE0D69"/>
    <w:rsid w:val="00EE42D1"/>
    <w:rsid w:val="00EE65CE"/>
    <w:rsid w:val="00EF1E84"/>
    <w:rsid w:val="00EF3096"/>
    <w:rsid w:val="00F01BC6"/>
    <w:rsid w:val="00F06700"/>
    <w:rsid w:val="00F17330"/>
    <w:rsid w:val="00F2118E"/>
    <w:rsid w:val="00F2172E"/>
    <w:rsid w:val="00F2496D"/>
    <w:rsid w:val="00F33350"/>
    <w:rsid w:val="00F333DE"/>
    <w:rsid w:val="00F34523"/>
    <w:rsid w:val="00F412D6"/>
    <w:rsid w:val="00F4170E"/>
    <w:rsid w:val="00F418E8"/>
    <w:rsid w:val="00F469E7"/>
    <w:rsid w:val="00F64776"/>
    <w:rsid w:val="00F65AEA"/>
    <w:rsid w:val="00F6624B"/>
    <w:rsid w:val="00F7410B"/>
    <w:rsid w:val="00F74E34"/>
    <w:rsid w:val="00F76AC1"/>
    <w:rsid w:val="00F85F8B"/>
    <w:rsid w:val="00F8685B"/>
    <w:rsid w:val="00F94AD9"/>
    <w:rsid w:val="00FA1E31"/>
    <w:rsid w:val="00FA60C8"/>
    <w:rsid w:val="00FA75C6"/>
    <w:rsid w:val="00FC3135"/>
    <w:rsid w:val="00FC44F6"/>
    <w:rsid w:val="00FC66C1"/>
    <w:rsid w:val="00FD10E2"/>
    <w:rsid w:val="00FD22E5"/>
    <w:rsid w:val="00FD443E"/>
    <w:rsid w:val="00FD754D"/>
    <w:rsid w:val="00FE3AE6"/>
    <w:rsid w:val="00FE4962"/>
    <w:rsid w:val="00FF3654"/>
    <w:rsid w:val="00FF6452"/>
    <w:rsid w:val="05A81D28"/>
    <w:rsid w:val="06005B7D"/>
    <w:rsid w:val="075F0D5A"/>
    <w:rsid w:val="07DF4C9E"/>
    <w:rsid w:val="0B422ED7"/>
    <w:rsid w:val="0E6B6C66"/>
    <w:rsid w:val="0E8B4FB8"/>
    <w:rsid w:val="0F5C6A49"/>
    <w:rsid w:val="113F2199"/>
    <w:rsid w:val="139B1DD5"/>
    <w:rsid w:val="13A50346"/>
    <w:rsid w:val="14CF5102"/>
    <w:rsid w:val="181066EE"/>
    <w:rsid w:val="18762251"/>
    <w:rsid w:val="195E4C21"/>
    <w:rsid w:val="1EB3056C"/>
    <w:rsid w:val="2B14122D"/>
    <w:rsid w:val="2C0A6423"/>
    <w:rsid w:val="2D761204"/>
    <w:rsid w:val="2E8E6F0A"/>
    <w:rsid w:val="2EBA4AAE"/>
    <w:rsid w:val="334B408A"/>
    <w:rsid w:val="34BE2012"/>
    <w:rsid w:val="355B3B92"/>
    <w:rsid w:val="369468B4"/>
    <w:rsid w:val="37FE39F9"/>
    <w:rsid w:val="385D50CF"/>
    <w:rsid w:val="38F25002"/>
    <w:rsid w:val="390E5CBE"/>
    <w:rsid w:val="398B548B"/>
    <w:rsid w:val="3B744F53"/>
    <w:rsid w:val="3C1B7BC4"/>
    <w:rsid w:val="3D4C05A4"/>
    <w:rsid w:val="3E3A73A6"/>
    <w:rsid w:val="3E3F55AB"/>
    <w:rsid w:val="425E4A7E"/>
    <w:rsid w:val="448F269E"/>
    <w:rsid w:val="44C41387"/>
    <w:rsid w:val="4599376B"/>
    <w:rsid w:val="45E61B70"/>
    <w:rsid w:val="4DD96230"/>
    <w:rsid w:val="4E3E7DA3"/>
    <w:rsid w:val="4EEB259D"/>
    <w:rsid w:val="4F09411E"/>
    <w:rsid w:val="5166234A"/>
    <w:rsid w:val="51F40640"/>
    <w:rsid w:val="61FB773B"/>
    <w:rsid w:val="62D34BE3"/>
    <w:rsid w:val="63AD372B"/>
    <w:rsid w:val="66A47E7D"/>
    <w:rsid w:val="66CA3913"/>
    <w:rsid w:val="66F525AA"/>
    <w:rsid w:val="674C7767"/>
    <w:rsid w:val="6AA475AD"/>
    <w:rsid w:val="6AB4037D"/>
    <w:rsid w:val="6B9F3349"/>
    <w:rsid w:val="6C823AA5"/>
    <w:rsid w:val="70364A30"/>
    <w:rsid w:val="732B32F5"/>
    <w:rsid w:val="73CE4945"/>
    <w:rsid w:val="744E1686"/>
    <w:rsid w:val="76443ECE"/>
    <w:rsid w:val="77332383"/>
    <w:rsid w:val="7BEF44FC"/>
    <w:rsid w:val="7D350FDF"/>
    <w:rsid w:val="7D6B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annotation text"/>
    <w:basedOn w:val="1"/>
    <w:link w:val="16"/>
    <w:qFormat/>
    <w:uiPriority w:val="0"/>
    <w:pPr>
      <w:jc w:val="left"/>
    </w:pPr>
  </w:style>
  <w:style w:type="paragraph" w:styleId="4">
    <w:name w:val="Balloon Text"/>
    <w:basedOn w:val="1"/>
    <w:semiHidden/>
    <w:qFormat/>
    <w:uiPriority w:val="0"/>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8"/>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8">
    <w:name w:val="annotation subject"/>
    <w:basedOn w:val="3"/>
    <w:next w:val="3"/>
    <w:link w:val="19"/>
    <w:qFormat/>
    <w:uiPriority w:val="0"/>
    <w:rPr>
      <w:b/>
      <w:bCs/>
    </w:rPr>
  </w:style>
  <w:style w:type="table" w:styleId="10">
    <w:name w:val="Table Grid"/>
    <w:basedOn w:val="9"/>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qFormat/>
    <w:uiPriority w:val="0"/>
    <w:rPr>
      <w:color w:val="0000FF"/>
      <w:u w:val="single"/>
    </w:rPr>
  </w:style>
  <w:style w:type="character" w:styleId="14">
    <w:name w:val="annotation reference"/>
    <w:qFormat/>
    <w:uiPriority w:val="0"/>
    <w:rPr>
      <w:sz w:val="21"/>
      <w:szCs w:val="21"/>
    </w:rPr>
  </w:style>
  <w:style w:type="paragraph" w:customStyle="1" w:styleId="15">
    <w:name w:val="段"/>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6">
    <w:name w:val="批注文字 Char"/>
    <w:link w:val="3"/>
    <w:qFormat/>
    <w:uiPriority w:val="0"/>
    <w:rPr>
      <w:kern w:val="2"/>
      <w:sz w:val="21"/>
      <w:szCs w:val="24"/>
    </w:rPr>
  </w:style>
  <w:style w:type="character" w:customStyle="1" w:styleId="17">
    <w:name w:val="页脚 Char"/>
    <w:link w:val="5"/>
    <w:qFormat/>
    <w:uiPriority w:val="99"/>
    <w:rPr>
      <w:kern w:val="2"/>
      <w:sz w:val="18"/>
      <w:szCs w:val="18"/>
    </w:rPr>
  </w:style>
  <w:style w:type="character" w:customStyle="1" w:styleId="18">
    <w:name w:val="页眉 Char"/>
    <w:link w:val="6"/>
    <w:qFormat/>
    <w:uiPriority w:val="99"/>
    <w:rPr>
      <w:kern w:val="2"/>
      <w:sz w:val="18"/>
      <w:szCs w:val="18"/>
    </w:rPr>
  </w:style>
  <w:style w:type="character" w:customStyle="1" w:styleId="19">
    <w:name w:val="批注主题 Char"/>
    <w:basedOn w:val="16"/>
    <w:link w:val="8"/>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Xtzj.Com</Company>
  <Pages>14</Pages>
  <Words>1082</Words>
  <Characters>6172</Characters>
  <Lines>51</Lines>
  <Paragraphs>14</Paragraphs>
  <TotalTime>6</TotalTime>
  <ScaleCrop>false</ScaleCrop>
  <LinksUpToDate>false</LinksUpToDate>
  <CharactersWithSpaces>7240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2018-04-20T03:26:00Z</dcterms:created>
  <dc:creator>Xtzj.User</dc:creator>
  <cp:lastModifiedBy>zg0chenyl</cp:lastModifiedBy>
  <cp:lastPrinted>2019-12-05T03:06:00Z</cp:lastPrinted>
  <dcterms:modified xsi:type="dcterms:W3CDTF">2020-06-17T01:50:00Z</dcterms:modified>
  <dc:title>（局发文式样）</dc:title>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