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40" w:lineRule="exact"/>
        <w:jc w:val="left"/>
        <w:outlineLvl w:val="0"/>
        <w:rPr>
          <w:rFonts w:hint="eastAsia" w:ascii="黑体" w:hAnsi="黑体" w:eastAsia="黑体" w:cs="黑体"/>
          <w:sz w:val="32"/>
          <w:szCs w:val="32"/>
          <w:lang w:val="en-US" w:eastAsia="zh-CN"/>
        </w:rPr>
      </w:pPr>
      <w:bookmarkStart w:id="5" w:name="_GoBack"/>
      <w:bookmarkEnd w:id="5"/>
      <w:r>
        <w:rPr>
          <w:rFonts w:hint="eastAsia" w:ascii="黑体" w:hAnsi="黑体" w:eastAsia="黑体" w:cs="黑体"/>
          <w:sz w:val="32"/>
          <w:szCs w:val="32"/>
          <w:lang w:eastAsia="zh-CN"/>
        </w:rPr>
        <w:t>附件</w:t>
      </w:r>
      <w:r>
        <w:rPr>
          <w:rFonts w:hint="eastAsia" w:ascii="黑体" w:hAnsi="黑体" w:eastAsia="黑体" w:cs="黑体"/>
          <w:sz w:val="32"/>
          <w:szCs w:val="32"/>
          <w:lang w:val="en-US" w:eastAsia="zh-CN"/>
        </w:rPr>
        <w:t>3</w:t>
      </w:r>
    </w:p>
    <w:p>
      <w:pPr>
        <w:spacing w:beforeLines="0" w:afterLines="0" w:line="540" w:lineRule="exact"/>
        <w:jc w:val="left"/>
        <w:outlineLvl w:val="0"/>
        <w:rPr>
          <w:rFonts w:hint="eastAsia" w:ascii="黑体" w:hAnsi="黑体" w:eastAsia="黑体" w:cs="黑体"/>
          <w:sz w:val="32"/>
          <w:szCs w:val="32"/>
          <w:lang w:val="en-US" w:eastAsia="zh-CN"/>
        </w:rPr>
      </w:pPr>
    </w:p>
    <w:p>
      <w:pPr>
        <w:spacing w:beforeLines="0" w:afterLines="0" w:line="540" w:lineRule="exact"/>
        <w:jc w:val="center"/>
        <w:outlineLvl w:val="0"/>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电动气压止血仪注册技术审查指导原则</w:t>
      </w:r>
    </w:p>
    <w:p>
      <w:pPr>
        <w:spacing w:beforeLines="0" w:afterLines="0" w:line="540" w:lineRule="exact"/>
        <w:jc w:val="center"/>
        <w:outlineLvl w:val="0"/>
        <w:rPr>
          <w:rFonts w:hint="eastAsia" w:ascii="方正小标宋简体" w:hAnsi="方正小标宋简体" w:eastAsia="方正小标宋简体" w:cs="方正小标宋简体"/>
          <w:sz w:val="44"/>
          <w:szCs w:val="44"/>
        </w:rPr>
      </w:pP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本指导原则旨在指导注册申请人对电动气压止血仪注册申报资料的准备及撰写，同时也为技术审评部门审评注册申报资料提供参考。</w:t>
      </w: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本指导原则是对电动气压止血仪的一般要求，申请人应依据产品的具体特性确定其中内容是否适用，若不适用，需具体阐述理由及相应的科学依据，并依据产品的具体特性对注册申报资料的内容进行充实和细化。</w:t>
      </w: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本指导原则是在现行法规、标准体系及当前认知水平下制定的，随着法规、标准体系的不断完善和科学技术的不断发展，本指导原则相关内容也将适时进行调整。</w:t>
      </w:r>
    </w:p>
    <w:p>
      <w:pPr>
        <w:spacing w:before="0" w:beforeLines="0" w:after="0" w:afterLines="0" w:line="540" w:lineRule="exact"/>
        <w:ind w:firstLine="640" w:firstLineChars="200"/>
        <w:outlineLvl w:val="1"/>
        <w:rPr>
          <w:rFonts w:hint="eastAsia" w:ascii="黑体" w:hAnsi="黑体" w:eastAsia="黑体" w:cs="黑体"/>
          <w:kern w:val="0"/>
          <w:sz w:val="32"/>
          <w:szCs w:val="32"/>
        </w:rPr>
      </w:pPr>
      <w:r>
        <w:rPr>
          <w:rFonts w:hint="eastAsia" w:ascii="黑体" w:hAnsi="黑体" w:eastAsia="黑体" w:cs="黑体"/>
          <w:kern w:val="0"/>
          <w:sz w:val="32"/>
          <w:szCs w:val="32"/>
        </w:rPr>
        <w:t>一、适用范围</w:t>
      </w: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本指导原则范围适用于四肢手术中，电动气压压迫阻断止血类设备。根据《医疗器械分类目录》（原国家食品药品监督管理总局公告2017年第104号），申报产品的管理类别为二类，产品分类编码为14-04-01。</w:t>
      </w: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本</w:t>
      </w:r>
      <w:r>
        <w:rPr>
          <w:rFonts w:hint="default" w:eastAsia="仿宋_GB2312"/>
          <w:spacing w:val="-6"/>
          <w:kern w:val="0"/>
          <w:sz w:val="32"/>
          <w:szCs w:val="32"/>
        </w:rPr>
        <w:t>指导原则不包含专用于股动脉止血的止血类设备，也不包括无源手动充气止血设备，上述产品可参考本指导原则的适用内容。</w:t>
      </w:r>
    </w:p>
    <w:p>
      <w:pPr>
        <w:spacing w:before="0" w:beforeLines="0" w:after="0" w:afterLines="0" w:line="540" w:lineRule="exact"/>
        <w:ind w:firstLine="640" w:firstLineChars="200"/>
        <w:outlineLvl w:val="1"/>
        <w:rPr>
          <w:rFonts w:hint="eastAsia" w:ascii="黑体" w:hAnsi="黑体" w:eastAsia="黑体" w:cs="黑体"/>
          <w:kern w:val="0"/>
          <w:sz w:val="32"/>
          <w:szCs w:val="32"/>
        </w:rPr>
      </w:pPr>
      <w:r>
        <w:rPr>
          <w:rFonts w:hint="eastAsia" w:ascii="黑体" w:hAnsi="黑体" w:eastAsia="黑体" w:cs="黑体"/>
          <w:kern w:val="0"/>
          <w:sz w:val="32"/>
          <w:szCs w:val="32"/>
        </w:rPr>
        <w:t>二、技术审查要点</w:t>
      </w:r>
    </w:p>
    <w:p>
      <w:pPr>
        <w:spacing w:beforeLines="0" w:afterLines="0" w:line="54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（一）产品名称的要求</w:t>
      </w: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产品的名称应符合《医疗器械通用名称命名规则》（国家食品药品监督管理总局令第19号令）、《医疗器械分类目录》、相关法规、规范性文件的要求。产品名称应以体现产品的工作原理、技术结构特征、功能属性为基本准则，例如：电动气压止血仪、电动气压止血带。</w:t>
      </w:r>
    </w:p>
    <w:p>
      <w:pPr>
        <w:spacing w:beforeLines="0" w:afterLines="0" w:line="54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（二）产品的结构和组成</w:t>
      </w: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电动气压止血仪产品一般由</w:t>
      </w:r>
      <w:bookmarkStart w:id="0" w:name="_Hlk5654566"/>
      <w:r>
        <w:rPr>
          <w:rFonts w:hint="default" w:eastAsia="仿宋_GB2312"/>
          <w:kern w:val="0"/>
          <w:sz w:val="32"/>
          <w:szCs w:val="32"/>
        </w:rPr>
        <w:t>主机和气压止血带组成。主机一般由开关电源、控制电路、显示器、</w:t>
      </w:r>
      <w:bookmarkStart w:id="1" w:name="_Hlk5654512"/>
      <w:r>
        <w:rPr>
          <w:rFonts w:hint="default" w:eastAsia="仿宋_GB2312"/>
          <w:kern w:val="0"/>
          <w:sz w:val="32"/>
          <w:szCs w:val="32"/>
        </w:rPr>
        <w:t>压力传感器、微型气泵、充放气电磁阀、</w:t>
      </w:r>
      <w:bookmarkStart w:id="2" w:name="_Hlk5578802"/>
      <w:r>
        <w:rPr>
          <w:rFonts w:hint="default" w:eastAsia="仿宋_GB2312"/>
          <w:kern w:val="0"/>
          <w:sz w:val="32"/>
          <w:szCs w:val="32"/>
        </w:rPr>
        <w:t>软管连接座</w:t>
      </w:r>
      <w:bookmarkEnd w:id="2"/>
      <w:r>
        <w:rPr>
          <w:rFonts w:hint="default" w:eastAsia="仿宋_GB2312"/>
          <w:kern w:val="0"/>
          <w:sz w:val="32"/>
          <w:szCs w:val="32"/>
        </w:rPr>
        <w:t>、内部可充电电源</w:t>
      </w:r>
      <w:bookmarkEnd w:id="1"/>
      <w:r>
        <w:rPr>
          <w:rFonts w:hint="default" w:eastAsia="仿宋_GB2312"/>
          <w:kern w:val="0"/>
          <w:sz w:val="32"/>
          <w:szCs w:val="32"/>
        </w:rPr>
        <w:t>、外壳和其它相关选配件等组成。</w:t>
      </w:r>
      <w:bookmarkEnd w:id="0"/>
      <w:r>
        <w:rPr>
          <w:rFonts w:hint="default" w:eastAsia="仿宋_GB2312"/>
          <w:kern w:val="0"/>
          <w:sz w:val="32"/>
          <w:szCs w:val="32"/>
        </w:rPr>
        <w:t>气压止血带作为耗材配套使用。若产品选配件中包含移动式支架，应在结构组成中明确。</w:t>
      </w:r>
    </w:p>
    <w:p>
      <w:pPr>
        <w:spacing w:beforeLines="0" w:afterLines="0" w:line="540" w:lineRule="exact"/>
        <w:ind w:firstLine="640" w:firstLineChars="200"/>
        <w:rPr>
          <w:rFonts w:hint="default" w:eastAsia="仿宋_GB2312"/>
          <w:kern w:val="0"/>
          <w:sz w:val="32"/>
          <w:szCs w:val="32"/>
        </w:rPr>
      </w:pPr>
      <w:r>
        <w:rPr>
          <w:rFonts w:hint="default" w:eastAsia="仿宋_GB2312"/>
          <w:kern w:val="0"/>
          <w:sz w:val="32"/>
          <w:szCs w:val="32"/>
        </w:rPr>
        <w:t>申报产品的结构框图，相关示例可参见图1。</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drawing>
          <wp:anchor distT="0" distB="0" distL="0" distR="0" simplePos="0" relativeHeight="251658240" behindDoc="0" locked="0" layoutInCell="1" allowOverlap="1">
            <wp:simplePos x="0" y="0"/>
            <wp:positionH relativeFrom="column">
              <wp:posOffset>777875</wp:posOffset>
            </wp:positionH>
            <wp:positionV relativeFrom="paragraph">
              <wp:posOffset>12700</wp:posOffset>
            </wp:positionV>
            <wp:extent cx="4059555" cy="2730500"/>
            <wp:effectExtent l="0" t="0" r="17145" b="1270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59555" cy="2730500"/>
                    </a:xfrm>
                    <a:prstGeom prst="rect">
                      <a:avLst/>
                    </a:prstGeom>
                    <a:noFill/>
                    <a:ln>
                      <a:noFill/>
                    </a:ln>
                  </pic:spPr>
                </pic:pic>
              </a:graphicData>
            </a:graphic>
          </wp:anchor>
        </w:drawing>
      </w:r>
    </w:p>
    <w:p>
      <w:pPr>
        <w:spacing w:beforeLines="0" w:afterLines="0" w:line="560" w:lineRule="exact"/>
        <w:ind w:firstLine="640" w:firstLineChars="200"/>
        <w:rPr>
          <w:rFonts w:hint="default" w:eastAsia="仿宋_GB2312"/>
          <w:kern w:val="0"/>
          <w:sz w:val="32"/>
          <w:szCs w:val="32"/>
        </w:rPr>
      </w:pPr>
    </w:p>
    <w:p>
      <w:pPr>
        <w:spacing w:beforeLines="0" w:afterLines="0" w:line="560" w:lineRule="exact"/>
        <w:ind w:firstLine="640" w:firstLineChars="200"/>
        <w:rPr>
          <w:rFonts w:hint="default" w:eastAsia="仿宋_GB2312"/>
          <w:kern w:val="0"/>
          <w:sz w:val="32"/>
          <w:szCs w:val="32"/>
        </w:rPr>
      </w:pPr>
    </w:p>
    <w:p>
      <w:pPr>
        <w:spacing w:beforeLines="0" w:afterLines="0" w:line="560" w:lineRule="exact"/>
        <w:ind w:firstLine="640" w:firstLineChars="200"/>
        <w:rPr>
          <w:rFonts w:hint="default" w:eastAsia="仿宋_GB2312"/>
          <w:kern w:val="0"/>
          <w:sz w:val="32"/>
          <w:szCs w:val="32"/>
        </w:rPr>
      </w:pPr>
    </w:p>
    <w:p>
      <w:pPr>
        <w:spacing w:beforeLines="0" w:afterLines="0" w:line="560" w:lineRule="exact"/>
        <w:ind w:firstLine="640" w:firstLineChars="200"/>
        <w:rPr>
          <w:rFonts w:hint="default" w:eastAsia="仿宋_GB2312"/>
          <w:kern w:val="0"/>
          <w:sz w:val="32"/>
          <w:szCs w:val="32"/>
        </w:rPr>
      </w:pPr>
    </w:p>
    <w:p>
      <w:pPr>
        <w:spacing w:beforeLines="0" w:afterLines="0" w:line="560" w:lineRule="exact"/>
        <w:ind w:firstLine="640" w:firstLineChars="200"/>
        <w:rPr>
          <w:rFonts w:hint="default" w:eastAsia="仿宋_GB2312"/>
          <w:kern w:val="0"/>
          <w:sz w:val="32"/>
          <w:szCs w:val="32"/>
        </w:rPr>
      </w:pPr>
    </w:p>
    <w:p>
      <w:pPr>
        <w:spacing w:line="240" w:lineRule="exact"/>
        <w:ind w:firstLine="640" w:firstLineChars="200"/>
        <w:jc w:val="center"/>
        <w:rPr>
          <w:rFonts w:hint="default" w:eastAsia="仿宋_GB2312"/>
          <w:kern w:val="0"/>
          <w:sz w:val="32"/>
          <w:szCs w:val="32"/>
        </w:rPr>
      </w:pPr>
    </w:p>
    <w:p>
      <w:pPr>
        <w:spacing w:line="240" w:lineRule="exact"/>
        <w:ind w:firstLine="640" w:firstLineChars="200"/>
        <w:jc w:val="center"/>
        <w:rPr>
          <w:rFonts w:hint="default" w:eastAsia="仿宋_GB2312"/>
          <w:kern w:val="0"/>
          <w:sz w:val="32"/>
          <w:szCs w:val="32"/>
        </w:rPr>
      </w:pPr>
    </w:p>
    <w:p>
      <w:pPr>
        <w:spacing w:line="240" w:lineRule="exact"/>
        <w:ind w:firstLine="640" w:firstLineChars="200"/>
        <w:jc w:val="center"/>
        <w:rPr>
          <w:rFonts w:hint="default" w:eastAsia="仿宋_GB2312"/>
          <w:kern w:val="0"/>
          <w:sz w:val="32"/>
          <w:szCs w:val="32"/>
        </w:rPr>
      </w:pPr>
    </w:p>
    <w:p>
      <w:pPr>
        <w:spacing w:line="240" w:lineRule="exact"/>
        <w:ind w:firstLine="640" w:firstLineChars="200"/>
        <w:jc w:val="center"/>
        <w:rPr>
          <w:rFonts w:hint="default" w:eastAsia="仿宋_GB2312"/>
          <w:kern w:val="0"/>
          <w:sz w:val="32"/>
          <w:szCs w:val="32"/>
        </w:rPr>
      </w:pPr>
    </w:p>
    <w:p>
      <w:pPr>
        <w:ind w:firstLine="560" w:firstLineChars="200"/>
        <w:rPr>
          <w:rFonts w:hint="default" w:eastAsia="仿宋_GB2312"/>
          <w:kern w:val="0"/>
          <w:sz w:val="32"/>
          <w:szCs w:val="32"/>
        </w:rPr>
      </w:pPr>
      <w:r>
        <w:rPr>
          <w:rFonts w:hint="default" w:eastAsia="仿宋_GB2312"/>
          <w:kern w:val="0"/>
          <w:sz w:val="28"/>
          <w:szCs w:val="32"/>
        </w:rPr>
        <w:t>图1. 电动气压止血仪的结构框图</w:t>
      </w:r>
      <w:r>
        <w:rPr>
          <w:rFonts w:hint="default" w:eastAsia="仿宋_GB2312"/>
          <w:kern w:val="0"/>
          <w:sz w:val="32"/>
          <w:szCs w:val="32"/>
        </w:rPr>
        <w:t>申报产品的主机组装示意图，相关示例可参见图2、图3。</w:t>
      </w:r>
    </w:p>
    <w:p>
      <w:pPr>
        <w:jc w:val="center"/>
        <w:rPr>
          <w:rFonts w:hint="default" w:eastAsia="仿宋_GB2312"/>
          <w:kern w:val="0"/>
          <w:sz w:val="32"/>
        </w:rPr>
      </w:pPr>
      <w:r>
        <w:rPr>
          <w:rFonts w:hint="default" w:eastAsia="仿宋_GB2312"/>
          <w:kern w:val="0"/>
          <w:sz w:val="24"/>
        </w:rPr>
        <w:drawing>
          <wp:inline distT="0" distB="0" distL="0" distR="0">
            <wp:extent cx="4986020" cy="3365500"/>
            <wp:effectExtent l="0" t="0" r="508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86020" cy="3365500"/>
                    </a:xfrm>
                    <a:prstGeom prst="rect">
                      <a:avLst/>
                    </a:prstGeom>
                    <a:noFill/>
                    <a:ln w="9525">
                      <a:noFill/>
                    </a:ln>
                  </pic:spPr>
                </pic:pic>
              </a:graphicData>
            </a:graphic>
          </wp:inline>
        </w:drawing>
      </w:r>
    </w:p>
    <w:p>
      <w:pPr>
        <w:jc w:val="center"/>
        <w:rPr>
          <w:rFonts w:hint="default" w:eastAsia="仿宋_GB2312"/>
          <w:kern w:val="0"/>
          <w:sz w:val="28"/>
          <w:szCs w:val="32"/>
        </w:rPr>
      </w:pPr>
      <w:r>
        <w:rPr>
          <w:rFonts w:hint="default" w:eastAsia="仿宋_GB2312"/>
          <w:kern w:val="0"/>
          <w:sz w:val="32"/>
          <w:szCs w:val="32"/>
        </w:rPr>
        <w:t xml:space="preserve">图2. </w:t>
      </w:r>
      <w:r>
        <w:rPr>
          <w:rFonts w:hint="default" w:eastAsia="仿宋_GB2312"/>
          <w:kern w:val="0"/>
          <w:sz w:val="28"/>
          <w:szCs w:val="32"/>
        </w:rPr>
        <w:t>电动气压止血仪主机部分的组装示意图</w:t>
      </w:r>
    </w:p>
    <w:p>
      <w:pPr>
        <w:jc w:val="center"/>
        <w:rPr>
          <w:rFonts w:hint="default" w:eastAsia="仿宋_GB2312"/>
          <w:kern w:val="0"/>
          <w:sz w:val="28"/>
          <w:szCs w:val="32"/>
        </w:rPr>
      </w:pPr>
      <w:r>
        <w:rPr>
          <w:rFonts w:hint="default" w:eastAsia="仿宋_GB2312"/>
          <w:kern w:val="0"/>
          <w:sz w:val="32"/>
          <w:szCs w:val="32"/>
        </w:rPr>
        <w:drawing>
          <wp:anchor distT="0" distB="0" distL="0" distR="0" simplePos="0" relativeHeight="251659264" behindDoc="0" locked="0" layoutInCell="1" allowOverlap="1">
            <wp:simplePos x="0" y="0"/>
            <wp:positionH relativeFrom="column">
              <wp:posOffset>173990</wp:posOffset>
            </wp:positionH>
            <wp:positionV relativeFrom="paragraph">
              <wp:posOffset>55245</wp:posOffset>
            </wp:positionV>
            <wp:extent cx="5267325" cy="3295650"/>
            <wp:effectExtent l="0" t="0" r="952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3295650"/>
                    </a:xfrm>
                    <a:prstGeom prst="rect">
                      <a:avLst/>
                    </a:prstGeom>
                    <a:noFill/>
                    <a:ln>
                      <a:noFill/>
                    </a:ln>
                  </pic:spPr>
                </pic:pic>
              </a:graphicData>
            </a:graphic>
          </wp:anchor>
        </w:drawing>
      </w:r>
    </w:p>
    <w:p>
      <w:pPr>
        <w:jc w:val="center"/>
        <w:rPr>
          <w:rFonts w:hint="default" w:eastAsia="仿宋_GB2312"/>
          <w:kern w:val="0"/>
          <w:sz w:val="28"/>
          <w:szCs w:val="32"/>
        </w:rPr>
      </w:pPr>
    </w:p>
    <w:p>
      <w:pPr>
        <w:jc w:val="center"/>
        <w:rPr>
          <w:rFonts w:hint="default" w:eastAsia="仿宋_GB2312"/>
          <w:kern w:val="0"/>
          <w:sz w:val="28"/>
          <w:szCs w:val="32"/>
        </w:rPr>
      </w:pPr>
    </w:p>
    <w:p>
      <w:pPr>
        <w:jc w:val="center"/>
        <w:rPr>
          <w:rFonts w:hint="default" w:eastAsia="仿宋_GB2312"/>
          <w:kern w:val="0"/>
          <w:sz w:val="28"/>
          <w:szCs w:val="32"/>
        </w:rPr>
      </w:pPr>
    </w:p>
    <w:p>
      <w:pPr>
        <w:jc w:val="center"/>
        <w:rPr>
          <w:rFonts w:hint="default" w:eastAsia="仿宋_GB2312"/>
          <w:kern w:val="0"/>
          <w:sz w:val="28"/>
          <w:szCs w:val="32"/>
        </w:rPr>
      </w:pPr>
    </w:p>
    <w:p>
      <w:pPr>
        <w:jc w:val="center"/>
        <w:rPr>
          <w:rFonts w:hint="default" w:eastAsia="仿宋_GB2312"/>
          <w:kern w:val="0"/>
          <w:sz w:val="28"/>
          <w:szCs w:val="32"/>
        </w:rPr>
      </w:pPr>
    </w:p>
    <w:p>
      <w:pPr>
        <w:jc w:val="center"/>
        <w:rPr>
          <w:rFonts w:hint="default" w:eastAsia="仿宋_GB2312"/>
          <w:kern w:val="0"/>
          <w:sz w:val="28"/>
          <w:szCs w:val="32"/>
        </w:rPr>
      </w:pPr>
    </w:p>
    <w:p>
      <w:pPr>
        <w:jc w:val="center"/>
        <w:rPr>
          <w:rFonts w:hint="default" w:eastAsia="仿宋_GB2312"/>
          <w:kern w:val="0"/>
          <w:sz w:val="28"/>
          <w:szCs w:val="32"/>
        </w:rPr>
      </w:pPr>
    </w:p>
    <w:p>
      <w:pPr>
        <w:jc w:val="center"/>
        <w:rPr>
          <w:rFonts w:hint="default" w:eastAsia="仿宋_GB2312"/>
          <w:kern w:val="0"/>
          <w:sz w:val="28"/>
          <w:szCs w:val="32"/>
        </w:rPr>
      </w:pPr>
    </w:p>
    <w:p>
      <w:pPr>
        <w:jc w:val="center"/>
        <w:rPr>
          <w:rFonts w:hint="default" w:eastAsia="仿宋_GB2312"/>
          <w:kern w:val="0"/>
          <w:sz w:val="32"/>
          <w:szCs w:val="32"/>
        </w:rPr>
      </w:pPr>
      <w:r>
        <w:rPr>
          <w:rFonts w:hint="default" w:eastAsia="仿宋_GB2312"/>
          <w:kern w:val="0"/>
          <w:sz w:val="32"/>
          <w:szCs w:val="32"/>
        </w:rPr>
        <w:t>图3. 气压止血带的工程示意图</w:t>
      </w:r>
    </w:p>
    <w:p>
      <w:pPr>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（三）产品工作原理</w:t>
      </w:r>
    </w:p>
    <w:p>
      <w:pPr>
        <w:spacing w:line="520" w:lineRule="exact"/>
        <w:ind w:firstLine="640" w:firstLineChars="200"/>
        <w:rPr>
          <w:rFonts w:hint="default" w:eastAsia="仿宋_GB2312"/>
          <w:kern w:val="0"/>
          <w:sz w:val="32"/>
          <w:szCs w:val="32"/>
        </w:rPr>
      </w:pPr>
      <w:r>
        <w:rPr>
          <w:rFonts w:hint="default" w:eastAsia="仿宋_GB2312"/>
          <w:kern w:val="0"/>
          <w:sz w:val="32"/>
          <w:szCs w:val="32"/>
        </w:rPr>
        <w:t>气泵输出气体压力，经充气电磁阀及</w:t>
      </w:r>
      <w:bookmarkStart w:id="3" w:name="_Hlk5647199"/>
      <w:r>
        <w:rPr>
          <w:rFonts w:hint="default" w:eastAsia="仿宋_GB2312"/>
          <w:kern w:val="0"/>
          <w:sz w:val="32"/>
          <w:szCs w:val="32"/>
        </w:rPr>
        <w:t>软管连接座</w:t>
      </w:r>
      <w:bookmarkEnd w:id="3"/>
      <w:r>
        <w:rPr>
          <w:rFonts w:hint="default" w:eastAsia="仿宋_GB2312"/>
          <w:kern w:val="0"/>
          <w:sz w:val="32"/>
          <w:szCs w:val="32"/>
        </w:rPr>
        <w:t>，将气压能量传输给气压止血带。气压止血带充气后，对人体四肢肢体产生一定的气体压力，从而阻滞四肢血液流动。</w:t>
      </w:r>
    </w:p>
    <w:p>
      <w:pPr>
        <w:spacing w:line="520" w:lineRule="exact"/>
        <w:ind w:firstLine="640" w:firstLineChars="200"/>
        <w:rPr>
          <w:rFonts w:hint="default" w:eastAsia="仿宋_GB2312"/>
          <w:kern w:val="0"/>
          <w:sz w:val="32"/>
          <w:szCs w:val="32"/>
        </w:rPr>
      </w:pPr>
      <w:r>
        <w:rPr>
          <w:rFonts w:hint="default" w:eastAsia="仿宋_GB2312"/>
          <w:kern w:val="0"/>
          <w:sz w:val="32"/>
          <w:szCs w:val="32"/>
        </w:rPr>
        <w:t>压力传感器应监测供给气压止血带的气压数值，并通过控制电路及充放气电磁阀，实现压力的精确控制和工作气压的稳定作用。工作原理如图4所示。</w:t>
      </w:r>
    </w:p>
    <w:p>
      <w:pPr>
        <w:adjustRightInd w:val="0"/>
        <w:snapToGrid w:val="0"/>
        <w:jc w:val="center"/>
        <w:rPr>
          <w:rFonts w:hint="default" w:eastAsia="仿宋_GB2312"/>
          <w:kern w:val="0"/>
          <w:sz w:val="32"/>
          <w:szCs w:val="32"/>
        </w:rPr>
      </w:pPr>
      <w:r>
        <w:rPr>
          <w:rFonts w:hint="default" w:eastAsia="仿宋_GB2312"/>
          <w:kern w:val="0"/>
          <w:sz w:val="24"/>
        </w:rPr>
        <w:drawing>
          <wp:inline distT="0" distB="0" distL="0" distR="0">
            <wp:extent cx="5356225" cy="421195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56800" cy="4212000"/>
                    </a:xfrm>
                    <a:prstGeom prst="rect">
                      <a:avLst/>
                    </a:prstGeom>
                    <a:noFill/>
                    <a:ln w="9525">
                      <a:noFill/>
                    </a:ln>
                  </pic:spPr>
                </pic:pic>
              </a:graphicData>
            </a:graphic>
          </wp:inline>
        </w:drawing>
      </w:r>
    </w:p>
    <w:p>
      <w:pPr>
        <w:adjustRightInd w:val="0"/>
        <w:snapToGrid w:val="0"/>
        <w:ind w:firstLine="640" w:firstLineChars="200"/>
        <w:rPr>
          <w:rFonts w:hint="default" w:eastAsia="仿宋_GB2312"/>
          <w:kern w:val="0"/>
          <w:sz w:val="32"/>
          <w:szCs w:val="32"/>
        </w:rPr>
      </w:pPr>
    </w:p>
    <w:p>
      <w:pPr>
        <w:adjustRightInd w:val="0"/>
        <w:snapToGrid w:val="0"/>
        <w:ind w:firstLine="560" w:firstLineChars="200"/>
        <w:jc w:val="center"/>
        <w:rPr>
          <w:rFonts w:hint="default" w:eastAsia="仿宋_GB2312"/>
          <w:kern w:val="0"/>
          <w:sz w:val="32"/>
          <w:szCs w:val="32"/>
        </w:rPr>
      </w:pPr>
      <w:r>
        <w:rPr>
          <w:rFonts w:hint="default" w:eastAsia="仿宋_GB2312"/>
          <w:kern w:val="0"/>
          <w:sz w:val="28"/>
          <w:szCs w:val="28"/>
        </w:rPr>
        <w:t>图4. 电动气压止血仪的工作原理示意图</w:t>
      </w:r>
    </w:p>
    <w:p>
      <w:pPr>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（四）注册单元划分的原则和实例</w:t>
      </w:r>
    </w:p>
    <w:p>
      <w:pPr>
        <w:spacing w:after="120" w:line="520" w:lineRule="exact"/>
        <w:ind w:firstLine="640" w:firstLineChars="200"/>
        <w:rPr>
          <w:rFonts w:hint="default" w:eastAsia="仿宋_GB2312"/>
          <w:sz w:val="32"/>
          <w:szCs w:val="32"/>
        </w:rPr>
      </w:pPr>
      <w:r>
        <w:rPr>
          <w:rFonts w:hint="default" w:eastAsia="仿宋_GB2312"/>
          <w:sz w:val="32"/>
          <w:szCs w:val="32"/>
        </w:rPr>
        <w:t>工作原理相同，结构组成、性能指标和适用范围符合以上描述的电动气压止血仪产品，原则上可作为同一注册单元。产品技术结构、性能指标、功能、适用场景差异较大的，应划分为不同的注册单元，例如：便携式和非便携式。</w:t>
      </w:r>
    </w:p>
    <w:p>
      <w:pPr>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（五）产品适用的相关标准</w:t>
      </w:r>
    </w:p>
    <w:p>
      <w:pPr>
        <w:ind w:firstLine="560" w:firstLineChars="200"/>
        <w:jc w:val="center"/>
        <w:rPr>
          <w:rFonts w:hint="default" w:ascii="Times New Roman" w:hAnsi="Times New Roman" w:eastAsia="仿宋_GB2312" w:cs="Times New Roman"/>
          <w:kern w:val="0"/>
          <w:sz w:val="28"/>
          <w:szCs w:val="28"/>
        </w:rPr>
      </w:pPr>
      <w:r>
        <w:rPr>
          <w:rFonts w:hint="default" w:ascii="Times New Roman" w:hAnsi="Times New Roman" w:eastAsia="仿宋_GB2312" w:cs="Times New Roman"/>
          <w:kern w:val="0"/>
          <w:sz w:val="28"/>
          <w:szCs w:val="28"/>
        </w:rPr>
        <w:t>表1产品适用的相关标准</w:t>
      </w:r>
    </w:p>
    <w:tbl>
      <w:tblPr>
        <w:tblStyle w:val="18"/>
        <w:tblW w:w="90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2536"/>
        <w:gridCol w:w="6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403" w:hRule="atLeast"/>
          <w:tblHeader/>
          <w:jc w:val="center"/>
        </w:trPr>
        <w:tc>
          <w:tcPr>
            <w:tcW w:w="2536" w:type="dxa"/>
            <w:vAlign w:val="center"/>
          </w:tcPr>
          <w:p>
            <w:pPr>
              <w:spacing w:line="520" w:lineRule="exact"/>
              <w:ind w:firstLine="562" w:firstLineChars="200"/>
              <w:rPr>
                <w:rFonts w:hint="default" w:eastAsia="仿宋_GB2312"/>
                <w:b/>
                <w:kern w:val="0"/>
                <w:sz w:val="28"/>
                <w:szCs w:val="28"/>
              </w:rPr>
            </w:pPr>
            <w:r>
              <w:rPr>
                <w:rFonts w:hint="default" w:eastAsia="仿宋_GB2312"/>
                <w:b/>
                <w:kern w:val="0"/>
                <w:sz w:val="28"/>
                <w:szCs w:val="28"/>
              </w:rPr>
              <w:t>标准编号</w:t>
            </w:r>
          </w:p>
        </w:tc>
        <w:tc>
          <w:tcPr>
            <w:tcW w:w="6487" w:type="dxa"/>
          </w:tcPr>
          <w:p>
            <w:pPr>
              <w:spacing w:line="520" w:lineRule="exact"/>
              <w:jc w:val="center"/>
              <w:rPr>
                <w:rFonts w:hint="default" w:eastAsia="仿宋_GB2312"/>
                <w:b/>
                <w:kern w:val="0"/>
                <w:sz w:val="28"/>
                <w:szCs w:val="28"/>
              </w:rPr>
            </w:pPr>
            <w:r>
              <w:rPr>
                <w:rFonts w:hint="default" w:eastAsia="仿宋_GB2312"/>
                <w:b/>
                <w:kern w:val="0"/>
                <w:sz w:val="28"/>
                <w:szCs w:val="28"/>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567"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spacing w:val="-4"/>
                <w:kern w:val="0"/>
                <w:sz w:val="28"/>
                <w:szCs w:val="28"/>
              </w:rPr>
              <w:t>GB/T 191-2008</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包装储运图示标志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510"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GB 9706.1-2007</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医用电气设备 第1部分：安全通用要求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859"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 xml:space="preserve">YY </w:t>
            </w:r>
            <w:r>
              <w:rPr>
                <w:rFonts w:hint="default" w:eastAsia="仿宋_GB2312"/>
                <w:color w:val="000000"/>
                <w:spacing w:val="-4"/>
                <w:kern w:val="0"/>
                <w:sz w:val="28"/>
                <w:szCs w:val="28"/>
              </w:rPr>
              <w:t>0505</w:t>
            </w:r>
            <w:r>
              <w:rPr>
                <w:rFonts w:hint="default" w:eastAsia="仿宋_GB2312"/>
                <w:color w:val="000000"/>
                <w:kern w:val="0"/>
                <w:sz w:val="28"/>
                <w:szCs w:val="28"/>
              </w:rPr>
              <w:t>-2012</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医用电气设备 第1-2部分：安全通用要求 并列标准：电磁兼容-要求和试验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567"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GB/T 14710-2009</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医用电器设备环境要求及试验方法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859"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GB/T 16886.1-2011</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医疗器械生物学评价 第1部分:风险管理过程中的评价与试验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680"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GB/T 16886.5-2017</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医疗器械生物学评价 第5部分：体外细胞毒性试验》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859"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GB/T 16886.10-2017</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医疗器械生物学评价 第10部分：刺激与迟发型超敏反应试验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794"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 xml:space="preserve">YY </w:t>
            </w:r>
            <w:r>
              <w:rPr>
                <w:rFonts w:hint="default" w:eastAsia="仿宋_GB2312"/>
                <w:color w:val="000000"/>
                <w:spacing w:val="-4"/>
                <w:kern w:val="0"/>
                <w:sz w:val="28"/>
                <w:szCs w:val="28"/>
              </w:rPr>
              <w:t>0709</w:t>
            </w:r>
            <w:r>
              <w:rPr>
                <w:rFonts w:hint="default" w:eastAsia="仿宋_GB2312"/>
                <w:color w:val="000000"/>
                <w:kern w:val="0"/>
                <w:sz w:val="28"/>
                <w:szCs w:val="28"/>
              </w:rPr>
              <w:t>-2009</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医用电气设备 第1-8部分：安全通用要求 并列标准：通用要求，医用电气设备和医用电气系统中报警系统的测试和指南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859"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 xml:space="preserve">YY </w:t>
            </w:r>
            <w:r>
              <w:rPr>
                <w:rFonts w:hint="default" w:eastAsia="仿宋_GB2312"/>
                <w:color w:val="000000"/>
                <w:spacing w:val="-4"/>
                <w:kern w:val="0"/>
                <w:sz w:val="28"/>
                <w:szCs w:val="28"/>
              </w:rPr>
              <w:t>0466</w:t>
            </w:r>
            <w:r>
              <w:rPr>
                <w:rFonts w:hint="default" w:eastAsia="仿宋_GB2312"/>
                <w:color w:val="000000"/>
                <w:kern w:val="0"/>
                <w:sz w:val="28"/>
                <w:szCs w:val="28"/>
              </w:rPr>
              <w:t>.1-2016</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医疗器械用于医疗器械标签、标记和提供信息的符号 第1部分：通用要求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510" w:hRule="atLeast"/>
          <w:jc w:val="center"/>
        </w:trPr>
        <w:tc>
          <w:tcPr>
            <w:tcW w:w="2536"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YY/T 0316-2016</w:t>
            </w:r>
          </w:p>
        </w:tc>
        <w:tc>
          <w:tcPr>
            <w:tcW w:w="6487" w:type="dxa"/>
            <w:vAlign w:val="center"/>
          </w:tcPr>
          <w:p>
            <w:pPr>
              <w:spacing w:line="520" w:lineRule="exact"/>
              <w:rPr>
                <w:rFonts w:hint="default" w:eastAsia="仿宋_GB2312"/>
                <w:color w:val="000000"/>
                <w:kern w:val="0"/>
                <w:sz w:val="28"/>
                <w:szCs w:val="28"/>
              </w:rPr>
            </w:pPr>
            <w:r>
              <w:rPr>
                <w:rFonts w:hint="default" w:eastAsia="仿宋_GB2312"/>
                <w:color w:val="000000"/>
                <w:kern w:val="0"/>
                <w:sz w:val="28"/>
                <w:szCs w:val="28"/>
              </w:rPr>
              <w:t>医疗器械风险管理对医疗器械的应用</w:t>
            </w:r>
          </w:p>
        </w:tc>
      </w:tr>
    </w:tbl>
    <w:p>
      <w:pPr>
        <w:spacing w:line="540" w:lineRule="exact"/>
        <w:ind w:firstLine="640" w:firstLineChars="200"/>
        <w:rPr>
          <w:rFonts w:hint="default" w:eastAsia="仿宋_GB2312"/>
          <w:kern w:val="0"/>
          <w:sz w:val="32"/>
          <w:szCs w:val="32"/>
        </w:rPr>
      </w:pPr>
      <w:r>
        <w:rPr>
          <w:rFonts w:hint="default" w:eastAsia="仿宋_GB2312"/>
          <w:kern w:val="0"/>
          <w:sz w:val="32"/>
          <w:szCs w:val="32"/>
        </w:rPr>
        <w:t>上述标准包括了产品研究资料、产品技术要求中经常涉及到的标准。根据申报产品的特点，某些申请人还可能会引用一些行业外的标准和一些较为特殊的标准。</w:t>
      </w:r>
    </w:p>
    <w:p>
      <w:pPr>
        <w:spacing w:line="540" w:lineRule="exact"/>
        <w:ind w:firstLine="640" w:firstLineChars="200"/>
        <w:rPr>
          <w:rFonts w:hint="default" w:eastAsia="仿宋_GB2312"/>
          <w:kern w:val="0"/>
          <w:sz w:val="32"/>
          <w:szCs w:val="32"/>
        </w:rPr>
      </w:pPr>
      <w:r>
        <w:rPr>
          <w:rFonts w:hint="default" w:eastAsia="仿宋_GB2312"/>
          <w:kern w:val="0"/>
          <w:sz w:val="32"/>
          <w:szCs w:val="32"/>
        </w:rPr>
        <w:t>产品适用及引用标准的审查可以分两步来进行。首先对引用标准的齐全性和适宜性进行审查，即制定产品技术要求时是否引用了与产品相关的国家标准、行业标准，以及引用是否准确。应注意标准编号、标准名称是否完整规范，年代号是否有效。其次应审查引用标准的采纳情况，即引用标准的条款要求，是否在产品技术要求中进行了实质性的条款引用。此类引用通常采用两种方式，文字表述繁多、内容复杂的条款应直接引用标准及条款号，较为简单的也可直接引述具体要求。</w:t>
      </w:r>
    </w:p>
    <w:p>
      <w:pPr>
        <w:spacing w:line="540" w:lineRule="exact"/>
        <w:ind w:firstLine="640" w:firstLineChars="200"/>
        <w:rPr>
          <w:rFonts w:hint="default" w:eastAsia="仿宋_GB2312"/>
          <w:kern w:val="0"/>
          <w:sz w:val="32"/>
          <w:szCs w:val="32"/>
        </w:rPr>
      </w:pPr>
      <w:r>
        <w:rPr>
          <w:rFonts w:hint="default" w:eastAsia="仿宋_GB2312"/>
          <w:kern w:val="0"/>
          <w:sz w:val="32"/>
          <w:szCs w:val="32"/>
        </w:rPr>
        <w:t>产品技术要求的性能指标等要求，应执行最新版本的国家标准、行业标准。</w:t>
      </w:r>
    </w:p>
    <w:p>
      <w:pPr>
        <w:spacing w:line="54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（六）产品的适用范围/预期用途/禁忌症</w:t>
      </w:r>
    </w:p>
    <w:p>
      <w:pPr>
        <w:spacing w:line="540" w:lineRule="exact"/>
        <w:ind w:firstLine="640" w:firstLineChars="200"/>
        <w:rPr>
          <w:rFonts w:hint="default" w:eastAsia="仿宋_GB2312"/>
          <w:kern w:val="0"/>
          <w:sz w:val="32"/>
          <w:szCs w:val="32"/>
        </w:rPr>
      </w:pPr>
      <w:r>
        <w:rPr>
          <w:rFonts w:hint="default" w:eastAsia="仿宋_GB2312"/>
          <w:kern w:val="0"/>
          <w:sz w:val="32"/>
          <w:szCs w:val="32"/>
        </w:rPr>
        <w:t>产品适用范围应与申报产品的产品功能保持一致。</w:t>
      </w:r>
    </w:p>
    <w:p>
      <w:pPr>
        <w:spacing w:line="540" w:lineRule="exact"/>
        <w:ind w:firstLine="640" w:firstLineChars="200"/>
        <w:rPr>
          <w:rFonts w:hint="default" w:eastAsia="仿宋_GB2312"/>
          <w:kern w:val="0"/>
          <w:sz w:val="32"/>
          <w:szCs w:val="32"/>
        </w:rPr>
      </w:pPr>
      <w:r>
        <w:rPr>
          <w:rFonts w:hint="default" w:eastAsia="仿宋_GB2312"/>
          <w:kern w:val="0"/>
          <w:sz w:val="32"/>
          <w:szCs w:val="32"/>
        </w:rPr>
        <w:t>电动气压止血仪的适用范围一般可限定为：</w:t>
      </w:r>
      <w:bookmarkStart w:id="4" w:name="_Hlk5658200"/>
    </w:p>
    <w:p>
      <w:pPr>
        <w:spacing w:line="540" w:lineRule="exact"/>
        <w:ind w:firstLine="640" w:firstLineChars="200"/>
        <w:rPr>
          <w:rFonts w:hint="default" w:eastAsia="仿宋_GB2312"/>
          <w:kern w:val="0"/>
          <w:sz w:val="32"/>
          <w:szCs w:val="32"/>
        </w:rPr>
      </w:pPr>
      <w:r>
        <w:rPr>
          <w:rFonts w:hint="default" w:eastAsia="仿宋_GB2312"/>
          <w:kern w:val="0"/>
          <w:sz w:val="32"/>
          <w:szCs w:val="32"/>
        </w:rPr>
        <w:t>适用范围：产品用于患者四肢外科手术中暂时阻断肢体血流，为手术提供一个无血的手术视野。</w:t>
      </w:r>
    </w:p>
    <w:p>
      <w:pPr>
        <w:spacing w:line="540" w:lineRule="exact"/>
        <w:ind w:firstLine="640" w:firstLineChars="200"/>
        <w:rPr>
          <w:rFonts w:hint="default" w:eastAsia="仿宋_GB2312"/>
          <w:kern w:val="0"/>
          <w:sz w:val="32"/>
          <w:szCs w:val="32"/>
        </w:rPr>
      </w:pPr>
      <w:r>
        <w:rPr>
          <w:rFonts w:hint="default" w:eastAsia="仿宋_GB2312"/>
          <w:kern w:val="0"/>
          <w:sz w:val="32"/>
          <w:szCs w:val="32"/>
        </w:rPr>
        <w:t>禁忌症</w:t>
      </w:r>
      <w:bookmarkEnd w:id="4"/>
      <w:r>
        <w:rPr>
          <w:rFonts w:hint="default" w:eastAsia="仿宋_GB2312"/>
          <w:kern w:val="0"/>
          <w:sz w:val="32"/>
          <w:szCs w:val="32"/>
        </w:rPr>
        <w:t>如下：动脉血栓形成、血栓闭塞性脉管炎、肺栓塞、明显的周围血管病；高血压、糖尿病并发严重血管疾病者慎用。</w:t>
      </w:r>
    </w:p>
    <w:p>
      <w:pPr>
        <w:spacing w:line="540" w:lineRule="exact"/>
        <w:ind w:firstLine="640" w:firstLineChars="200"/>
        <w:rPr>
          <w:rFonts w:hint="default" w:eastAsia="仿宋_GB2312"/>
          <w:kern w:val="0"/>
          <w:sz w:val="32"/>
          <w:szCs w:val="32"/>
        </w:rPr>
      </w:pPr>
      <w:r>
        <w:rPr>
          <w:rFonts w:hint="default" w:eastAsia="仿宋_GB2312"/>
          <w:kern w:val="0"/>
          <w:sz w:val="32"/>
          <w:szCs w:val="32"/>
        </w:rPr>
        <w:t>适用人群：适用于成人、儿童。若适用于儿童，应提供相应的支持性资料，包括匹配的止血带尺寸、止血压力考量等。</w:t>
      </w:r>
    </w:p>
    <w:p>
      <w:pPr>
        <w:spacing w:line="54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（七）产品的主要风险</w:t>
      </w:r>
    </w:p>
    <w:p>
      <w:pPr>
        <w:spacing w:line="560" w:lineRule="exact"/>
        <w:ind w:firstLine="640" w:firstLineChars="200"/>
        <w:rPr>
          <w:rFonts w:hint="default" w:eastAsia="仿宋_GB2312"/>
          <w:kern w:val="0"/>
          <w:sz w:val="32"/>
          <w:szCs w:val="32"/>
        </w:rPr>
      </w:pPr>
      <w:r>
        <w:rPr>
          <w:rFonts w:hint="default" w:eastAsia="仿宋_GB2312"/>
          <w:kern w:val="0"/>
          <w:sz w:val="32"/>
          <w:szCs w:val="32"/>
        </w:rPr>
        <w:t>产品风险管理报告应符合《医疗器械风险管理对医疗器械的应用》（YY/T 0316-2016）的有关要求，判断与产品有关的危险（源）估计和评价相关风险，控制相关风险并监视风险控制的有效性。</w:t>
      </w:r>
    </w:p>
    <w:p>
      <w:pPr>
        <w:spacing w:line="560" w:lineRule="exact"/>
        <w:ind w:firstLine="640" w:firstLineChars="200"/>
        <w:rPr>
          <w:rFonts w:hint="default" w:eastAsia="仿宋_GB2312"/>
          <w:kern w:val="0"/>
          <w:sz w:val="32"/>
          <w:szCs w:val="32"/>
        </w:rPr>
      </w:pPr>
      <w:r>
        <w:rPr>
          <w:rFonts w:hint="default" w:eastAsia="仿宋_GB2312"/>
          <w:kern w:val="0"/>
          <w:sz w:val="32"/>
          <w:szCs w:val="32"/>
        </w:rPr>
        <w:t>1．危险（源）估计和评价</w:t>
      </w:r>
    </w:p>
    <w:p>
      <w:pPr>
        <w:spacing w:line="560" w:lineRule="exact"/>
        <w:ind w:firstLine="640" w:firstLineChars="200"/>
        <w:rPr>
          <w:rFonts w:hint="default" w:eastAsia="仿宋_GB2312"/>
          <w:kern w:val="0"/>
          <w:sz w:val="32"/>
          <w:szCs w:val="32"/>
        </w:rPr>
      </w:pPr>
      <w:r>
        <w:rPr>
          <w:rFonts w:hint="default" w:eastAsia="仿宋_GB2312"/>
          <w:kern w:val="0"/>
          <w:sz w:val="32"/>
          <w:szCs w:val="32"/>
        </w:rPr>
        <w:t>（1）与产品有关的安全性特征判断可参考YY/T 0316-2016的附录C；</w:t>
      </w:r>
    </w:p>
    <w:p>
      <w:pPr>
        <w:spacing w:line="560" w:lineRule="exact"/>
        <w:ind w:firstLine="640" w:firstLineChars="200"/>
        <w:rPr>
          <w:rFonts w:hint="default" w:eastAsia="仿宋_GB2312"/>
          <w:kern w:val="0"/>
          <w:sz w:val="32"/>
          <w:szCs w:val="32"/>
        </w:rPr>
      </w:pPr>
      <w:r>
        <w:rPr>
          <w:rFonts w:hint="default" w:eastAsia="仿宋_GB2312"/>
          <w:kern w:val="0"/>
          <w:sz w:val="32"/>
          <w:szCs w:val="32"/>
        </w:rPr>
        <w:t>（2）危险（源）、可预见的事件序列和危险情况可参考YY/T 0316-2016附录E、I；</w:t>
      </w:r>
    </w:p>
    <w:p>
      <w:pPr>
        <w:spacing w:line="560" w:lineRule="exact"/>
        <w:ind w:firstLine="640" w:firstLineChars="200"/>
        <w:rPr>
          <w:rFonts w:hint="default" w:eastAsia="仿宋_GB2312"/>
          <w:kern w:val="0"/>
          <w:sz w:val="32"/>
          <w:szCs w:val="32"/>
        </w:rPr>
      </w:pPr>
      <w:r>
        <w:rPr>
          <w:rFonts w:hint="default" w:eastAsia="仿宋_GB2312"/>
          <w:kern w:val="0"/>
          <w:sz w:val="32"/>
          <w:szCs w:val="32"/>
        </w:rPr>
        <w:t>（3）风险控制的方案与实施、综合剩余风险的可接受性评价及生产和生产后监视相关方法可参考YY/T 0316-2016附录F、G、J。</w:t>
      </w:r>
    </w:p>
    <w:p>
      <w:pPr>
        <w:spacing w:line="560" w:lineRule="exact"/>
        <w:ind w:firstLine="640" w:firstLineChars="200"/>
        <w:rPr>
          <w:rFonts w:hint="default" w:eastAsia="仿宋_GB2312"/>
          <w:kern w:val="0"/>
          <w:sz w:val="32"/>
          <w:szCs w:val="32"/>
        </w:rPr>
      </w:pPr>
      <w:r>
        <w:rPr>
          <w:rFonts w:hint="default" w:eastAsia="仿宋_GB2312"/>
          <w:kern w:val="0"/>
          <w:sz w:val="32"/>
          <w:szCs w:val="32"/>
        </w:rPr>
        <w:t>（4）风险可接收准则，降低风险的措施及采取措施后风险的可接受程度，是否有新的风险产生。</w:t>
      </w:r>
    </w:p>
    <w:p>
      <w:pPr>
        <w:spacing w:line="560" w:lineRule="exact"/>
        <w:ind w:firstLine="640" w:firstLineChars="200"/>
        <w:rPr>
          <w:rFonts w:hint="default" w:eastAsia="仿宋_GB2312"/>
          <w:kern w:val="0"/>
          <w:sz w:val="32"/>
          <w:szCs w:val="32"/>
        </w:rPr>
      </w:pPr>
      <w:r>
        <w:rPr>
          <w:rFonts w:hint="default" w:eastAsia="仿宋_GB2312"/>
          <w:kern w:val="0"/>
          <w:sz w:val="32"/>
          <w:szCs w:val="32"/>
        </w:rPr>
        <w:t>2．产品的危险（源）示例</w:t>
      </w:r>
    </w:p>
    <w:p>
      <w:pPr>
        <w:spacing w:line="560" w:lineRule="exact"/>
        <w:ind w:firstLine="640" w:firstLineChars="200"/>
        <w:rPr>
          <w:rFonts w:hint="default" w:eastAsia="仿宋_GB2312"/>
          <w:kern w:val="0"/>
          <w:sz w:val="32"/>
          <w:szCs w:val="32"/>
        </w:rPr>
      </w:pPr>
      <w:r>
        <w:rPr>
          <w:rFonts w:hint="default" w:eastAsia="仿宋_GB2312"/>
          <w:kern w:val="0"/>
          <w:sz w:val="32"/>
          <w:szCs w:val="32"/>
        </w:rPr>
        <w:t>（1）能量危险（源）</w:t>
      </w:r>
    </w:p>
    <w:p>
      <w:pPr>
        <w:spacing w:line="560" w:lineRule="exact"/>
        <w:ind w:firstLine="640" w:firstLineChars="200"/>
        <w:rPr>
          <w:rFonts w:hint="default" w:eastAsia="仿宋_GB2312"/>
          <w:kern w:val="0"/>
          <w:sz w:val="32"/>
          <w:szCs w:val="32"/>
        </w:rPr>
      </w:pPr>
      <w:r>
        <w:rPr>
          <w:rFonts w:hint="default" w:eastAsia="仿宋_GB2312"/>
          <w:kern w:val="0"/>
          <w:sz w:val="32"/>
          <w:szCs w:val="32"/>
        </w:rPr>
        <w:t>电磁能：可能共同使用的设备（高频电刀、移动电话、摄像机等）对电动气压止血仪的电磁干扰，静电放电对电动气压止血仪产生干扰，电动气压止血仪产生的电磁场对可能共同使用的设备的影响等。</w:t>
      </w:r>
    </w:p>
    <w:p>
      <w:pPr>
        <w:spacing w:line="560" w:lineRule="exact"/>
        <w:ind w:firstLine="640" w:firstLineChars="200"/>
        <w:rPr>
          <w:rFonts w:hint="default" w:eastAsia="仿宋_GB2312"/>
          <w:kern w:val="0"/>
          <w:sz w:val="32"/>
          <w:szCs w:val="32"/>
        </w:rPr>
      </w:pPr>
      <w:r>
        <w:rPr>
          <w:rFonts w:hint="default" w:eastAsia="仿宋_GB2312"/>
          <w:kern w:val="0"/>
          <w:sz w:val="32"/>
          <w:szCs w:val="32"/>
        </w:rPr>
        <w:t>漏电流：可触及金属部分、外壳、应用部分与带电部分隔离/保护不够，漏电流超出允许值，导致人体感觉不适。</w:t>
      </w:r>
    </w:p>
    <w:p>
      <w:pPr>
        <w:spacing w:line="560" w:lineRule="exact"/>
        <w:ind w:firstLine="640" w:firstLineChars="200"/>
        <w:rPr>
          <w:rFonts w:hint="default" w:eastAsia="仿宋_GB2312"/>
          <w:kern w:val="0"/>
          <w:sz w:val="32"/>
          <w:szCs w:val="32"/>
        </w:rPr>
      </w:pPr>
      <w:r>
        <w:rPr>
          <w:rFonts w:hint="default" w:eastAsia="仿宋_GB2312"/>
          <w:kern w:val="0"/>
          <w:sz w:val="32"/>
          <w:szCs w:val="32"/>
        </w:rPr>
        <w:t>压力：过度或不适当的压力设置，会造成使用者的安全隐患，如表皮和肌肉细胞及血管受损。</w:t>
      </w:r>
    </w:p>
    <w:p>
      <w:pPr>
        <w:spacing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坠落：便携式电动气压止血仪坠落，导致机械部件松动、内部元器件或气体管路松动，导致无气压输出或压力控制异常等。</w:t>
      </w:r>
    </w:p>
    <w:p>
      <w:pPr>
        <w:spacing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（2）生物学和化学危险（源）</w:t>
      </w:r>
    </w:p>
    <w:p>
      <w:pPr>
        <w:spacing w:line="560" w:lineRule="exact"/>
        <w:ind w:firstLine="640" w:firstLineChars="200"/>
        <w:rPr>
          <w:rFonts w:hint="default" w:eastAsia="仿宋_GB2312"/>
          <w:color w:val="0000FF"/>
          <w:kern w:val="0"/>
          <w:sz w:val="32"/>
          <w:szCs w:val="32"/>
        </w:rPr>
      </w:pPr>
      <w:r>
        <w:rPr>
          <w:rFonts w:hint="default" w:eastAsia="仿宋_GB2312"/>
          <w:color w:val="000000"/>
          <w:kern w:val="0"/>
          <w:sz w:val="32"/>
          <w:szCs w:val="32"/>
        </w:rPr>
        <w:t>申报产品不与患者直接接触。需在说明书中明确具体的使用方法。</w:t>
      </w:r>
    </w:p>
    <w:p>
      <w:pPr>
        <w:spacing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（3）操作危险（源）</w:t>
      </w:r>
    </w:p>
    <w:p>
      <w:pPr>
        <w:spacing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内部电源供电电压过低：在依靠内部电源（电池）工作时，电池电压过低，造成无法正常对外输出气压，或无法启动和控制气泵工作，影响手术正常进行。</w:t>
      </w:r>
    </w:p>
    <w:p>
      <w:pPr>
        <w:spacing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使用错误：使用不适当尺寸的止血带，造成止血带在患者四肢肢体上固定不稳定，发生滑移；或者无法捆扎住患者的肢体的全部表面面积，造成部分肢体未能得到正常的气体压力。</w:t>
      </w:r>
    </w:p>
    <w:p>
      <w:pPr>
        <w:spacing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（4）信息危险（源）</w:t>
      </w:r>
    </w:p>
    <w:p>
      <w:pPr>
        <w:spacing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标记缺少或不正确，标记的位置不正确，不能被正确的识别，不能永久贴牢和清楚易认等。</w:t>
      </w:r>
    </w:p>
    <w:p>
      <w:pPr>
        <w:spacing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包括说明书中未对限制充分告知，未对不正确的操作、与其他设备共同使用时易产生的危险（源）进行警告，未正确标示储运条件，消毒方法等。</w:t>
      </w:r>
    </w:p>
    <w:p>
      <w:pPr>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表2初始事件和环境</w:t>
      </w:r>
    </w:p>
    <w:tbl>
      <w:tblPr>
        <w:tblStyle w:val="18"/>
        <w:tblW w:w="88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023" w:type="dxa"/>
            <w:vAlign w:val="center"/>
          </w:tcPr>
          <w:p>
            <w:pPr>
              <w:spacing w:line="400" w:lineRule="exact"/>
              <w:jc w:val="center"/>
              <w:rPr>
                <w:rFonts w:hint="eastAsia" w:ascii="黑体" w:hAnsi="黑体" w:eastAsia="黑体" w:cs="黑体"/>
                <w:color w:val="000000"/>
                <w:kern w:val="0"/>
                <w:sz w:val="28"/>
                <w:szCs w:val="32"/>
              </w:rPr>
            </w:pPr>
            <w:r>
              <w:rPr>
                <w:rFonts w:hint="eastAsia" w:ascii="黑体" w:hAnsi="黑体" w:eastAsia="黑体" w:cs="黑体"/>
                <w:color w:val="000000"/>
                <w:kern w:val="0"/>
                <w:sz w:val="28"/>
                <w:szCs w:val="32"/>
              </w:rPr>
              <w:t>通用类别</w:t>
            </w:r>
          </w:p>
        </w:tc>
        <w:tc>
          <w:tcPr>
            <w:tcW w:w="6863" w:type="dxa"/>
            <w:vAlign w:val="center"/>
          </w:tcPr>
          <w:p>
            <w:pPr>
              <w:spacing w:line="400" w:lineRule="exact"/>
              <w:ind w:firstLine="560" w:firstLineChars="200"/>
              <w:jc w:val="center"/>
              <w:rPr>
                <w:rFonts w:hint="eastAsia" w:ascii="黑体" w:hAnsi="黑体" w:eastAsia="黑体" w:cs="黑体"/>
                <w:color w:val="000000"/>
                <w:kern w:val="0"/>
                <w:sz w:val="28"/>
                <w:szCs w:val="32"/>
              </w:rPr>
            </w:pPr>
            <w:r>
              <w:rPr>
                <w:rFonts w:hint="eastAsia" w:ascii="黑体" w:hAnsi="黑体" w:eastAsia="黑体" w:cs="黑体"/>
                <w:color w:val="000000"/>
                <w:kern w:val="0"/>
                <w:sz w:val="28"/>
                <w:szCs w:val="32"/>
              </w:rPr>
              <w:t>初始时间和环境示例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center"/>
          </w:tcPr>
          <w:p>
            <w:pPr>
              <w:spacing w:line="400" w:lineRule="exact"/>
              <w:rPr>
                <w:rFonts w:hint="default" w:eastAsia="仿宋_GB2312"/>
                <w:color w:val="000000"/>
                <w:kern w:val="0"/>
                <w:sz w:val="28"/>
                <w:szCs w:val="32"/>
              </w:rPr>
            </w:pPr>
            <w:r>
              <w:rPr>
                <w:rFonts w:hint="default" w:eastAsia="仿宋_GB2312"/>
                <w:color w:val="000000"/>
                <w:kern w:val="0"/>
                <w:sz w:val="28"/>
                <w:szCs w:val="32"/>
              </w:rPr>
              <w:t>不完整的</w:t>
            </w:r>
          </w:p>
          <w:p>
            <w:pPr>
              <w:spacing w:line="400" w:lineRule="exact"/>
              <w:rPr>
                <w:rFonts w:hint="default" w:eastAsia="仿宋_GB2312"/>
                <w:color w:val="000000"/>
                <w:kern w:val="0"/>
                <w:sz w:val="28"/>
                <w:szCs w:val="32"/>
              </w:rPr>
            </w:pPr>
            <w:r>
              <w:rPr>
                <w:rFonts w:hint="default" w:eastAsia="仿宋_GB2312"/>
                <w:color w:val="000000"/>
                <w:kern w:val="0"/>
                <w:sz w:val="28"/>
                <w:szCs w:val="32"/>
              </w:rPr>
              <w:t>要求</w:t>
            </w:r>
          </w:p>
        </w:tc>
        <w:tc>
          <w:tcPr>
            <w:tcW w:w="6863" w:type="dxa"/>
          </w:tcPr>
          <w:p>
            <w:pPr>
              <w:spacing w:line="400" w:lineRule="exact"/>
              <w:rPr>
                <w:rFonts w:hint="default" w:eastAsia="仿宋_GB2312"/>
                <w:color w:val="000000"/>
                <w:kern w:val="0"/>
                <w:sz w:val="28"/>
                <w:szCs w:val="32"/>
              </w:rPr>
            </w:pPr>
            <w:r>
              <w:rPr>
                <w:rFonts w:hint="default" w:eastAsia="仿宋_GB2312"/>
                <w:color w:val="000000"/>
                <w:kern w:val="0"/>
                <w:sz w:val="28"/>
                <w:szCs w:val="32"/>
              </w:rPr>
              <w:t>性能要求不符合</w:t>
            </w:r>
          </w:p>
          <w:p>
            <w:pPr>
              <w:spacing w:line="400" w:lineRule="exact"/>
              <w:rPr>
                <w:rFonts w:hint="default" w:eastAsia="仿宋_GB2312"/>
                <w:color w:val="000000"/>
                <w:kern w:val="0"/>
                <w:sz w:val="28"/>
                <w:szCs w:val="32"/>
              </w:rPr>
            </w:pPr>
            <w:r>
              <w:rPr>
                <w:rFonts w:hint="default" w:eastAsia="仿宋_GB2312"/>
                <w:color w:val="000000"/>
                <w:kern w:val="0"/>
                <w:sz w:val="28"/>
                <w:szCs w:val="32"/>
              </w:rPr>
              <w:t>——充气时间、气压压力准确性等不符合要求</w:t>
            </w:r>
          </w:p>
          <w:p>
            <w:pPr>
              <w:spacing w:line="400" w:lineRule="exact"/>
              <w:rPr>
                <w:rFonts w:hint="default" w:eastAsia="仿宋_GB2312"/>
                <w:color w:val="000000"/>
                <w:kern w:val="0"/>
                <w:sz w:val="28"/>
                <w:szCs w:val="32"/>
              </w:rPr>
            </w:pPr>
            <w:r>
              <w:rPr>
                <w:rFonts w:hint="default" w:eastAsia="仿宋_GB2312"/>
                <w:color w:val="000000"/>
                <w:kern w:val="0"/>
                <w:sz w:val="28"/>
                <w:szCs w:val="32"/>
              </w:rPr>
              <w:t>说明书未对电动气压止血仪、止血带的使用方法、使用范围、消毒和灭菌方法进行说明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center"/>
          </w:tcPr>
          <w:p>
            <w:pPr>
              <w:spacing w:line="400" w:lineRule="exact"/>
              <w:rPr>
                <w:rFonts w:hint="default" w:eastAsia="仿宋_GB2312"/>
                <w:color w:val="000000"/>
                <w:kern w:val="0"/>
                <w:sz w:val="28"/>
                <w:szCs w:val="32"/>
              </w:rPr>
            </w:pPr>
            <w:r>
              <w:rPr>
                <w:rFonts w:hint="default" w:eastAsia="仿宋_GB2312"/>
                <w:color w:val="000000"/>
                <w:kern w:val="0"/>
                <w:sz w:val="28"/>
                <w:szCs w:val="32"/>
              </w:rPr>
              <w:t>制造过程</w:t>
            </w:r>
          </w:p>
        </w:tc>
        <w:tc>
          <w:tcPr>
            <w:tcW w:w="6863" w:type="dxa"/>
          </w:tcPr>
          <w:p>
            <w:pPr>
              <w:spacing w:line="400" w:lineRule="exact"/>
              <w:rPr>
                <w:rFonts w:hint="default" w:eastAsia="仿宋_GB2312"/>
                <w:color w:val="000000"/>
                <w:kern w:val="0"/>
                <w:sz w:val="28"/>
                <w:szCs w:val="32"/>
              </w:rPr>
            </w:pPr>
            <w:r>
              <w:rPr>
                <w:rFonts w:hint="default" w:eastAsia="仿宋_GB2312"/>
                <w:color w:val="000000"/>
                <w:kern w:val="0"/>
                <w:sz w:val="28"/>
                <w:szCs w:val="32"/>
              </w:rPr>
              <w:t>控制程序（包括软件）修改未经验证，导致产品的测量误差不符合要求</w:t>
            </w:r>
          </w:p>
          <w:p>
            <w:pPr>
              <w:spacing w:line="400" w:lineRule="exact"/>
              <w:rPr>
                <w:rFonts w:hint="default" w:eastAsia="仿宋_GB2312"/>
                <w:color w:val="000000"/>
                <w:kern w:val="0"/>
                <w:sz w:val="28"/>
                <w:szCs w:val="32"/>
              </w:rPr>
            </w:pPr>
            <w:r>
              <w:rPr>
                <w:rFonts w:hint="default" w:eastAsia="仿宋_GB2312"/>
                <w:color w:val="000000"/>
                <w:kern w:val="0"/>
                <w:sz w:val="28"/>
                <w:szCs w:val="32"/>
              </w:rPr>
              <w:t>生产过程中关键工序控制点未进行检测，导致部件、整机不合格</w:t>
            </w:r>
          </w:p>
          <w:p>
            <w:pPr>
              <w:spacing w:line="400" w:lineRule="exact"/>
              <w:rPr>
                <w:rFonts w:hint="default" w:eastAsia="仿宋_GB2312"/>
                <w:color w:val="000000"/>
                <w:kern w:val="0"/>
                <w:sz w:val="28"/>
                <w:szCs w:val="32"/>
              </w:rPr>
            </w:pPr>
            <w:r>
              <w:rPr>
                <w:rFonts w:hint="default" w:eastAsia="仿宋_GB2312"/>
                <w:color w:val="000000"/>
                <w:kern w:val="0"/>
                <w:sz w:val="28"/>
                <w:szCs w:val="32"/>
              </w:rPr>
              <w:t>供方的控制不充分：外购件、外协件供方选择不当，外购件、外协件未进行有效进货检验等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center"/>
          </w:tcPr>
          <w:p>
            <w:pPr>
              <w:spacing w:line="400" w:lineRule="exact"/>
              <w:rPr>
                <w:rFonts w:hint="default" w:eastAsia="仿宋_GB2312"/>
                <w:color w:val="000000"/>
                <w:kern w:val="0"/>
                <w:sz w:val="28"/>
                <w:szCs w:val="32"/>
              </w:rPr>
            </w:pPr>
            <w:r>
              <w:rPr>
                <w:rFonts w:hint="default" w:eastAsia="仿宋_GB2312"/>
                <w:color w:val="000000"/>
                <w:kern w:val="0"/>
                <w:sz w:val="28"/>
                <w:szCs w:val="32"/>
              </w:rPr>
              <w:t>运输和贮藏</w:t>
            </w:r>
          </w:p>
        </w:tc>
        <w:tc>
          <w:tcPr>
            <w:tcW w:w="6863" w:type="dxa"/>
          </w:tcPr>
          <w:p>
            <w:pPr>
              <w:spacing w:line="400" w:lineRule="exact"/>
              <w:rPr>
                <w:rFonts w:hint="default" w:eastAsia="仿宋_GB2312"/>
                <w:color w:val="000000"/>
                <w:kern w:val="0"/>
                <w:sz w:val="28"/>
                <w:szCs w:val="32"/>
              </w:rPr>
            </w:pPr>
            <w:r>
              <w:rPr>
                <w:rFonts w:hint="default" w:eastAsia="仿宋_GB2312"/>
                <w:color w:val="000000"/>
                <w:kern w:val="0"/>
                <w:sz w:val="28"/>
                <w:szCs w:val="32"/>
              </w:rPr>
              <w:t>不适当的包装</w:t>
            </w:r>
          </w:p>
          <w:p>
            <w:pPr>
              <w:spacing w:line="400" w:lineRule="exact"/>
              <w:rPr>
                <w:rFonts w:hint="default" w:eastAsia="仿宋_GB2312"/>
                <w:color w:val="000000"/>
                <w:kern w:val="0"/>
                <w:sz w:val="28"/>
                <w:szCs w:val="32"/>
              </w:rPr>
            </w:pPr>
            <w:r>
              <w:rPr>
                <w:rFonts w:hint="default" w:eastAsia="仿宋_GB2312"/>
                <w:color w:val="000000"/>
                <w:kern w:val="0"/>
                <w:sz w:val="28"/>
                <w:szCs w:val="32"/>
              </w:rPr>
              <w:t>不恰当的环境条件等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center"/>
          </w:tcPr>
          <w:p>
            <w:pPr>
              <w:spacing w:line="400" w:lineRule="exact"/>
              <w:rPr>
                <w:rFonts w:hint="default" w:eastAsia="仿宋_GB2312"/>
                <w:color w:val="000000"/>
                <w:kern w:val="0"/>
                <w:sz w:val="28"/>
                <w:szCs w:val="32"/>
              </w:rPr>
            </w:pPr>
            <w:r>
              <w:rPr>
                <w:rFonts w:hint="default" w:eastAsia="仿宋_GB2312"/>
                <w:color w:val="000000"/>
                <w:kern w:val="0"/>
                <w:sz w:val="28"/>
                <w:szCs w:val="32"/>
              </w:rPr>
              <w:t>环境因素</w:t>
            </w:r>
          </w:p>
        </w:tc>
        <w:tc>
          <w:tcPr>
            <w:tcW w:w="6863" w:type="dxa"/>
          </w:tcPr>
          <w:p>
            <w:pPr>
              <w:spacing w:line="400" w:lineRule="exact"/>
              <w:rPr>
                <w:rFonts w:hint="default" w:eastAsia="仿宋_GB2312"/>
                <w:color w:val="000000"/>
                <w:kern w:val="0"/>
                <w:sz w:val="28"/>
                <w:szCs w:val="32"/>
              </w:rPr>
            </w:pPr>
            <w:r>
              <w:rPr>
                <w:rFonts w:hint="default" w:eastAsia="仿宋_GB2312"/>
                <w:color w:val="000000"/>
                <w:kern w:val="0"/>
                <w:sz w:val="28"/>
                <w:szCs w:val="32"/>
              </w:rPr>
              <w:t>过冷、过热的环境</w:t>
            </w:r>
          </w:p>
          <w:p>
            <w:pPr>
              <w:spacing w:line="400" w:lineRule="exact"/>
              <w:rPr>
                <w:rFonts w:hint="default" w:eastAsia="仿宋_GB2312"/>
                <w:color w:val="000000"/>
                <w:kern w:val="0"/>
                <w:sz w:val="28"/>
                <w:szCs w:val="32"/>
              </w:rPr>
            </w:pPr>
            <w:r>
              <w:rPr>
                <w:rFonts w:hint="default" w:eastAsia="仿宋_GB2312"/>
                <w:color w:val="000000"/>
                <w:kern w:val="0"/>
                <w:sz w:val="28"/>
                <w:szCs w:val="32"/>
              </w:rPr>
              <w:t>不适当的能量供应</w:t>
            </w:r>
          </w:p>
          <w:p>
            <w:pPr>
              <w:spacing w:line="400" w:lineRule="exact"/>
              <w:rPr>
                <w:rFonts w:hint="default" w:eastAsia="仿宋_GB2312"/>
                <w:color w:val="000000"/>
                <w:kern w:val="0"/>
                <w:sz w:val="28"/>
                <w:szCs w:val="32"/>
              </w:rPr>
            </w:pPr>
            <w:r>
              <w:rPr>
                <w:rFonts w:hint="default" w:eastAsia="仿宋_GB2312"/>
                <w:color w:val="000000"/>
                <w:kern w:val="0"/>
                <w:sz w:val="28"/>
                <w:szCs w:val="32"/>
              </w:rPr>
              <w:t>电磁场等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center"/>
          </w:tcPr>
          <w:p>
            <w:pPr>
              <w:spacing w:line="400" w:lineRule="exact"/>
              <w:rPr>
                <w:rFonts w:hint="default" w:eastAsia="仿宋_GB2312"/>
                <w:color w:val="000000"/>
                <w:kern w:val="0"/>
                <w:sz w:val="28"/>
                <w:szCs w:val="32"/>
              </w:rPr>
            </w:pPr>
            <w:r>
              <w:rPr>
                <w:rFonts w:hint="default" w:eastAsia="仿宋_GB2312"/>
                <w:color w:val="000000"/>
                <w:kern w:val="0"/>
                <w:sz w:val="28"/>
                <w:szCs w:val="32"/>
              </w:rPr>
              <w:t>清洁、消毒和灭菌</w:t>
            </w:r>
          </w:p>
        </w:tc>
        <w:tc>
          <w:tcPr>
            <w:tcW w:w="6863" w:type="dxa"/>
          </w:tcPr>
          <w:p>
            <w:pPr>
              <w:spacing w:line="400" w:lineRule="exact"/>
              <w:rPr>
                <w:rFonts w:hint="default" w:eastAsia="仿宋_GB2312"/>
                <w:color w:val="000000"/>
                <w:kern w:val="0"/>
                <w:sz w:val="28"/>
                <w:szCs w:val="32"/>
              </w:rPr>
            </w:pPr>
            <w:r>
              <w:rPr>
                <w:rFonts w:hint="default" w:eastAsia="仿宋_GB2312"/>
                <w:color w:val="000000"/>
                <w:kern w:val="0"/>
                <w:sz w:val="28"/>
                <w:szCs w:val="32"/>
              </w:rPr>
              <w:t>对气压止血带的清洁、消毒方法未经确认</w:t>
            </w:r>
          </w:p>
          <w:p>
            <w:pPr>
              <w:spacing w:line="400" w:lineRule="exact"/>
              <w:rPr>
                <w:rFonts w:hint="default" w:eastAsia="仿宋_GB2312"/>
                <w:color w:val="000000"/>
                <w:kern w:val="0"/>
                <w:sz w:val="28"/>
                <w:szCs w:val="32"/>
              </w:rPr>
            </w:pPr>
            <w:r>
              <w:rPr>
                <w:rFonts w:hint="default" w:eastAsia="仿宋_GB2312"/>
                <w:color w:val="000000"/>
                <w:kern w:val="0"/>
                <w:sz w:val="28"/>
                <w:szCs w:val="32"/>
              </w:rPr>
              <w:t>使用者未按要求进行清洗、消毒等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center"/>
          </w:tcPr>
          <w:p>
            <w:pPr>
              <w:spacing w:line="400" w:lineRule="exact"/>
              <w:rPr>
                <w:rFonts w:hint="default" w:eastAsia="仿宋_GB2312"/>
                <w:color w:val="000000"/>
                <w:kern w:val="0"/>
                <w:sz w:val="28"/>
                <w:szCs w:val="32"/>
              </w:rPr>
            </w:pPr>
            <w:r>
              <w:rPr>
                <w:rFonts w:hint="default" w:eastAsia="仿宋_GB2312"/>
                <w:color w:val="000000"/>
                <w:kern w:val="0"/>
                <w:sz w:val="28"/>
                <w:szCs w:val="32"/>
              </w:rPr>
              <w:t>处置和废弃</w:t>
            </w:r>
          </w:p>
        </w:tc>
        <w:tc>
          <w:tcPr>
            <w:tcW w:w="6863" w:type="dxa"/>
          </w:tcPr>
          <w:p>
            <w:pPr>
              <w:spacing w:line="400" w:lineRule="exact"/>
              <w:rPr>
                <w:rFonts w:hint="default" w:eastAsia="仿宋_GB2312"/>
                <w:color w:val="000000"/>
                <w:kern w:val="0"/>
                <w:sz w:val="28"/>
                <w:szCs w:val="32"/>
              </w:rPr>
            </w:pPr>
            <w:r>
              <w:rPr>
                <w:rFonts w:hint="default" w:eastAsia="仿宋_GB2312"/>
                <w:color w:val="000000"/>
                <w:kern w:val="0"/>
                <w:sz w:val="28"/>
                <w:szCs w:val="32"/>
              </w:rPr>
              <w:t>产品或电池使用后处置问题等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center"/>
          </w:tcPr>
          <w:p>
            <w:pPr>
              <w:spacing w:line="400" w:lineRule="exact"/>
              <w:rPr>
                <w:rFonts w:hint="default" w:eastAsia="仿宋_GB2312"/>
                <w:color w:val="000000"/>
                <w:kern w:val="0"/>
                <w:sz w:val="28"/>
                <w:szCs w:val="32"/>
              </w:rPr>
            </w:pPr>
            <w:r>
              <w:rPr>
                <w:rFonts w:hint="default" w:eastAsia="仿宋_GB2312"/>
                <w:color w:val="000000"/>
                <w:kern w:val="0"/>
                <w:sz w:val="28"/>
                <w:szCs w:val="32"/>
              </w:rPr>
              <w:t>人为因素</w:t>
            </w:r>
          </w:p>
        </w:tc>
        <w:tc>
          <w:tcPr>
            <w:tcW w:w="6863" w:type="dxa"/>
          </w:tcPr>
          <w:p>
            <w:pPr>
              <w:spacing w:line="400" w:lineRule="exact"/>
              <w:rPr>
                <w:rFonts w:hint="default" w:eastAsia="仿宋_GB2312"/>
                <w:color w:val="000000"/>
                <w:kern w:val="0"/>
                <w:sz w:val="28"/>
                <w:szCs w:val="32"/>
              </w:rPr>
            </w:pPr>
            <w:r>
              <w:rPr>
                <w:rFonts w:hint="default" w:eastAsia="仿宋_GB2312"/>
                <w:color w:val="000000"/>
                <w:kern w:val="0"/>
                <w:sz w:val="28"/>
                <w:szCs w:val="32"/>
              </w:rPr>
              <w:t>设计缺陷引发的使用错误等</w:t>
            </w:r>
          </w:p>
          <w:p>
            <w:pPr>
              <w:spacing w:line="400" w:lineRule="exact"/>
              <w:rPr>
                <w:rFonts w:hint="default" w:eastAsia="仿宋_GB2312"/>
                <w:color w:val="000000"/>
                <w:kern w:val="0"/>
                <w:sz w:val="28"/>
                <w:szCs w:val="32"/>
              </w:rPr>
            </w:pPr>
            <w:r>
              <w:rPr>
                <w:rFonts w:hint="default" w:eastAsia="仿宋_GB2312"/>
                <w:color w:val="000000"/>
                <w:kern w:val="0"/>
                <w:sz w:val="28"/>
                <w:szCs w:val="32"/>
              </w:rPr>
              <w:t>——易混淆的或缺少使用说明书</w:t>
            </w:r>
          </w:p>
          <w:p>
            <w:pPr>
              <w:spacing w:line="400" w:lineRule="exact"/>
              <w:rPr>
                <w:rFonts w:hint="default" w:eastAsia="仿宋_GB2312"/>
                <w:color w:val="000000"/>
                <w:kern w:val="0"/>
                <w:sz w:val="28"/>
                <w:szCs w:val="32"/>
              </w:rPr>
            </w:pPr>
            <w:r>
              <w:rPr>
                <w:rFonts w:hint="default" w:eastAsia="仿宋_GB2312"/>
                <w:color w:val="000000"/>
                <w:kern w:val="0"/>
                <w:sz w:val="28"/>
                <w:szCs w:val="32"/>
              </w:rPr>
              <w:t>——不正确的使用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center"/>
          </w:tcPr>
          <w:p>
            <w:pPr>
              <w:spacing w:line="400" w:lineRule="exact"/>
              <w:rPr>
                <w:rFonts w:hint="default" w:eastAsia="仿宋_GB2312"/>
                <w:color w:val="000000"/>
                <w:kern w:val="0"/>
                <w:sz w:val="28"/>
                <w:szCs w:val="32"/>
              </w:rPr>
            </w:pPr>
            <w:r>
              <w:rPr>
                <w:rFonts w:hint="default" w:eastAsia="仿宋_GB2312"/>
                <w:color w:val="000000"/>
                <w:kern w:val="0"/>
                <w:sz w:val="28"/>
                <w:szCs w:val="32"/>
              </w:rPr>
              <w:t>失效模式</w:t>
            </w:r>
          </w:p>
        </w:tc>
        <w:tc>
          <w:tcPr>
            <w:tcW w:w="6863" w:type="dxa"/>
          </w:tcPr>
          <w:p>
            <w:pPr>
              <w:spacing w:line="400" w:lineRule="exact"/>
              <w:rPr>
                <w:rFonts w:hint="default" w:eastAsia="仿宋_GB2312"/>
                <w:color w:val="000000"/>
                <w:kern w:val="0"/>
                <w:sz w:val="28"/>
                <w:szCs w:val="32"/>
              </w:rPr>
            </w:pPr>
            <w:r>
              <w:rPr>
                <w:rFonts w:hint="default" w:eastAsia="仿宋_GB2312"/>
                <w:color w:val="000000"/>
                <w:kern w:val="0"/>
                <w:sz w:val="28"/>
                <w:szCs w:val="32"/>
              </w:rPr>
              <w:t>由于老化、磨损和重复使用而导致功能退化/疲劳失效等，包括气压止血带。</w:t>
            </w:r>
          </w:p>
        </w:tc>
      </w:tr>
    </w:tbl>
    <w:p>
      <w:pPr>
        <w:spacing w:line="440" w:lineRule="exact"/>
        <w:ind w:firstLine="0" w:firstLineChars="0"/>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表3危险（源）、可预见的事件序列、危险情况和可发生的</w:t>
      </w:r>
    </w:p>
    <w:p>
      <w:pPr>
        <w:spacing w:line="440" w:lineRule="exact"/>
        <w:ind w:firstLine="0" w:firstLineChars="0"/>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伤害之间的关系示例</w:t>
      </w:r>
    </w:p>
    <w:tbl>
      <w:tblPr>
        <w:tblStyle w:val="18"/>
        <w:tblW w:w="91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9"/>
        <w:gridCol w:w="1629"/>
        <w:gridCol w:w="1984"/>
        <w:gridCol w:w="1985"/>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009" w:type="dxa"/>
            <w:vAlign w:val="center"/>
          </w:tcPr>
          <w:p>
            <w:pPr>
              <w:spacing w:line="400" w:lineRule="exact"/>
              <w:jc w:val="center"/>
              <w:rPr>
                <w:rFonts w:hint="eastAsia" w:ascii="黑体" w:hAnsi="黑体" w:eastAsia="黑体" w:cs="黑体"/>
                <w:color w:val="000000"/>
                <w:kern w:val="0"/>
                <w:sz w:val="28"/>
                <w:szCs w:val="28"/>
              </w:rPr>
            </w:pPr>
            <w:r>
              <w:rPr>
                <w:rFonts w:hint="eastAsia" w:ascii="黑体" w:hAnsi="黑体" w:eastAsia="黑体" w:cs="黑体"/>
                <w:color w:val="000000"/>
                <w:kern w:val="0"/>
                <w:sz w:val="28"/>
                <w:szCs w:val="28"/>
              </w:rPr>
              <w:t>危险（源）</w:t>
            </w:r>
          </w:p>
        </w:tc>
        <w:tc>
          <w:tcPr>
            <w:tcW w:w="1629" w:type="dxa"/>
            <w:vAlign w:val="center"/>
          </w:tcPr>
          <w:p>
            <w:pPr>
              <w:spacing w:line="400" w:lineRule="exact"/>
              <w:jc w:val="center"/>
              <w:rPr>
                <w:rFonts w:hint="eastAsia" w:ascii="黑体" w:hAnsi="黑体" w:eastAsia="黑体" w:cs="黑体"/>
                <w:color w:val="000000"/>
                <w:kern w:val="0"/>
                <w:sz w:val="28"/>
                <w:szCs w:val="28"/>
              </w:rPr>
            </w:pPr>
            <w:r>
              <w:rPr>
                <w:rFonts w:hint="eastAsia" w:ascii="黑体" w:hAnsi="黑体" w:eastAsia="黑体" w:cs="黑体"/>
                <w:color w:val="000000"/>
                <w:kern w:val="0"/>
                <w:sz w:val="28"/>
                <w:szCs w:val="28"/>
              </w:rPr>
              <w:t>可预见的事件序列</w:t>
            </w:r>
          </w:p>
        </w:tc>
        <w:tc>
          <w:tcPr>
            <w:tcW w:w="1984" w:type="dxa"/>
            <w:vAlign w:val="center"/>
          </w:tcPr>
          <w:p>
            <w:pPr>
              <w:spacing w:line="400" w:lineRule="exact"/>
              <w:jc w:val="center"/>
              <w:rPr>
                <w:rFonts w:hint="eastAsia" w:ascii="黑体" w:hAnsi="黑体" w:eastAsia="黑体" w:cs="黑体"/>
                <w:color w:val="000000"/>
                <w:kern w:val="0"/>
                <w:sz w:val="28"/>
                <w:szCs w:val="28"/>
              </w:rPr>
            </w:pPr>
            <w:r>
              <w:rPr>
                <w:rFonts w:hint="eastAsia" w:ascii="黑体" w:hAnsi="黑体" w:eastAsia="黑体" w:cs="黑体"/>
                <w:color w:val="000000"/>
                <w:kern w:val="0"/>
                <w:sz w:val="28"/>
                <w:szCs w:val="28"/>
              </w:rPr>
              <w:t>危险情况</w:t>
            </w:r>
          </w:p>
        </w:tc>
        <w:tc>
          <w:tcPr>
            <w:tcW w:w="1985" w:type="dxa"/>
            <w:vAlign w:val="center"/>
          </w:tcPr>
          <w:p>
            <w:pPr>
              <w:spacing w:line="400" w:lineRule="exact"/>
              <w:ind w:firstLine="560" w:firstLineChars="200"/>
              <w:jc w:val="center"/>
              <w:rPr>
                <w:rFonts w:hint="eastAsia" w:ascii="黑体" w:hAnsi="黑体" w:eastAsia="黑体" w:cs="黑体"/>
                <w:color w:val="000000"/>
                <w:kern w:val="0"/>
                <w:sz w:val="28"/>
                <w:szCs w:val="28"/>
              </w:rPr>
            </w:pPr>
            <w:r>
              <w:rPr>
                <w:rFonts w:hint="eastAsia" w:ascii="黑体" w:hAnsi="黑体" w:eastAsia="黑体" w:cs="黑体"/>
                <w:color w:val="000000"/>
                <w:kern w:val="0"/>
                <w:sz w:val="28"/>
                <w:szCs w:val="28"/>
              </w:rPr>
              <w:t>伤害</w:t>
            </w:r>
          </w:p>
        </w:tc>
        <w:tc>
          <w:tcPr>
            <w:tcW w:w="2504" w:type="dxa"/>
            <w:vAlign w:val="center"/>
          </w:tcPr>
          <w:p>
            <w:pPr>
              <w:spacing w:line="400" w:lineRule="exact"/>
              <w:jc w:val="center"/>
              <w:rPr>
                <w:rFonts w:hint="eastAsia" w:ascii="黑体" w:hAnsi="黑体" w:eastAsia="黑体" w:cs="黑体"/>
                <w:kern w:val="0"/>
                <w:sz w:val="28"/>
                <w:szCs w:val="28"/>
              </w:rPr>
            </w:pPr>
            <w:r>
              <w:rPr>
                <w:rFonts w:hint="eastAsia" w:ascii="黑体" w:hAnsi="黑体" w:eastAsia="黑体" w:cs="黑体"/>
                <w:kern w:val="0"/>
                <w:sz w:val="28"/>
                <w:szCs w:val="28"/>
              </w:rPr>
              <w:t>相应的风险控制措施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restart"/>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电磁</w:t>
            </w:r>
          </w:p>
          <w:p>
            <w:pPr>
              <w:spacing w:line="400" w:lineRule="exact"/>
              <w:rPr>
                <w:rFonts w:hint="default" w:eastAsia="仿宋_GB2312"/>
                <w:color w:val="000000"/>
                <w:kern w:val="0"/>
                <w:sz w:val="28"/>
                <w:szCs w:val="28"/>
              </w:rPr>
            </w:pPr>
            <w:r>
              <w:rPr>
                <w:rFonts w:hint="default" w:eastAsia="仿宋_GB2312"/>
                <w:color w:val="000000"/>
                <w:kern w:val="0"/>
                <w:sz w:val="28"/>
                <w:szCs w:val="28"/>
              </w:rPr>
              <w:t>能量</w:t>
            </w:r>
          </w:p>
        </w:tc>
        <w:tc>
          <w:tcPr>
            <w:tcW w:w="1629"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在强电磁辐射源边使用电动气压止血仪</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电磁干扰程序运行</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气泵无法正常工作或无法启动</w:t>
            </w:r>
          </w:p>
        </w:tc>
        <w:tc>
          <w:tcPr>
            <w:tcW w:w="2504" w:type="dxa"/>
          </w:tcPr>
          <w:p>
            <w:pPr>
              <w:spacing w:line="400" w:lineRule="exact"/>
              <w:rPr>
                <w:rFonts w:hint="default" w:eastAsia="仿宋_GB2312"/>
                <w:kern w:val="0"/>
                <w:sz w:val="28"/>
                <w:szCs w:val="28"/>
              </w:rPr>
            </w:pPr>
            <w:r>
              <w:rPr>
                <w:rFonts w:hint="default" w:eastAsia="仿宋_GB2312"/>
                <w:kern w:val="0"/>
                <w:sz w:val="28"/>
                <w:szCs w:val="28"/>
              </w:rPr>
              <w:t>按照最新EMC法规要求，在电子硬件和软件程序中，均有对应的设计和元器件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vAlign w:val="center"/>
          </w:tcPr>
          <w:p>
            <w:pPr>
              <w:spacing w:line="400" w:lineRule="exact"/>
              <w:jc w:val="center"/>
              <w:rPr>
                <w:rFonts w:hint="default" w:eastAsia="仿宋_GB2312"/>
                <w:color w:val="000000"/>
                <w:kern w:val="0"/>
                <w:sz w:val="28"/>
                <w:szCs w:val="28"/>
              </w:rPr>
            </w:pPr>
            <w:r>
              <w:rPr>
                <w:rFonts w:hint="default" w:eastAsia="仿宋_GB2312"/>
                <w:color w:val="000000"/>
                <w:kern w:val="0"/>
                <w:sz w:val="28"/>
                <w:szCs w:val="28"/>
              </w:rPr>
              <w:t>静电放电</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干扰程序运行</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导致系统工作或显示不正常</w:t>
            </w:r>
          </w:p>
        </w:tc>
        <w:tc>
          <w:tcPr>
            <w:tcW w:w="2504" w:type="dxa"/>
          </w:tcPr>
          <w:p>
            <w:pPr>
              <w:spacing w:line="400" w:lineRule="exact"/>
              <w:rPr>
                <w:rFonts w:hint="default" w:eastAsia="仿宋_GB2312"/>
                <w:kern w:val="0"/>
                <w:sz w:val="28"/>
                <w:szCs w:val="28"/>
              </w:rPr>
            </w:pPr>
            <w:r>
              <w:rPr>
                <w:rFonts w:hint="default" w:eastAsia="仿宋_GB2312"/>
                <w:kern w:val="0"/>
                <w:sz w:val="28"/>
                <w:szCs w:val="28"/>
              </w:rPr>
              <w:t>增强传导和辐射干扰的ECD防护设计，使其符合要求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漏电流</w:t>
            </w:r>
          </w:p>
        </w:tc>
        <w:tc>
          <w:tcPr>
            <w:tcW w:w="1629" w:type="dxa"/>
            <w:vAlign w:val="center"/>
          </w:tcPr>
          <w:p>
            <w:pPr>
              <w:spacing w:line="400" w:lineRule="exact"/>
              <w:jc w:val="center"/>
              <w:rPr>
                <w:rFonts w:hint="default" w:eastAsia="仿宋_GB2312"/>
                <w:color w:val="000000"/>
                <w:kern w:val="0"/>
                <w:sz w:val="28"/>
                <w:szCs w:val="28"/>
              </w:rPr>
            </w:pPr>
            <w:r>
              <w:rPr>
                <w:rFonts w:hint="default" w:eastAsia="仿宋_GB2312"/>
                <w:color w:val="000000"/>
                <w:kern w:val="0"/>
                <w:sz w:val="28"/>
                <w:szCs w:val="28"/>
              </w:rPr>
              <w:t>产品漏电流超标</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外壳与带电部分隔离/保护不够</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漏电流超出允许值，导致人体感觉不舒服</w:t>
            </w:r>
          </w:p>
        </w:tc>
        <w:tc>
          <w:tcPr>
            <w:tcW w:w="2504" w:type="dxa"/>
          </w:tcPr>
          <w:p>
            <w:pPr>
              <w:widowControl/>
              <w:numPr>
                <w:ilvl w:val="0"/>
                <w:numId w:val="1"/>
              </w:numPr>
              <w:spacing w:line="400" w:lineRule="exact"/>
              <w:rPr>
                <w:rFonts w:hint="default" w:eastAsia="仿宋_GB2312"/>
                <w:sz w:val="28"/>
                <w:szCs w:val="28"/>
              </w:rPr>
            </w:pPr>
            <w:r>
              <w:rPr>
                <w:rFonts w:hint="default" w:eastAsia="仿宋_GB2312"/>
                <w:sz w:val="28"/>
                <w:szCs w:val="28"/>
              </w:rPr>
              <w:t>尽可能采用双重绝缘设计。</w:t>
            </w:r>
          </w:p>
          <w:p>
            <w:pPr>
              <w:widowControl/>
              <w:numPr>
                <w:ilvl w:val="0"/>
                <w:numId w:val="1"/>
              </w:numPr>
              <w:spacing w:line="400" w:lineRule="exact"/>
              <w:rPr>
                <w:rFonts w:hint="default" w:eastAsia="仿宋_GB2312"/>
                <w:sz w:val="28"/>
                <w:szCs w:val="28"/>
              </w:rPr>
            </w:pPr>
            <w:r>
              <w:rPr>
                <w:rFonts w:hint="default" w:eastAsia="仿宋_GB2312"/>
                <w:sz w:val="28"/>
                <w:szCs w:val="28"/>
              </w:rPr>
              <w:t>增加警示标示。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热能</w:t>
            </w:r>
          </w:p>
        </w:tc>
        <w:tc>
          <w:tcPr>
            <w:tcW w:w="1629" w:type="dxa"/>
            <w:vAlign w:val="center"/>
          </w:tcPr>
          <w:p>
            <w:pPr>
              <w:spacing w:line="400" w:lineRule="exact"/>
              <w:jc w:val="center"/>
              <w:rPr>
                <w:rFonts w:hint="default" w:eastAsia="仿宋_GB2312"/>
                <w:color w:val="000000"/>
                <w:kern w:val="0"/>
                <w:sz w:val="28"/>
                <w:szCs w:val="28"/>
              </w:rPr>
            </w:pPr>
            <w:r>
              <w:rPr>
                <w:rFonts w:hint="default" w:eastAsia="仿宋_GB2312"/>
                <w:color w:val="000000"/>
                <w:kern w:val="0"/>
                <w:sz w:val="28"/>
                <w:szCs w:val="28"/>
              </w:rPr>
              <w:t>电池漏液</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使用环境过热</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产品损坏，严重时起火</w:t>
            </w:r>
          </w:p>
        </w:tc>
        <w:tc>
          <w:tcPr>
            <w:tcW w:w="2504" w:type="dxa"/>
          </w:tcPr>
          <w:p>
            <w:pPr>
              <w:widowControl/>
              <w:numPr>
                <w:ilvl w:val="0"/>
                <w:numId w:val="2"/>
              </w:numPr>
              <w:spacing w:line="400" w:lineRule="exact"/>
              <w:rPr>
                <w:rFonts w:hint="default" w:eastAsia="仿宋_GB2312"/>
                <w:sz w:val="28"/>
                <w:szCs w:val="28"/>
              </w:rPr>
            </w:pPr>
            <w:r>
              <w:rPr>
                <w:rFonts w:hint="default" w:eastAsia="仿宋_GB2312"/>
                <w:sz w:val="28"/>
                <w:szCs w:val="28"/>
              </w:rPr>
              <w:t>说明书有专项说明。</w:t>
            </w:r>
          </w:p>
          <w:p>
            <w:pPr>
              <w:widowControl/>
              <w:numPr>
                <w:ilvl w:val="0"/>
                <w:numId w:val="2"/>
              </w:numPr>
              <w:spacing w:line="400" w:lineRule="exact"/>
              <w:rPr>
                <w:rFonts w:hint="default" w:eastAsia="仿宋_GB2312"/>
                <w:sz w:val="28"/>
                <w:szCs w:val="28"/>
              </w:rPr>
            </w:pPr>
            <w:r>
              <w:rPr>
                <w:rFonts w:hint="default" w:eastAsia="仿宋_GB2312"/>
                <w:sz w:val="28"/>
                <w:szCs w:val="28"/>
              </w:rPr>
              <w:t>增加警示标示。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机械能</w:t>
            </w:r>
          </w:p>
        </w:tc>
        <w:tc>
          <w:tcPr>
            <w:tcW w:w="1629"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坠落导致机械部件松动、内部元器件或气体管路松动</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电动气压止血仪受损</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导致无气压输出或压力控制异常等，手术无法正常进行。</w:t>
            </w:r>
          </w:p>
        </w:tc>
        <w:tc>
          <w:tcPr>
            <w:tcW w:w="2504" w:type="dxa"/>
          </w:tcPr>
          <w:p>
            <w:pPr>
              <w:widowControl/>
              <w:numPr>
                <w:ilvl w:val="0"/>
                <w:numId w:val="3"/>
              </w:numPr>
              <w:spacing w:line="400" w:lineRule="exact"/>
              <w:rPr>
                <w:rFonts w:hint="default" w:eastAsia="仿宋_GB2312"/>
                <w:sz w:val="28"/>
                <w:szCs w:val="28"/>
              </w:rPr>
            </w:pPr>
            <w:r>
              <w:rPr>
                <w:rFonts w:hint="default" w:eastAsia="仿宋_GB2312"/>
                <w:sz w:val="28"/>
                <w:szCs w:val="28"/>
              </w:rPr>
              <w:t>内部气泵具有减震设计。</w:t>
            </w:r>
          </w:p>
          <w:p>
            <w:pPr>
              <w:widowControl/>
              <w:numPr>
                <w:ilvl w:val="0"/>
                <w:numId w:val="3"/>
              </w:numPr>
              <w:spacing w:line="400" w:lineRule="exact"/>
              <w:rPr>
                <w:rFonts w:hint="default" w:eastAsia="仿宋_GB2312"/>
                <w:sz w:val="28"/>
                <w:szCs w:val="28"/>
              </w:rPr>
            </w:pPr>
            <w:r>
              <w:rPr>
                <w:rFonts w:hint="default" w:eastAsia="仿宋_GB2312"/>
                <w:sz w:val="28"/>
                <w:szCs w:val="28"/>
              </w:rPr>
              <w:t>具有主要部件开机自动功能检测。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不正确的测量</w:t>
            </w:r>
          </w:p>
        </w:tc>
        <w:tc>
          <w:tcPr>
            <w:tcW w:w="1629"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气压输出数据指示不正确</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压力传感器不能正确指标输出压力信号</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误导操作者，不能正确的设置气压压力数值</w:t>
            </w:r>
          </w:p>
        </w:tc>
        <w:tc>
          <w:tcPr>
            <w:tcW w:w="2504" w:type="dxa"/>
          </w:tcPr>
          <w:p>
            <w:pPr>
              <w:widowControl/>
              <w:numPr>
                <w:ilvl w:val="0"/>
                <w:numId w:val="4"/>
              </w:numPr>
              <w:spacing w:line="400" w:lineRule="exact"/>
              <w:rPr>
                <w:rFonts w:hint="default" w:eastAsia="仿宋_GB2312"/>
                <w:sz w:val="28"/>
                <w:szCs w:val="28"/>
              </w:rPr>
            </w:pPr>
            <w:r>
              <w:rPr>
                <w:rFonts w:hint="default" w:eastAsia="仿宋_GB2312"/>
                <w:sz w:val="28"/>
                <w:szCs w:val="28"/>
              </w:rPr>
              <w:t>增加仪器自动校准功能。</w:t>
            </w:r>
          </w:p>
          <w:p>
            <w:pPr>
              <w:widowControl/>
              <w:numPr>
                <w:ilvl w:val="0"/>
                <w:numId w:val="4"/>
              </w:numPr>
              <w:spacing w:line="400" w:lineRule="exact"/>
              <w:rPr>
                <w:rFonts w:hint="default" w:eastAsia="仿宋_GB2312"/>
                <w:sz w:val="28"/>
                <w:szCs w:val="28"/>
              </w:rPr>
            </w:pPr>
            <w:r>
              <w:rPr>
                <w:rFonts w:hint="default" w:eastAsia="仿宋_GB2312"/>
                <w:sz w:val="28"/>
                <w:szCs w:val="28"/>
              </w:rPr>
              <w:t>说</w:t>
            </w:r>
            <w:r>
              <w:rPr>
                <w:rFonts w:hint="default" w:eastAsia="仿宋_GB2312"/>
                <w:spacing w:val="-6"/>
                <w:sz w:val="28"/>
                <w:szCs w:val="28"/>
              </w:rPr>
              <w:t>明书等中注明定期校准要求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restart"/>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操作</w:t>
            </w:r>
          </w:p>
          <w:p>
            <w:pPr>
              <w:spacing w:line="400" w:lineRule="exact"/>
              <w:rPr>
                <w:rFonts w:hint="default" w:eastAsia="仿宋_GB2312"/>
                <w:color w:val="000000"/>
                <w:kern w:val="0"/>
                <w:sz w:val="28"/>
                <w:szCs w:val="28"/>
              </w:rPr>
            </w:pPr>
            <w:r>
              <w:rPr>
                <w:rFonts w:hint="default" w:eastAsia="仿宋_GB2312"/>
                <w:color w:val="000000"/>
                <w:kern w:val="0"/>
                <w:sz w:val="28"/>
                <w:szCs w:val="28"/>
              </w:rPr>
              <w:t>错误</w:t>
            </w:r>
          </w:p>
        </w:tc>
        <w:tc>
          <w:tcPr>
            <w:tcW w:w="1629" w:type="dxa"/>
            <w:tcBorders>
              <w:bottom w:val="single" w:color="auto" w:sz="4" w:space="0"/>
            </w:tcBorders>
          </w:tcPr>
          <w:p>
            <w:pPr>
              <w:spacing w:line="400" w:lineRule="exact"/>
              <w:rPr>
                <w:rFonts w:hint="default" w:eastAsia="仿宋_GB2312"/>
                <w:color w:val="000000"/>
                <w:kern w:val="0"/>
                <w:sz w:val="28"/>
                <w:szCs w:val="28"/>
              </w:rPr>
            </w:pPr>
            <w:r>
              <w:rPr>
                <w:rFonts w:hint="default" w:eastAsia="仿宋_GB2312"/>
                <w:color w:val="000000"/>
                <w:kern w:val="0"/>
                <w:sz w:val="28"/>
                <w:szCs w:val="28"/>
              </w:rPr>
              <w:t>气压止血带未插入到位</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有漏气现象</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止血仪输出气压不能满足临床要求</w:t>
            </w:r>
          </w:p>
        </w:tc>
        <w:tc>
          <w:tcPr>
            <w:tcW w:w="2504" w:type="dxa"/>
          </w:tcPr>
          <w:p>
            <w:pPr>
              <w:spacing w:line="400" w:lineRule="exact"/>
              <w:rPr>
                <w:rFonts w:hint="default" w:eastAsia="仿宋_GB2312"/>
                <w:kern w:val="0"/>
                <w:sz w:val="28"/>
                <w:szCs w:val="28"/>
              </w:rPr>
            </w:pPr>
            <w:r>
              <w:rPr>
                <w:rFonts w:hint="default" w:eastAsia="仿宋_GB2312"/>
                <w:kern w:val="0"/>
                <w:sz w:val="28"/>
                <w:szCs w:val="28"/>
              </w:rPr>
              <w:t>增加仪器漏气自检功能和报警功能。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tcBorders>
              <w:top w:val="single" w:color="auto" w:sz="4" w:space="0"/>
              <w:bottom w:val="single" w:color="auto" w:sz="4" w:space="0"/>
              <w:right w:val="single" w:color="auto" w:sz="4" w:space="0"/>
            </w:tcBorders>
          </w:tcPr>
          <w:p>
            <w:pPr>
              <w:spacing w:line="400" w:lineRule="exact"/>
              <w:rPr>
                <w:rFonts w:hint="default" w:eastAsia="仿宋_GB2312"/>
                <w:color w:val="000000"/>
                <w:kern w:val="0"/>
                <w:sz w:val="28"/>
                <w:szCs w:val="28"/>
              </w:rPr>
            </w:pPr>
            <w:r>
              <w:rPr>
                <w:rFonts w:hint="default" w:eastAsia="仿宋_GB2312"/>
                <w:color w:val="000000"/>
                <w:kern w:val="0"/>
                <w:sz w:val="28"/>
                <w:szCs w:val="28"/>
              </w:rPr>
              <w:t>使用内部电源供电的电压过低</w:t>
            </w:r>
          </w:p>
        </w:tc>
        <w:tc>
          <w:tcPr>
            <w:tcW w:w="1984" w:type="dxa"/>
            <w:tcBorders>
              <w:left w:val="single" w:color="auto" w:sz="4" w:space="0"/>
            </w:tcBorders>
          </w:tcPr>
          <w:p>
            <w:pPr>
              <w:spacing w:line="400" w:lineRule="exact"/>
              <w:rPr>
                <w:rFonts w:hint="default" w:eastAsia="仿宋_GB2312"/>
                <w:color w:val="000000"/>
                <w:kern w:val="0"/>
                <w:sz w:val="28"/>
                <w:szCs w:val="28"/>
              </w:rPr>
            </w:pPr>
            <w:r>
              <w:rPr>
                <w:rFonts w:hint="default" w:eastAsia="仿宋_GB2312"/>
                <w:color w:val="000000"/>
                <w:kern w:val="0"/>
                <w:sz w:val="28"/>
                <w:szCs w:val="28"/>
              </w:rPr>
              <w:t>内部电源电池电压过低，造成气泵输出压力过低</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无法输出正常气体压力，不能满足临床要求</w:t>
            </w:r>
          </w:p>
        </w:tc>
        <w:tc>
          <w:tcPr>
            <w:tcW w:w="2504" w:type="dxa"/>
          </w:tcPr>
          <w:p>
            <w:pPr>
              <w:spacing w:line="400" w:lineRule="exact"/>
              <w:rPr>
                <w:rFonts w:hint="default" w:eastAsia="仿宋_GB2312"/>
                <w:kern w:val="0"/>
                <w:sz w:val="28"/>
                <w:szCs w:val="28"/>
              </w:rPr>
            </w:pPr>
            <w:r>
              <w:rPr>
                <w:rFonts w:hint="default" w:eastAsia="仿宋_GB2312"/>
                <w:kern w:val="0"/>
                <w:sz w:val="28"/>
                <w:szCs w:val="28"/>
              </w:rPr>
              <w:t>增加内部电池使用的电量显示（或检测）及低电压报警功能。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tcBorders>
              <w:top w:val="single" w:color="auto" w:sz="4" w:space="0"/>
            </w:tcBorders>
          </w:tcPr>
          <w:p>
            <w:pPr>
              <w:spacing w:line="400" w:lineRule="exact"/>
              <w:rPr>
                <w:rFonts w:hint="default" w:eastAsia="仿宋_GB2312"/>
                <w:color w:val="000000"/>
                <w:kern w:val="0"/>
                <w:sz w:val="28"/>
                <w:szCs w:val="28"/>
              </w:rPr>
            </w:pPr>
            <w:r>
              <w:rPr>
                <w:rFonts w:hint="default" w:eastAsia="仿宋_GB2312"/>
                <w:color w:val="000000"/>
                <w:kern w:val="0"/>
                <w:sz w:val="28"/>
                <w:szCs w:val="28"/>
              </w:rPr>
              <w:t>使用过长尺寸的止血带</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造成止血带在患者四肢肢体上固定不稳定，发生滑移</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造成止血带固定失效，影响临床手术</w:t>
            </w:r>
          </w:p>
        </w:tc>
        <w:tc>
          <w:tcPr>
            <w:tcW w:w="2504" w:type="dxa"/>
          </w:tcPr>
          <w:p>
            <w:pPr>
              <w:widowControl/>
              <w:spacing w:line="400" w:lineRule="exact"/>
              <w:rPr>
                <w:rFonts w:hint="default" w:eastAsia="仿宋_GB2312"/>
                <w:kern w:val="0"/>
                <w:sz w:val="28"/>
                <w:szCs w:val="28"/>
              </w:rPr>
            </w:pPr>
            <w:r>
              <w:rPr>
                <w:rFonts w:hint="default" w:eastAsia="仿宋_GB2312"/>
                <w:kern w:val="0"/>
                <w:sz w:val="28"/>
                <w:szCs w:val="28"/>
              </w:rPr>
              <w:t>说明书中予以提示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tcBorders>
              <w:top w:val="single" w:color="auto" w:sz="4" w:space="0"/>
            </w:tcBorders>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使用过短尺寸的止血带</w:t>
            </w:r>
          </w:p>
        </w:tc>
        <w:tc>
          <w:tcPr>
            <w:tcW w:w="1984"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无法捆扎住患者的肢体的全部表面面积</w:t>
            </w:r>
          </w:p>
        </w:tc>
        <w:tc>
          <w:tcPr>
            <w:tcW w:w="1985"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造成部分肢体未能得到正常的气体压力，影响临床手术</w:t>
            </w:r>
          </w:p>
        </w:tc>
        <w:tc>
          <w:tcPr>
            <w:tcW w:w="2504" w:type="dxa"/>
          </w:tcPr>
          <w:p>
            <w:pPr>
              <w:widowControl/>
              <w:spacing w:line="400" w:lineRule="exact"/>
              <w:rPr>
                <w:rFonts w:hint="default" w:eastAsia="仿宋_GB2312"/>
                <w:kern w:val="0"/>
                <w:sz w:val="28"/>
                <w:szCs w:val="28"/>
              </w:rPr>
            </w:pPr>
            <w:r>
              <w:rPr>
                <w:rFonts w:hint="default" w:eastAsia="仿宋_GB2312"/>
                <w:kern w:val="0"/>
                <w:sz w:val="28"/>
                <w:szCs w:val="28"/>
              </w:rPr>
              <w:t>说明书中予以提示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tcBorders>
              <w:top w:val="single" w:color="auto" w:sz="4" w:space="0"/>
            </w:tcBorders>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过长的手术时间设定</w:t>
            </w:r>
          </w:p>
        </w:tc>
        <w:tc>
          <w:tcPr>
            <w:tcW w:w="1984"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影响肢体血氧供给</w:t>
            </w:r>
          </w:p>
        </w:tc>
        <w:tc>
          <w:tcPr>
            <w:tcW w:w="1985"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造成肢体细胞损伤，严重时可能产生坏死</w:t>
            </w:r>
          </w:p>
        </w:tc>
        <w:tc>
          <w:tcPr>
            <w:tcW w:w="2504" w:type="dxa"/>
          </w:tcPr>
          <w:p>
            <w:pPr>
              <w:widowControl/>
              <w:spacing w:line="400" w:lineRule="exact"/>
              <w:rPr>
                <w:rFonts w:hint="default" w:eastAsia="仿宋_GB2312"/>
                <w:kern w:val="0"/>
                <w:sz w:val="28"/>
                <w:szCs w:val="28"/>
              </w:rPr>
            </w:pPr>
            <w:r>
              <w:rPr>
                <w:rFonts w:hint="default" w:eastAsia="仿宋_GB2312"/>
                <w:kern w:val="0"/>
                <w:sz w:val="28"/>
                <w:szCs w:val="28"/>
              </w:rPr>
              <w:t>说明书中予以警示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tcBorders>
              <w:top w:val="single" w:color="auto" w:sz="4" w:space="0"/>
            </w:tcBorders>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过高的气压数值设定</w:t>
            </w:r>
          </w:p>
        </w:tc>
        <w:tc>
          <w:tcPr>
            <w:tcW w:w="1984"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使肢体产生过度压迫</w:t>
            </w:r>
          </w:p>
        </w:tc>
        <w:tc>
          <w:tcPr>
            <w:tcW w:w="1985" w:type="dxa"/>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造成肢体表皮和肌肉受损，严重时可能产生坏死</w:t>
            </w:r>
          </w:p>
        </w:tc>
        <w:tc>
          <w:tcPr>
            <w:tcW w:w="2504" w:type="dxa"/>
          </w:tcPr>
          <w:p>
            <w:pPr>
              <w:widowControl/>
              <w:spacing w:line="400" w:lineRule="exact"/>
              <w:rPr>
                <w:rFonts w:hint="default" w:eastAsia="仿宋_GB2312"/>
                <w:kern w:val="0"/>
                <w:sz w:val="28"/>
                <w:szCs w:val="28"/>
              </w:rPr>
            </w:pPr>
            <w:r>
              <w:rPr>
                <w:rFonts w:hint="default" w:eastAsia="仿宋_GB2312"/>
                <w:kern w:val="0"/>
                <w:sz w:val="28"/>
                <w:szCs w:val="28"/>
              </w:rPr>
              <w:t>说明书中予以警示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restart"/>
            <w:vAlign w:val="center"/>
          </w:tcPr>
          <w:p>
            <w:pPr>
              <w:spacing w:line="400" w:lineRule="exact"/>
              <w:rPr>
                <w:rFonts w:hint="default" w:eastAsia="仿宋_GB2312"/>
                <w:color w:val="000000"/>
                <w:kern w:val="0"/>
                <w:sz w:val="28"/>
                <w:szCs w:val="28"/>
              </w:rPr>
            </w:pPr>
            <w:r>
              <w:rPr>
                <w:rFonts w:hint="default" w:eastAsia="仿宋_GB2312"/>
                <w:color w:val="000000"/>
                <w:kern w:val="0"/>
                <w:sz w:val="28"/>
                <w:szCs w:val="28"/>
              </w:rPr>
              <w:t>不完整的说明书</w:t>
            </w:r>
          </w:p>
        </w:tc>
        <w:tc>
          <w:tcPr>
            <w:tcW w:w="1629" w:type="dxa"/>
            <w:tcBorders>
              <w:top w:val="single" w:color="auto" w:sz="4" w:space="0"/>
            </w:tcBorders>
          </w:tcPr>
          <w:p>
            <w:pPr>
              <w:spacing w:line="400" w:lineRule="exact"/>
              <w:rPr>
                <w:rFonts w:hint="default" w:eastAsia="仿宋_GB2312"/>
                <w:color w:val="000000"/>
                <w:kern w:val="0"/>
                <w:sz w:val="28"/>
                <w:szCs w:val="28"/>
              </w:rPr>
            </w:pPr>
            <w:r>
              <w:rPr>
                <w:rFonts w:hint="default" w:eastAsia="仿宋_GB2312"/>
                <w:color w:val="000000"/>
                <w:kern w:val="0"/>
                <w:sz w:val="28"/>
                <w:szCs w:val="28"/>
              </w:rPr>
              <w:t>不正确的主机清洁、消毒方法</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使用有腐蚀性的清洁剂、消毒剂</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产品部件腐蚀，防护性能降低</w:t>
            </w:r>
          </w:p>
        </w:tc>
        <w:tc>
          <w:tcPr>
            <w:tcW w:w="2504" w:type="dxa"/>
          </w:tcPr>
          <w:p>
            <w:pPr>
              <w:spacing w:line="400" w:lineRule="exact"/>
              <w:rPr>
                <w:rFonts w:hint="default" w:eastAsia="仿宋_GB2312"/>
                <w:kern w:val="0"/>
                <w:sz w:val="28"/>
                <w:szCs w:val="28"/>
              </w:rPr>
            </w:pPr>
            <w:r>
              <w:rPr>
                <w:rFonts w:hint="default" w:eastAsia="仿宋_GB2312"/>
                <w:kern w:val="0"/>
                <w:sz w:val="28"/>
                <w:szCs w:val="28"/>
              </w:rPr>
              <w:t>说明书中予以提示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tcBorders>
              <w:top w:val="single" w:color="auto" w:sz="4" w:space="0"/>
              <w:bottom w:val="single" w:color="auto" w:sz="4" w:space="0"/>
            </w:tcBorders>
          </w:tcPr>
          <w:p>
            <w:pPr>
              <w:spacing w:line="400" w:lineRule="exact"/>
              <w:rPr>
                <w:rFonts w:hint="default" w:eastAsia="仿宋_GB2312"/>
                <w:color w:val="000000"/>
                <w:kern w:val="0"/>
                <w:sz w:val="28"/>
                <w:szCs w:val="28"/>
              </w:rPr>
            </w:pPr>
            <w:r>
              <w:rPr>
                <w:rFonts w:hint="default" w:eastAsia="仿宋_GB2312"/>
                <w:color w:val="000000"/>
                <w:kern w:val="0"/>
                <w:sz w:val="28"/>
                <w:szCs w:val="28"/>
              </w:rPr>
              <w:t>不正确的气压止血带选择和使用方法</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止血带选择使用和错误</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影响手术正常使用和安全</w:t>
            </w:r>
          </w:p>
        </w:tc>
        <w:tc>
          <w:tcPr>
            <w:tcW w:w="2504" w:type="dxa"/>
          </w:tcPr>
          <w:p>
            <w:pPr>
              <w:spacing w:line="400" w:lineRule="exact"/>
              <w:rPr>
                <w:rFonts w:hint="default" w:eastAsia="仿宋_GB2312"/>
                <w:kern w:val="0"/>
                <w:sz w:val="28"/>
                <w:szCs w:val="28"/>
              </w:rPr>
            </w:pPr>
            <w:r>
              <w:rPr>
                <w:rFonts w:hint="default" w:eastAsia="仿宋_GB2312"/>
                <w:kern w:val="0"/>
                <w:sz w:val="28"/>
                <w:szCs w:val="28"/>
              </w:rPr>
              <w:t>说明书中予以提示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tcBorders>
              <w:top w:val="single" w:color="auto" w:sz="4" w:space="0"/>
              <w:bottom w:val="single" w:color="auto" w:sz="4" w:space="0"/>
            </w:tcBorders>
          </w:tcPr>
          <w:p>
            <w:pPr>
              <w:spacing w:line="400" w:lineRule="exact"/>
              <w:rPr>
                <w:rFonts w:hint="default" w:eastAsia="仿宋_GB2312"/>
                <w:color w:val="000000"/>
                <w:kern w:val="0"/>
                <w:sz w:val="28"/>
                <w:szCs w:val="28"/>
              </w:rPr>
            </w:pPr>
            <w:r>
              <w:rPr>
                <w:rFonts w:hint="default" w:eastAsia="仿宋_GB2312"/>
                <w:color w:val="000000"/>
                <w:kern w:val="0"/>
                <w:sz w:val="28"/>
                <w:szCs w:val="28"/>
              </w:rPr>
              <w:t>不正确的气压止血带灭菌方法</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止血带灭菌错误</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未能够符合临床灭菌要求</w:t>
            </w:r>
          </w:p>
        </w:tc>
        <w:tc>
          <w:tcPr>
            <w:tcW w:w="2504" w:type="dxa"/>
          </w:tcPr>
          <w:p>
            <w:pPr>
              <w:spacing w:line="400" w:lineRule="exact"/>
              <w:rPr>
                <w:rFonts w:hint="default" w:eastAsia="仿宋_GB2312"/>
                <w:kern w:val="0"/>
                <w:sz w:val="28"/>
                <w:szCs w:val="28"/>
              </w:rPr>
            </w:pPr>
            <w:r>
              <w:rPr>
                <w:rFonts w:hint="default" w:eastAsia="仿宋_GB2312"/>
                <w:kern w:val="0"/>
                <w:sz w:val="28"/>
                <w:szCs w:val="28"/>
              </w:rPr>
              <w:t>说明书中予以提示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9" w:type="dxa"/>
            <w:vMerge w:val="continue"/>
            <w:vAlign w:val="center"/>
          </w:tcPr>
          <w:p>
            <w:pPr>
              <w:spacing w:line="400" w:lineRule="exact"/>
              <w:ind w:firstLine="560" w:firstLineChars="200"/>
              <w:rPr>
                <w:rFonts w:hint="default" w:eastAsia="仿宋_GB2312"/>
                <w:color w:val="000000"/>
                <w:kern w:val="0"/>
                <w:sz w:val="28"/>
                <w:szCs w:val="28"/>
              </w:rPr>
            </w:pPr>
          </w:p>
        </w:tc>
        <w:tc>
          <w:tcPr>
            <w:tcW w:w="1629" w:type="dxa"/>
            <w:tcBorders>
              <w:top w:val="single" w:color="auto" w:sz="4" w:space="0"/>
              <w:bottom w:val="single" w:color="auto" w:sz="4" w:space="0"/>
            </w:tcBorders>
          </w:tcPr>
          <w:p>
            <w:pPr>
              <w:spacing w:line="400" w:lineRule="exact"/>
              <w:rPr>
                <w:rFonts w:hint="default" w:eastAsia="仿宋_GB2312"/>
                <w:color w:val="000000"/>
                <w:kern w:val="0"/>
                <w:sz w:val="28"/>
                <w:szCs w:val="28"/>
              </w:rPr>
            </w:pPr>
            <w:r>
              <w:rPr>
                <w:rFonts w:hint="default" w:eastAsia="仿宋_GB2312"/>
                <w:color w:val="000000"/>
                <w:kern w:val="0"/>
                <w:sz w:val="28"/>
                <w:szCs w:val="28"/>
              </w:rPr>
              <w:t>不正确的产品贮存条件</w:t>
            </w:r>
          </w:p>
        </w:tc>
        <w:tc>
          <w:tcPr>
            <w:tcW w:w="1984"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器件老化，部件寿命降低</w:t>
            </w:r>
          </w:p>
        </w:tc>
        <w:tc>
          <w:tcPr>
            <w:tcW w:w="1985" w:type="dxa"/>
          </w:tcPr>
          <w:p>
            <w:pPr>
              <w:spacing w:line="400" w:lineRule="exact"/>
              <w:rPr>
                <w:rFonts w:hint="default" w:eastAsia="仿宋_GB2312"/>
                <w:color w:val="000000"/>
                <w:kern w:val="0"/>
                <w:sz w:val="28"/>
                <w:szCs w:val="28"/>
              </w:rPr>
            </w:pPr>
            <w:r>
              <w:rPr>
                <w:rFonts w:hint="default" w:eastAsia="仿宋_GB2312"/>
                <w:color w:val="000000"/>
                <w:kern w:val="0"/>
                <w:sz w:val="28"/>
                <w:szCs w:val="28"/>
              </w:rPr>
              <w:t>产品寿命降低，导致测量值误差过大</w:t>
            </w:r>
          </w:p>
        </w:tc>
        <w:tc>
          <w:tcPr>
            <w:tcW w:w="2504" w:type="dxa"/>
          </w:tcPr>
          <w:p>
            <w:pPr>
              <w:spacing w:line="400" w:lineRule="exact"/>
              <w:rPr>
                <w:rFonts w:hint="default" w:eastAsia="仿宋_GB2312"/>
                <w:kern w:val="0"/>
                <w:sz w:val="28"/>
                <w:szCs w:val="28"/>
              </w:rPr>
            </w:pPr>
            <w:r>
              <w:rPr>
                <w:rFonts w:hint="default" w:eastAsia="仿宋_GB2312"/>
                <w:kern w:val="0"/>
                <w:sz w:val="28"/>
                <w:szCs w:val="28"/>
              </w:rPr>
              <w:t>说明书中予以提示</w:t>
            </w:r>
          </w:p>
        </w:tc>
      </w:tr>
    </w:tbl>
    <w:p>
      <w:pPr>
        <w:spacing w:line="56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（八）产品的研究要求</w:t>
      </w:r>
    </w:p>
    <w:p>
      <w:pPr>
        <w:widowControl/>
        <w:spacing w:line="560" w:lineRule="exact"/>
        <w:ind w:firstLine="640" w:firstLineChars="200"/>
        <w:outlineLvl w:val="2"/>
        <w:rPr>
          <w:rFonts w:hint="default" w:eastAsia="仿宋_GB2312"/>
          <w:kern w:val="0"/>
          <w:sz w:val="32"/>
          <w:szCs w:val="32"/>
        </w:rPr>
      </w:pPr>
      <w:r>
        <w:rPr>
          <w:rFonts w:hint="default" w:eastAsia="仿宋_GB2312"/>
          <w:kern w:val="0"/>
          <w:sz w:val="32"/>
          <w:szCs w:val="32"/>
        </w:rPr>
        <w:t>1. 产品性能研究</w:t>
      </w:r>
    </w:p>
    <w:p>
      <w:pPr>
        <w:widowControl/>
        <w:spacing w:line="560" w:lineRule="exact"/>
        <w:ind w:firstLine="640" w:firstLineChars="200"/>
        <w:rPr>
          <w:rFonts w:hint="default" w:eastAsia="仿宋_GB2312"/>
          <w:kern w:val="0"/>
          <w:sz w:val="32"/>
          <w:szCs w:val="32"/>
        </w:rPr>
      </w:pPr>
      <w:r>
        <w:rPr>
          <w:rFonts w:hint="default" w:eastAsia="仿宋_GB2312"/>
          <w:kern w:val="0"/>
          <w:sz w:val="32"/>
          <w:szCs w:val="32"/>
        </w:rPr>
        <w:t>应当提供产品性能研究资料以及产品技术要求的研究和编制说明，包括功能性、安全性指标（如电气安全与电磁兼容、辐射安全）以及与质量控制相关的其他指标的确定依据，所采用的标准或方法、采用的原因及理论基础。如对于产品的充气范围最大值，应给出确定的依据。</w:t>
      </w:r>
    </w:p>
    <w:p>
      <w:pPr>
        <w:spacing w:line="560" w:lineRule="exact"/>
        <w:ind w:firstLine="640" w:firstLineChars="200"/>
        <w:outlineLvl w:val="0"/>
        <w:rPr>
          <w:rFonts w:hint="default" w:eastAsia="仿宋_GB2312"/>
          <w:kern w:val="0"/>
          <w:sz w:val="32"/>
          <w:szCs w:val="32"/>
        </w:rPr>
      </w:pPr>
      <w:r>
        <w:rPr>
          <w:rFonts w:hint="default" w:eastAsia="仿宋_GB2312"/>
          <w:kern w:val="0"/>
          <w:sz w:val="32"/>
        </w:rPr>
        <w:t>若申请人宣称产品具有LOP（肢体动脉血流阻断压测量）功能，应提供充分的研究资料证明该功能的安全性、有效性。</w:t>
      </w:r>
    </w:p>
    <w:p>
      <w:pPr>
        <w:widowControl/>
        <w:spacing w:line="560" w:lineRule="exact"/>
        <w:ind w:firstLine="640" w:firstLineChars="200"/>
        <w:outlineLvl w:val="2"/>
        <w:rPr>
          <w:rFonts w:hint="default" w:eastAsia="仿宋_GB2312"/>
          <w:kern w:val="0"/>
          <w:sz w:val="32"/>
          <w:szCs w:val="32"/>
        </w:rPr>
      </w:pPr>
      <w:r>
        <w:rPr>
          <w:rFonts w:hint="default" w:eastAsia="仿宋_GB2312"/>
          <w:kern w:val="0"/>
          <w:sz w:val="32"/>
          <w:szCs w:val="32"/>
        </w:rPr>
        <w:t>2. 生物相容性评价研究</w:t>
      </w:r>
    </w:p>
    <w:p>
      <w:pPr>
        <w:widowControl/>
        <w:spacing w:line="560" w:lineRule="exact"/>
        <w:ind w:firstLine="640" w:firstLineChars="200"/>
        <w:rPr>
          <w:rFonts w:hint="default" w:eastAsia="仿宋_GB2312"/>
          <w:kern w:val="0"/>
          <w:sz w:val="32"/>
          <w:szCs w:val="32"/>
        </w:rPr>
      </w:pPr>
      <w:r>
        <w:rPr>
          <w:rFonts w:hint="default" w:eastAsia="仿宋_GB2312"/>
          <w:kern w:val="0"/>
          <w:sz w:val="32"/>
          <w:szCs w:val="32"/>
        </w:rPr>
        <w:t>应对成品中与患者和使用者直接或间接接触的材料的生物相容性进行评价。</w:t>
      </w:r>
    </w:p>
    <w:p>
      <w:pPr>
        <w:widowControl/>
        <w:spacing w:line="560" w:lineRule="exact"/>
        <w:ind w:firstLine="640" w:firstLineChars="200"/>
        <w:rPr>
          <w:rFonts w:hint="default" w:eastAsia="仿宋_GB2312"/>
          <w:kern w:val="0"/>
          <w:sz w:val="32"/>
          <w:szCs w:val="32"/>
        </w:rPr>
      </w:pPr>
      <w:r>
        <w:rPr>
          <w:rFonts w:hint="default" w:eastAsia="仿宋_GB2312"/>
          <w:kern w:val="0"/>
          <w:sz w:val="32"/>
          <w:szCs w:val="32"/>
        </w:rPr>
        <w:t>生物相容性评价研究资料应当包括：生物相容性评价的依据和方法；产品所用材料的描述及与人体接触的性质；实施或豁免生物学试验的理由和论证；对于现有数据或试验结果的评价。</w:t>
      </w:r>
    </w:p>
    <w:p>
      <w:pPr>
        <w:widowControl/>
        <w:spacing w:line="560" w:lineRule="exact"/>
        <w:ind w:firstLine="640" w:firstLineChars="200"/>
        <w:outlineLvl w:val="2"/>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3. 灭菌和消毒工艺研究</w:t>
      </w:r>
    </w:p>
    <w:p>
      <w:pPr>
        <w:widowControl/>
        <w:spacing w:line="560" w:lineRule="exact"/>
        <w:ind w:firstLine="640" w:firstLineChars="200"/>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（1）产品中所有生产企业灭菌部分：若适用，应明确灭菌工艺（方法和参数）和无菌保证水平（SAL），并提供灭菌确认报告。</w:t>
      </w:r>
    </w:p>
    <w:p>
      <w:pPr>
        <w:widowControl/>
        <w:spacing w:line="560" w:lineRule="exact"/>
        <w:ind w:firstLine="640" w:firstLineChars="200"/>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（2）终端用户灭菌：若适用，应明确推荐的灭菌工艺（方法和参数）及所推荐的灭菌方法确定的依据；对可耐受两次或多次灭菌的产品，应当提供产品相关推荐的灭菌方法耐受性的研究资料。</w:t>
      </w:r>
    </w:p>
    <w:p>
      <w:pPr>
        <w:widowControl/>
        <w:spacing w:line="560" w:lineRule="exact"/>
        <w:ind w:firstLine="640" w:firstLineChars="200"/>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（3）残留毒性：如灭菌使用的方法容易出现残留，应明确残留物信息及采取的处理方法，并提供研究资料。</w:t>
      </w:r>
    </w:p>
    <w:p>
      <w:pPr>
        <w:widowControl/>
        <w:spacing w:line="560" w:lineRule="exact"/>
        <w:ind w:firstLine="640" w:firstLineChars="200"/>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（4）终端用户消毒：若适用，应明确推荐的消毒工艺（方法和参数）以及所推荐消毒方法确定的依据。</w:t>
      </w:r>
    </w:p>
    <w:p>
      <w:pPr>
        <w:widowControl/>
        <w:spacing w:line="560" w:lineRule="exact"/>
        <w:ind w:firstLine="640" w:firstLineChars="200"/>
        <w:outlineLvl w:val="2"/>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4. 产品有效期和包装研究</w:t>
      </w:r>
    </w:p>
    <w:p>
      <w:pPr>
        <w:widowControl/>
        <w:spacing w:line="560" w:lineRule="exact"/>
        <w:ind w:firstLine="640" w:firstLineChars="200"/>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有效期的确定：若适用，应当提供产品有效期的验证报告，可参考《有源医疗器械使用期限注册技术审查指导原则》。</w:t>
      </w:r>
    </w:p>
    <w:p>
      <w:pPr>
        <w:widowControl/>
        <w:spacing w:line="560" w:lineRule="exact"/>
        <w:ind w:firstLine="640" w:firstLineChars="200"/>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包装及包装完整性：在宣称的有效期内以及运输储存条件下，保持包装完整性的依据。</w:t>
      </w:r>
    </w:p>
    <w:p>
      <w:pPr>
        <w:widowControl/>
        <w:spacing w:line="560" w:lineRule="exact"/>
        <w:ind w:firstLine="640" w:firstLineChars="200"/>
        <w:outlineLvl w:val="2"/>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5. 软件研究</w:t>
      </w:r>
    </w:p>
    <w:p>
      <w:pPr>
        <w:widowControl/>
        <w:spacing w:line="560" w:lineRule="exact"/>
        <w:ind w:firstLine="640" w:firstLineChars="200"/>
        <w:rPr>
          <w:rFonts w:hint="default" w:eastAsia="仿宋_GB2312"/>
          <w:kern w:val="0"/>
          <w:sz w:val="32"/>
          <w:szCs w:val="32"/>
        </w:rPr>
      </w:pPr>
      <w:r>
        <w:rPr>
          <w:rFonts w:hint="default" w:eastAsia="仿宋_GB2312"/>
          <w:kern w:val="0"/>
          <w:sz w:val="32"/>
          <w:szCs w:val="32"/>
        </w:rPr>
        <w:t>产品结构组成中若包含作为医疗器械组成部分的软件，应按照《医疗器械软件注册技术审查指导原则》的要求提供一份单独的医疗器械软件描述文档，内容包括基本信息、实现过程和核心算法三部分内容，详尽程度取决于软件的安全性级别和复杂程度。同时，应出具关于软件版本命名规则的声明，并明确软件完整版本的全部字段及字段含义，确定软件的完整版本和发行所用的标识版本。</w:t>
      </w:r>
    </w:p>
    <w:p>
      <w:pPr>
        <w:widowControl/>
        <w:spacing w:line="560" w:lineRule="exact"/>
        <w:ind w:firstLine="640" w:firstLineChars="200"/>
        <w:rPr>
          <w:rFonts w:hint="default" w:eastAsia="仿宋_GB2312"/>
          <w:kern w:val="0"/>
          <w:sz w:val="32"/>
          <w:szCs w:val="32"/>
        </w:rPr>
      </w:pPr>
      <w:r>
        <w:rPr>
          <w:rFonts w:hint="default" w:eastAsia="仿宋_GB2312"/>
          <w:kern w:val="0"/>
          <w:sz w:val="32"/>
          <w:szCs w:val="32"/>
        </w:rPr>
        <w:t>产品若符合《医疗器械网络安全指导原则》中的适用情形，应提交网络安全描述文档，并在产品技术要求中规定相应的性能指标。</w:t>
      </w:r>
    </w:p>
    <w:p>
      <w:pPr>
        <w:widowControl/>
        <w:spacing w:line="560" w:lineRule="exact"/>
        <w:ind w:firstLine="640" w:firstLineChars="200"/>
        <w:rPr>
          <w:rFonts w:hint="default" w:eastAsia="仿宋_GB2312"/>
          <w:kern w:val="0"/>
          <w:sz w:val="32"/>
          <w:szCs w:val="32"/>
        </w:rPr>
      </w:pPr>
      <w:r>
        <w:rPr>
          <w:rFonts w:hint="default" w:eastAsia="仿宋_GB2312"/>
          <w:kern w:val="0"/>
          <w:sz w:val="32"/>
          <w:szCs w:val="32"/>
        </w:rPr>
        <w:t>6.其他资料</w:t>
      </w:r>
    </w:p>
    <w:p>
      <w:pPr>
        <w:widowControl/>
        <w:spacing w:line="560" w:lineRule="exact"/>
        <w:ind w:firstLine="640" w:firstLineChars="200"/>
        <w:rPr>
          <w:rFonts w:hint="default" w:eastAsia="仿宋_GB2312"/>
          <w:kern w:val="0"/>
          <w:sz w:val="32"/>
          <w:szCs w:val="32"/>
        </w:rPr>
      </w:pPr>
      <w:r>
        <w:rPr>
          <w:rFonts w:hint="default" w:eastAsia="仿宋_GB2312"/>
          <w:kern w:val="0"/>
          <w:sz w:val="32"/>
          <w:szCs w:val="32"/>
        </w:rPr>
        <w:t>证明产品安全性、有效性的其他研究资料。</w:t>
      </w:r>
    </w:p>
    <w:p>
      <w:pPr>
        <w:spacing w:line="560" w:lineRule="exact"/>
        <w:ind w:firstLine="640" w:firstLineChars="200"/>
        <w:outlineLvl w:val="2"/>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rPr>
        <w:t>（九）产品技术要求应包括的主要性能指标</w:t>
      </w:r>
    </w:p>
    <w:p>
      <w:pPr>
        <w:spacing w:line="560" w:lineRule="exact"/>
        <w:ind w:firstLine="640" w:firstLineChars="200"/>
        <w:rPr>
          <w:rFonts w:hint="default" w:eastAsia="仿宋_GB2312"/>
          <w:color w:val="000000"/>
          <w:sz w:val="32"/>
          <w:szCs w:val="32"/>
        </w:rPr>
      </w:pPr>
      <w:r>
        <w:rPr>
          <w:rFonts w:hint="default" w:eastAsia="仿宋_GB2312"/>
          <w:sz w:val="32"/>
          <w:szCs w:val="32"/>
        </w:rPr>
        <w:t>目前尚无电动气压止血仪产品的行业标准实施，所以本指导原则针对部分性能指标提供了可参考的定量要求。考虑到不同申报产品之间的差异，其他性能指标未规定限值，申请人应结合自身产品特点进行量化。</w:t>
      </w:r>
    </w:p>
    <w:p>
      <w:pPr>
        <w:spacing w:line="560" w:lineRule="exact"/>
        <w:ind w:firstLine="640" w:firstLineChars="200"/>
        <w:rPr>
          <w:rFonts w:hint="default" w:eastAsia="仿宋_GB2312"/>
          <w:bCs/>
          <w:sz w:val="32"/>
          <w:szCs w:val="32"/>
        </w:rPr>
      </w:pPr>
      <w:r>
        <w:rPr>
          <w:rFonts w:hint="default" w:eastAsia="仿宋_GB2312"/>
          <w:bCs/>
          <w:sz w:val="32"/>
          <w:szCs w:val="32"/>
        </w:rPr>
        <w:t>根据产品的主要功能和预期用途，产品的技术指标主要包括充气压力、充气源、正/倒计时提醒、总充气时间显示、气体管</w:t>
      </w:r>
      <w:r>
        <w:rPr>
          <w:rFonts w:hint="default" w:eastAsia="仿宋_GB2312"/>
          <w:bCs/>
          <w:spacing w:val="-6"/>
          <w:sz w:val="32"/>
          <w:szCs w:val="32"/>
        </w:rPr>
        <w:t>路、电气安全、电磁兼容、内部电池的容量指示（若适用）等方面。</w:t>
      </w:r>
    </w:p>
    <w:p>
      <w:pPr>
        <w:spacing w:line="560" w:lineRule="exact"/>
        <w:ind w:firstLine="640" w:firstLineChars="200"/>
        <w:rPr>
          <w:rFonts w:hint="default" w:eastAsia="仿宋_GB2312"/>
          <w:bCs/>
          <w:sz w:val="32"/>
          <w:szCs w:val="32"/>
        </w:rPr>
      </w:pPr>
      <w:r>
        <w:rPr>
          <w:rFonts w:hint="default" w:eastAsia="仿宋_GB2312"/>
          <w:bCs/>
          <w:sz w:val="32"/>
          <w:szCs w:val="32"/>
        </w:rPr>
        <w:t>产品技术要求中应明确产品的软件版本信息。</w:t>
      </w:r>
    </w:p>
    <w:p>
      <w:pPr>
        <w:spacing w:line="560" w:lineRule="exact"/>
        <w:ind w:firstLine="640" w:firstLineChars="200"/>
        <w:rPr>
          <w:rFonts w:hint="default" w:eastAsia="仿宋_GB2312"/>
          <w:bCs/>
          <w:sz w:val="32"/>
          <w:szCs w:val="32"/>
        </w:rPr>
      </w:pPr>
      <w:r>
        <w:rPr>
          <w:rFonts w:hint="default" w:eastAsia="仿宋_GB2312"/>
          <w:bCs/>
          <w:sz w:val="32"/>
          <w:szCs w:val="32"/>
        </w:rPr>
        <w:t>若产品组成中包含气压止血带，则产品的有效性技术指标还应包括：最大耐受压力、使用灭菌方法（若适用）、最大使用次数（若适用）等。</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1．工作条件</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1.1 正常工作环境条件</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申请人应规定环境温度、相对湿度、大气压力等信息。</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1.2 网电源供电设备的电源电压、频率、电源电压适用范围。</w:t>
      </w:r>
    </w:p>
    <w:p>
      <w:pPr>
        <w:spacing w:line="560" w:lineRule="exact"/>
        <w:ind w:firstLine="640" w:firstLineChars="200"/>
        <w:rPr>
          <w:rFonts w:hint="default" w:eastAsia="仿宋_GB2312"/>
          <w:sz w:val="32"/>
          <w:szCs w:val="32"/>
        </w:rPr>
      </w:pPr>
      <w:r>
        <w:rPr>
          <w:rFonts w:hint="default" w:eastAsia="仿宋_GB2312"/>
          <w:sz w:val="32"/>
          <w:szCs w:val="32"/>
        </w:rPr>
        <w:t>1.3 电池供电设备中充电电池的输出电压和工作电流、带载连续工作时间和充电电流。</w:t>
      </w:r>
    </w:p>
    <w:p>
      <w:pPr>
        <w:spacing w:line="560" w:lineRule="exact"/>
        <w:ind w:firstLine="640" w:firstLineChars="200"/>
        <w:rPr>
          <w:rFonts w:hint="default" w:eastAsia="仿宋_GB2312"/>
          <w:sz w:val="32"/>
          <w:szCs w:val="32"/>
        </w:rPr>
      </w:pPr>
      <w:r>
        <w:rPr>
          <w:rFonts w:hint="default" w:eastAsia="仿宋_GB2312"/>
          <w:sz w:val="32"/>
          <w:szCs w:val="32"/>
        </w:rPr>
        <w:t>1.4 若包含气压止血带，应明确主要材质。</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2．性能指标</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2.1外观与结构要求</w:t>
      </w:r>
    </w:p>
    <w:p>
      <w:pPr>
        <w:spacing w:line="560" w:lineRule="exact"/>
        <w:ind w:firstLine="640" w:firstLineChars="200"/>
        <w:rPr>
          <w:rFonts w:hint="default" w:eastAsia="仿宋_GB2312"/>
          <w:bCs/>
          <w:color w:val="000000"/>
          <w:sz w:val="32"/>
          <w:szCs w:val="32"/>
        </w:rPr>
      </w:pPr>
      <w:r>
        <w:rPr>
          <w:rFonts w:hint="default" w:eastAsia="仿宋_GB2312"/>
          <w:bCs/>
          <w:color w:val="000000"/>
          <w:sz w:val="32"/>
          <w:szCs w:val="32"/>
        </w:rPr>
        <w:t>2.1.1电动气压止血仪表面应光洁、不得有锋棱、毛刺、破损和变形。</w:t>
      </w:r>
    </w:p>
    <w:p>
      <w:pPr>
        <w:spacing w:line="560" w:lineRule="exact"/>
        <w:ind w:firstLine="640" w:firstLineChars="200"/>
        <w:rPr>
          <w:rFonts w:hint="default" w:eastAsia="仿宋_GB2312"/>
          <w:bCs/>
          <w:color w:val="000000"/>
          <w:sz w:val="32"/>
          <w:szCs w:val="32"/>
        </w:rPr>
      </w:pPr>
      <w:r>
        <w:rPr>
          <w:rFonts w:hint="default" w:eastAsia="仿宋_GB2312"/>
          <w:bCs/>
          <w:color w:val="000000"/>
          <w:sz w:val="32"/>
          <w:szCs w:val="32"/>
        </w:rPr>
        <w:t>2.1.2电动气压止血仪控制面板或显示器上文字和标志应准确、清晰、规范。</w:t>
      </w:r>
    </w:p>
    <w:p>
      <w:pPr>
        <w:spacing w:line="560" w:lineRule="exact"/>
        <w:ind w:firstLine="640" w:firstLineChars="200"/>
        <w:rPr>
          <w:rFonts w:hint="default" w:eastAsia="仿宋_GB2312"/>
          <w:bCs/>
          <w:color w:val="000000"/>
          <w:sz w:val="32"/>
          <w:szCs w:val="32"/>
        </w:rPr>
      </w:pPr>
      <w:r>
        <w:rPr>
          <w:rFonts w:hint="default" w:eastAsia="仿宋_GB2312"/>
          <w:bCs/>
          <w:color w:val="000000"/>
          <w:sz w:val="32"/>
          <w:szCs w:val="32"/>
        </w:rPr>
        <w:t>2.1.3电动气压止血仪的控制和调节机构应灵活可靠，软管与主机的连接应可靠、无松动。</w:t>
      </w:r>
    </w:p>
    <w:p>
      <w:pPr>
        <w:spacing w:line="560" w:lineRule="exact"/>
        <w:ind w:firstLine="640" w:firstLineChars="200"/>
        <w:rPr>
          <w:rFonts w:hint="default" w:eastAsia="仿宋_GB2312"/>
          <w:bCs/>
          <w:color w:val="000000"/>
          <w:sz w:val="32"/>
          <w:szCs w:val="32"/>
        </w:rPr>
      </w:pPr>
      <w:r>
        <w:rPr>
          <w:rFonts w:hint="default" w:eastAsia="仿宋_GB2312"/>
          <w:bCs/>
          <w:color w:val="000000"/>
          <w:sz w:val="32"/>
          <w:szCs w:val="32"/>
        </w:rPr>
        <w:t>2.1.4连接气管应塑化均匀，无裂缝、无扭结。</w:t>
      </w:r>
    </w:p>
    <w:p>
      <w:pPr>
        <w:spacing w:line="560" w:lineRule="exact"/>
        <w:ind w:firstLine="640" w:firstLineChars="200"/>
        <w:rPr>
          <w:rFonts w:hint="default" w:eastAsia="仿宋_GB2312"/>
          <w:bCs/>
          <w:color w:val="000000"/>
          <w:sz w:val="32"/>
          <w:szCs w:val="32"/>
        </w:rPr>
      </w:pPr>
      <w:r>
        <w:rPr>
          <w:rFonts w:hint="default" w:eastAsia="仿宋_GB2312"/>
          <w:bCs/>
          <w:color w:val="000000"/>
          <w:sz w:val="32"/>
          <w:szCs w:val="32"/>
        </w:rPr>
        <w:t>2.1.5应有mmHg或kPa的计量单位显示方式。</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2.2充气压力要求</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2.2.1 充气压力范围</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申请人应明确充气压力范围。</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2.2.2充气压力显示值最大允许误差</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电动气压止血仪充气压力最大允许误差应不大于8mmHg（或1kPa）。</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2.2.3 充气压力显示分辨率</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若以kPa为单位进行显示，不低于1kPa。若以mmHg为单位进行显示，鉴于当前显示器的显示方式，不低于5 mmHg。</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2.2.4压力稳定范围</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产品运行稳定后，载</w:t>
      </w:r>
      <w:r>
        <w:rPr>
          <w:rFonts w:hint="default" w:eastAsia="仿宋_GB2312"/>
          <w:sz w:val="32"/>
          <w:szCs w:val="32"/>
        </w:rPr>
        <w:t>体上的压力应稳定在设定压力的±1kPa（±8mmHg）</w:t>
      </w:r>
      <w:r>
        <w:rPr>
          <w:rFonts w:hint="default" w:eastAsia="仿宋_GB2312"/>
          <w:color w:val="000000"/>
          <w:sz w:val="32"/>
          <w:szCs w:val="32"/>
        </w:rPr>
        <w:t>范围内。</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2.2.5压力稳定抗扰度</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因系统合理范围的气密性或因外部扰动导致系统失衡后，在指定时间内止血压力应能达到失衡之前的压力设定值。例如：指定时间可定为10s。</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2.3计时功能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2.3.1 加压时间设定范围</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加压时间应可调节，设定范围应不超过240 min。</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2.3.2计时显示及误差</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设备应具有计时或倒计时的显示功能。计时误差应不大于30s。</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2.3.3止血总时间计时功能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电动气压止血仪在充气工作状态下，应有一个不受到报警时间影响的连续计时的功能，以提示实际手术中已经充气的时间。该连续计时功能在放气开始时才能停止继续计时，并将保留和显示该次手术充气实际时间，直到下次充气工作开始。</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2.4充气源的要求</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2.4.1 充气</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申请人应明确充气源的充气性能，可以采用在指定时间内使容器的压力达到指定数值的方式表示。如在10s内提供足够的空气使得200cm</w:t>
      </w:r>
      <w:r>
        <w:rPr>
          <w:rFonts w:hint="default" w:eastAsia="仿宋_GB2312"/>
          <w:color w:val="000000"/>
          <w:sz w:val="32"/>
          <w:szCs w:val="32"/>
          <w:vertAlign w:val="superscript"/>
        </w:rPr>
        <w:t>3</w:t>
      </w:r>
      <w:r>
        <w:rPr>
          <w:rFonts w:hint="default" w:eastAsia="仿宋_GB2312"/>
          <w:color w:val="000000"/>
          <w:sz w:val="32"/>
          <w:szCs w:val="32"/>
        </w:rPr>
        <w:t xml:space="preserve"> （12立方英寸）的容器内的压力达到40kPa （300mmHg）。</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2.4.2 泄压</w:t>
      </w:r>
      <w:r>
        <w:rPr>
          <w:rFonts w:hint="default" w:eastAsia="仿宋_GB2312"/>
          <w:sz w:val="32"/>
          <w:szCs w:val="32"/>
        </w:rPr>
        <w:t>功能</w:t>
      </w:r>
    </w:p>
    <w:p>
      <w:pPr>
        <w:spacing w:line="560" w:lineRule="exact"/>
        <w:ind w:firstLine="640" w:firstLineChars="200"/>
        <w:rPr>
          <w:rFonts w:hint="default" w:eastAsia="仿宋_GB2312"/>
          <w:sz w:val="32"/>
          <w:szCs w:val="32"/>
        </w:rPr>
      </w:pPr>
      <w:r>
        <w:rPr>
          <w:rFonts w:hint="default" w:eastAsia="仿宋_GB2312"/>
          <w:sz w:val="32"/>
          <w:szCs w:val="32"/>
        </w:rPr>
        <w:t>申请人应在说明书中规定产品的泄压模式。产品可包含手动放气的功能。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2.4.3 漏气</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申请人应明确产品的防漏气性能，可以采用指定时间内，某个容器的压力下降不超过指定幅度的方式表示。</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2.5气压止血带和气体管路</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2.5.1气压止血带基本信息</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申请人应明确接口形式、规格/尺寸。</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2.5.2 使用要求</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若是一次性使用，采用无菌包装，应明确灭菌方式、残留量（若适用）、无菌包装的要求。若是可重复使用，应明确可重复使用的次数。</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2.5.3 最大耐受压力</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气压止血带及气体管路应能承受的内部压力应不小于产品预期使用的最大压力或申请人宣称的压力。</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2.5.4导气连接管接口</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申请人应明确导气连接管的接口类型。</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2.5.5接口力学性能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申请人应规定产品各连接处应能承受的最小静拉力。</w:t>
      </w:r>
    </w:p>
    <w:p>
      <w:pPr>
        <w:spacing w:line="560" w:lineRule="exact"/>
        <w:ind w:firstLine="640" w:firstLineChars="200"/>
        <w:rPr>
          <w:rFonts w:hint="default" w:eastAsia="仿宋_GB2312"/>
          <w:color w:val="000000"/>
          <w:sz w:val="32"/>
          <w:szCs w:val="32"/>
          <w:highlight w:val="yellow"/>
        </w:rPr>
      </w:pPr>
      <w:r>
        <w:rPr>
          <w:rFonts w:hint="default" w:eastAsia="仿宋_GB2312"/>
          <w:color w:val="000000"/>
          <w:sz w:val="32"/>
          <w:szCs w:val="32"/>
        </w:rPr>
        <w:t>2.5.6系统漏气</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应规定电动气压止血仪整个系统的漏气速率。</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2.6提示/报警功能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2.6.1 正/倒计时报警功能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设备应具有正/倒计时报警功能，在运行至预设定的时间后，设备会发出听觉报警。</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2.6.2 压力报警</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设备在运行中，在气压止血带中的压力偏离压力设置值且持续指定时间以上，设备应有听觉和视觉报警。</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2.6.3 内部电源低电量报警功能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设备在使用内部电源运行时，内部电源剩余电量低于申请人指定值时应具有视觉和听觉的报警功能。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2.6.4 其它故障报警</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若设备运行中，出现影响术中止血的故障，应具有听觉报警。</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2.6.5气压止血带加压状态提示</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当设备对气压止血带进行加压和气压止血带处于保持加压状态时，应有加压状态提示。</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2.7 移动性能（若适用）</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若产品具有移动支架，则</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a）申请人应规定设备在平坦的水泥地面上的制动力大小。</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b）设备在平坦的水泥地面上移动，申请人应规定启动推（拉）力大小。</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2.8自动诊断和校准检查功能</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系统主机在每次开机后，将自动进行内部诊断和校准检查，校准检查完成后，显示屏的袖带压力和止血时间显示块中均显示“0”。</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2.9双通道型号的功能要求</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a）双通道主机控制器的压力、时间的参数应能独立设置。</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b）双通道主机控制器的充、放气应能独立控制。</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c)双通道主机控制器的报警、提示功能应能独立控制。</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2.10意外断电</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a）含内部电源的设备在外部电源断电后，应能自动切换到内部电源持续工作。</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b）不含内部电源的设备，意外断电后，止血带压力应能够在宣称的时间内，保持压力值处于稳定状态。在恢复通电后，应保持在断电前的状态。</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2.11最大噪声</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设备在正常工作时工作噪声（A计权）不大于60dB。</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2.12内部电源充电指示和电池电压指示</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在设计有内部电源（电池）的电动气压止血仪产品上，应该有充电指示装置，并应该有电池电压的检测或指示装置。</w:t>
      </w:r>
    </w:p>
    <w:p>
      <w:pPr>
        <w:spacing w:line="560" w:lineRule="exact"/>
        <w:ind w:firstLine="640" w:firstLineChars="200"/>
        <w:rPr>
          <w:rFonts w:hint="default" w:eastAsia="仿宋_GB2312"/>
          <w:sz w:val="32"/>
          <w:szCs w:val="32"/>
        </w:rPr>
      </w:pPr>
      <w:r>
        <w:rPr>
          <w:rFonts w:hint="default" w:eastAsia="仿宋_GB2312"/>
          <w:sz w:val="32"/>
          <w:szCs w:val="32"/>
        </w:rPr>
        <w:t>2.13环境试验</w:t>
      </w:r>
    </w:p>
    <w:p>
      <w:pPr>
        <w:spacing w:line="560" w:lineRule="exact"/>
        <w:ind w:firstLine="640" w:firstLineChars="200"/>
        <w:rPr>
          <w:rFonts w:hint="default" w:eastAsia="仿宋_GB2312"/>
          <w:color w:val="000000"/>
          <w:sz w:val="32"/>
          <w:szCs w:val="32"/>
        </w:rPr>
      </w:pPr>
      <w:r>
        <w:rPr>
          <w:rFonts w:hint="default" w:eastAsia="仿宋_GB2312"/>
          <w:color w:val="000000"/>
          <w:sz w:val="32"/>
          <w:szCs w:val="32"/>
        </w:rPr>
        <w:t>电动气压止血仪应符合GB/T 14710-2009中气候环境试验Ⅱ组、机械环境试验Ⅱ组的要求。运输试验应符合GB/T 14710-2009中第3章的要求。试验项目格式可参考表4。所选择的环境试验检测项目，应能确定产品在宣称条件下试验后，产品的主要功能仍能正常使用。</w:t>
      </w:r>
    </w:p>
    <w:p>
      <w:pPr>
        <w:spacing w:line="560" w:lineRule="exact"/>
        <w:ind w:firstLine="560" w:firstLineChars="200"/>
        <w:rPr>
          <w:rFonts w:hint="default" w:eastAsia="仿宋_GB2312"/>
          <w:color w:val="000000"/>
          <w:sz w:val="32"/>
          <w:szCs w:val="32"/>
        </w:rPr>
      </w:pPr>
      <w:r>
        <w:rPr>
          <w:rFonts w:hint="default" w:ascii="Times New Roman" w:hAnsi="Times New Roman" w:eastAsia="仿宋_GB2312" w:cs="Times New Roman"/>
          <w:color w:val="000000"/>
          <w:sz w:val="28"/>
          <w:szCs w:val="28"/>
        </w:rPr>
        <w:t>表4. 环境试验要求及检测项目（申请人可根据实际情况制定）</w:t>
      </w:r>
    </w:p>
    <w:tbl>
      <w:tblPr>
        <w:tblStyle w:val="18"/>
        <w:tblW w:w="88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2183"/>
        <w:gridCol w:w="1092"/>
        <w:gridCol w:w="1013"/>
        <w:gridCol w:w="1061"/>
        <w:gridCol w:w="1361"/>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环境条</w:t>
            </w:r>
          </w:p>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件类别</w:t>
            </w: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试验项目</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试验持</w:t>
            </w:r>
          </w:p>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续时间</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恢复</w:t>
            </w:r>
          </w:p>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时间</w:t>
            </w:r>
          </w:p>
        </w:tc>
        <w:tc>
          <w:tcPr>
            <w:tcW w:w="1061" w:type="dxa"/>
            <w:vAlign w:val="center"/>
          </w:tcPr>
          <w:p>
            <w:pPr>
              <w:spacing w:line="440" w:lineRule="exact"/>
              <w:rPr>
                <w:rFonts w:hint="default" w:ascii="Times New Roman" w:hAnsi="Times New Roman" w:eastAsia="仿宋_GB2312" w:cs="Times New Roman"/>
                <w:color w:val="000000"/>
                <w:sz w:val="28"/>
                <w:szCs w:val="28"/>
              </w:rPr>
            </w:pPr>
            <w:r>
              <w:rPr>
                <w:rFonts w:hint="default" w:ascii="Times New Roman" w:hAnsi="Times New Roman" w:eastAsia="仿宋_GB2312" w:cs="Times New Roman"/>
                <w:color w:val="000000"/>
                <w:sz w:val="28"/>
                <w:szCs w:val="28"/>
              </w:rPr>
              <w:t>中间检</w:t>
            </w:r>
          </w:p>
          <w:p>
            <w:pPr>
              <w:spacing w:line="440" w:lineRule="exact"/>
              <w:rPr>
                <w:rFonts w:hint="default" w:ascii="Times New Roman" w:hAnsi="Times New Roman" w:eastAsia="仿宋_GB2312" w:cs="Times New Roman"/>
                <w:color w:val="000000"/>
                <w:sz w:val="28"/>
                <w:szCs w:val="28"/>
              </w:rPr>
            </w:pPr>
            <w:r>
              <w:rPr>
                <w:rFonts w:hint="default" w:ascii="Times New Roman" w:hAnsi="Times New Roman" w:eastAsia="仿宋_GB2312" w:cs="Times New Roman"/>
                <w:color w:val="000000"/>
                <w:sz w:val="28"/>
                <w:szCs w:val="28"/>
              </w:rPr>
              <w:t>验项目</w:t>
            </w: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运行试验</w:t>
            </w:r>
          </w:p>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持续时间</w:t>
            </w: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最后检</w:t>
            </w:r>
          </w:p>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Merge w:val="restart"/>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气</w:t>
            </w:r>
          </w:p>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候</w:t>
            </w:r>
          </w:p>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环</w:t>
            </w:r>
          </w:p>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境</w:t>
            </w:r>
          </w:p>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条</w:t>
            </w:r>
          </w:p>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件</w:t>
            </w: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额定工作低温试验</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2h</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__</w:t>
            </w:r>
          </w:p>
          <w:p>
            <w:pPr>
              <w:widowControl/>
              <w:spacing w:line="440" w:lineRule="exact"/>
              <w:rPr>
                <w:rFonts w:hint="default" w:ascii="Times New Roman" w:hAnsi="Times New Roman" w:eastAsia="仿宋_GB2312" w:cs="Times New Roman"/>
                <w:color w:val="000000"/>
                <w:kern w:val="0"/>
                <w:sz w:val="28"/>
                <w:szCs w:val="28"/>
              </w:rPr>
            </w:pPr>
          </w:p>
        </w:tc>
        <w:tc>
          <w:tcPr>
            <w:tcW w:w="10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Merge w:val="continue"/>
          </w:tcPr>
          <w:p>
            <w:pPr>
              <w:widowControl/>
              <w:spacing w:line="440" w:lineRule="exact"/>
              <w:jc w:val="center"/>
              <w:rPr>
                <w:rFonts w:hint="default" w:ascii="Times New Roman" w:hAnsi="Times New Roman" w:eastAsia="仿宋_GB2312" w:cs="Times New Roman"/>
                <w:color w:val="000000"/>
                <w:kern w:val="0"/>
                <w:sz w:val="28"/>
                <w:szCs w:val="28"/>
              </w:rPr>
            </w:pP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低温贮存试验</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4h</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8h</w:t>
            </w:r>
          </w:p>
        </w:tc>
        <w:tc>
          <w:tcPr>
            <w:tcW w:w="10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Merge w:val="continue"/>
          </w:tcPr>
          <w:p>
            <w:pPr>
              <w:widowControl/>
              <w:spacing w:line="440" w:lineRule="exact"/>
              <w:jc w:val="center"/>
              <w:rPr>
                <w:rFonts w:hint="default" w:ascii="Times New Roman" w:hAnsi="Times New Roman" w:eastAsia="仿宋_GB2312" w:cs="Times New Roman"/>
                <w:color w:val="000000"/>
                <w:kern w:val="0"/>
                <w:sz w:val="28"/>
                <w:szCs w:val="28"/>
              </w:rPr>
            </w:pP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额定工作高温试验</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1h</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__</w:t>
            </w:r>
          </w:p>
          <w:p>
            <w:pPr>
              <w:widowControl/>
              <w:spacing w:line="440" w:lineRule="exact"/>
              <w:rPr>
                <w:rFonts w:hint="default" w:ascii="Times New Roman" w:hAnsi="Times New Roman" w:eastAsia="仿宋_GB2312" w:cs="Times New Roman"/>
                <w:color w:val="000000"/>
                <w:kern w:val="0"/>
                <w:sz w:val="28"/>
                <w:szCs w:val="28"/>
              </w:rPr>
            </w:pPr>
          </w:p>
        </w:tc>
        <w:tc>
          <w:tcPr>
            <w:tcW w:w="10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Merge w:val="continue"/>
          </w:tcPr>
          <w:p>
            <w:pPr>
              <w:widowControl/>
              <w:spacing w:line="440" w:lineRule="exact"/>
              <w:jc w:val="center"/>
              <w:rPr>
                <w:rFonts w:hint="default" w:ascii="Times New Roman" w:hAnsi="Times New Roman" w:eastAsia="仿宋_GB2312" w:cs="Times New Roman"/>
                <w:color w:val="000000"/>
                <w:kern w:val="0"/>
                <w:sz w:val="28"/>
                <w:szCs w:val="28"/>
              </w:rPr>
            </w:pP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高温贮存试验</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4h</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4h</w:t>
            </w:r>
          </w:p>
        </w:tc>
        <w:tc>
          <w:tcPr>
            <w:tcW w:w="10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Merge w:val="continue"/>
          </w:tcPr>
          <w:p>
            <w:pPr>
              <w:widowControl/>
              <w:spacing w:line="440" w:lineRule="exact"/>
              <w:jc w:val="center"/>
              <w:rPr>
                <w:rFonts w:hint="default" w:ascii="Times New Roman" w:hAnsi="Times New Roman" w:eastAsia="仿宋_GB2312" w:cs="Times New Roman"/>
                <w:color w:val="000000"/>
                <w:kern w:val="0"/>
                <w:sz w:val="28"/>
                <w:szCs w:val="28"/>
              </w:rPr>
            </w:pP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额定工作湿热试验</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4h</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__</w:t>
            </w:r>
          </w:p>
          <w:p>
            <w:pPr>
              <w:widowControl/>
              <w:spacing w:line="440" w:lineRule="exact"/>
              <w:rPr>
                <w:rFonts w:hint="default" w:ascii="Times New Roman" w:hAnsi="Times New Roman" w:eastAsia="仿宋_GB2312" w:cs="Times New Roman"/>
                <w:color w:val="000000"/>
                <w:kern w:val="0"/>
                <w:sz w:val="28"/>
                <w:szCs w:val="28"/>
              </w:rPr>
            </w:pPr>
          </w:p>
        </w:tc>
        <w:tc>
          <w:tcPr>
            <w:tcW w:w="10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Merge w:val="continue"/>
          </w:tcPr>
          <w:p>
            <w:pPr>
              <w:widowControl/>
              <w:spacing w:line="440" w:lineRule="exact"/>
              <w:jc w:val="center"/>
              <w:rPr>
                <w:rFonts w:hint="default" w:ascii="Times New Roman" w:hAnsi="Times New Roman" w:eastAsia="仿宋_GB2312" w:cs="Times New Roman"/>
                <w:color w:val="000000"/>
                <w:kern w:val="0"/>
                <w:sz w:val="28"/>
                <w:szCs w:val="28"/>
              </w:rPr>
            </w:pP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湿热贮存试验</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48h</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24h</w:t>
            </w:r>
          </w:p>
        </w:tc>
        <w:tc>
          <w:tcPr>
            <w:tcW w:w="10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Merge w:val="restart"/>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机械环境</w:t>
            </w:r>
          </w:p>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条件</w:t>
            </w: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振动试验</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按机械Ⅱ组</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__</w:t>
            </w:r>
          </w:p>
          <w:p>
            <w:pPr>
              <w:widowControl/>
              <w:spacing w:line="440" w:lineRule="exact"/>
              <w:rPr>
                <w:rFonts w:hint="default" w:ascii="Times New Roman" w:hAnsi="Times New Roman" w:eastAsia="仿宋_GB2312" w:cs="Times New Roman"/>
                <w:color w:val="000000"/>
                <w:kern w:val="0"/>
                <w:sz w:val="28"/>
                <w:szCs w:val="28"/>
              </w:rPr>
            </w:pPr>
          </w:p>
        </w:tc>
        <w:tc>
          <w:tcPr>
            <w:tcW w:w="10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Merge w:val="continue"/>
            <w:vAlign w:val="center"/>
          </w:tcPr>
          <w:p>
            <w:pPr>
              <w:widowControl/>
              <w:spacing w:line="440" w:lineRule="exact"/>
              <w:jc w:val="center"/>
              <w:rPr>
                <w:rFonts w:hint="default" w:ascii="Times New Roman" w:hAnsi="Times New Roman" w:eastAsia="仿宋_GB2312" w:cs="Times New Roman"/>
                <w:color w:val="000000"/>
                <w:kern w:val="0"/>
                <w:sz w:val="28"/>
                <w:szCs w:val="28"/>
              </w:rPr>
            </w:pPr>
          </w:p>
        </w:tc>
        <w:tc>
          <w:tcPr>
            <w:tcW w:w="2183" w:type="dxa"/>
            <w:vAlign w:val="center"/>
          </w:tcPr>
          <w:p>
            <w:pPr>
              <w:widowControl/>
              <w:spacing w:line="440" w:lineRule="exact"/>
              <w:ind w:right="-189" w:rightChars="-90"/>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碰撞试验</w:t>
            </w:r>
          </w:p>
        </w:tc>
        <w:tc>
          <w:tcPr>
            <w:tcW w:w="1092" w:type="dxa"/>
            <w:vAlign w:val="center"/>
          </w:tcPr>
          <w:p>
            <w:pPr>
              <w:widowControl/>
              <w:spacing w:line="440" w:lineRule="exact"/>
              <w:ind w:right="-189" w:rightChars="-90"/>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按机械</w:t>
            </w:r>
          </w:p>
          <w:p>
            <w:pPr>
              <w:widowControl/>
              <w:spacing w:line="440" w:lineRule="exact"/>
              <w:ind w:right="-189" w:rightChars="-90"/>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Ⅱ组</w:t>
            </w:r>
          </w:p>
        </w:tc>
        <w:tc>
          <w:tcPr>
            <w:tcW w:w="1013" w:type="dxa"/>
            <w:vAlign w:val="center"/>
          </w:tcPr>
          <w:p>
            <w:pPr>
              <w:widowControl/>
              <w:spacing w:line="440" w:lineRule="exact"/>
              <w:ind w:right="-189" w:rightChars="-90"/>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__</w:t>
            </w:r>
          </w:p>
          <w:p>
            <w:pPr>
              <w:widowControl/>
              <w:spacing w:line="440" w:lineRule="exact"/>
              <w:ind w:right="-189" w:rightChars="-90"/>
              <w:rPr>
                <w:rFonts w:hint="default" w:ascii="Times New Roman" w:hAnsi="Times New Roman" w:eastAsia="仿宋_GB2312" w:cs="Times New Roman"/>
                <w:color w:val="000000"/>
                <w:kern w:val="0"/>
                <w:sz w:val="28"/>
                <w:szCs w:val="28"/>
              </w:rPr>
            </w:pPr>
          </w:p>
        </w:tc>
        <w:tc>
          <w:tcPr>
            <w:tcW w:w="1061" w:type="dxa"/>
            <w:vAlign w:val="center"/>
          </w:tcPr>
          <w:p>
            <w:pPr>
              <w:widowControl/>
              <w:spacing w:line="440" w:lineRule="exact"/>
              <w:ind w:right="-189" w:rightChars="-90"/>
              <w:outlineLvl w:val="1"/>
              <w:rPr>
                <w:rFonts w:hint="default" w:ascii="Times New Roman" w:hAnsi="Times New Roman" w:eastAsia="仿宋_GB2312" w:cs="Times New Roman"/>
                <w:color w:val="000000"/>
                <w:kern w:val="21"/>
                <w:sz w:val="28"/>
                <w:szCs w:val="28"/>
              </w:rPr>
            </w:pPr>
          </w:p>
        </w:tc>
        <w:tc>
          <w:tcPr>
            <w:tcW w:w="1361" w:type="dxa"/>
            <w:vAlign w:val="center"/>
          </w:tcPr>
          <w:p>
            <w:pPr>
              <w:widowControl/>
              <w:spacing w:line="440" w:lineRule="exact"/>
              <w:ind w:right="-189" w:rightChars="-90"/>
              <w:outlineLvl w:val="1"/>
              <w:rPr>
                <w:rFonts w:hint="default" w:ascii="Times New Roman" w:hAnsi="Times New Roman" w:eastAsia="仿宋_GB2312" w:cs="Times New Roman"/>
                <w:color w:val="000000"/>
                <w:kern w:val="21"/>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7"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电源适应能力试验检测</w:t>
            </w:r>
          </w:p>
        </w:tc>
        <w:tc>
          <w:tcPr>
            <w:tcW w:w="2183" w:type="dxa"/>
            <w:vAlign w:val="center"/>
          </w:tcPr>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198V</w:t>
            </w:r>
          </w:p>
          <w:p>
            <w:pPr>
              <w:widowControl/>
              <w:spacing w:line="440" w:lineRule="exact"/>
              <w:jc w:val="center"/>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242V</w:t>
            </w:r>
          </w:p>
        </w:tc>
        <w:tc>
          <w:tcPr>
            <w:tcW w:w="1092"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各15（min）</w:t>
            </w:r>
          </w:p>
        </w:tc>
        <w:tc>
          <w:tcPr>
            <w:tcW w:w="1013" w:type="dxa"/>
            <w:vAlign w:val="center"/>
          </w:tcPr>
          <w:p>
            <w:pPr>
              <w:widowControl/>
              <w:spacing w:line="440" w:lineRule="exact"/>
              <w:rPr>
                <w:rFonts w:hint="default" w:ascii="Times New Roman" w:hAnsi="Times New Roman" w:eastAsia="仿宋_GB2312" w:cs="Times New Roman"/>
                <w:color w:val="000000"/>
                <w:kern w:val="0"/>
                <w:sz w:val="28"/>
                <w:szCs w:val="28"/>
              </w:rPr>
            </w:pPr>
            <w:r>
              <w:rPr>
                <w:rFonts w:hint="default" w:ascii="Times New Roman" w:hAnsi="Times New Roman" w:eastAsia="仿宋_GB2312" w:cs="Times New Roman"/>
                <w:color w:val="000000"/>
                <w:kern w:val="0"/>
                <w:sz w:val="28"/>
                <w:szCs w:val="28"/>
              </w:rPr>
              <w:t>__</w:t>
            </w:r>
          </w:p>
          <w:p>
            <w:pPr>
              <w:widowControl/>
              <w:spacing w:line="440" w:lineRule="exact"/>
              <w:rPr>
                <w:rFonts w:hint="default" w:ascii="Times New Roman" w:hAnsi="Times New Roman" w:eastAsia="仿宋_GB2312" w:cs="Times New Roman"/>
                <w:color w:val="000000"/>
                <w:kern w:val="0"/>
                <w:sz w:val="28"/>
                <w:szCs w:val="28"/>
              </w:rPr>
            </w:pPr>
          </w:p>
        </w:tc>
        <w:tc>
          <w:tcPr>
            <w:tcW w:w="10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361" w:type="dxa"/>
            <w:vAlign w:val="center"/>
          </w:tcPr>
          <w:p>
            <w:pPr>
              <w:widowControl/>
              <w:spacing w:line="440" w:lineRule="exact"/>
              <w:rPr>
                <w:rFonts w:hint="default" w:ascii="Times New Roman" w:hAnsi="Times New Roman" w:eastAsia="仿宋_GB2312" w:cs="Times New Roman"/>
                <w:color w:val="000000"/>
                <w:kern w:val="0"/>
                <w:sz w:val="28"/>
                <w:szCs w:val="28"/>
              </w:rPr>
            </w:pPr>
          </w:p>
        </w:tc>
        <w:tc>
          <w:tcPr>
            <w:tcW w:w="1077" w:type="dxa"/>
            <w:vAlign w:val="center"/>
          </w:tcPr>
          <w:p>
            <w:pPr>
              <w:widowControl/>
              <w:spacing w:line="440" w:lineRule="exact"/>
              <w:rPr>
                <w:rFonts w:hint="default" w:ascii="Times New Roman" w:hAnsi="Times New Roman" w:eastAsia="仿宋_GB2312" w:cs="Times New Roman"/>
                <w:color w:val="000000"/>
                <w:kern w:val="0"/>
                <w:sz w:val="28"/>
                <w:szCs w:val="28"/>
              </w:rPr>
            </w:pPr>
          </w:p>
        </w:tc>
      </w:tr>
    </w:tbl>
    <w:p>
      <w:pPr>
        <w:ind w:firstLine="640" w:firstLineChars="200"/>
        <w:rPr>
          <w:rFonts w:hint="default" w:eastAsia="仿宋_GB2312"/>
          <w:color w:val="000000"/>
          <w:sz w:val="32"/>
          <w:szCs w:val="32"/>
        </w:rPr>
      </w:pPr>
    </w:p>
    <w:p>
      <w:pPr>
        <w:spacing w:beforeLines="0" w:afterLines="0" w:line="560" w:lineRule="exact"/>
        <w:ind w:firstLine="640" w:firstLineChars="200"/>
        <w:rPr>
          <w:rFonts w:hint="default" w:eastAsia="仿宋_GB2312"/>
          <w:color w:val="000000"/>
          <w:sz w:val="32"/>
          <w:szCs w:val="32"/>
        </w:rPr>
      </w:pPr>
      <w:r>
        <w:rPr>
          <w:rFonts w:hint="default" w:eastAsia="仿宋_GB2312"/>
          <w:color w:val="000000"/>
          <w:sz w:val="32"/>
          <w:szCs w:val="32"/>
        </w:rPr>
        <w:t>2.14电气安全要求</w:t>
      </w:r>
    </w:p>
    <w:p>
      <w:pPr>
        <w:spacing w:beforeLines="0" w:afterLines="0" w:line="560" w:lineRule="exact"/>
        <w:ind w:firstLine="640" w:firstLineChars="200"/>
        <w:rPr>
          <w:rFonts w:hint="default" w:eastAsia="仿宋_GB2312"/>
          <w:sz w:val="32"/>
          <w:szCs w:val="32"/>
        </w:rPr>
      </w:pPr>
      <w:r>
        <w:rPr>
          <w:rFonts w:hint="default" w:eastAsia="仿宋_GB2312"/>
          <w:color w:val="000000"/>
          <w:sz w:val="32"/>
          <w:szCs w:val="32"/>
        </w:rPr>
        <w:t>设备和电池充电器（若适用）的电气安全要求应符合GB 9706.</w:t>
      </w:r>
      <w:r>
        <w:rPr>
          <w:rFonts w:hint="default" w:eastAsia="仿宋_GB2312"/>
          <w:sz w:val="32"/>
          <w:szCs w:val="32"/>
        </w:rPr>
        <w:t>1-2007要求。附录应列明产品安全特征。</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2.15电磁兼容</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应符合YY 0505-2012要求，考虑网电源和内部电源（若适用）工作模式。</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2.16报警的要求</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应符合YY 0709-2009要求。</w:t>
      </w:r>
    </w:p>
    <w:p>
      <w:pPr>
        <w:spacing w:beforeLines="0" w:afterLines="0" w:line="56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（十）同一注册单元中典型产品的确定原则和实例</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同一注册单元应按产品风险与技术指标的覆盖性来选择典型产品。典型产品应是同一注册单元内能够代表本单元内其他产品安全性和有效性的产品，应考虑功能最齐全、结构最复杂的型号。</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举例：具有不同输出气体通道数的电动气压止血仪产品，应以通道数最多的选做典型产品。</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对于电磁兼容检测的典型性覆盖问题，应按照食药监办械[2012]151号要求，由医疗器械检测机构出具相应报告或说明，以供技术审评部门参考。</w:t>
      </w:r>
    </w:p>
    <w:p>
      <w:pPr>
        <w:spacing w:beforeLines="0" w:afterLines="0" w:line="56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（十一）产品生产制造相关要求</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1. 根据申报产品自身特点，申请人应明确产品生产工艺流程，并提交工艺流程图，标明产品关键工序和过程控制点。</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2. 申请人应提交研制、生产场地的相关信息，例如：场地平面布置图。若申报产品存在多个研制、生产场地，应当概述每个研制、生产场地的实际情况。</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3. 申请人应提供产品主要元器件清单，例如：开关电源、控制电路、参数设置和显示装置、压力传感器、微型气泵、充放气电磁阀、导气管等。</w:t>
      </w:r>
    </w:p>
    <w:p>
      <w:pPr>
        <w:spacing w:beforeLines="0" w:afterLines="0" w:line="56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（十二）产品的临床评价要求</w:t>
      </w:r>
    </w:p>
    <w:p>
      <w:pPr>
        <w:spacing w:beforeLines="0" w:afterLines="0" w:line="560" w:lineRule="exact"/>
        <w:ind w:firstLine="640" w:firstLineChars="200"/>
        <w:rPr>
          <w:rFonts w:hint="default" w:eastAsia="仿宋_GB2312"/>
          <w:bCs/>
          <w:sz w:val="32"/>
          <w:szCs w:val="32"/>
        </w:rPr>
      </w:pPr>
      <w:r>
        <w:rPr>
          <w:rFonts w:hint="default" w:eastAsia="仿宋_GB2312"/>
          <w:sz w:val="32"/>
          <w:szCs w:val="32"/>
        </w:rPr>
        <w:t>根据《免于进行临床试验的医疗器械目录（修订）》（国家药品监督管理局通告2018年第94号）（以下简称《目录》），“产品名称：电子气压止血带，分类编码：14-04-01。符合目录要求的可免于进行临床试验，申请人按照《医疗器械临床评价技术指导原则》（国家食品药品监督管理总局通告2015年第14号附件）要求提交临床评价资料。</w:t>
      </w:r>
      <w:r>
        <w:rPr>
          <w:rFonts w:hint="default" w:eastAsia="仿宋_GB2312"/>
          <w:bCs/>
          <w:sz w:val="32"/>
          <w:szCs w:val="32"/>
        </w:rPr>
        <w:t>具体要求如下：</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1. 提交申报产品相关信息与《目录》所述内容的比对资料。</w:t>
      </w:r>
    </w:p>
    <w:p>
      <w:pPr>
        <w:spacing w:beforeLines="0" w:afterLines="0" w:line="560" w:lineRule="exact"/>
        <w:ind w:firstLine="640" w:firstLineChars="200"/>
        <w:rPr>
          <w:rFonts w:hint="default" w:eastAsia="仿宋_GB2312"/>
          <w:sz w:val="32"/>
          <w:szCs w:val="32"/>
        </w:rPr>
      </w:pPr>
      <w:r>
        <w:rPr>
          <w:rFonts w:hint="default" w:eastAsia="仿宋_GB2312"/>
          <w:sz w:val="32"/>
          <w:szCs w:val="32"/>
        </w:rPr>
        <w:t>2. 提交申报产品与《目录》中境内已上市同品种医疗器械的比对说明，进行比对并提供数据的内容应当包括但不限于：预期用途、基本原理、使用方法、产品结构组成、测量部位、测量方式、主要技术指标、关键部件（若适用，如微型气泵、电磁阀、压力传感器）、配套或适用的气压止血带、其他功能等，并提供相应支持性资料。</w:t>
      </w:r>
    </w:p>
    <w:p>
      <w:pPr>
        <w:widowControl/>
        <w:spacing w:beforeLines="0" w:afterLines="0" w:line="560" w:lineRule="exact"/>
        <w:ind w:right="0" w:rightChars="0" w:firstLine="656" w:firstLineChars="200"/>
        <w:rPr>
          <w:rFonts w:hint="default" w:eastAsia="仿宋_GB2312"/>
          <w:kern w:val="0"/>
          <w:sz w:val="32"/>
          <w:szCs w:val="32"/>
        </w:rPr>
      </w:pPr>
      <w:r>
        <w:rPr>
          <w:rFonts w:hint="default" w:eastAsia="仿宋_GB2312"/>
          <w:spacing w:val="4"/>
          <w:kern w:val="0"/>
          <w:sz w:val="32"/>
          <w:szCs w:val="32"/>
        </w:rPr>
        <w:t>提</w:t>
      </w:r>
      <w:r>
        <w:rPr>
          <w:rFonts w:hint="default" w:eastAsia="仿宋_GB2312"/>
          <w:spacing w:val="0"/>
          <w:kern w:val="0"/>
          <w:sz w:val="32"/>
          <w:szCs w:val="32"/>
        </w:rPr>
        <w:t>交的上述资料应能证明申报产品与《目录》所述的产品具有等同性。若无法证明申报产品与《目录》产品具有等同性，则</w:t>
      </w:r>
      <w:r>
        <w:rPr>
          <w:rFonts w:hint="default" w:eastAsia="仿宋_GB2312"/>
          <w:spacing w:val="-6"/>
          <w:kern w:val="0"/>
          <w:sz w:val="32"/>
          <w:szCs w:val="32"/>
        </w:rPr>
        <w:t>应按照《医疗器械临床评价技术指导原则》其他要求开展相应工作。</w:t>
      </w:r>
    </w:p>
    <w:p>
      <w:pPr>
        <w:spacing w:beforeLines="0" w:afterLines="0" w:line="560" w:lineRule="exact"/>
        <w:ind w:firstLine="640" w:firstLineChars="200"/>
        <w:outlineLvl w:val="2"/>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（十三）产品的不良事件历史记录</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国内未见严重不良事件报道，现有报告均为一般事件。有2例在医院使用中因为过高的气压设置和过长的使用时间，造成手术患者表皮和皮下组织缺血性受损，但未造成不可逆损伤。另外有几例均是止血带反复使用，且使用时间超过了储存时间，造成止血带手术前发现失效，无法继续使用，影响了手术的时间安排，属于临床机构使用管理不当造成。</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国外调查记录显示，仅北美就有超过100万次的外科手术可能需要使用止血带。未见严重不良事件报道，但有许多论文支持以下意见：</w:t>
      </w:r>
    </w:p>
    <w:p>
      <w:pPr>
        <w:widowControl/>
        <w:numPr>
          <w:ilvl w:val="0"/>
          <w:numId w:val="5"/>
        </w:numPr>
        <w:spacing w:beforeLines="0" w:afterLines="0" w:line="560" w:lineRule="exact"/>
        <w:ind w:left="0" w:firstLine="640" w:firstLineChars="200"/>
        <w:rPr>
          <w:rFonts w:hint="default" w:eastAsia="仿宋_GB2312"/>
          <w:sz w:val="32"/>
          <w:szCs w:val="32"/>
        </w:rPr>
      </w:pPr>
      <w:r>
        <w:rPr>
          <w:rFonts w:hint="default" w:eastAsia="仿宋_GB2312"/>
          <w:sz w:val="32"/>
          <w:szCs w:val="32"/>
        </w:rPr>
        <w:t>电动止血仪使用造成的伤害最常见的是与压力有关，这是由于使用过高的止血带压力或使用过低的止血带压力造成的。长时间使用也会导致缺血性损伤。大多数这样的损伤可能是短暂的，并且可能在临床上没有被注意到，但是还有一些损伤是永久性的，或者是通过治疗是可缓慢恢复的。</w:t>
      </w:r>
    </w:p>
    <w:p>
      <w:pPr>
        <w:widowControl/>
        <w:numPr>
          <w:ilvl w:val="0"/>
          <w:numId w:val="5"/>
        </w:numPr>
        <w:spacing w:beforeLines="0" w:afterLines="0" w:line="560" w:lineRule="exact"/>
        <w:ind w:left="0" w:firstLine="640" w:firstLineChars="200"/>
        <w:rPr>
          <w:rFonts w:hint="default" w:eastAsia="仿宋_GB2312"/>
          <w:sz w:val="32"/>
          <w:szCs w:val="32"/>
        </w:rPr>
      </w:pPr>
      <w:r>
        <w:rPr>
          <w:rFonts w:hint="default" w:eastAsia="仿宋_GB2312"/>
          <w:sz w:val="32"/>
          <w:szCs w:val="32"/>
        </w:rPr>
        <w:t>使用止血仪时，最佳做法是采取一切合理的预防措施，以尽量减少止血带相关并发症和损伤的可能性。</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申请人在风险分析时应关注同品种产品的不良事件历史记录。</w:t>
      </w:r>
    </w:p>
    <w:p>
      <w:pPr>
        <w:spacing w:beforeLines="0" w:afterLines="0" w:line="560" w:lineRule="exact"/>
        <w:ind w:firstLine="640" w:firstLineChars="200"/>
        <w:outlineLvl w:val="2"/>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kern w:val="0"/>
          <w:sz w:val="32"/>
          <w:szCs w:val="32"/>
        </w:rPr>
        <w:t>（十四）产品说明书和标签要求</w:t>
      </w:r>
    </w:p>
    <w:p>
      <w:pPr>
        <w:spacing w:beforeLines="0" w:afterLines="0" w:line="560" w:lineRule="exact"/>
        <w:ind w:right="0" w:rightChars="0" w:firstLine="640" w:firstLineChars="200"/>
        <w:rPr>
          <w:rFonts w:hint="default" w:eastAsia="仿宋_GB2312"/>
          <w:kern w:val="0"/>
          <w:sz w:val="32"/>
          <w:szCs w:val="32"/>
        </w:rPr>
      </w:pPr>
      <w:r>
        <w:rPr>
          <w:rFonts w:hint="default" w:eastAsia="仿宋_GB2312"/>
          <w:kern w:val="0"/>
          <w:sz w:val="32"/>
          <w:szCs w:val="32"/>
        </w:rPr>
        <w:t>产</w:t>
      </w:r>
      <w:r>
        <w:rPr>
          <w:rFonts w:hint="default" w:eastAsia="仿宋_GB2312"/>
          <w:spacing w:val="-6"/>
          <w:kern w:val="0"/>
          <w:sz w:val="32"/>
          <w:szCs w:val="32"/>
        </w:rPr>
        <w:t>品说明书、标签和包装标识的编写应符合《医疗器械说明书和标签管理规定》</w:t>
      </w:r>
      <w:r>
        <w:rPr>
          <w:rFonts w:hint="default" w:eastAsia="仿宋_GB2312"/>
          <w:kern w:val="0"/>
          <w:sz w:val="32"/>
          <w:szCs w:val="32"/>
        </w:rPr>
        <w:t>（国家食品药品监督管理总局令第6号</w:t>
      </w:r>
      <w:r>
        <w:rPr>
          <w:rFonts w:hint="default" w:eastAsia="仿宋_GB2312"/>
          <w:spacing w:val="-6"/>
          <w:kern w:val="0"/>
          <w:sz w:val="32"/>
          <w:szCs w:val="32"/>
        </w:rPr>
        <w:t>、YY/T 0466.1-2009 《医疗器械 用于医疗器械标签、标记和提供信息的符号 第1部分：通用要求》、GB 9706.1-2007《医用电气设备 第1部分：安全通用要求》及YY 0505-2012《医用电气设备 第1-2部分:安全通用要求 并列标准:电磁兼容 要求和试验》等相关标准的规定。</w:t>
      </w:r>
    </w:p>
    <w:p>
      <w:pPr>
        <w:spacing w:beforeLines="0" w:afterLines="0" w:line="560" w:lineRule="exact"/>
        <w:ind w:right="0" w:rightChars="0" w:firstLine="640" w:firstLineChars="200"/>
        <w:rPr>
          <w:rFonts w:hint="default" w:eastAsia="仿宋_GB2312"/>
          <w:kern w:val="0"/>
          <w:sz w:val="32"/>
          <w:szCs w:val="32"/>
        </w:rPr>
      </w:pPr>
      <w:r>
        <w:rPr>
          <w:rFonts w:hint="default" w:eastAsia="仿宋_GB2312"/>
          <w:kern w:val="0"/>
          <w:sz w:val="32"/>
          <w:szCs w:val="32"/>
        </w:rPr>
        <w:t>说明书、标签的内容应当真实、完整、科学，并与产品特性相一致，文字内容必须使用中文，可以附加其他语种。中文的使用应当符合国家通用的语言文字规范并注意知识产权。说明书、标签、包装标识中的文字、符号、图形、表格、数字、图片等应相互一致，并符合相关标准和规范要求。</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1.最小销售单元标签要求</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（1）应具有产品名称、型号规格。产品名称应符合本指导原则中产品名称的要求。</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（2）应有注册人的名称、住所、联系方式。</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（3）应有生产申请人的名称、住所、生产地址、联系方式及生产许可证编号；委托生产的还应当标注受托申请人的名称、住所、生产地址、生产许可证编号。</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（4）应有医疗器械注册证编号及产品技术要求编号。</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（5）应有生产日期，使用期限。</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因位置或者大小受限，未能对标签进行完整标注时，应在标签中明确“其他内容详见说明书”。</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2.气压止血带包装（至少应包括以下信息）</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2.1 对于配套或销售给用户的气压止血带，外包装上至少应包括：规格和尺寸，使用的方法和适用的肢体周长。</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2.2 灭菌的方式或标识（若适用）。</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2.3 使用后的处理及回收方法。</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3.说明书</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每台设备都应附带说明书，内容框架至少包含《医疗器械说明书和标签管理规定》中第十条中规定的有关要求。同时，说明书应符合GB9706.1和YY 0505的要求，至少应包括以下内容：</w:t>
      </w:r>
    </w:p>
    <w:p>
      <w:pPr>
        <w:widowControl/>
        <w:numPr>
          <w:ilvl w:val="0"/>
          <w:numId w:val="6"/>
        </w:numPr>
        <w:spacing w:beforeLines="0" w:afterLines="0"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输入电压和频率、输入功率、正常工作和贮存条件。</w:t>
      </w:r>
    </w:p>
    <w:p>
      <w:pPr>
        <w:widowControl/>
        <w:numPr>
          <w:ilvl w:val="0"/>
          <w:numId w:val="6"/>
        </w:numPr>
        <w:spacing w:beforeLines="0" w:afterLines="0" w:line="560" w:lineRule="exact"/>
        <w:ind w:firstLine="640" w:firstLineChars="200"/>
        <w:rPr>
          <w:rFonts w:hint="default" w:eastAsia="仿宋_GB2312"/>
          <w:color w:val="000000"/>
          <w:kern w:val="0"/>
          <w:sz w:val="32"/>
          <w:szCs w:val="32"/>
        </w:rPr>
      </w:pPr>
      <w:r>
        <w:rPr>
          <w:rFonts w:hint="default" w:eastAsia="仿宋_GB2312"/>
          <w:kern w:val="0"/>
          <w:sz w:val="32"/>
          <w:szCs w:val="32"/>
        </w:rPr>
        <w:t>包括电磁兼容性的相关描述，例如：周围环境中超出YY0505标准要求的电磁干扰可能会影响产品正常工作。</w:t>
      </w:r>
    </w:p>
    <w:p>
      <w:pPr>
        <w:spacing w:beforeLines="0" w:afterLines="0" w:line="560" w:lineRule="exact"/>
        <w:ind w:firstLine="640" w:firstLineChars="200"/>
        <w:rPr>
          <w:rFonts w:hint="default" w:eastAsia="仿宋_GB2312"/>
          <w:color w:val="000000"/>
          <w:kern w:val="0"/>
          <w:sz w:val="32"/>
          <w:szCs w:val="32"/>
        </w:rPr>
      </w:pPr>
      <w:r>
        <w:rPr>
          <w:rFonts w:hint="default" w:eastAsia="仿宋_GB2312"/>
          <w:kern w:val="0"/>
          <w:sz w:val="32"/>
          <w:szCs w:val="32"/>
        </w:rPr>
        <w:t>（3）</w:t>
      </w:r>
      <w:r>
        <w:rPr>
          <w:rFonts w:hint="default" w:eastAsia="仿宋_GB2312"/>
          <w:color w:val="000000"/>
          <w:kern w:val="0"/>
          <w:sz w:val="32"/>
          <w:szCs w:val="32"/>
        </w:rPr>
        <w:t>配套或适用的气压止血带型号/规格和种类。</w:t>
      </w:r>
    </w:p>
    <w:p>
      <w:pPr>
        <w:spacing w:beforeLines="0" w:afterLines="0" w:line="560" w:lineRule="exact"/>
        <w:ind w:firstLine="640" w:firstLineChars="200"/>
        <w:rPr>
          <w:rFonts w:hint="default" w:eastAsia="仿宋_GB2312"/>
          <w:color w:val="000000"/>
          <w:kern w:val="0"/>
          <w:sz w:val="32"/>
          <w:szCs w:val="32"/>
        </w:rPr>
      </w:pPr>
      <w:r>
        <w:rPr>
          <w:rFonts w:hint="default" w:eastAsia="仿宋_GB2312"/>
          <w:color w:val="000000"/>
          <w:kern w:val="0"/>
          <w:sz w:val="32"/>
          <w:szCs w:val="32"/>
        </w:rPr>
        <w:t>（4）内部</w:t>
      </w:r>
      <w:r>
        <w:rPr>
          <w:rFonts w:hint="default" w:eastAsia="仿宋_GB2312"/>
          <w:color w:val="000000"/>
          <w:kern w:val="0"/>
          <w:sz w:val="32"/>
          <w:szCs w:val="32"/>
          <w14:textFill>
            <w14:solidFill>
              <w14:srgbClr w14:val="000000">
                <w14:lumMod w14:val="95000"/>
                <w14:lumOff w14:val="5000"/>
              </w14:srgbClr>
            </w14:solidFill>
          </w14:textFill>
        </w:rPr>
        <w:t>充电</w:t>
      </w:r>
      <w:r>
        <w:rPr>
          <w:rFonts w:hint="default" w:eastAsia="仿宋_GB2312"/>
          <w:color w:val="000000"/>
          <w:kern w:val="0"/>
          <w:sz w:val="32"/>
          <w:szCs w:val="32"/>
        </w:rPr>
        <w:t>电池型号/规格（若适用）及更换方法。</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（5）</w:t>
      </w:r>
      <w:r>
        <w:rPr>
          <w:rFonts w:hint="default" w:eastAsia="仿宋_GB2312"/>
          <w:color w:val="000000"/>
          <w:kern w:val="0"/>
          <w:sz w:val="32"/>
          <w:szCs w:val="32"/>
          <w14:textFill>
            <w14:solidFill>
              <w14:srgbClr w14:val="000000">
                <w14:lumMod w14:val="95000"/>
                <w14:lumOff w14:val="5000"/>
              </w14:srgbClr>
            </w14:solidFill>
          </w14:textFill>
        </w:rPr>
        <w:t>说明书</w:t>
      </w:r>
      <w:r>
        <w:rPr>
          <w:rFonts w:hint="default" w:eastAsia="仿宋_GB2312"/>
          <w:kern w:val="0"/>
          <w:sz w:val="32"/>
          <w:szCs w:val="32"/>
        </w:rPr>
        <w:t>中应包括对使用警告总结的章节。</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（6）介绍如何拆包、安装、进行使用前检查，获取帮助服务的渠道、标准操作程序、常规维护、再校准及清洗频次建议。</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（7）提供操作</w:t>
      </w:r>
      <w:r>
        <w:rPr>
          <w:rFonts w:hint="default" w:eastAsia="仿宋_GB2312"/>
          <w:color w:val="000000"/>
          <w:kern w:val="0"/>
          <w:sz w:val="32"/>
          <w:szCs w:val="32"/>
          <w14:textFill>
            <w14:solidFill>
              <w14:srgbClr w14:val="000000">
                <w14:lumMod w14:val="95000"/>
                <w14:lumOff w14:val="5000"/>
              </w14:srgbClr>
            </w14:solidFill>
          </w14:textFill>
        </w:rPr>
        <w:t>程序</w:t>
      </w:r>
      <w:r>
        <w:rPr>
          <w:rFonts w:hint="default" w:eastAsia="仿宋_GB2312"/>
          <w:kern w:val="0"/>
          <w:sz w:val="32"/>
          <w:szCs w:val="32"/>
        </w:rPr>
        <w:t>、简图和零件列表，以及如何联系申请人。</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（8）提示按照厂家指定的时间间隔对电动气压止血仪的压力传感器/指示器的精度进行校验。</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（9）详细的使用方法，至少包括：正确和适合的气压止血带尺寸的选择，并声明应由临床专业人士决定电动气压止血仪的压力数值设定。</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（10）提示用户，</w:t>
      </w:r>
      <w:r>
        <w:rPr>
          <w:rFonts w:hint="default" w:eastAsia="仿宋_GB2312"/>
          <w:bCs/>
          <w:kern w:val="0"/>
          <w:sz w:val="32"/>
          <w:szCs w:val="32"/>
        </w:rPr>
        <w:t>电动气压止血仪产品禁忌症</w:t>
      </w:r>
      <w:r>
        <w:rPr>
          <w:rFonts w:hint="default" w:eastAsia="仿宋_GB2312"/>
          <w:kern w:val="0"/>
          <w:sz w:val="32"/>
          <w:szCs w:val="32"/>
        </w:rPr>
        <w:t>。</w:t>
      </w:r>
    </w:p>
    <w:p>
      <w:pPr>
        <w:spacing w:beforeLines="0" w:afterLines="0" w:line="560" w:lineRule="exact"/>
        <w:ind w:firstLine="640" w:firstLineChars="200"/>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（11）声明如果在申请人指定的温度和湿度范围外储存或使用，系统可能无法达到声称的性能（申请人指定的温度和湿度范围应一并在声明中给出）。</w:t>
      </w:r>
    </w:p>
    <w:p>
      <w:pPr>
        <w:spacing w:beforeLines="0" w:afterLines="0" w:line="560" w:lineRule="exact"/>
        <w:ind w:firstLine="640" w:firstLineChars="200"/>
        <w:rPr>
          <w:rFonts w:hint="default" w:eastAsia="仿宋_GB2312"/>
          <w:color w:val="000000"/>
          <w:kern w:val="0"/>
          <w:sz w:val="32"/>
          <w:szCs w:val="32"/>
          <w14:textFill>
            <w14:solidFill>
              <w14:srgbClr w14:val="000000">
                <w14:lumMod w14:val="95000"/>
                <w14:lumOff w14:val="5000"/>
              </w14:srgbClr>
            </w14:solidFill>
          </w14:textFill>
        </w:rPr>
      </w:pPr>
      <w:r>
        <w:rPr>
          <w:rFonts w:hint="default" w:eastAsia="仿宋_GB2312"/>
          <w:color w:val="000000"/>
          <w:kern w:val="0"/>
          <w:sz w:val="32"/>
          <w:szCs w:val="32"/>
          <w14:textFill>
            <w14:solidFill>
              <w14:srgbClr w14:val="000000">
                <w14:lumMod w14:val="95000"/>
                <w14:lumOff w14:val="5000"/>
              </w14:srgbClr>
            </w14:solidFill>
          </w14:textFill>
        </w:rPr>
        <w:t>（12）产品是否适用新生儿，若适用，则应提供适用的信息。</w:t>
      </w:r>
    </w:p>
    <w:p>
      <w:pPr>
        <w:spacing w:beforeLines="0" w:afterLines="0" w:line="560" w:lineRule="exact"/>
        <w:ind w:firstLine="640" w:firstLineChars="200"/>
        <w:rPr>
          <w:rFonts w:hint="default" w:eastAsia="仿宋_GB2312"/>
          <w:kern w:val="0"/>
          <w:sz w:val="32"/>
          <w:szCs w:val="32"/>
        </w:rPr>
      </w:pPr>
      <w:r>
        <w:rPr>
          <w:rFonts w:hint="default" w:eastAsia="仿宋_GB2312"/>
          <w:color w:val="000000"/>
          <w:kern w:val="0"/>
          <w:sz w:val="32"/>
          <w:szCs w:val="32"/>
          <w14:textFill>
            <w14:solidFill>
              <w14:srgbClr w14:val="000000">
                <w14:lumMod w14:val="95000"/>
                <w14:lumOff w14:val="5000"/>
              </w14:srgbClr>
            </w14:solidFill>
          </w14:textFill>
        </w:rPr>
        <w:t>（13）</w:t>
      </w:r>
      <w:r>
        <w:rPr>
          <w:rFonts w:hint="default" w:eastAsia="仿宋_GB2312"/>
          <w:kern w:val="0"/>
          <w:sz w:val="32"/>
          <w:szCs w:val="32"/>
        </w:rPr>
        <w:t>当气压止血带在持久过分充气时状态下可能存在的风险。</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（14）确定</w:t>
      </w:r>
      <w:r>
        <w:rPr>
          <w:rFonts w:hint="default" w:eastAsia="仿宋_GB2312"/>
          <w:color w:val="000000"/>
          <w:kern w:val="0"/>
          <w:sz w:val="32"/>
          <w:szCs w:val="32"/>
          <w14:textFill>
            <w14:solidFill>
              <w14:srgbClr w14:val="000000">
                <w14:lumMod w14:val="95000"/>
                <w14:lumOff w14:val="5000"/>
              </w14:srgbClr>
            </w14:solidFill>
          </w14:textFill>
        </w:rPr>
        <w:t>显示</w:t>
      </w:r>
      <w:r>
        <w:rPr>
          <w:rFonts w:hint="default" w:eastAsia="仿宋_GB2312"/>
          <w:kern w:val="0"/>
          <w:sz w:val="32"/>
          <w:szCs w:val="32"/>
        </w:rPr>
        <w:t>装置故障的方法。</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（15）推荐</w:t>
      </w:r>
      <w:r>
        <w:rPr>
          <w:rFonts w:hint="default" w:eastAsia="仿宋_GB2312"/>
          <w:color w:val="000000"/>
          <w:kern w:val="0"/>
          <w:sz w:val="32"/>
          <w:szCs w:val="32"/>
          <w14:textFill>
            <w14:solidFill>
              <w14:srgbClr w14:val="000000">
                <w14:lumMod w14:val="95000"/>
                <w14:lumOff w14:val="5000"/>
              </w14:srgbClr>
            </w14:solidFill>
          </w14:textFill>
        </w:rPr>
        <w:t>使用</w:t>
      </w:r>
      <w:r>
        <w:rPr>
          <w:rFonts w:hint="default" w:eastAsia="仿宋_GB2312"/>
          <w:kern w:val="0"/>
          <w:sz w:val="32"/>
          <w:szCs w:val="32"/>
        </w:rPr>
        <w:t>的消毒和灭菌程序。</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（16）若产品需要与衬垫、保护套等附件配套使用，请说明对配套附件的要求以及如何配合使用的操作方法。</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（17）应在显著位置标示，止血压力设定应以能够达到止血目的的最小值为宜。</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4. 部件标识</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（1）部件</w:t>
      </w:r>
      <w:r>
        <w:rPr>
          <w:rFonts w:hint="default" w:eastAsia="仿宋_GB2312"/>
          <w:color w:val="000000"/>
          <w:kern w:val="0"/>
          <w:sz w:val="32"/>
          <w:szCs w:val="32"/>
          <w14:textFill>
            <w14:solidFill>
              <w14:srgbClr w14:val="000000">
                <w14:lumMod w14:val="95000"/>
                <w14:lumOff w14:val="5000"/>
              </w14:srgbClr>
            </w14:solidFill>
          </w14:textFill>
        </w:rPr>
        <w:t>更换</w:t>
      </w:r>
      <w:r>
        <w:rPr>
          <w:rFonts w:hint="default" w:eastAsia="仿宋_GB2312"/>
          <w:kern w:val="0"/>
          <w:sz w:val="32"/>
          <w:szCs w:val="32"/>
        </w:rPr>
        <w:t>，如果某些部件可由使用者更换，而更换后可能会影响设备的性能以至于不再符合要求，则该产品部件的标识应有如下措词的陈述“注意：如果以非厂家提供的部件更换原有部件可能会引起测量错误”。</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（2）电源系统标识（工作电压、工作电流及工作频率）。</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（3）电池</w:t>
      </w:r>
      <w:r>
        <w:rPr>
          <w:rFonts w:hint="default" w:eastAsia="仿宋_GB2312"/>
          <w:color w:val="000000"/>
          <w:kern w:val="0"/>
          <w:sz w:val="32"/>
          <w:szCs w:val="32"/>
          <w14:textFill>
            <w14:solidFill>
              <w14:srgbClr w14:val="000000">
                <w14:lumMod w14:val="95000"/>
                <w14:lumOff w14:val="5000"/>
              </w14:srgbClr>
            </w14:solidFill>
          </w14:textFill>
        </w:rPr>
        <w:t>供电</w:t>
      </w:r>
      <w:r>
        <w:rPr>
          <w:rFonts w:hint="default" w:eastAsia="仿宋_GB2312"/>
          <w:kern w:val="0"/>
          <w:sz w:val="32"/>
          <w:szCs w:val="32"/>
        </w:rPr>
        <w:t>设备的标识。</w:t>
      </w:r>
    </w:p>
    <w:p>
      <w:pPr>
        <w:spacing w:beforeLines="0" w:afterLines="0" w:line="560" w:lineRule="exact"/>
        <w:ind w:firstLine="640" w:firstLineChars="200"/>
        <w:rPr>
          <w:rFonts w:hint="default" w:eastAsia="仿宋_GB2312"/>
          <w:kern w:val="0"/>
          <w:sz w:val="32"/>
          <w:szCs w:val="32"/>
        </w:rPr>
      </w:pPr>
      <w:r>
        <w:rPr>
          <w:rFonts w:hint="default" w:eastAsia="仿宋_GB2312"/>
          <w:kern w:val="0"/>
          <w:sz w:val="32"/>
          <w:szCs w:val="32"/>
        </w:rPr>
        <w:t>（4）气压</w:t>
      </w:r>
      <w:r>
        <w:rPr>
          <w:rFonts w:hint="default" w:eastAsia="仿宋_GB2312"/>
          <w:color w:val="000000"/>
          <w:kern w:val="0"/>
          <w:sz w:val="32"/>
          <w:szCs w:val="32"/>
          <w14:textFill>
            <w14:solidFill>
              <w14:srgbClr w14:val="000000">
                <w14:lumMod w14:val="95000"/>
                <w14:lumOff w14:val="5000"/>
              </w14:srgbClr>
            </w14:solidFill>
          </w14:textFill>
        </w:rPr>
        <w:t>止血带</w:t>
      </w:r>
      <w:r>
        <w:rPr>
          <w:rFonts w:hint="default" w:eastAsia="仿宋_GB2312"/>
          <w:kern w:val="0"/>
          <w:sz w:val="32"/>
          <w:szCs w:val="32"/>
        </w:rPr>
        <w:t>标识。气压止血带上应标示或说明尺寸或其适用的肢体周长的范围。</w:t>
      </w:r>
    </w:p>
    <w:p>
      <w:pPr>
        <w:spacing w:before="0" w:beforeLines="0" w:after="0" w:afterLines="0" w:line="560" w:lineRule="exact"/>
        <w:ind w:firstLine="640" w:firstLineChars="200"/>
        <w:outlineLvl w:val="0"/>
        <w:rPr>
          <w:rFonts w:hint="eastAsia" w:ascii="黑体" w:hAnsi="黑体" w:eastAsia="黑体" w:cs="黑体"/>
          <w:kern w:val="0"/>
          <w:sz w:val="32"/>
          <w:szCs w:val="32"/>
        </w:rPr>
      </w:pPr>
      <w:r>
        <w:rPr>
          <w:rFonts w:hint="eastAsia" w:ascii="黑体" w:hAnsi="黑体" w:eastAsia="黑体" w:cs="黑体"/>
          <w:kern w:val="0"/>
          <w:sz w:val="32"/>
          <w:szCs w:val="32"/>
        </w:rPr>
        <w:t>三、审查关注点</w:t>
      </w:r>
    </w:p>
    <w:p>
      <w:pPr>
        <w:spacing w:beforeLines="0" w:afterLines="0" w:line="560" w:lineRule="exact"/>
        <w:ind w:firstLine="640" w:firstLineChars="200"/>
        <w:outlineLvl w:val="0"/>
        <w:rPr>
          <w:rFonts w:hint="default" w:eastAsia="仿宋_GB2312"/>
          <w:kern w:val="0"/>
          <w:sz w:val="32"/>
          <w:szCs w:val="32"/>
        </w:rPr>
      </w:pPr>
      <w:r>
        <w:rPr>
          <w:rFonts w:hint="default" w:eastAsia="仿宋_GB2312"/>
          <w:kern w:val="0"/>
          <w:sz w:val="32"/>
          <w:szCs w:val="32"/>
        </w:rPr>
        <w:t>应注意明确产品的预期用途，选配件、附加功能应列明并表述正确。对产品禁忌症和不适宜人群的描述应与临床评价的结论一致。</w:t>
      </w:r>
    </w:p>
    <w:p>
      <w:pPr>
        <w:spacing w:beforeLines="0" w:afterLines="0" w:line="560" w:lineRule="exact"/>
        <w:ind w:firstLine="640" w:firstLineChars="200"/>
        <w:outlineLvl w:val="0"/>
        <w:rPr>
          <w:rFonts w:hint="default" w:eastAsia="仿宋_GB2312"/>
          <w:kern w:val="0"/>
          <w:sz w:val="32"/>
          <w:szCs w:val="32"/>
        </w:rPr>
      </w:pPr>
      <w:r>
        <w:rPr>
          <w:rFonts w:hint="default" w:eastAsia="仿宋_GB2312"/>
          <w:kern w:val="0"/>
          <w:sz w:val="32"/>
          <w:szCs w:val="32"/>
        </w:rPr>
        <w:t>（一）关注产品结构组成的完整性以及所有关键部件。同一注册单元产品的关键部件应相同。</w:t>
      </w:r>
    </w:p>
    <w:p>
      <w:pPr>
        <w:spacing w:beforeLines="0" w:afterLines="0" w:line="560" w:lineRule="exact"/>
        <w:ind w:firstLine="640" w:firstLineChars="200"/>
        <w:outlineLvl w:val="0"/>
        <w:rPr>
          <w:rFonts w:hint="default" w:eastAsia="仿宋_GB2312"/>
          <w:kern w:val="0"/>
          <w:sz w:val="32"/>
          <w:szCs w:val="32"/>
        </w:rPr>
      </w:pPr>
      <w:r>
        <w:rPr>
          <w:rFonts w:hint="default" w:eastAsia="仿宋_GB2312"/>
          <w:kern w:val="0"/>
          <w:sz w:val="32"/>
          <w:szCs w:val="32"/>
        </w:rPr>
        <w:t>（二）产品技术要求审查应注意产品（包括可能的选配件）必须执行GB 9706.1-2007和YY 0505-2012的要求。具体指标的适用性应按照产品具体的工作原理和结构组成进行判断。</w:t>
      </w:r>
    </w:p>
    <w:p>
      <w:pPr>
        <w:spacing w:beforeLines="0" w:afterLines="0" w:line="560" w:lineRule="exact"/>
        <w:ind w:firstLine="640" w:firstLineChars="200"/>
        <w:outlineLvl w:val="0"/>
        <w:rPr>
          <w:rFonts w:hint="default" w:eastAsia="仿宋_GB2312"/>
          <w:kern w:val="0"/>
          <w:sz w:val="32"/>
          <w:szCs w:val="32"/>
        </w:rPr>
      </w:pPr>
      <w:r>
        <w:rPr>
          <w:rFonts w:hint="default" w:eastAsia="仿宋_GB2312"/>
          <w:kern w:val="0"/>
          <w:sz w:val="32"/>
          <w:szCs w:val="32"/>
        </w:rPr>
        <w:t>（三）说明书审查应注意明确产品的预期用途，使用方法、注意事项、选配件、附加功能应列明并表述正确。</w:t>
      </w:r>
    </w:p>
    <w:p>
      <w:pPr>
        <w:spacing w:before="0" w:beforeLines="0" w:after="0" w:afterLines="0" w:line="560" w:lineRule="exact"/>
        <w:ind w:firstLine="640" w:firstLineChars="200"/>
        <w:outlineLvl w:val="0"/>
        <w:rPr>
          <w:rFonts w:hint="eastAsia" w:ascii="黑体" w:hAnsi="黑体" w:eastAsia="黑体" w:cs="黑体"/>
          <w:kern w:val="0"/>
          <w:sz w:val="32"/>
          <w:szCs w:val="28"/>
        </w:rPr>
      </w:pPr>
      <w:r>
        <w:rPr>
          <w:rFonts w:hint="eastAsia" w:ascii="黑体" w:hAnsi="黑体" w:eastAsia="黑体" w:cs="黑体"/>
          <w:kern w:val="0"/>
          <w:sz w:val="32"/>
          <w:szCs w:val="32"/>
        </w:rPr>
        <w:t>四、编写单位</w:t>
      </w:r>
    </w:p>
    <w:p>
      <w:pPr>
        <w:spacing w:before="0" w:beforeLines="0" w:after="0" w:afterLines="0" w:line="560" w:lineRule="exact"/>
        <w:ind w:firstLine="640" w:firstLineChars="200"/>
        <w:outlineLvl w:val="0"/>
        <w:rPr>
          <w:rFonts w:hint="default" w:ascii="Times New Roman" w:hAnsi="Times New Roman" w:eastAsia="仿宋_GB2312"/>
          <w:kern w:val="0"/>
          <w:szCs w:val="21"/>
        </w:rPr>
      </w:pPr>
      <w:r>
        <w:rPr>
          <w:rFonts w:hint="default" w:eastAsia="仿宋_GB2312"/>
          <w:kern w:val="0"/>
          <w:sz w:val="32"/>
          <w:szCs w:val="28"/>
        </w:rPr>
        <w:t>浙江省医疗器械审评中心牵头编写，北京市医疗器械技术审评中心、广东省药品监督管理局审评认证中心参与</w:t>
      </w:r>
      <w:r>
        <w:rPr>
          <w:rFonts w:hint="eastAsia" w:eastAsia="仿宋_GB2312"/>
          <w:kern w:val="0"/>
          <w:sz w:val="32"/>
          <w:szCs w:val="28"/>
          <w:lang w:eastAsia="zh-CN"/>
        </w:rPr>
        <w:t>编写</w:t>
      </w:r>
      <w:r>
        <w:rPr>
          <w:rFonts w:hint="default" w:eastAsia="仿宋_GB2312"/>
          <w:kern w:val="0"/>
          <w:sz w:val="32"/>
          <w:szCs w:val="28"/>
        </w:rPr>
        <w:t>。</w:t>
      </w:r>
    </w:p>
    <w:sectPr>
      <w:footerReference r:id="rId3" w:type="default"/>
      <w:pgSz w:w="11906" w:h="16838"/>
      <w:pgMar w:top="1928" w:right="1531" w:bottom="1814" w:left="153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-386080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default" w:eastAsia="宋体"/>
                              <w:lang w:val="en-US" w:eastAsia="zh-CN"/>
                            </w:rPr>
                          </w:pPr>
                          <w:r>
                            <w:rPr>
                              <w:rFonts w:hint="eastAsia"/>
                              <w:color w:val="FFFFFF" w:themeColor="background1"/>
                              <w:sz w:val="28"/>
                              <w:szCs w:val="28"/>
                              <w:lang w:eastAsia="zh-CN"/>
                              <w14:textFill>
                                <w14:solidFill>
                                  <w14:schemeClr w14:val="bg1"/>
                                </w14:solidFill>
                              </w14:textFill>
                            </w:rPr>
                            <w:t>—</w:t>
                          </w:r>
                          <w:r>
                            <w:rPr>
                              <w:rFonts w:hint="eastAsia"/>
                              <w:sz w:val="28"/>
                              <w:szCs w:val="28"/>
                              <w:lang w:eastAsia="zh-CN"/>
                            </w:rPr>
                            <w:t>—</w:t>
                          </w:r>
                          <w:r>
                            <w:rPr>
                              <w:rFonts w:hint="eastAsia"/>
                              <w:sz w:val="28"/>
                              <w:szCs w:val="28"/>
                              <w:lang w:val="en-US" w:eastAsia="zh-CN"/>
                            </w:rPr>
                            <w:t xml:space="preserve"> </w:t>
                          </w:r>
                          <w:r>
                            <w:rPr>
                              <w:rFonts w:hint="default" w:ascii="Times New Roman" w:hAnsi="Times New Roman"/>
                              <w:sz w:val="28"/>
                              <w:szCs w:val="28"/>
                              <w:lang w:eastAsia="zh-CN"/>
                            </w:rPr>
                            <w:fldChar w:fldCharType="begin"/>
                          </w:r>
                          <w:r>
                            <w:rPr>
                              <w:rFonts w:hint="default" w:ascii="Times New Roman" w:hAnsi="Times New Roman"/>
                              <w:sz w:val="28"/>
                              <w:szCs w:val="28"/>
                              <w:lang w:eastAsia="zh-CN"/>
                            </w:rPr>
                            <w:instrText xml:space="preserve"> PAGE  \* MERGEFORMAT </w:instrText>
                          </w:r>
                          <w:r>
                            <w:rPr>
                              <w:rFonts w:hint="default" w:ascii="Times New Roman" w:hAnsi="Times New Roman"/>
                              <w:sz w:val="28"/>
                              <w:szCs w:val="28"/>
                              <w:lang w:eastAsia="zh-CN"/>
                            </w:rPr>
                            <w:fldChar w:fldCharType="separate"/>
                          </w:r>
                          <w:r>
                            <w:rPr>
                              <w:rFonts w:hint="default" w:ascii="Times New Roman" w:hAnsi="Times New Roman"/>
                              <w:sz w:val="28"/>
                              <w:szCs w:val="28"/>
                              <w:lang w:eastAsia="zh-CN"/>
                            </w:rPr>
                            <w:t>1</w:t>
                          </w:r>
                          <w:r>
                            <w:rPr>
                              <w:rFonts w:hint="default" w:ascii="Times New Roman" w:hAnsi="Times New Roman"/>
                              <w:sz w:val="28"/>
                              <w:szCs w:val="28"/>
                              <w:lang w:eastAsia="zh-CN"/>
                            </w:rPr>
                            <w:fldChar w:fldCharType="end"/>
                          </w:r>
                          <w:r>
                            <w:rPr>
                              <w:rFonts w:hint="eastAsia"/>
                              <w:sz w:val="28"/>
                              <w:szCs w:val="28"/>
                              <w:lang w:val="en-US" w:eastAsia="zh-CN"/>
                            </w:rPr>
                            <w:t xml:space="preserve"> —</w:t>
                          </w:r>
                          <w:r>
                            <w:rPr>
                              <w:rFonts w:hint="eastAsia"/>
                              <w:color w:val="FFFFFF" w:themeColor="background1"/>
                              <w:sz w:val="28"/>
                              <w:szCs w:val="28"/>
                              <w:lang w:val="en-US" w:eastAsia="zh-CN"/>
                              <w14:textFill>
                                <w14:solidFill>
                                  <w14:schemeClr w14:val="bg1"/>
                                </w14:solidFill>
                              </w14:textFill>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30.4pt;height:144pt;width:144pt;mso-position-horizontal:outside;mso-position-horizontal-relative:margin;mso-wrap-style:none;z-index:251658240;mso-width-relative:page;mso-height-relative:page;" filled="f" stroked="f" coordsize="21600,21600" o:gfxdata="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5qWm1QAAAAgBAAAPAAAAAAAAAAEA&#10;IAAAACIAAABkcnMvZG93bnJldi54bWxQSwECFAAUAAAACACHTuJAStvN/xICAAATBAAADgAAAAAA&#10;AAABACAAAAAkAQAAZHJzL2Uyb0RvYy54bWxQSwUGAAAAAAYABgBZAQAAqAUAAAAA&#10;">
              <v:fill on="f" focussize="0,0"/>
              <v:stroke on="f" weight="0.5pt"/>
              <v:imagedata o:title=""/>
              <o:lock v:ext="edit" aspectratio="f"/>
              <v:textbox inset="0mm,0mm,0mm,0mm" style="mso-fit-shape-to-text:t;">
                <w:txbxContent>
                  <w:p>
                    <w:pPr>
                      <w:pStyle w:val="11"/>
                      <w:rPr>
                        <w:rFonts w:hint="default" w:eastAsia="宋体"/>
                        <w:lang w:val="en-US" w:eastAsia="zh-CN"/>
                      </w:rPr>
                    </w:pPr>
                    <w:r>
                      <w:rPr>
                        <w:rFonts w:hint="eastAsia"/>
                        <w:color w:val="FFFFFF" w:themeColor="background1"/>
                        <w:sz w:val="28"/>
                        <w:szCs w:val="28"/>
                        <w:lang w:eastAsia="zh-CN"/>
                        <w14:textFill>
                          <w14:solidFill>
                            <w14:schemeClr w14:val="bg1"/>
                          </w14:solidFill>
                        </w14:textFill>
                      </w:rPr>
                      <w:t>—</w:t>
                    </w:r>
                    <w:r>
                      <w:rPr>
                        <w:rFonts w:hint="eastAsia"/>
                        <w:sz w:val="28"/>
                        <w:szCs w:val="28"/>
                        <w:lang w:eastAsia="zh-CN"/>
                      </w:rPr>
                      <w:t>—</w:t>
                    </w:r>
                    <w:r>
                      <w:rPr>
                        <w:rFonts w:hint="eastAsia"/>
                        <w:sz w:val="28"/>
                        <w:szCs w:val="28"/>
                        <w:lang w:val="en-US" w:eastAsia="zh-CN"/>
                      </w:rPr>
                      <w:t xml:space="preserve"> </w:t>
                    </w:r>
                    <w:r>
                      <w:rPr>
                        <w:rFonts w:hint="default" w:ascii="Times New Roman" w:hAnsi="Times New Roman"/>
                        <w:sz w:val="28"/>
                        <w:szCs w:val="28"/>
                        <w:lang w:eastAsia="zh-CN"/>
                      </w:rPr>
                      <w:fldChar w:fldCharType="begin"/>
                    </w:r>
                    <w:r>
                      <w:rPr>
                        <w:rFonts w:hint="default" w:ascii="Times New Roman" w:hAnsi="Times New Roman"/>
                        <w:sz w:val="28"/>
                        <w:szCs w:val="28"/>
                        <w:lang w:eastAsia="zh-CN"/>
                      </w:rPr>
                      <w:instrText xml:space="preserve"> PAGE  \* MERGEFORMAT </w:instrText>
                    </w:r>
                    <w:r>
                      <w:rPr>
                        <w:rFonts w:hint="default" w:ascii="Times New Roman" w:hAnsi="Times New Roman"/>
                        <w:sz w:val="28"/>
                        <w:szCs w:val="28"/>
                        <w:lang w:eastAsia="zh-CN"/>
                      </w:rPr>
                      <w:fldChar w:fldCharType="separate"/>
                    </w:r>
                    <w:r>
                      <w:rPr>
                        <w:rFonts w:hint="default" w:ascii="Times New Roman" w:hAnsi="Times New Roman"/>
                        <w:sz w:val="28"/>
                        <w:szCs w:val="28"/>
                        <w:lang w:eastAsia="zh-CN"/>
                      </w:rPr>
                      <w:t>1</w:t>
                    </w:r>
                    <w:r>
                      <w:rPr>
                        <w:rFonts w:hint="default" w:ascii="Times New Roman" w:hAnsi="Times New Roman"/>
                        <w:sz w:val="28"/>
                        <w:szCs w:val="28"/>
                        <w:lang w:eastAsia="zh-CN"/>
                      </w:rPr>
                      <w:fldChar w:fldCharType="end"/>
                    </w:r>
                    <w:r>
                      <w:rPr>
                        <w:rFonts w:hint="eastAsia"/>
                        <w:sz w:val="28"/>
                        <w:szCs w:val="28"/>
                        <w:lang w:val="en-US" w:eastAsia="zh-CN"/>
                      </w:rPr>
                      <w:t xml:space="preserve"> —</w:t>
                    </w:r>
                    <w:r>
                      <w:rPr>
                        <w:rFonts w:hint="eastAsia"/>
                        <w:color w:val="FFFFFF" w:themeColor="background1"/>
                        <w:sz w:val="28"/>
                        <w:szCs w:val="28"/>
                        <w:lang w:val="en-US" w:eastAsia="zh-CN"/>
                        <w14:textFill>
                          <w14:solidFill>
                            <w14:schemeClr w14:val="bg1"/>
                          </w14:solidFill>
                        </w14:textFill>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5BE61"/>
    <w:multiLevelType w:val="singleLevel"/>
    <w:tmpl w:val="9275BE61"/>
    <w:lvl w:ilvl="0" w:tentative="0">
      <w:start w:val="1"/>
      <w:numFmt w:val="decimal"/>
      <w:suff w:val="nothing"/>
      <w:lvlText w:val="（%1）"/>
      <w:lvlJc w:val="left"/>
    </w:lvl>
  </w:abstractNum>
  <w:abstractNum w:abstractNumId="1">
    <w:nsid w:val="090952C2"/>
    <w:multiLevelType w:val="multilevel"/>
    <w:tmpl w:val="090952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B53137F"/>
    <w:multiLevelType w:val="multilevel"/>
    <w:tmpl w:val="0B53137F"/>
    <w:lvl w:ilvl="0" w:tentative="0">
      <w:start w:val="1"/>
      <w:numFmt w:val="decimal"/>
      <w:suff w:val="space"/>
      <w:lvlText w:val="%1."/>
      <w:lvlJc w:val="left"/>
      <w:pPr>
        <w:ind w:left="1000" w:hanging="360"/>
      </w:pPr>
      <w:rPr>
        <w:rFonts w:hint="default"/>
      </w:rPr>
    </w:lvl>
    <w:lvl w:ilvl="1" w:tentative="0">
      <w:start w:val="1"/>
      <w:numFmt w:val="lowerLetter"/>
      <w:lvlText w:val="%2)"/>
      <w:lvlJc w:val="left"/>
      <w:pPr>
        <w:ind w:left="1480" w:hanging="420"/>
      </w:pPr>
      <w:rPr>
        <w:rFonts w:hint="eastAsia"/>
      </w:rPr>
    </w:lvl>
    <w:lvl w:ilvl="2" w:tentative="0">
      <w:start w:val="1"/>
      <w:numFmt w:val="lowerRoman"/>
      <w:lvlText w:val="%3."/>
      <w:lvlJc w:val="right"/>
      <w:pPr>
        <w:ind w:left="1900" w:hanging="420"/>
      </w:pPr>
      <w:rPr>
        <w:rFonts w:hint="eastAsia"/>
      </w:rPr>
    </w:lvl>
    <w:lvl w:ilvl="3" w:tentative="0">
      <w:start w:val="1"/>
      <w:numFmt w:val="decimal"/>
      <w:lvlText w:val="%4."/>
      <w:lvlJc w:val="left"/>
      <w:pPr>
        <w:ind w:left="2320" w:hanging="420"/>
      </w:pPr>
      <w:rPr>
        <w:rFonts w:hint="eastAsia"/>
      </w:rPr>
    </w:lvl>
    <w:lvl w:ilvl="4" w:tentative="0">
      <w:start w:val="1"/>
      <w:numFmt w:val="lowerLetter"/>
      <w:lvlText w:val="%5)"/>
      <w:lvlJc w:val="left"/>
      <w:pPr>
        <w:ind w:left="2740" w:hanging="420"/>
      </w:pPr>
      <w:rPr>
        <w:rFonts w:hint="eastAsia"/>
      </w:rPr>
    </w:lvl>
    <w:lvl w:ilvl="5" w:tentative="0">
      <w:start w:val="1"/>
      <w:numFmt w:val="lowerRoman"/>
      <w:lvlText w:val="%6."/>
      <w:lvlJc w:val="right"/>
      <w:pPr>
        <w:ind w:left="3160" w:hanging="420"/>
      </w:pPr>
      <w:rPr>
        <w:rFonts w:hint="eastAsia"/>
      </w:rPr>
    </w:lvl>
    <w:lvl w:ilvl="6" w:tentative="0">
      <w:start w:val="1"/>
      <w:numFmt w:val="decimal"/>
      <w:lvlText w:val="%7."/>
      <w:lvlJc w:val="left"/>
      <w:pPr>
        <w:ind w:left="3580" w:hanging="420"/>
      </w:pPr>
      <w:rPr>
        <w:rFonts w:hint="eastAsia"/>
      </w:rPr>
    </w:lvl>
    <w:lvl w:ilvl="7" w:tentative="0">
      <w:start w:val="1"/>
      <w:numFmt w:val="lowerLetter"/>
      <w:lvlText w:val="%8)"/>
      <w:lvlJc w:val="left"/>
      <w:pPr>
        <w:ind w:left="4000" w:hanging="420"/>
      </w:pPr>
      <w:rPr>
        <w:rFonts w:hint="eastAsia"/>
      </w:rPr>
    </w:lvl>
    <w:lvl w:ilvl="8" w:tentative="0">
      <w:start w:val="1"/>
      <w:numFmt w:val="lowerRoman"/>
      <w:lvlText w:val="%9."/>
      <w:lvlJc w:val="right"/>
      <w:pPr>
        <w:ind w:left="4420" w:hanging="420"/>
      </w:pPr>
      <w:rPr>
        <w:rFonts w:hint="eastAsia"/>
      </w:rPr>
    </w:lvl>
  </w:abstractNum>
  <w:abstractNum w:abstractNumId="3">
    <w:nsid w:val="29F67B98"/>
    <w:multiLevelType w:val="multilevel"/>
    <w:tmpl w:val="29F67B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A606422"/>
    <w:multiLevelType w:val="multilevel"/>
    <w:tmpl w:val="5A6064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9F0F55"/>
    <w:multiLevelType w:val="multilevel"/>
    <w:tmpl w:val="639F0F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CD"/>
    <w:rsid w:val="00755FF9"/>
    <w:rsid w:val="007E438D"/>
    <w:rsid w:val="0082475E"/>
    <w:rsid w:val="008B2B87"/>
    <w:rsid w:val="00D35136"/>
    <w:rsid w:val="00E91ACD"/>
    <w:rsid w:val="08D833DE"/>
    <w:rsid w:val="0EE96F40"/>
    <w:rsid w:val="13F421CA"/>
    <w:rsid w:val="1BB004F3"/>
    <w:rsid w:val="1C1469AA"/>
    <w:rsid w:val="1E2C3C81"/>
    <w:rsid w:val="27F012AA"/>
    <w:rsid w:val="2B2460E3"/>
    <w:rsid w:val="2CB5516C"/>
    <w:rsid w:val="2E5B0BD5"/>
    <w:rsid w:val="338C3655"/>
    <w:rsid w:val="342834C4"/>
    <w:rsid w:val="3AA54BF5"/>
    <w:rsid w:val="3B9B5157"/>
    <w:rsid w:val="3F665395"/>
    <w:rsid w:val="3FF9765C"/>
    <w:rsid w:val="41917E0E"/>
    <w:rsid w:val="44794D6F"/>
    <w:rsid w:val="45B57D31"/>
    <w:rsid w:val="554D1A13"/>
    <w:rsid w:val="591406CF"/>
    <w:rsid w:val="5A19648C"/>
    <w:rsid w:val="5C0853F4"/>
    <w:rsid w:val="64590B2E"/>
    <w:rsid w:val="64632B67"/>
    <w:rsid w:val="67E6381D"/>
    <w:rsid w:val="6CC31128"/>
    <w:rsid w:val="71612246"/>
    <w:rsid w:val="73CD74B5"/>
    <w:rsid w:val="7D73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0" w:name="toc 5"/>
    <w:lsdException w:uiPriority="0" w:name="toc 6"/>
    <w:lsdException w:uiPriority="0" w:name="toc 7"/>
    <w:lsdException w:qFormat="1" w:uiPriority="39" w:semiHidden="0" w:name="toc 8"/>
    <w:lsdException w:uiPriority="0" w:name="toc 9"/>
    <w:lsdException w:uiPriority="0" w:name="Normal Indent"/>
    <w:lsdException w:uiPriority="0" w:name="footnote text"/>
    <w:lsdException w:qFormat="1" w:unhideWhenUsed="0" w:uiPriority="0"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eastAsia="黑体" w:asciiTheme="majorHAnsi" w:hAnsiTheme="majorHAnsi" w:cstheme="majorBidi"/>
      <w:sz w:val="20"/>
      <w:szCs w:val="20"/>
    </w:rPr>
  </w:style>
  <w:style w:type="paragraph" w:styleId="6">
    <w:name w:val="annotation text"/>
    <w:basedOn w:val="1"/>
    <w:link w:val="44"/>
    <w:qFormat/>
    <w:uiPriority w:val="0"/>
    <w:pPr>
      <w:jc w:val="left"/>
    </w:pPr>
    <w:rPr>
      <w:rFonts w:asciiTheme="minorHAnsi" w:hAnsiTheme="minorHAnsi" w:eastAsiaTheme="minorEastAsia"/>
      <w:kern w:val="0"/>
      <w:sz w:val="20"/>
      <w:szCs w:val="20"/>
    </w:rPr>
  </w:style>
  <w:style w:type="paragraph" w:styleId="7">
    <w:name w:val="toc 3"/>
    <w:basedOn w:val="1"/>
    <w:next w:val="1"/>
    <w:unhideWhenUsed/>
    <w:qFormat/>
    <w:uiPriority w:val="39"/>
    <w:pPr>
      <w:ind w:left="480"/>
      <w:jc w:val="left"/>
    </w:pPr>
    <w:rPr>
      <w:rFonts w:asciiTheme="minorHAnsi" w:hAnsiTheme="minorHAnsi"/>
      <w:i/>
      <w:iCs/>
      <w:sz w:val="20"/>
      <w:szCs w:val="20"/>
    </w:rPr>
  </w:style>
  <w:style w:type="paragraph" w:styleId="8">
    <w:name w:val="toc 8"/>
    <w:basedOn w:val="1"/>
    <w:next w:val="1"/>
    <w:unhideWhenUsed/>
    <w:qFormat/>
    <w:uiPriority w:val="39"/>
    <w:pPr>
      <w:ind w:left="1680"/>
      <w:jc w:val="left"/>
    </w:pPr>
    <w:rPr>
      <w:rFonts w:asciiTheme="minorHAnsi" w:hAnsiTheme="minorHAnsi"/>
      <w:sz w:val="18"/>
      <w:szCs w:val="18"/>
    </w:rPr>
  </w:style>
  <w:style w:type="paragraph" w:styleId="9">
    <w:name w:val="Date"/>
    <w:basedOn w:val="1"/>
    <w:next w:val="1"/>
    <w:link w:val="47"/>
    <w:unhideWhenUsed/>
    <w:qFormat/>
    <w:uiPriority w:val="99"/>
    <w:pPr>
      <w:ind w:left="100" w:leftChars="2500"/>
    </w:pPr>
    <w:rPr>
      <w:kern w:val="0"/>
      <w:szCs w:val="20"/>
    </w:rPr>
  </w:style>
  <w:style w:type="paragraph" w:styleId="10">
    <w:name w:val="Balloon Text"/>
    <w:basedOn w:val="1"/>
    <w:link w:val="49"/>
    <w:unhideWhenUsed/>
    <w:qFormat/>
    <w:uiPriority w:val="99"/>
    <w:rPr>
      <w:rFonts w:asciiTheme="minorHAnsi" w:hAnsiTheme="minorHAnsi" w:eastAsiaTheme="minorEastAsia"/>
      <w:kern w:val="0"/>
      <w:sz w:val="18"/>
      <w:szCs w:val="18"/>
    </w:rPr>
  </w:style>
  <w:style w:type="paragraph" w:styleId="11">
    <w:name w:val="footer"/>
    <w:basedOn w:val="1"/>
    <w:link w:val="46"/>
    <w:unhideWhenUsed/>
    <w:qFormat/>
    <w:uiPriority w:val="99"/>
    <w:pPr>
      <w:tabs>
        <w:tab w:val="center" w:pos="4153"/>
        <w:tab w:val="right" w:pos="8306"/>
      </w:tabs>
      <w:snapToGrid w:val="0"/>
      <w:jc w:val="left"/>
    </w:pPr>
    <w:rPr>
      <w:rFonts w:asciiTheme="minorHAnsi" w:hAnsiTheme="minorHAnsi" w:eastAsiaTheme="minorEastAsia"/>
      <w:kern w:val="0"/>
      <w:sz w:val="18"/>
      <w:szCs w:val="18"/>
    </w:rPr>
  </w:style>
  <w:style w:type="paragraph" w:styleId="12">
    <w:name w:val="header"/>
    <w:basedOn w:val="1"/>
    <w:link w:val="4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kern w:val="0"/>
      <w:sz w:val="18"/>
      <w:szCs w:val="18"/>
    </w:rPr>
  </w:style>
  <w:style w:type="paragraph" w:styleId="13">
    <w:name w:val="toc 1"/>
    <w:basedOn w:val="1"/>
    <w:next w:val="1"/>
    <w:unhideWhenUsed/>
    <w:qFormat/>
    <w:uiPriority w:val="39"/>
    <w:pPr>
      <w:spacing w:before="120" w:after="120"/>
      <w:jc w:val="left"/>
    </w:pPr>
    <w:rPr>
      <w:rFonts w:asciiTheme="minorHAnsi" w:hAnsiTheme="minorHAnsi"/>
      <w:b/>
      <w:bCs/>
      <w:caps/>
      <w:sz w:val="20"/>
      <w:szCs w:val="20"/>
    </w:rPr>
  </w:style>
  <w:style w:type="paragraph" w:styleId="14">
    <w:name w:val="toc 4"/>
    <w:basedOn w:val="1"/>
    <w:next w:val="1"/>
    <w:unhideWhenUsed/>
    <w:qFormat/>
    <w:uiPriority w:val="39"/>
    <w:pPr>
      <w:ind w:left="720"/>
      <w:jc w:val="left"/>
    </w:pPr>
    <w:rPr>
      <w:rFonts w:asciiTheme="minorHAnsi" w:hAnsiTheme="minorHAnsi"/>
      <w:sz w:val="18"/>
      <w:szCs w:val="18"/>
    </w:rPr>
  </w:style>
  <w:style w:type="paragraph" w:styleId="15">
    <w:name w:val="toc 2"/>
    <w:basedOn w:val="1"/>
    <w:next w:val="1"/>
    <w:unhideWhenUsed/>
    <w:qFormat/>
    <w:uiPriority w:val="39"/>
    <w:pPr>
      <w:ind w:left="240"/>
      <w:jc w:val="left"/>
    </w:pPr>
    <w:rPr>
      <w:rFonts w:asciiTheme="minorHAnsi" w:hAnsiTheme="minorHAnsi"/>
      <w:smallCaps/>
      <w:sz w:val="20"/>
      <w:szCs w:val="20"/>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rPr>
  </w:style>
  <w:style w:type="paragraph" w:styleId="17">
    <w:name w:val="annotation subject"/>
    <w:basedOn w:val="6"/>
    <w:next w:val="6"/>
    <w:link w:val="48"/>
    <w:unhideWhenUsed/>
    <w:qFormat/>
    <w:uiPriority w:val="99"/>
    <w:rPr>
      <w:b/>
      <w:bCs/>
      <w:sz w:val="24"/>
    </w:r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styleId="21">
    <w:name w:val="annotation reference"/>
    <w:qFormat/>
    <w:uiPriority w:val="0"/>
    <w:rPr>
      <w:sz w:val="21"/>
      <w:szCs w:val="21"/>
    </w:rPr>
  </w:style>
  <w:style w:type="paragraph" w:customStyle="1" w:styleId="22">
    <w:name w:val="章标题"/>
    <w:basedOn w:val="2"/>
    <w:qFormat/>
    <w:uiPriority w:val="0"/>
    <w:pPr>
      <w:spacing w:before="360" w:after="360" w:line="240" w:lineRule="auto"/>
      <w:jc w:val="center"/>
    </w:pPr>
    <w:rPr>
      <w:rFonts w:eastAsia="仿宋"/>
      <w:color w:val="000000" w:themeColor="text1"/>
      <w:kern w:val="2"/>
      <w:sz w:val="36"/>
      <w:szCs w:val="36"/>
      <w14:textFill>
        <w14:solidFill>
          <w14:schemeClr w14:val="tx1"/>
        </w14:solidFill>
      </w14:textFill>
    </w:rPr>
  </w:style>
  <w:style w:type="character" w:customStyle="1" w:styleId="23">
    <w:name w:val="标题 1 Char"/>
    <w:basedOn w:val="19"/>
    <w:link w:val="2"/>
    <w:qFormat/>
    <w:uiPriority w:val="0"/>
    <w:rPr>
      <w:b/>
      <w:bCs/>
      <w:kern w:val="44"/>
      <w:sz w:val="44"/>
      <w:szCs w:val="44"/>
    </w:rPr>
  </w:style>
  <w:style w:type="character" w:customStyle="1" w:styleId="24">
    <w:name w:val="long_text"/>
    <w:basedOn w:val="19"/>
    <w:qFormat/>
    <w:uiPriority w:val="0"/>
  </w:style>
  <w:style w:type="paragraph" w:customStyle="1" w:styleId="25">
    <w:name w:val="样式1"/>
    <w:basedOn w:val="1"/>
    <w:qFormat/>
    <w:uiPriority w:val="0"/>
    <w:pPr>
      <w:adjustRightInd w:val="0"/>
      <w:snapToGrid w:val="0"/>
    </w:pPr>
    <w:rPr>
      <w:shd w:val="clear" w:color="auto" w:fill="FFFFFF"/>
    </w:rPr>
  </w:style>
  <w:style w:type="paragraph" w:customStyle="1" w:styleId="26">
    <w:name w:val="节标题"/>
    <w:basedOn w:val="3"/>
    <w:qFormat/>
    <w:uiPriority w:val="0"/>
    <w:pPr>
      <w:keepLines w:val="0"/>
      <w:spacing w:before="163" w:beforeLines="50" w:after="163" w:afterLines="50" w:line="360" w:lineRule="auto"/>
    </w:pPr>
    <w:rPr>
      <w:rFonts w:ascii="Times New Roman" w:hAnsi="Times New Roman" w:eastAsia="仿宋" w:cs="Times New Roman"/>
      <w:color w:val="000000" w:themeColor="text1"/>
      <w:sz w:val="30"/>
      <w:szCs w:val="30"/>
      <w14:textFill>
        <w14:solidFill>
          <w14:schemeClr w14:val="tx1"/>
        </w14:solidFill>
      </w14:textFill>
    </w:rPr>
  </w:style>
  <w:style w:type="character" w:customStyle="1" w:styleId="27">
    <w:name w:val="标题 2 Char"/>
    <w:basedOn w:val="19"/>
    <w:link w:val="3"/>
    <w:semiHidden/>
    <w:qFormat/>
    <w:uiPriority w:val="9"/>
    <w:rPr>
      <w:rFonts w:asciiTheme="majorHAnsi" w:hAnsiTheme="majorHAnsi" w:eastAsiaTheme="majorEastAsia" w:cstheme="majorBidi"/>
      <w:b/>
      <w:bCs/>
      <w:kern w:val="2"/>
      <w:sz w:val="32"/>
      <w:szCs w:val="32"/>
    </w:rPr>
  </w:style>
  <w:style w:type="paragraph" w:customStyle="1" w:styleId="28">
    <w:name w:val="子节标题"/>
    <w:basedOn w:val="4"/>
    <w:qFormat/>
    <w:uiPriority w:val="0"/>
    <w:pPr>
      <w:spacing w:before="156" w:beforeLines="50" w:after="0" w:line="360" w:lineRule="auto"/>
    </w:pPr>
    <w:rPr>
      <w:rFonts w:eastAsia="仿宋"/>
      <w:color w:val="000000" w:themeColor="text1"/>
      <w:sz w:val="28"/>
      <w:szCs w:val="28"/>
      <w14:textFill>
        <w14:solidFill>
          <w14:schemeClr w14:val="tx1"/>
        </w14:solidFill>
      </w14:textFill>
    </w:rPr>
  </w:style>
  <w:style w:type="character" w:customStyle="1" w:styleId="29">
    <w:name w:val="标题 3 Char"/>
    <w:basedOn w:val="19"/>
    <w:link w:val="4"/>
    <w:semiHidden/>
    <w:qFormat/>
    <w:uiPriority w:val="9"/>
    <w:rPr>
      <w:b/>
      <w:bCs/>
      <w:kern w:val="2"/>
      <w:sz w:val="32"/>
      <w:szCs w:val="32"/>
    </w:rPr>
  </w:style>
  <w:style w:type="character" w:customStyle="1" w:styleId="30">
    <w:name w:val="apple-style-span"/>
    <w:qFormat/>
    <w:uiPriority w:val="0"/>
  </w:style>
  <w:style w:type="paragraph" w:customStyle="1" w:styleId="31">
    <w:name w:val="列出段落1"/>
    <w:basedOn w:val="1"/>
    <w:qFormat/>
    <w:uiPriority w:val="34"/>
    <w:pPr>
      <w:ind w:firstLine="420"/>
    </w:pPr>
  </w:style>
  <w:style w:type="paragraph" w:customStyle="1" w:styleId="32">
    <w:name w:val="图表注释"/>
    <w:basedOn w:val="1"/>
    <w:qFormat/>
    <w:uiPriority w:val="0"/>
    <w:pPr>
      <w:jc w:val="center"/>
    </w:pPr>
    <w:rPr>
      <w:szCs w:val="21"/>
    </w:rPr>
  </w:style>
  <w:style w:type="paragraph" w:customStyle="1" w:styleId="33">
    <w:name w:val="无间隔1"/>
    <w:link w:val="34"/>
    <w:qFormat/>
    <w:uiPriority w:val="1"/>
    <w:pPr>
      <w:widowControl w:val="0"/>
      <w:ind w:firstLine="200" w:firstLineChars="200"/>
      <w:jc w:val="both"/>
    </w:pPr>
    <w:rPr>
      <w:rFonts w:ascii="Times New Roman" w:hAnsi="Times New Roman" w:eastAsia="宋体" w:cs="Times New Roman"/>
      <w:sz w:val="24"/>
      <w:lang w:val="en-US" w:eastAsia="zh-CN" w:bidi="ar-SA"/>
    </w:rPr>
  </w:style>
  <w:style w:type="character" w:customStyle="1" w:styleId="34">
    <w:name w:val="无间隔 Char"/>
    <w:basedOn w:val="19"/>
    <w:link w:val="33"/>
    <w:qFormat/>
    <w:uiPriority w:val="1"/>
    <w:rPr>
      <w:rFonts w:ascii="Times New Roman" w:hAnsi="Times New Roman"/>
      <w:sz w:val="24"/>
    </w:rPr>
  </w:style>
  <w:style w:type="character" w:customStyle="1" w:styleId="35">
    <w:name w:val="占位符文本1"/>
    <w:basedOn w:val="19"/>
    <w:semiHidden/>
    <w:qFormat/>
    <w:uiPriority w:val="99"/>
    <w:rPr>
      <w:color w:val="808080"/>
    </w:rPr>
  </w:style>
  <w:style w:type="paragraph" w:customStyle="1" w:styleId="36">
    <w:name w:val="参考文献"/>
    <w:basedOn w:val="1"/>
    <w:qFormat/>
    <w:uiPriority w:val="0"/>
    <w:pPr>
      <w:autoSpaceDE w:val="0"/>
      <w:autoSpaceDN w:val="0"/>
      <w:jc w:val="left"/>
    </w:pPr>
    <w:rPr>
      <w:rFonts w:cs="宋体" w:asciiTheme="minorHAnsi" w:hAnsiTheme="minorHAnsi"/>
      <w:kern w:val="0"/>
      <w:szCs w:val="21"/>
    </w:rPr>
  </w:style>
  <w:style w:type="paragraph" w:customStyle="1" w:styleId="3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8">
    <w:name w:val="附录四级条标题"/>
    <w:basedOn w:val="1"/>
    <w:next w:val="1"/>
    <w:qFormat/>
    <w:uiPriority w:val="0"/>
    <w:pPr>
      <w:widowControl/>
      <w:wordWrap w:val="0"/>
      <w:overflowPunct w:val="0"/>
      <w:autoSpaceDE w:val="0"/>
      <w:autoSpaceDN w:val="0"/>
      <w:ind w:left="4320"/>
      <w:textAlignment w:val="baseline"/>
      <w:outlineLvl w:val="5"/>
    </w:pPr>
    <w:rPr>
      <w:rFonts w:ascii="黑体" w:eastAsia="黑体"/>
      <w:kern w:val="21"/>
      <w:szCs w:val="20"/>
    </w:rPr>
  </w:style>
  <w:style w:type="paragraph" w:customStyle="1" w:styleId="39">
    <w:name w:val="附录五级条标题"/>
    <w:basedOn w:val="38"/>
    <w:next w:val="1"/>
    <w:qFormat/>
    <w:uiPriority w:val="0"/>
    <w:pPr>
      <w:outlineLvl w:val="6"/>
    </w:pPr>
  </w:style>
  <w:style w:type="paragraph" w:customStyle="1" w:styleId="40">
    <w:name w:val="列项——"/>
    <w:qFormat/>
    <w:uiPriority w:val="0"/>
    <w:pPr>
      <w:widowControl w:val="0"/>
      <w:tabs>
        <w:tab w:val="left" w:pos="854"/>
      </w:tabs>
      <w:ind w:left="4320" w:leftChars="200" w:hanging="200" w:hangingChars="200"/>
      <w:jc w:val="both"/>
    </w:pPr>
    <w:rPr>
      <w:rFonts w:ascii="宋体" w:hAnsi="Times New Roman" w:eastAsia="宋体" w:cs="Times New Roman"/>
      <w:sz w:val="21"/>
      <w:lang w:val="en-US" w:eastAsia="zh-CN" w:bidi="ar-SA"/>
    </w:rPr>
  </w:style>
  <w:style w:type="paragraph" w:customStyle="1" w:styleId="41">
    <w:name w:val="款标题"/>
    <w:basedOn w:val="2"/>
    <w:link w:val="42"/>
    <w:qFormat/>
    <w:uiPriority w:val="0"/>
    <w:pPr>
      <w:spacing w:before="156" w:beforeLines="50"/>
      <w:outlineLvl w:val="3"/>
    </w:pPr>
    <w:rPr>
      <w:rFonts w:eastAsia="仿宋"/>
      <w:bCs w:val="0"/>
      <w:sz w:val="24"/>
      <w:szCs w:val="24"/>
    </w:rPr>
  </w:style>
  <w:style w:type="character" w:customStyle="1" w:styleId="42">
    <w:name w:val="款标题 Char"/>
    <w:basedOn w:val="23"/>
    <w:link w:val="41"/>
    <w:qFormat/>
    <w:uiPriority w:val="0"/>
    <w:rPr>
      <w:rFonts w:ascii="Times New Roman" w:hAnsi="Times New Roman" w:eastAsia="仿宋"/>
      <w:bCs w:val="0"/>
      <w:kern w:val="44"/>
      <w:sz w:val="24"/>
      <w:szCs w:val="24"/>
    </w:rPr>
  </w:style>
  <w:style w:type="paragraph" w:customStyle="1" w:styleId="43">
    <w:name w:val="TOC 标题1"/>
    <w:basedOn w:val="2"/>
    <w:next w:val="1"/>
    <w:semiHidden/>
    <w:unhideWhenUsed/>
    <w:qFormat/>
    <w:uiPriority w:val="39"/>
    <w:pPr>
      <w:widowControl/>
      <w:spacing w:before="480" w:line="276" w:lineRule="auto"/>
      <w:jc w:val="left"/>
      <w:outlineLvl w:val="9"/>
    </w:pPr>
    <w:rPr>
      <w:rFonts w:eastAsiaTheme="majorEastAsia" w:cstheme="majorBidi"/>
      <w:bCs w:val="0"/>
      <w:color w:val="376092" w:themeColor="accent1" w:themeShade="BF"/>
      <w:szCs w:val="28"/>
    </w:rPr>
  </w:style>
  <w:style w:type="character" w:customStyle="1" w:styleId="44">
    <w:name w:val="批注文字 Char"/>
    <w:basedOn w:val="19"/>
    <w:link w:val="6"/>
    <w:qFormat/>
    <w:uiPriority w:val="0"/>
  </w:style>
  <w:style w:type="character" w:customStyle="1" w:styleId="45">
    <w:name w:val="页眉 Char"/>
    <w:basedOn w:val="19"/>
    <w:link w:val="12"/>
    <w:qFormat/>
    <w:uiPriority w:val="99"/>
    <w:rPr>
      <w:sz w:val="18"/>
      <w:szCs w:val="18"/>
    </w:rPr>
  </w:style>
  <w:style w:type="character" w:customStyle="1" w:styleId="46">
    <w:name w:val="页脚 Char"/>
    <w:basedOn w:val="19"/>
    <w:link w:val="11"/>
    <w:qFormat/>
    <w:uiPriority w:val="99"/>
    <w:rPr>
      <w:sz w:val="18"/>
      <w:szCs w:val="18"/>
    </w:rPr>
  </w:style>
  <w:style w:type="character" w:customStyle="1" w:styleId="47">
    <w:name w:val="日期 Char"/>
    <w:basedOn w:val="19"/>
    <w:link w:val="9"/>
    <w:qFormat/>
    <w:uiPriority w:val="99"/>
    <w:rPr>
      <w:rFonts w:ascii="Times New Roman" w:hAnsi="Times New Roman" w:eastAsia="仿宋"/>
      <w:sz w:val="24"/>
    </w:rPr>
  </w:style>
  <w:style w:type="character" w:customStyle="1" w:styleId="48">
    <w:name w:val="批注主题 Char"/>
    <w:basedOn w:val="44"/>
    <w:link w:val="17"/>
    <w:qFormat/>
    <w:uiPriority w:val="99"/>
    <w:rPr>
      <w:b/>
      <w:bCs/>
      <w:sz w:val="24"/>
    </w:rPr>
  </w:style>
  <w:style w:type="character" w:customStyle="1" w:styleId="49">
    <w:name w:val="批注框文本 Char"/>
    <w:basedOn w:val="19"/>
    <w:link w:val="10"/>
    <w:qFormat/>
    <w:uiPriority w:val="99"/>
    <w:rPr>
      <w:sz w:val="18"/>
      <w:szCs w:val="18"/>
    </w:rPr>
  </w:style>
  <w:style w:type="paragraph" w:customStyle="1" w:styleId="50">
    <w:name w:val="列出段落2"/>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27</Pages>
  <Words>1762</Words>
  <Characters>10047</Characters>
  <Lines>83</Lines>
  <Paragraphs>23</Paragraphs>
  <TotalTime>35</TotalTime>
  <ScaleCrop>false</ScaleCrop>
  <LinksUpToDate>false</LinksUpToDate>
  <CharactersWithSpaces>11786</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2019-12-16T05:52:00Z</dcterms:created>
  <dc:creator>Administrator</dc:creator>
  <cp:lastModifiedBy>zg0chenyl</cp:lastModifiedBy>
  <dcterms:modified xsi:type="dcterms:W3CDTF">2020-06-17T01:48:38Z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