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B1FEE">
      <w:pPr>
        <w:spacing w:line="590" w:lineRule="exac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t>附</w:t>
      </w:r>
      <w:r>
        <w:rPr>
          <w:rFonts w:ascii="Times New Roman" w:eastAsia="黑体" w:hAnsi="Times New Roman"/>
          <w:sz w:val="32"/>
          <w:szCs w:val="32"/>
        </w:rPr>
        <w:t>件</w:t>
      </w:r>
    </w:p>
    <w:p w:rsidR="00000000" w:rsidRDefault="004B1FEE">
      <w:pPr>
        <w:spacing w:line="590" w:lineRule="exact"/>
        <w:rPr>
          <w:rFonts w:ascii="Times New Roman" w:eastAsia="黑体" w:hAnsi="Times New Roman"/>
          <w:sz w:val="32"/>
          <w:szCs w:val="32"/>
        </w:rPr>
      </w:pPr>
    </w:p>
    <w:p w:rsidR="00000000" w:rsidRDefault="004B1FEE">
      <w:pPr>
        <w:spacing w:line="590" w:lineRule="exact"/>
        <w:jc w:val="center"/>
        <w:rPr>
          <w:rFonts w:ascii="Times New Roman" w:eastAsia="方正小标宋简体" w:hAnsi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/>
          <w:color w:val="000000"/>
          <w:sz w:val="44"/>
          <w:szCs w:val="44"/>
        </w:rPr>
        <w:t>人工智能医用软件产品分类界定指导原则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黑体" w:hAnsi="Times New Roman"/>
          <w:color w:val="000000"/>
          <w:sz w:val="32"/>
          <w:szCs w:val="32"/>
        </w:rPr>
      </w:pPr>
    </w:p>
    <w:p w:rsidR="00000000" w:rsidRDefault="004B1FEE">
      <w:pPr>
        <w:spacing w:line="590" w:lineRule="exact"/>
        <w:ind w:firstLineChars="200" w:firstLine="640"/>
        <w:rPr>
          <w:rFonts w:ascii="Times New Roman" w:eastAsia="黑体" w:hAnsi="Times New Roman"/>
          <w:color w:val="000000"/>
          <w:sz w:val="32"/>
          <w:szCs w:val="32"/>
        </w:rPr>
      </w:pPr>
      <w:r>
        <w:rPr>
          <w:rFonts w:ascii="Times New Roman" w:eastAsia="黑体" w:hAnsi="Times New Roman"/>
          <w:color w:val="000000"/>
          <w:sz w:val="32"/>
          <w:szCs w:val="32"/>
        </w:rPr>
        <w:t>一、</w:t>
      </w:r>
      <w:r>
        <w:rPr>
          <w:rFonts w:ascii="Times New Roman" w:eastAsia="黑体" w:hAnsi="Times New Roman"/>
          <w:color w:val="000000"/>
          <w:sz w:val="32"/>
          <w:szCs w:val="32"/>
        </w:rPr>
        <w:t>目的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为指导人工智能医用软件产品管理属性和管理类别判定，根据《医疗器械监督管理条例》《医疗器械分类规则》《医疗器械分类目录》等</w:t>
      </w:r>
      <w:r>
        <w:rPr>
          <w:rFonts w:ascii="Times New Roman" w:eastAsia="仿宋_GB2312" w:hAnsi="Times New Roman"/>
          <w:color w:val="000000"/>
          <w:sz w:val="32"/>
          <w:szCs w:val="32"/>
        </w:rPr>
        <w:t>，</w:t>
      </w:r>
      <w:r>
        <w:rPr>
          <w:rFonts w:ascii="Times New Roman" w:eastAsia="仿宋_GB2312" w:hAnsi="Times New Roman"/>
          <w:color w:val="000000"/>
          <w:sz w:val="32"/>
          <w:szCs w:val="32"/>
        </w:rPr>
        <w:t>制定本原则。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黑体" w:hAnsi="Times New Roman"/>
          <w:color w:val="000000"/>
          <w:sz w:val="32"/>
          <w:szCs w:val="32"/>
        </w:rPr>
      </w:pPr>
      <w:r>
        <w:rPr>
          <w:rFonts w:ascii="Times New Roman" w:eastAsia="黑体" w:hAnsi="Times New Roman"/>
          <w:color w:val="000000"/>
          <w:sz w:val="32"/>
          <w:szCs w:val="32"/>
        </w:rPr>
        <w:t>二、</w:t>
      </w:r>
      <w:r>
        <w:rPr>
          <w:rFonts w:ascii="Times New Roman" w:eastAsia="黑体" w:hAnsi="Times New Roman"/>
          <w:color w:val="000000"/>
          <w:sz w:val="32"/>
          <w:szCs w:val="32"/>
        </w:rPr>
        <w:t>范围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本原则中的人工智能医用软件是指基于医疗器械数据，采用人工智能技术实现其医疗用途的独立软件。含人工智能软件组件的医疗器械分类界定可参考本原则。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医疗器械数据是指医疗器械产生的用于医疗用途的客观数据，特殊情形下可包含</w:t>
      </w:r>
      <w:r>
        <w:rPr>
          <w:rFonts w:ascii="Times New Roman" w:eastAsia="仿宋_GB2312" w:hAnsi="Times New Roman"/>
          <w:color w:val="000000"/>
          <w:sz w:val="32"/>
          <w:szCs w:val="32"/>
        </w:rPr>
        <w:t>通用设备产生的用于医疗用途的客观数据。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黑体" w:hAnsi="Times New Roman"/>
          <w:color w:val="000000"/>
          <w:sz w:val="32"/>
          <w:szCs w:val="32"/>
        </w:rPr>
      </w:pPr>
      <w:r>
        <w:rPr>
          <w:rFonts w:ascii="Times New Roman" w:eastAsia="黑体" w:hAnsi="Times New Roman"/>
          <w:color w:val="000000"/>
          <w:sz w:val="32"/>
          <w:szCs w:val="32"/>
        </w:rPr>
        <w:t>三、</w:t>
      </w:r>
      <w:r>
        <w:rPr>
          <w:rFonts w:ascii="Times New Roman" w:eastAsia="黑体" w:hAnsi="Times New Roman"/>
          <w:color w:val="000000"/>
          <w:sz w:val="32"/>
          <w:szCs w:val="32"/>
        </w:rPr>
        <w:t>管理属性界定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该类产品的管理属性界定应基于其预期用途，结合其处理对象、核心功能等因素进行综合判定。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若软件产品的处理对象</w:t>
      </w:r>
      <w:r>
        <w:rPr>
          <w:rFonts w:ascii="Times New Roman" w:eastAsia="仿宋_GB2312" w:hAnsi="Times New Roman"/>
          <w:color w:val="000000"/>
          <w:sz w:val="32"/>
          <w:szCs w:val="32"/>
        </w:rPr>
        <w:t>为</w:t>
      </w:r>
      <w:r>
        <w:rPr>
          <w:rFonts w:ascii="Times New Roman" w:eastAsia="仿宋_GB2312" w:hAnsi="Times New Roman"/>
          <w:color w:val="000000"/>
          <w:sz w:val="32"/>
          <w:szCs w:val="32"/>
        </w:rPr>
        <w:t>医疗器械数据，且核心功能是对医疗器械数据的处理、测量、模型计算、分析等，并用于医疗用途的，符合《医疗器械监督管理条例》有关医疗器械定义，作为医疗器械管理。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lastRenderedPageBreak/>
        <w:t>若软件产品的处理对象</w:t>
      </w:r>
      <w:r>
        <w:rPr>
          <w:rFonts w:ascii="Times New Roman" w:eastAsia="仿宋_GB2312" w:hAnsi="Times New Roman"/>
          <w:color w:val="000000"/>
          <w:sz w:val="32"/>
          <w:szCs w:val="32"/>
        </w:rPr>
        <w:t>为</w:t>
      </w:r>
      <w:r>
        <w:rPr>
          <w:rFonts w:ascii="Times New Roman" w:eastAsia="仿宋_GB2312" w:hAnsi="Times New Roman"/>
          <w:color w:val="000000"/>
          <w:sz w:val="32"/>
          <w:szCs w:val="32"/>
        </w:rPr>
        <w:t>非医疗器械数据（如患者主诉等信息、检验检查报告结论），或者其核心功能不是对医疗器械数据进行处理、测量、模型计算、分析，或者不用于医疗用途的，不作为医疗器械管理。</w:t>
      </w:r>
    </w:p>
    <w:p w:rsidR="00000000" w:rsidRDefault="004B1FEE">
      <w:pPr>
        <w:spacing w:line="590" w:lineRule="exact"/>
        <w:ind w:firstLineChars="200" w:firstLine="640"/>
        <w:rPr>
          <w:rFonts w:ascii="Times New Roman" w:eastAsia="黑体" w:hAnsi="Times New Roman"/>
          <w:color w:val="000000"/>
          <w:sz w:val="32"/>
          <w:szCs w:val="32"/>
        </w:rPr>
      </w:pPr>
      <w:r>
        <w:rPr>
          <w:rFonts w:ascii="Times New Roman" w:eastAsia="黑体" w:hAnsi="Times New Roman"/>
          <w:color w:val="000000"/>
          <w:sz w:val="32"/>
          <w:szCs w:val="32"/>
        </w:rPr>
        <w:t>四、</w:t>
      </w:r>
      <w:r>
        <w:rPr>
          <w:rFonts w:ascii="Times New Roman" w:eastAsia="黑体" w:hAnsi="Times New Roman"/>
          <w:color w:val="000000"/>
          <w:sz w:val="32"/>
          <w:szCs w:val="32"/>
        </w:rPr>
        <w:t>管</w:t>
      </w:r>
      <w:r>
        <w:rPr>
          <w:rFonts w:ascii="Times New Roman" w:eastAsia="黑体" w:hAnsi="Times New Roman"/>
          <w:color w:val="000000"/>
          <w:sz w:val="32"/>
          <w:szCs w:val="32"/>
        </w:rPr>
        <w:t>理类别界定</w:t>
      </w:r>
    </w:p>
    <w:p w:rsidR="00000000" w:rsidRDefault="004B1FEE">
      <w:pPr>
        <w:pStyle w:val="a8"/>
        <w:widowControl/>
        <w:spacing w:line="590" w:lineRule="exact"/>
        <w:ind w:firstLine="640"/>
        <w:rPr>
          <w:rFonts w:ascii="Times New Roman" w:eastAsia="仿宋_GB2312" w:hAnsi="Times New Roman"/>
          <w:dstrike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该类软件的管理类别应结合产品的预期用途、算法成熟度等因素综合判定。</w:t>
      </w:r>
    </w:p>
    <w:p w:rsidR="00000000" w:rsidRDefault="004B1FEE">
      <w:pPr>
        <w:spacing w:line="590" w:lineRule="exact"/>
        <w:ind w:firstLineChars="200" w:firstLine="640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对于算法在医疗应用中成熟度低（指未上市或安全有效性尚未得到充分证实）的人工智能医用软件，若用于辅助决策，如提供病灶特征识别、病变性质判定、用药指导、治疗计划制定等临床诊疗建议，按照第三类医疗器械管理；若用于非辅助决策，如进行数据处理和测量等提供临床参考信息，按照第二类医疗器械管理。</w:t>
      </w:r>
    </w:p>
    <w:p w:rsidR="00000000" w:rsidRDefault="004B1FEE">
      <w:pPr>
        <w:spacing w:line="590" w:lineRule="exact"/>
        <w:ind w:firstLineChars="200" w:firstLine="640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对于算法在医疗应用中成熟度高（指安全有效性已得到充分证实）的人工智能医用软件，其管理类别按照现行的《医疗器械分类目录》和分类界定文件等执行。</w:t>
      </w:r>
    </w:p>
    <w:p w:rsidR="00000000" w:rsidRDefault="004B1FEE">
      <w:pPr>
        <w:numPr>
          <w:ilvl w:val="0"/>
          <w:numId w:val="1"/>
        </w:numPr>
        <w:spacing w:line="590" w:lineRule="exact"/>
        <w:ind w:firstLineChars="200" w:firstLine="640"/>
        <w:jc w:val="left"/>
        <w:rPr>
          <w:rFonts w:ascii="Times New Roman" w:eastAsia="黑体" w:hAnsi="Times New Roman"/>
          <w:color w:val="000000"/>
          <w:sz w:val="32"/>
          <w:szCs w:val="32"/>
        </w:rPr>
      </w:pPr>
      <w:r>
        <w:rPr>
          <w:rFonts w:ascii="Times New Roman" w:eastAsia="黑体" w:hAnsi="Times New Roman"/>
          <w:color w:val="000000"/>
          <w:sz w:val="32"/>
          <w:szCs w:val="32"/>
        </w:rPr>
        <w:t>有关要</w:t>
      </w:r>
      <w:r>
        <w:rPr>
          <w:rFonts w:ascii="Times New Roman" w:eastAsia="黑体" w:hAnsi="Times New Roman"/>
          <w:color w:val="000000"/>
          <w:sz w:val="32"/>
          <w:szCs w:val="32"/>
        </w:rPr>
        <w:t>求</w:t>
      </w:r>
    </w:p>
    <w:p w:rsidR="00000000" w:rsidRDefault="004B1FEE">
      <w:pPr>
        <w:spacing w:line="590" w:lineRule="exact"/>
        <w:ind w:firstLineChars="200" w:firstLine="640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（一）自本通告发布之日起，人工智能医用软件类产品应当按照上述原则申请注册。已按照医疗器械受理注册申请的产品，继续按照原受理类别进行审评审批。</w:t>
      </w:r>
    </w:p>
    <w:p w:rsidR="00000000" w:rsidRDefault="004B1FEE">
      <w:pPr>
        <w:spacing w:line="590" w:lineRule="exact"/>
        <w:ind w:firstLineChars="200" w:firstLine="640"/>
        <w:jc w:val="lef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（二）已获准按照医疗器械注册的人工智能医用软件类产品，其注册证在有效期内继续有效。在注册证有效期内提出注册</w:t>
      </w:r>
      <w:r>
        <w:rPr>
          <w:rFonts w:ascii="Times New Roman" w:eastAsia="仿宋_GB2312" w:hAnsi="Times New Roman"/>
          <w:color w:val="000000"/>
          <w:sz w:val="32"/>
          <w:szCs w:val="32"/>
        </w:rPr>
        <w:lastRenderedPageBreak/>
        <w:t>申请的，如在开展产品类别转换期间注册证到期的，注册人可向原审批部门提出原注册证的延期申请。予以延期的，原注册证有效期原则上不得超过</w:t>
      </w:r>
      <w:r>
        <w:rPr>
          <w:rFonts w:ascii="Times New Roman" w:eastAsia="仿宋_GB2312" w:hAnsi="Times New Roman"/>
          <w:color w:val="000000"/>
          <w:sz w:val="32"/>
          <w:szCs w:val="32"/>
        </w:rPr>
        <w:t>2023</w:t>
      </w:r>
      <w:r>
        <w:rPr>
          <w:rFonts w:ascii="Times New Roman" w:eastAsia="仿宋_GB2312" w:hAnsi="Times New Roman"/>
          <w:color w:val="000000"/>
          <w:sz w:val="32"/>
          <w:szCs w:val="32"/>
        </w:rPr>
        <w:t>年</w:t>
      </w:r>
      <w:r>
        <w:rPr>
          <w:rFonts w:ascii="Times New Roman" w:eastAsia="仿宋_GB2312" w:hAnsi="Times New Roman"/>
          <w:color w:val="000000"/>
          <w:sz w:val="32"/>
          <w:szCs w:val="32"/>
        </w:rPr>
        <w:t>12</w:t>
      </w:r>
      <w:r>
        <w:rPr>
          <w:rFonts w:ascii="Times New Roman" w:eastAsia="仿宋_GB2312" w:hAnsi="Times New Roman"/>
          <w:color w:val="000000"/>
          <w:sz w:val="32"/>
          <w:szCs w:val="32"/>
        </w:rPr>
        <w:t>月</w:t>
      </w:r>
      <w:r>
        <w:rPr>
          <w:rFonts w:ascii="Times New Roman" w:eastAsia="仿宋_GB2312" w:hAnsi="Times New Roman"/>
          <w:color w:val="000000"/>
          <w:sz w:val="32"/>
          <w:szCs w:val="32"/>
        </w:rPr>
        <w:t>31</w:t>
      </w:r>
      <w:r>
        <w:rPr>
          <w:rFonts w:ascii="Times New Roman" w:eastAsia="仿宋_GB2312" w:hAnsi="Times New Roman"/>
          <w:color w:val="000000"/>
          <w:sz w:val="32"/>
          <w:szCs w:val="32"/>
        </w:rPr>
        <w:t>日。</w:t>
      </w:r>
    </w:p>
    <w:p w:rsidR="00000000" w:rsidRDefault="004B1FEE">
      <w:pPr>
        <w:rPr>
          <w:rFonts w:ascii="仿宋_GB2312" w:eastAsia="仿宋_GB2312" w:hAnsi="华文仿宋" w:hint="eastAsia"/>
          <w:sz w:val="18"/>
          <w:szCs w:val="18"/>
        </w:rPr>
      </w:pPr>
    </w:p>
    <w:p w:rsidR="00000000" w:rsidRDefault="004B1FEE">
      <w:pPr>
        <w:rPr>
          <w:rFonts w:ascii="仿宋_GB2312" w:eastAsia="仿宋_GB2312" w:hAnsi="华文仿宋" w:hint="eastAsia"/>
          <w:sz w:val="18"/>
          <w:szCs w:val="18"/>
        </w:rPr>
      </w:pPr>
    </w:p>
    <w:p w:rsidR="00000000" w:rsidRDefault="004B1FEE">
      <w:pPr>
        <w:rPr>
          <w:rFonts w:ascii="仿宋_GB2312" w:eastAsia="仿宋_GB2312" w:hAnsi="华文仿宋" w:hint="eastAsia"/>
          <w:sz w:val="18"/>
          <w:szCs w:val="18"/>
        </w:rPr>
      </w:pPr>
    </w:p>
    <w:p w:rsidR="004B1FEE" w:rsidRDefault="004B1FEE">
      <w:pPr>
        <w:rPr>
          <w:rFonts w:ascii="仿宋_GB2312" w:eastAsia="仿宋_GB2312" w:hAnsi="华文仿宋" w:hint="eastAsia"/>
          <w:sz w:val="18"/>
          <w:szCs w:val="18"/>
        </w:rPr>
      </w:pPr>
      <w:bookmarkStart w:id="0" w:name="_GoBack"/>
      <w:bookmarkEnd w:id="0"/>
    </w:p>
    <w:sectPr w:rsidR="004B1FEE">
      <w:footerReference w:type="even" r:id="rId7"/>
      <w:footerReference w:type="default" r:id="rId8"/>
      <w:pgSz w:w="11906" w:h="16838"/>
      <w:pgMar w:top="1928" w:right="1531" w:bottom="1814" w:left="1531" w:header="851" w:footer="136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FEE" w:rsidRDefault="004B1FEE">
      <w:r>
        <w:separator/>
      </w:r>
    </w:p>
  </w:endnote>
  <w:endnote w:type="continuationSeparator" w:id="0">
    <w:p w:rsidR="004B1FEE" w:rsidRDefault="004B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B1FEE">
    <w:pPr>
      <w:pStyle w:val="a5"/>
      <w:framePr w:wrap="around" w:vAnchor="text" w:hAnchor="margin" w:xAlign="outside" w:y="1"/>
      <w:rPr>
        <w:rStyle w:val="a7"/>
        <w:sz w:val="28"/>
        <w:szCs w:val="28"/>
      </w:rPr>
    </w:pPr>
    <w:r>
      <w:rPr>
        <w:rStyle w:val="a7"/>
        <w:rFonts w:hint="eastAsia"/>
        <w:color w:val="FFFFFF"/>
        <w:sz w:val="28"/>
        <w:szCs w:val="28"/>
      </w:rPr>
      <w:t>—</w:t>
    </w:r>
    <w:r>
      <w:rPr>
        <w:rStyle w:val="a7"/>
        <w:rFonts w:hint="eastAsia"/>
        <w:sz w:val="28"/>
        <w:szCs w:val="28"/>
      </w:rPr>
      <w:t>—</w:t>
    </w:r>
    <w:r>
      <w:rPr>
        <w:rStyle w:val="a7"/>
        <w:rFonts w:hint="eastAsia"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</w:rPr>
      <w:fldChar w:fldCharType="begin"/>
    </w:r>
    <w:r>
      <w:rPr>
        <w:rStyle w:val="a7"/>
        <w:rFonts w:ascii="Times New Roman" w:hAnsi="Times New Roman"/>
        <w:sz w:val="28"/>
        <w:szCs w:val="28"/>
      </w:rPr>
      <w:instrText xml:space="preserve">PAGE 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Style w:val="a7"/>
        <w:rFonts w:ascii="Times New Roman" w:hAnsi="Times New Roman"/>
        <w:sz w:val="28"/>
        <w:szCs w:val="28"/>
        <w:lang w:val="en-US" w:eastAsia="zh-CN"/>
      </w:rPr>
      <w:t>2</w:t>
    </w:r>
    <w:r>
      <w:rPr>
        <w:rFonts w:ascii="Times New Roman" w:hAnsi="Times New Roman"/>
        <w:sz w:val="28"/>
        <w:szCs w:val="28"/>
      </w:rPr>
      <w:fldChar w:fldCharType="end"/>
    </w:r>
    <w:r>
      <w:rPr>
        <w:rStyle w:val="a7"/>
        <w:rFonts w:hint="eastAsia"/>
        <w:sz w:val="28"/>
        <w:szCs w:val="28"/>
      </w:rPr>
      <w:t xml:space="preserve"> </w:t>
    </w:r>
    <w:r>
      <w:rPr>
        <w:rStyle w:val="a7"/>
        <w:rFonts w:hint="eastAsia"/>
        <w:sz w:val="28"/>
        <w:szCs w:val="28"/>
      </w:rPr>
      <w:t>—</w:t>
    </w:r>
    <w:r>
      <w:rPr>
        <w:rStyle w:val="a7"/>
        <w:rFonts w:hint="eastAsia"/>
        <w:sz w:val="28"/>
        <w:szCs w:val="28"/>
      </w:rPr>
      <w:t xml:space="preserve"> </w:t>
    </w:r>
  </w:p>
  <w:p w:rsidR="00000000" w:rsidRDefault="004B1FE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961E5">
    <w:pPr>
      <w:pStyle w:val="a5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78535" cy="230505"/>
              <wp:effectExtent l="1905" t="3810" r="635" b="381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85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4B1FEE">
                          <w:pPr>
                            <w:pStyle w:val="a5"/>
                            <w:wordWrap w:val="0"/>
                            <w:jc w:val="right"/>
                          </w:pPr>
                          <w:r>
                            <w:rPr>
                              <w:rFonts w:hint="eastAsia"/>
                              <w:color w:val="FFFFFF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961E5" w:rsidRPr="00F961E5"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  <w:lang w:val="zh-CN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/>
                              <w:color w:val="FFFFFF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5.85pt;margin-top:0;width:77.05pt;height:18.15pt;z-index:251657728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" filled="f" stroked="f">
              <v:textbox style="mso-fit-shape-to-text:t" inset="0,0,0,0">
                <w:txbxContent>
                  <w:p w:rsidR="00000000" w:rsidRDefault="004B1FEE">
                    <w:pPr>
                      <w:pStyle w:val="a5"/>
                      <w:wordWrap w:val="0"/>
                      <w:jc w:val="right"/>
                    </w:pPr>
                    <w:r>
                      <w:rPr>
                        <w:rFonts w:hint="eastAsia"/>
                        <w:color w:val="FFFFFF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separate"/>
                    </w:r>
                    <w:r w:rsidR="00F961E5" w:rsidRPr="00F961E5">
                      <w:rPr>
                        <w:rFonts w:ascii="Times New Roman" w:hAnsi="Times New Roman"/>
                        <w:noProof/>
                        <w:sz w:val="28"/>
                        <w:szCs w:val="28"/>
                        <w:lang w:val="zh-CN"/>
                      </w:rPr>
                      <w:t>3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/>
                        <w:color w:val="FFFFFF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FEE" w:rsidRDefault="004B1FEE">
      <w:r>
        <w:separator/>
      </w:r>
    </w:p>
  </w:footnote>
  <w:footnote w:type="continuationSeparator" w:id="0">
    <w:p w:rsidR="004B1FEE" w:rsidRDefault="004B1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DDEB7F9"/>
    <w:multiLevelType w:val="singleLevel"/>
    <w:tmpl w:val="FDDEB7F9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C8"/>
    <w:rsid w:val="000035AA"/>
    <w:rsid w:val="00016D27"/>
    <w:rsid w:val="00016E93"/>
    <w:rsid w:val="0002574F"/>
    <w:rsid w:val="00035514"/>
    <w:rsid w:val="00071507"/>
    <w:rsid w:val="000A2989"/>
    <w:rsid w:val="000B1917"/>
    <w:rsid w:val="000E0170"/>
    <w:rsid w:val="00101F08"/>
    <w:rsid w:val="00127D58"/>
    <w:rsid w:val="001550D7"/>
    <w:rsid w:val="00157D65"/>
    <w:rsid w:val="00186786"/>
    <w:rsid w:val="001C492C"/>
    <w:rsid w:val="001F3FB0"/>
    <w:rsid w:val="00204B69"/>
    <w:rsid w:val="00214F56"/>
    <w:rsid w:val="00247F9A"/>
    <w:rsid w:val="00277D15"/>
    <w:rsid w:val="002A510C"/>
    <w:rsid w:val="002A7F53"/>
    <w:rsid w:val="002B28D3"/>
    <w:rsid w:val="002B6FA2"/>
    <w:rsid w:val="002F2CC3"/>
    <w:rsid w:val="003111AD"/>
    <w:rsid w:val="003330A7"/>
    <w:rsid w:val="0035031B"/>
    <w:rsid w:val="00351116"/>
    <w:rsid w:val="00352FFE"/>
    <w:rsid w:val="0036326B"/>
    <w:rsid w:val="00383F83"/>
    <w:rsid w:val="003B452F"/>
    <w:rsid w:val="003C2FA0"/>
    <w:rsid w:val="003C4A36"/>
    <w:rsid w:val="003D08E2"/>
    <w:rsid w:val="003E7CB8"/>
    <w:rsid w:val="00405AE4"/>
    <w:rsid w:val="004218DC"/>
    <w:rsid w:val="00453B18"/>
    <w:rsid w:val="004A48F4"/>
    <w:rsid w:val="004B1FEE"/>
    <w:rsid w:val="004D7576"/>
    <w:rsid w:val="004F27D3"/>
    <w:rsid w:val="005410CE"/>
    <w:rsid w:val="0056324D"/>
    <w:rsid w:val="00564625"/>
    <w:rsid w:val="0056661D"/>
    <w:rsid w:val="005876C3"/>
    <w:rsid w:val="00593C49"/>
    <w:rsid w:val="005B404F"/>
    <w:rsid w:val="005B7736"/>
    <w:rsid w:val="005D20CB"/>
    <w:rsid w:val="005D7D24"/>
    <w:rsid w:val="005E7595"/>
    <w:rsid w:val="005F4ADA"/>
    <w:rsid w:val="006052CA"/>
    <w:rsid w:val="00612531"/>
    <w:rsid w:val="006428CA"/>
    <w:rsid w:val="00653C7E"/>
    <w:rsid w:val="0067038A"/>
    <w:rsid w:val="00673EAB"/>
    <w:rsid w:val="00690209"/>
    <w:rsid w:val="006D3D5E"/>
    <w:rsid w:val="006E0E17"/>
    <w:rsid w:val="007140B7"/>
    <w:rsid w:val="00723E77"/>
    <w:rsid w:val="00727597"/>
    <w:rsid w:val="00735046"/>
    <w:rsid w:val="00752A7E"/>
    <w:rsid w:val="00766F07"/>
    <w:rsid w:val="007B409A"/>
    <w:rsid w:val="007C1621"/>
    <w:rsid w:val="007C72C1"/>
    <w:rsid w:val="007F6C62"/>
    <w:rsid w:val="008044C1"/>
    <w:rsid w:val="0080591C"/>
    <w:rsid w:val="00840DEF"/>
    <w:rsid w:val="00845649"/>
    <w:rsid w:val="008457F1"/>
    <w:rsid w:val="00863C35"/>
    <w:rsid w:val="008857B8"/>
    <w:rsid w:val="008C461A"/>
    <w:rsid w:val="008C5ECE"/>
    <w:rsid w:val="008C74C4"/>
    <w:rsid w:val="008F6D31"/>
    <w:rsid w:val="00926229"/>
    <w:rsid w:val="00935FAF"/>
    <w:rsid w:val="00944679"/>
    <w:rsid w:val="0097437D"/>
    <w:rsid w:val="009869EE"/>
    <w:rsid w:val="00991BF3"/>
    <w:rsid w:val="009A1829"/>
    <w:rsid w:val="009A2DB4"/>
    <w:rsid w:val="009D7C65"/>
    <w:rsid w:val="00A03AD8"/>
    <w:rsid w:val="00A24E9C"/>
    <w:rsid w:val="00A254E3"/>
    <w:rsid w:val="00A30AB5"/>
    <w:rsid w:val="00A351E7"/>
    <w:rsid w:val="00A62362"/>
    <w:rsid w:val="00A646C6"/>
    <w:rsid w:val="00A65BFC"/>
    <w:rsid w:val="00A8280B"/>
    <w:rsid w:val="00A82CA2"/>
    <w:rsid w:val="00AC2D33"/>
    <w:rsid w:val="00B10065"/>
    <w:rsid w:val="00B11072"/>
    <w:rsid w:val="00B25838"/>
    <w:rsid w:val="00B60176"/>
    <w:rsid w:val="00B84EF7"/>
    <w:rsid w:val="00BA00D5"/>
    <w:rsid w:val="00BA1FC7"/>
    <w:rsid w:val="00BE16F8"/>
    <w:rsid w:val="00C1570A"/>
    <w:rsid w:val="00C57201"/>
    <w:rsid w:val="00C578A0"/>
    <w:rsid w:val="00C92BC0"/>
    <w:rsid w:val="00CA2B21"/>
    <w:rsid w:val="00CC6505"/>
    <w:rsid w:val="00CE7A0B"/>
    <w:rsid w:val="00D03FFD"/>
    <w:rsid w:val="00D0628A"/>
    <w:rsid w:val="00D1236C"/>
    <w:rsid w:val="00D53A64"/>
    <w:rsid w:val="00D61B72"/>
    <w:rsid w:val="00D818AE"/>
    <w:rsid w:val="00DC42BB"/>
    <w:rsid w:val="00DD5C43"/>
    <w:rsid w:val="00DF1936"/>
    <w:rsid w:val="00E05A99"/>
    <w:rsid w:val="00E41A1A"/>
    <w:rsid w:val="00E73776"/>
    <w:rsid w:val="00ED2031"/>
    <w:rsid w:val="00EE37FE"/>
    <w:rsid w:val="00F33350"/>
    <w:rsid w:val="00F64776"/>
    <w:rsid w:val="00F6624B"/>
    <w:rsid w:val="00F8685B"/>
    <w:rsid w:val="00F961E5"/>
    <w:rsid w:val="00FA60C8"/>
    <w:rsid w:val="00FD22E5"/>
    <w:rsid w:val="00FD443E"/>
    <w:rsid w:val="00FD754D"/>
    <w:rsid w:val="00FF6452"/>
    <w:rsid w:val="12681CD2"/>
    <w:rsid w:val="1616507C"/>
    <w:rsid w:val="1B7DBEDE"/>
    <w:rsid w:val="1EEF618F"/>
    <w:rsid w:val="2BDEF692"/>
    <w:rsid w:val="2F6D06B1"/>
    <w:rsid w:val="3E39E38E"/>
    <w:rsid w:val="3EFE1549"/>
    <w:rsid w:val="3FF7F1E3"/>
    <w:rsid w:val="45386969"/>
    <w:rsid w:val="45492E01"/>
    <w:rsid w:val="4F2CA4A9"/>
    <w:rsid w:val="52FE67DA"/>
    <w:rsid w:val="567F66E1"/>
    <w:rsid w:val="57DE99EA"/>
    <w:rsid w:val="5F8C32F3"/>
    <w:rsid w:val="6377E6D9"/>
    <w:rsid w:val="6ABDEB9B"/>
    <w:rsid w:val="6EA739A6"/>
    <w:rsid w:val="73FEB2D7"/>
    <w:rsid w:val="758F27DE"/>
    <w:rsid w:val="75F766AA"/>
    <w:rsid w:val="77AF3820"/>
    <w:rsid w:val="77C724AD"/>
    <w:rsid w:val="7AEF139D"/>
    <w:rsid w:val="7DFB4CAF"/>
    <w:rsid w:val="7DFF040D"/>
    <w:rsid w:val="7EFBD89A"/>
    <w:rsid w:val="7EFEC241"/>
    <w:rsid w:val="7EFF8488"/>
    <w:rsid w:val="7FDA5D76"/>
    <w:rsid w:val="7FF51AC4"/>
    <w:rsid w:val="7FFA2E47"/>
    <w:rsid w:val="9F5A7C9C"/>
    <w:rsid w:val="9F7736EC"/>
    <w:rsid w:val="9FA31E41"/>
    <w:rsid w:val="ABFD2D6C"/>
    <w:rsid w:val="ADE168B5"/>
    <w:rsid w:val="B9EF6B53"/>
    <w:rsid w:val="CFDF62DD"/>
    <w:rsid w:val="CFFE8D84"/>
    <w:rsid w:val="D3FFFEAE"/>
    <w:rsid w:val="D77F73E7"/>
    <w:rsid w:val="DFDFE330"/>
    <w:rsid w:val="DFDFF2EF"/>
    <w:rsid w:val="E3B6127F"/>
    <w:rsid w:val="EADF172C"/>
    <w:rsid w:val="EEF49EC2"/>
    <w:rsid w:val="EFFD5B2C"/>
    <w:rsid w:val="EFFF92FA"/>
    <w:rsid w:val="F5DFEAAF"/>
    <w:rsid w:val="F7F6B918"/>
    <w:rsid w:val="F7FD32DC"/>
    <w:rsid w:val="FF6BBB01"/>
    <w:rsid w:val="FF6E2C3F"/>
    <w:rsid w:val="FFEB95CD"/>
    <w:rsid w:val="FFFB4229"/>
    <w:rsid w:val="FF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6CD83-37E5-488E-8251-E8EF5A83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Pr>
      <w:kern w:val="2"/>
      <w:sz w:val="18"/>
      <w:szCs w:val="18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790</Characters>
  <Application>Microsoft Office Word</Application>
  <DocSecurity>0</DocSecurity>
  <Lines>6</Lines>
  <Paragraphs>1</Paragraphs>
  <ScaleCrop>false</ScaleCrop>
  <Company>Xtzj.Com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（局发文式样）</dc:title>
  <dc:subject/>
  <dc:creator>Xtzj.User</dc:creator>
  <cp:keywords/>
  <cp:lastModifiedBy>pc</cp:lastModifiedBy>
  <cp:revision>2</cp:revision>
  <cp:lastPrinted>2021-07-08T00:46:00Z</cp:lastPrinted>
  <dcterms:created xsi:type="dcterms:W3CDTF">2021-07-08T03:11:00Z</dcterms:created>
  <dcterms:modified xsi:type="dcterms:W3CDTF">2021-07-08T03:11:00Z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2052-11.8.2.9958</vt:lpwstr>
  </property>
</Properties>
</file>