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1F" w:rsidRDefault="00F241A3">
      <w:pPr>
        <w:widowControl w:val="0"/>
        <w:spacing w:after="0" w:line="560" w:lineRule="exact"/>
        <w:rPr>
          <w:rFonts w:ascii="黑体" w:eastAsia="黑体" w:hAnsi="黑体" w:cs="黑体"/>
          <w:sz w:val="32"/>
          <w:szCs w:val="32"/>
        </w:rPr>
      </w:pPr>
      <w:r>
        <w:rPr>
          <w:rFonts w:ascii="黑体" w:eastAsia="黑体" w:hAnsi="黑体" w:cs="黑体" w:hint="eastAsia"/>
          <w:sz w:val="32"/>
          <w:szCs w:val="32"/>
        </w:rPr>
        <w:t>附件</w:t>
      </w:r>
      <w:r>
        <w:rPr>
          <w:rFonts w:ascii="黑体" w:eastAsia="黑体" w:hAnsi="黑体" w:cs="黑体" w:hint="eastAsia"/>
          <w:sz w:val="32"/>
          <w:szCs w:val="32"/>
        </w:rPr>
        <w:t>3</w:t>
      </w:r>
    </w:p>
    <w:p w:rsidR="00E1541F" w:rsidRDefault="00E1541F">
      <w:pPr>
        <w:widowControl w:val="0"/>
        <w:spacing w:after="0" w:line="560" w:lineRule="exact"/>
        <w:jc w:val="center"/>
        <w:rPr>
          <w:rFonts w:ascii="Times New Roman" w:eastAsia="黑体" w:hAnsi="Times New Roman" w:cs="Times New Roman"/>
          <w:sz w:val="44"/>
          <w:szCs w:val="44"/>
        </w:rPr>
      </w:pPr>
    </w:p>
    <w:p w:rsidR="00E1541F" w:rsidRDefault="00F241A3">
      <w:pPr>
        <w:widowControl w:val="0"/>
        <w:spacing w:after="0" w:line="56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医疗器械临床评价等同性论证技术指导原则</w:t>
      </w:r>
    </w:p>
    <w:p w:rsidR="00E1541F" w:rsidRDefault="00E1541F">
      <w:pPr>
        <w:widowControl w:val="0"/>
        <w:tabs>
          <w:tab w:val="left" w:pos="5994"/>
        </w:tabs>
        <w:spacing w:after="0" w:line="560" w:lineRule="exact"/>
        <w:ind w:firstLineChars="200" w:firstLine="880"/>
        <w:jc w:val="both"/>
        <w:rPr>
          <w:rFonts w:ascii="Times New Roman" w:eastAsia="黑体" w:hAnsi="Times New Roman" w:cs="Times New Roman"/>
          <w:sz w:val="44"/>
          <w:szCs w:val="44"/>
        </w:rPr>
      </w:pPr>
    </w:p>
    <w:p w:rsidR="00E1541F" w:rsidRDefault="00F241A3">
      <w:pPr>
        <w:widowControl w:val="0"/>
        <w:tabs>
          <w:tab w:val="left" w:pos="5994"/>
        </w:tabs>
        <w:spacing w:after="0"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t>一、前言</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对于需要进行临床评价的第二类、第三类医疗器械，若通过等同器械的临床数据进行临床评价，需要进行等同性论证。等同性论证是指将适用范围相同的申报产品与对比器械在技术特征和生物学特性方面进行比对，证明二者基本等同的过程。基本等同包括两种情形：</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（一）申报产品与对比器械具有相同的适用范围、技术特征和生物学特性；</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（二）申报产品与对比器械具有相同的适用范围，相似的技术特征和生物学特性；有充分的科学证据证明申报产品与对比器械具有相同的安全有效性。</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bookmarkStart w:id="0" w:name="_Hlk75691009"/>
      <w:r>
        <w:rPr>
          <w:rFonts w:ascii="Times New Roman" w:eastAsia="仿宋_GB2312" w:hAnsi="Times New Roman" w:cs="Times New Roman"/>
          <w:sz w:val="32"/>
          <w:szCs w:val="32"/>
        </w:rPr>
        <w:t>本指导原则中提及的对比器械，指的是注册申请人选择的，用于等同性论证的医疗器</w:t>
      </w:r>
      <w:r>
        <w:rPr>
          <w:rFonts w:ascii="Times New Roman" w:eastAsia="仿宋_GB2312" w:hAnsi="Times New Roman" w:cs="Times New Roman"/>
          <w:sz w:val="32"/>
          <w:szCs w:val="32"/>
        </w:rPr>
        <w:t>械，若对比器械与申报产品通过等同性论证，证明二者基本等同，则对比器械被认为是等同器械。</w:t>
      </w:r>
      <w:bookmarkEnd w:id="0"/>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bookmarkStart w:id="1" w:name="_Hlk75692927"/>
      <w:r>
        <w:rPr>
          <w:rFonts w:ascii="Times New Roman" w:eastAsia="仿宋_GB2312" w:hAnsi="Times New Roman" w:cs="Times New Roman"/>
          <w:sz w:val="32"/>
          <w:szCs w:val="32"/>
        </w:rPr>
        <w:t>本指导原则旨在为注册申请人进行等同性论证及药品监督管理部门对等同性论证资料进行技术审评时提供技术指导。</w:t>
      </w:r>
    </w:p>
    <w:bookmarkEnd w:id="1"/>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本指导原则是医疗器械临床评价通用指导原则体系的一部分，与《医疗器械临床评价技术指导原则》《医疗器械注册申报临床评价报告技术指导原则》等文件相互引用。</w:t>
      </w:r>
    </w:p>
    <w:p w:rsidR="00E1541F" w:rsidRDefault="00F241A3">
      <w:pPr>
        <w:widowControl w:val="0"/>
        <w:spacing w:after="0"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lastRenderedPageBreak/>
        <w:t>二、适用范围</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本指导原则适用于第二类、第三类医疗器械通过等同器械的临床数据进行临床评价时的等同性论证，不适用于按医疗器械管理的体外诊断试剂。</w:t>
      </w:r>
    </w:p>
    <w:p w:rsidR="00E1541F" w:rsidRDefault="00F241A3">
      <w:pPr>
        <w:widowControl w:val="0"/>
        <w:spacing w:after="0"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t>三、产品描述和研发背景</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注册</w:t>
      </w:r>
      <w:r>
        <w:rPr>
          <w:rFonts w:ascii="Times New Roman" w:eastAsia="仿宋_GB2312" w:hAnsi="Times New Roman" w:cs="Times New Roman"/>
          <w:sz w:val="32"/>
          <w:szCs w:val="32"/>
        </w:rPr>
        <w:t>申请人需阐明申报产品的基本信息、研发背景、适用范围、已有的诊断或治疗方法及临床应用情况等，建议涵盖以下方面的适用部分，如不适用，需说明不适用的理由：</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w:t>
      </w:r>
      <w:r>
        <w:rPr>
          <w:rFonts w:ascii="Times New Roman" w:eastAsia="仿宋_GB2312" w:hAnsi="Times New Roman" w:cs="Times New Roman"/>
          <w:sz w:val="32"/>
          <w:szCs w:val="32"/>
        </w:rPr>
        <w:t>产品基本信息，如结构组成、材料、软件等；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w:t>
      </w:r>
      <w:r>
        <w:rPr>
          <w:rFonts w:ascii="Times New Roman" w:eastAsia="仿宋_GB2312" w:hAnsi="Times New Roman" w:cs="Times New Roman"/>
          <w:sz w:val="32"/>
          <w:szCs w:val="32"/>
        </w:rPr>
        <w:t>适用范围；</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w:t>
      </w:r>
      <w:r>
        <w:rPr>
          <w:rFonts w:ascii="Times New Roman" w:eastAsia="仿宋_GB2312" w:hAnsi="Times New Roman" w:cs="Times New Roman"/>
          <w:sz w:val="32"/>
          <w:szCs w:val="32"/>
        </w:rPr>
        <w:t>研发背景与目的；</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w:t>
      </w:r>
      <w:r>
        <w:rPr>
          <w:rFonts w:ascii="Times New Roman" w:eastAsia="仿宋_GB2312" w:hAnsi="Times New Roman" w:cs="Times New Roman"/>
          <w:sz w:val="32"/>
          <w:szCs w:val="32"/>
        </w:rPr>
        <w:t>工作原理和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或作用机理及涉及的科学概念，尤其是器械关键设计特征旨在达到的临床目的以及如何实现其临床目的；</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（五）</w:t>
      </w:r>
      <w:r>
        <w:rPr>
          <w:rFonts w:ascii="Times New Roman" w:eastAsia="仿宋_GB2312" w:hAnsi="Times New Roman" w:cs="Times New Roman"/>
          <w:sz w:val="32"/>
          <w:szCs w:val="32"/>
        </w:rPr>
        <w:t>现有的诊断或治疗方法、涉及的产品（如有）及临床应用情况</w:t>
      </w:r>
      <w:r>
        <w:rPr>
          <w:rFonts w:ascii="Times New Roman" w:eastAsia="仿宋_GB2312" w:hAnsi="Times New Roman" w:cs="Times New Roman" w:hint="eastAsia"/>
          <w:sz w:val="32"/>
          <w:szCs w:val="32"/>
        </w:rPr>
        <w:t>；</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（六）</w:t>
      </w:r>
      <w:r>
        <w:rPr>
          <w:rFonts w:ascii="Times New Roman" w:eastAsia="仿宋_GB2312" w:hAnsi="Times New Roman" w:cs="Times New Roman"/>
          <w:sz w:val="32"/>
          <w:szCs w:val="32"/>
        </w:rPr>
        <w:t>申报产品与现有诊断或治疗方法的关系，包括申报产品所支持的诊断或治疗方法，相较于现有方法的创</w:t>
      </w:r>
      <w:r>
        <w:rPr>
          <w:rFonts w:ascii="Times New Roman" w:eastAsia="仿宋_GB2312" w:hAnsi="Times New Roman" w:cs="Times New Roman"/>
          <w:sz w:val="32"/>
          <w:szCs w:val="32"/>
        </w:rPr>
        <w:t>新性；申报产品相对于现有产品的改进点或对其进行仿制；预期是否联合或辅助现有治疗或诊断方法使用等。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（七）</w:t>
      </w:r>
      <w:r>
        <w:rPr>
          <w:rFonts w:ascii="Times New Roman" w:eastAsia="仿宋_GB2312" w:hAnsi="Times New Roman" w:cs="Times New Roman"/>
          <w:sz w:val="32"/>
          <w:szCs w:val="32"/>
        </w:rPr>
        <w:t>申报产品预期达到的临床疗效，如治疗类产品是否可以降低死亡率、改善功能、缓解症状、提高生活质量、降低功能丧失的可能性；明确对症治疗或根治性治疗等；诊断类产品是否用于疾病的预测、检查、诊断或识别对特定治疗有效性较高的患</w:t>
      </w:r>
      <w:r>
        <w:rPr>
          <w:rFonts w:ascii="Times New Roman" w:eastAsia="仿宋_GB2312" w:hAnsi="Times New Roman" w:cs="Times New Roman"/>
          <w:sz w:val="32"/>
          <w:szCs w:val="32"/>
        </w:rPr>
        <w:lastRenderedPageBreak/>
        <w:t>者。</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（八）</w:t>
      </w:r>
      <w:r>
        <w:rPr>
          <w:rFonts w:ascii="Times New Roman" w:eastAsia="仿宋_GB2312" w:hAnsi="Times New Roman" w:cs="Times New Roman"/>
          <w:sz w:val="32"/>
          <w:szCs w:val="32"/>
        </w:rPr>
        <w:t>申报产品预期的临床优势，如提高临床安全性和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或有效性，提高使用的便利性等。</w:t>
      </w:r>
    </w:p>
    <w:p w:rsidR="00E1541F" w:rsidRDefault="00F241A3">
      <w:pPr>
        <w:widowControl w:val="0"/>
        <w:spacing w:after="0"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t>四、对比器械的选择</w:t>
      </w:r>
    </w:p>
    <w:p w:rsidR="00E1541F" w:rsidRDefault="00F241A3">
      <w:pPr>
        <w:widowControl w:val="0"/>
        <w:spacing w:after="0" w:line="560" w:lineRule="exact"/>
        <w:ind w:firstLineChars="200" w:firstLine="64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（一）对比器械的要求</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对比器械应与申报产品需具有相同的适用范围，相同或相似的技术特征和生物学特性。对比器械应已在境内获准注册。</w:t>
      </w:r>
    </w:p>
    <w:p w:rsidR="00E1541F" w:rsidRDefault="00F241A3">
      <w:pPr>
        <w:widowControl w:val="0"/>
        <w:spacing w:after="0" w:line="560" w:lineRule="exact"/>
        <w:ind w:firstLineChars="200"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（二）多个对比器械的使用</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建议注册申请人在适宜的情形下，尽量选择一个对比器械，以简化和促进等同性论证过程。当选择一个以上的对比器械时，注册申请人应说明理由，并将多个对比器械分别与申报产品进行充分对比，以论证多个对比器械的数据可用于支持申报产品的安全有效性。此种情况下，建议注册申请人选择与申报产品最相似的产品作为主要对比器械，并尽量减少对比器械的数量。将可能采用多个对比器械的情形举例如下：</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若申报产品结合了来自多个对比器械的设计特征，在申报产品与多个对比器械具有相同适用范围的前提下，若不同的设计特征在申报产品中组合时不会相互影响，或不同设计特征的组合分别与多个对比医疗器械相比，没有引起不同的安全性有效性问题；</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若申报产品结合了多个对比医疗器械的适用范围，在申报产品与多个对比器械具有相同适用范围的前提下，若不同的适用范围在申报产品中组合时不会相互影响，或不同适用范围的组合</w:t>
      </w:r>
      <w:r>
        <w:rPr>
          <w:rFonts w:ascii="Times New Roman" w:eastAsia="仿宋_GB2312" w:hAnsi="Times New Roman" w:cs="Times New Roman"/>
          <w:sz w:val="32"/>
          <w:szCs w:val="32"/>
        </w:rPr>
        <w:lastRenderedPageBreak/>
        <w:t>分别与多个对比医疗器械相比，没有引起不同的安全性有效性问题。</w:t>
      </w:r>
    </w:p>
    <w:p w:rsidR="00E1541F" w:rsidRDefault="00F241A3">
      <w:pPr>
        <w:widowControl w:val="0"/>
        <w:spacing w:after="0" w:line="560" w:lineRule="exact"/>
        <w:ind w:firstLineChars="200"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（三）对比器械的选择与等同性论证</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等同性论证既是判断申报</w:t>
      </w:r>
      <w:r>
        <w:rPr>
          <w:rFonts w:ascii="Times New Roman" w:eastAsia="仿宋_GB2312" w:hAnsi="Times New Roman" w:cs="Times New Roman"/>
          <w:sz w:val="32"/>
          <w:szCs w:val="32"/>
        </w:rPr>
        <w:t>产品与选择的对比医疗器械是否等同的过程，也是判断所选产品是否适宜作为对比医疗器械的过程。若所选产品不适宜作为对比医疗器械，注册申请人可更换或增加其他产品再次进行等同性论证，也可选择其他评价方法。</w:t>
      </w:r>
    </w:p>
    <w:p w:rsidR="00E1541F" w:rsidRDefault="00F241A3">
      <w:pPr>
        <w:widowControl w:val="0"/>
        <w:spacing w:after="0" w:line="560" w:lineRule="exact"/>
        <w:ind w:firstLineChars="200"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（四）其他</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从医疗器械全生命周期管理的角度，产品获得上市批准后积累临床经验数据非常重要，通过积累临床使用经验进一步确认产品的有效性，充分识别产品的风险，分析产品需要改进的重点，可更为安全有效地对产品进行改进，从而研发出下一代医疗器械。鼓励注册申请人在可行的前提下，选用本企业改进前的产品即前代产品或同系列产品，作为对</w:t>
      </w:r>
      <w:r>
        <w:rPr>
          <w:rFonts w:ascii="Times New Roman" w:eastAsia="仿宋_GB2312" w:hAnsi="Times New Roman" w:cs="Times New Roman"/>
          <w:sz w:val="32"/>
          <w:szCs w:val="32"/>
        </w:rPr>
        <w:t>比医疗器械。</w:t>
      </w:r>
    </w:p>
    <w:p w:rsidR="00E1541F" w:rsidRDefault="00F241A3">
      <w:pPr>
        <w:widowControl w:val="0"/>
        <w:spacing w:after="0"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t>五、等同性论证的基本要求</w:t>
      </w:r>
    </w:p>
    <w:p w:rsidR="00E1541F" w:rsidRDefault="00F241A3">
      <w:pPr>
        <w:widowControl w:val="0"/>
        <w:spacing w:after="0" w:line="560" w:lineRule="exact"/>
        <w:ind w:firstLineChars="200" w:firstLine="640"/>
        <w:jc w:val="both"/>
        <w:rPr>
          <w:rFonts w:ascii="楷体_GB2312" w:eastAsia="楷体_GB2312" w:hAnsi="楷体_GB2312" w:cs="楷体_GB2312"/>
          <w:color w:val="FF0000"/>
          <w:sz w:val="32"/>
          <w:szCs w:val="32"/>
        </w:rPr>
      </w:pPr>
      <w:r>
        <w:rPr>
          <w:rFonts w:ascii="楷体_GB2312" w:eastAsia="楷体_GB2312" w:hAnsi="楷体_GB2312" w:cs="楷体_GB2312"/>
          <w:color w:val="000000"/>
          <w:sz w:val="32"/>
          <w:szCs w:val="32"/>
          <w:lang w:val="en"/>
        </w:rPr>
        <w:t>（</w:t>
      </w:r>
      <w:r>
        <w:rPr>
          <w:rFonts w:ascii="楷体_GB2312" w:eastAsia="楷体_GB2312" w:hAnsi="楷体_GB2312" w:cs="楷体_GB2312" w:hint="eastAsia"/>
          <w:color w:val="000000"/>
          <w:sz w:val="32"/>
          <w:szCs w:val="32"/>
        </w:rPr>
        <w:t>一</w:t>
      </w:r>
      <w:r>
        <w:rPr>
          <w:rFonts w:ascii="楷体_GB2312" w:eastAsia="楷体_GB2312" w:hAnsi="楷体_GB2312" w:cs="楷体_GB2312"/>
          <w:color w:val="000000"/>
          <w:sz w:val="32"/>
          <w:szCs w:val="32"/>
          <w:lang w:val="en"/>
        </w:rPr>
        <w:t>）</w:t>
      </w:r>
      <w:r>
        <w:rPr>
          <w:rFonts w:ascii="楷体_GB2312" w:eastAsia="楷体_GB2312" w:hAnsi="楷体_GB2312" w:cs="楷体_GB2312" w:hint="eastAsia"/>
          <w:color w:val="000000"/>
          <w:sz w:val="32"/>
          <w:szCs w:val="32"/>
        </w:rPr>
        <w:t>申报产品与对比器械是否具有相同的适用范围</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适用范围及临床使用相关信息</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bookmarkStart w:id="2" w:name="_Hlk75692736"/>
      <w:r>
        <w:rPr>
          <w:rFonts w:ascii="Times New Roman" w:eastAsia="仿宋_GB2312" w:hAnsi="Times New Roman" w:cs="Times New Roman"/>
          <w:sz w:val="32"/>
          <w:szCs w:val="32"/>
        </w:rPr>
        <w:t>适用范围由注册申请人提出，反映在其提供的说明书、产品技术文件和其他信息文件中，包括申报产品在何种临床使用条件下实现哪些具体医疗目的。</w:t>
      </w:r>
      <w:bookmarkEnd w:id="2"/>
      <w:r>
        <w:rPr>
          <w:rFonts w:ascii="Times New Roman" w:eastAsia="仿宋_GB2312" w:hAnsi="Times New Roman" w:cs="Times New Roman"/>
          <w:sz w:val="32"/>
          <w:szCs w:val="32"/>
        </w:rPr>
        <w:t>适用范围相关信息一般包括适应证、适用人群、适用部位、与人体接触方式和时间、适用的疾病的阶段和程度、使用条件、重复使用等。对于具体的医疗器械，由于其设计特征、临床目的、使用经验的不同，以上信息可能是适用</w:t>
      </w:r>
      <w:r>
        <w:rPr>
          <w:rFonts w:ascii="Times New Roman" w:eastAsia="仿宋_GB2312" w:hAnsi="Times New Roman" w:cs="Times New Roman"/>
          <w:sz w:val="32"/>
          <w:szCs w:val="32"/>
        </w:rPr>
        <w:lastRenderedPageBreak/>
        <w:t>范围的组成部分，也可能是适用范围的影响因素。临床使用相关信息</w:t>
      </w:r>
      <w:r>
        <w:rPr>
          <w:rFonts w:ascii="Times New Roman" w:eastAsia="仿宋_GB2312" w:hAnsi="Times New Roman" w:cs="Times New Roman"/>
          <w:sz w:val="32"/>
          <w:szCs w:val="32"/>
        </w:rPr>
        <w:t>一般包括使用方法、</w:t>
      </w:r>
      <w:r>
        <w:rPr>
          <w:rFonts w:ascii="Times New Roman" w:eastAsia="仿宋_GB2312" w:hAnsi="Times New Roman" w:cs="Times New Roman" w:hint="eastAsia"/>
          <w:sz w:val="32"/>
          <w:szCs w:val="32"/>
        </w:rPr>
        <w:t>禁忌证</w:t>
      </w:r>
      <w:r>
        <w:rPr>
          <w:rFonts w:ascii="Times New Roman" w:eastAsia="仿宋_GB2312" w:hAnsi="Times New Roman" w:cs="Times New Roman"/>
          <w:sz w:val="32"/>
          <w:szCs w:val="32"/>
        </w:rPr>
        <w:t>、警告及预防措施等。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适用范围及临床使用相关信息的比较</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建议注册申请人在适用的前提下，从如下方面收集申报产品与对比器械的相关信息并进行比较：</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bookmarkStart w:id="3" w:name="_Toc499537136"/>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bookmarkEnd w:id="3"/>
      <w:r>
        <w:rPr>
          <w:rFonts w:ascii="Times New Roman" w:eastAsia="仿宋_GB2312" w:hAnsi="Times New Roman" w:cs="Times New Roman"/>
          <w:sz w:val="32"/>
          <w:szCs w:val="32"/>
        </w:rPr>
        <w:t>适应证：包括器械预防、诊断、缓解、治疗或者监护的疾病或症状；</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）适用人群：如年龄、性别、体重等对适用人群的限定；</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）适用部位：如临床应用的具体人体部位、器官、组织、体液等；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4</w:t>
      </w:r>
      <w:r>
        <w:rPr>
          <w:rFonts w:ascii="Times New Roman" w:eastAsia="仿宋_GB2312" w:hAnsi="Times New Roman" w:cs="Times New Roman"/>
          <w:sz w:val="32"/>
          <w:szCs w:val="32"/>
        </w:rPr>
        <w:t>）与人体接触方式和时间：如植入或体表接触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接触时间</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接触次数等；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5</w:t>
      </w:r>
      <w:r>
        <w:rPr>
          <w:rFonts w:ascii="Times New Roman" w:eastAsia="仿宋_GB2312" w:hAnsi="Times New Roman" w:cs="Times New Roman"/>
          <w:sz w:val="32"/>
          <w:szCs w:val="32"/>
        </w:rPr>
        <w:t>）疾病的严重程度和阶段：如疾病的名称、分型、分期、严重程度等；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6</w:t>
      </w:r>
      <w:r>
        <w:rPr>
          <w:rFonts w:ascii="Times New Roman" w:eastAsia="仿宋_GB2312" w:hAnsi="Times New Roman" w:cs="Times New Roman"/>
          <w:sz w:val="32"/>
          <w:szCs w:val="32"/>
        </w:rPr>
        <w:t>）使用条件：如使用环境（家用、医院、具体科室、手术室、救护车等）</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配合使用的器械或药品</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使用者要求等；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7</w:t>
      </w:r>
      <w:r>
        <w:rPr>
          <w:rFonts w:ascii="Times New Roman" w:eastAsia="仿宋_GB2312" w:hAnsi="Times New Roman" w:cs="Times New Roman"/>
          <w:sz w:val="32"/>
          <w:szCs w:val="32"/>
        </w:rPr>
        <w:t>）重复使用：如可否重复使用</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可重复使用的次数和时间等；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8</w:t>
      </w:r>
      <w:r>
        <w:rPr>
          <w:rFonts w:ascii="Times New Roman" w:eastAsia="仿宋_GB2312" w:hAnsi="Times New Roman" w:cs="Times New Roman"/>
          <w:sz w:val="32"/>
          <w:szCs w:val="32"/>
        </w:rPr>
        <w:t>）使用方法；</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9</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禁忌证</w:t>
      </w:r>
      <w:r>
        <w:rPr>
          <w:rFonts w:ascii="Times New Roman" w:eastAsia="仿宋_GB2312" w:hAnsi="Times New Roman" w:cs="Times New Roman"/>
          <w:sz w:val="32"/>
          <w:szCs w:val="32"/>
        </w:rPr>
        <w:t>；</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）警告及预防措施；</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11</w:t>
      </w:r>
      <w:r>
        <w:rPr>
          <w:rFonts w:ascii="Times New Roman" w:eastAsia="仿宋_GB2312" w:hAnsi="Times New Roman" w:cs="Times New Roman"/>
          <w:sz w:val="32"/>
          <w:szCs w:val="32"/>
        </w:rPr>
        <w:t>）其他。</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以上方面的信息，若对于申报产品不适用，可说明不适用的</w:t>
      </w:r>
      <w:r>
        <w:rPr>
          <w:rFonts w:ascii="Times New Roman" w:eastAsia="仿宋_GB2312" w:hAnsi="Times New Roman" w:cs="Times New Roman"/>
          <w:sz w:val="32"/>
          <w:szCs w:val="32"/>
        </w:rPr>
        <w:lastRenderedPageBreak/>
        <w:t>理由。例如，对于预期用于健康人群的器械，适应证可不适用；对于不需要明确具体疾病或症状的器械，如常规使用的无源手术刀，适应证亦可不适用。</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适用范围是否相同的判定</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bookmarkStart w:id="4" w:name="_Hlk75692790"/>
      <w:r>
        <w:rPr>
          <w:rFonts w:ascii="Times New Roman" w:eastAsia="仿宋_GB2312" w:hAnsi="Times New Roman" w:cs="Times New Roman"/>
          <w:sz w:val="32"/>
          <w:szCs w:val="32"/>
        </w:rPr>
        <w:t>通过对申报产品与对比器械的适用范围及临床使用相关信息的比较，对二者差异进行充分识别、详细阐述及科学评价，以做出适用范围是否相同的判定。当适用范围的不同引起申报产品与对比器械临床安全有效性的显著差异时，可认为对比器械与申报产品的适用范围不同。</w:t>
      </w:r>
    </w:p>
    <w:bookmarkEnd w:id="4"/>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例如，申报产品为</w:t>
      </w:r>
      <w:r>
        <w:rPr>
          <w:rFonts w:ascii="Times New Roman" w:eastAsia="仿宋_GB2312" w:hAnsi="Times New Roman" w:cs="Times New Roman"/>
          <w:sz w:val="32"/>
          <w:szCs w:val="32"/>
        </w:rPr>
        <w:t>α-</w:t>
      </w:r>
      <w:r>
        <w:rPr>
          <w:rFonts w:ascii="Times New Roman" w:eastAsia="仿宋_GB2312" w:hAnsi="Times New Roman" w:cs="Times New Roman"/>
          <w:sz w:val="32"/>
          <w:szCs w:val="32"/>
        </w:rPr>
        <w:t>氰基丙烯酸酯类医用粘合剂，其适用范围为</w:t>
      </w:r>
      <w:r>
        <w:rPr>
          <w:rFonts w:ascii="Times New Roman" w:eastAsia="仿宋_GB2312" w:hAnsi="Times New Roman" w:cs="Times New Roman"/>
          <w:sz w:val="32"/>
          <w:szCs w:val="32"/>
        </w:rPr>
        <w:t>“</w:t>
      </w:r>
      <w:r>
        <w:rPr>
          <w:rFonts w:ascii="Times New Roman" w:eastAsia="仿宋_GB2312" w:hAnsi="Times New Roman" w:cs="Times New Roman"/>
          <w:sz w:val="32"/>
          <w:szCs w:val="32"/>
        </w:rPr>
        <w:t>在其他方法无效的情况下体内组织创面的辅助粘合封闭</w:t>
      </w:r>
      <w:r>
        <w:rPr>
          <w:rFonts w:ascii="Times New Roman" w:eastAsia="仿宋_GB2312" w:hAnsi="Times New Roman" w:cs="Times New Roman"/>
          <w:sz w:val="32"/>
          <w:szCs w:val="32"/>
        </w:rPr>
        <w:t>”</w:t>
      </w:r>
      <w:r>
        <w:rPr>
          <w:rFonts w:ascii="Times New Roman" w:eastAsia="仿宋_GB2312" w:hAnsi="Times New Roman" w:cs="Times New Roman"/>
          <w:sz w:val="32"/>
          <w:szCs w:val="32"/>
        </w:rPr>
        <w:t>，所选对比器械的适用范围为</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用于体表切口的局部封闭</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。与对比器械相比，申报产品增加了体内使用的相关风险，临床安全有效性具有显著差异，因此，认为对比器械与申报产品</w:t>
      </w:r>
      <w:r>
        <w:rPr>
          <w:rFonts w:ascii="Times New Roman" w:eastAsia="仿宋_GB2312" w:hAnsi="Times New Roman" w:cs="Times New Roman"/>
          <w:sz w:val="32"/>
          <w:szCs w:val="32"/>
        </w:rPr>
        <w:t>的适用范围不同。</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又如，申报产品为高压氧舱，其适用范围为</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用于婴幼儿缺血、缺氧性疾病的治疗</w:t>
      </w:r>
      <w:r>
        <w:rPr>
          <w:rFonts w:ascii="Times New Roman" w:eastAsia="仿宋_GB2312" w:hAnsi="Times New Roman" w:cs="Times New Roman"/>
          <w:sz w:val="32"/>
          <w:szCs w:val="32"/>
        </w:rPr>
        <w:t>”</w:t>
      </w:r>
      <w:r>
        <w:rPr>
          <w:rFonts w:ascii="Times New Roman" w:eastAsia="仿宋_GB2312" w:hAnsi="Times New Roman" w:cs="Times New Roman"/>
          <w:sz w:val="32"/>
          <w:szCs w:val="32"/>
        </w:rPr>
        <w:t>，所选对比器械</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用于成人缺血、缺氧性疾病的治疗</w:t>
      </w:r>
      <w:r>
        <w:rPr>
          <w:rFonts w:ascii="Times New Roman" w:eastAsia="仿宋_GB2312" w:hAnsi="Times New Roman" w:cs="Times New Roman"/>
          <w:sz w:val="32"/>
          <w:szCs w:val="32"/>
        </w:rPr>
        <w:t>”</w:t>
      </w:r>
      <w:r>
        <w:rPr>
          <w:rFonts w:ascii="Times New Roman" w:eastAsia="仿宋_GB2312" w:hAnsi="Times New Roman" w:cs="Times New Roman"/>
          <w:sz w:val="32"/>
          <w:szCs w:val="32"/>
        </w:rPr>
        <w:t>，考虑到婴幼儿和成人在耐受性等方面需要考虑的安全性问题虽有类似，但程度明显不同，婴幼儿人群使用所面临的风险较高，二者间临床安全有效性具有显著差异。因此认为对比医疗器械与申报产品的适用范围不同。</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bookmarkStart w:id="5" w:name="_Hlk75692823"/>
      <w:r>
        <w:rPr>
          <w:rFonts w:ascii="Times New Roman" w:eastAsia="仿宋_GB2312" w:hAnsi="Times New Roman" w:cs="Times New Roman"/>
          <w:sz w:val="32"/>
          <w:szCs w:val="32"/>
        </w:rPr>
        <w:t>值得注意的是，申报产品与对比器械在适用范围的差异可能引起但并非均会导致适用范围的不同。如申报产品与对比医疗器</w:t>
      </w:r>
      <w:r>
        <w:rPr>
          <w:rFonts w:ascii="Times New Roman" w:eastAsia="仿宋_GB2312" w:hAnsi="Times New Roman" w:cs="Times New Roman"/>
          <w:sz w:val="32"/>
          <w:szCs w:val="32"/>
        </w:rPr>
        <w:lastRenderedPageBreak/>
        <w:t>械虽具有不同的适应证，但对于产品的使用，不同的适应证之间具有同质性，则</w:t>
      </w:r>
      <w:r>
        <w:rPr>
          <w:rFonts w:ascii="Times New Roman" w:eastAsia="仿宋_GB2312" w:hAnsi="Times New Roman" w:cs="Times New Roman"/>
          <w:sz w:val="32"/>
          <w:szCs w:val="32"/>
        </w:rPr>
        <w:t>可认为二者具有相同的适用范围。</w:t>
      </w:r>
      <w:bookmarkEnd w:id="5"/>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例如，常规设计的非骨水泥固定髋关节假体，适用范围可描述为</w:t>
      </w:r>
      <w:r>
        <w:rPr>
          <w:rFonts w:ascii="Times New Roman" w:eastAsia="仿宋_GB2312" w:hAnsi="Times New Roman" w:cs="Times New Roman"/>
          <w:sz w:val="32"/>
          <w:szCs w:val="32"/>
        </w:rPr>
        <w:t>“</w:t>
      </w:r>
      <w:r>
        <w:rPr>
          <w:rFonts w:ascii="Times New Roman" w:eastAsia="仿宋_GB2312" w:hAnsi="Times New Roman" w:cs="Times New Roman"/>
          <w:sz w:val="32"/>
          <w:szCs w:val="32"/>
        </w:rPr>
        <w:t>作为非骨水泥型髋关节假体，适用于具有髋关节置换术适应证的骨骼成熟患者的髋关节置换，以恢复关节功能，缓解疼痛</w:t>
      </w:r>
      <w:r>
        <w:rPr>
          <w:rFonts w:ascii="Times New Roman" w:eastAsia="仿宋_GB2312" w:hAnsi="Times New Roman" w:cs="Times New Roman"/>
          <w:sz w:val="32"/>
          <w:szCs w:val="32"/>
        </w:rPr>
        <w:t>”</w:t>
      </w:r>
      <w:r>
        <w:rPr>
          <w:rFonts w:ascii="Times New Roman" w:eastAsia="仿宋_GB2312" w:hAnsi="Times New Roman" w:cs="Times New Roman"/>
          <w:sz w:val="32"/>
          <w:szCs w:val="32"/>
        </w:rPr>
        <w:t>。该类产品的适应证可包括原发性退变性髋关节骨关节炎、股骨头缺血性坏死进入第</w:t>
      </w:r>
      <w:r>
        <w:rPr>
          <w:rFonts w:ascii="Times New Roman" w:eastAsia="仿宋_GB2312" w:hAnsi="Times New Roman" w:cs="Times New Roman"/>
          <w:sz w:val="32"/>
          <w:szCs w:val="32"/>
        </w:rPr>
        <w:t>IV</w:t>
      </w:r>
      <w:r>
        <w:rPr>
          <w:rFonts w:ascii="Times New Roman" w:eastAsia="仿宋_GB2312" w:hAnsi="Times New Roman" w:cs="Times New Roman"/>
          <w:sz w:val="32"/>
          <w:szCs w:val="32"/>
        </w:rPr>
        <w:t>期、类风湿性关节炎或强直性脊柱炎等全身疾病累及髋关节、髋部创伤后骨关节炎，均为髋关节置换术的适应证，从髋关节置换适用性的角度，具有同质性。当申报产品与对比器械均在上述适应证的范围内，但二者存在差异时，注册申请人可经充分论证，证明申报产品</w:t>
      </w:r>
      <w:r>
        <w:rPr>
          <w:rFonts w:ascii="Times New Roman" w:eastAsia="仿宋_GB2312" w:hAnsi="Times New Roman" w:cs="Times New Roman"/>
          <w:sz w:val="32"/>
          <w:szCs w:val="32"/>
        </w:rPr>
        <w:t>与对比器械在适应证存在差异的情形下，具有相同的适用范围。</w:t>
      </w:r>
      <w:r>
        <w:rPr>
          <w:rFonts w:ascii="Times New Roman" w:eastAsia="仿宋_GB2312" w:hAnsi="Times New Roman" w:cs="Times New Roman"/>
          <w:sz w:val="32"/>
          <w:szCs w:val="32"/>
        </w:rPr>
        <w:t>”</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又如，常规设计的强脉冲光治疗仪，适用范围可描述为</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用于良性色素性表皮和皮肤病变、良性皮肤血管性病变及脱毛的治疗</w:t>
      </w:r>
      <w:r>
        <w:rPr>
          <w:rFonts w:ascii="Times New Roman" w:eastAsia="仿宋_GB2312" w:hAnsi="Times New Roman" w:cs="Times New Roman"/>
          <w:sz w:val="32"/>
          <w:szCs w:val="32"/>
        </w:rPr>
        <w:t>”</w:t>
      </w:r>
      <w:r>
        <w:rPr>
          <w:rFonts w:ascii="Times New Roman" w:eastAsia="仿宋_GB2312" w:hAnsi="Times New Roman" w:cs="Times New Roman"/>
          <w:sz w:val="32"/>
          <w:szCs w:val="32"/>
        </w:rPr>
        <w:t>。该类产品的适应证可包括雀斑、老年斑、黄褐斑、毛细血管扩张症、红斑性痤疮。当申报产品与对比器械均在上述适应证的范围内，但二者存在差异时，注册申请人可经充分论证，证明适应证的差异将不引起适用范围的不同。</w:t>
      </w:r>
    </w:p>
    <w:p w:rsidR="00E1541F" w:rsidRDefault="00F241A3">
      <w:pPr>
        <w:widowControl w:val="0"/>
        <w:spacing w:after="0" w:line="560" w:lineRule="exact"/>
        <w:ind w:firstLineChars="200" w:firstLine="640"/>
        <w:jc w:val="both"/>
        <w:rPr>
          <w:rFonts w:ascii="楷体_GB2312" w:eastAsia="楷体_GB2312" w:hAnsi="楷体_GB2312" w:cs="楷体_GB2312"/>
          <w:sz w:val="32"/>
          <w:szCs w:val="32"/>
        </w:rPr>
      </w:pPr>
      <w:r>
        <w:rPr>
          <w:rFonts w:ascii="楷体_GB2312" w:eastAsia="楷体_GB2312" w:hAnsi="楷体_GB2312" w:cs="楷体_GB2312" w:hint="eastAsia"/>
          <w:sz w:val="32"/>
          <w:szCs w:val="32"/>
        </w:rPr>
        <w:t>（二）申报产品与对比器械是否具有相同</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相似的技术特征、生物学特性</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技术特征、生物学特性的对比</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在确定申报产品与对比医疗器械具有相同的适</w:t>
      </w:r>
      <w:r>
        <w:rPr>
          <w:rFonts w:ascii="Times New Roman" w:eastAsia="仿宋_GB2312" w:hAnsi="Times New Roman" w:cs="Times New Roman"/>
          <w:sz w:val="32"/>
          <w:szCs w:val="32"/>
        </w:rPr>
        <w:t>用范围后，</w:t>
      </w:r>
      <w:bookmarkStart w:id="6" w:name="_Hlk75693008"/>
      <w:r>
        <w:rPr>
          <w:rFonts w:ascii="Times New Roman" w:eastAsia="仿宋_GB2312" w:hAnsi="Times New Roman" w:cs="Times New Roman"/>
          <w:sz w:val="32"/>
          <w:szCs w:val="32"/>
        </w:rPr>
        <w:t>注册申请人需提供技术特征和生物学特性的充分信息并对其进行</w:t>
      </w:r>
      <w:r>
        <w:rPr>
          <w:rFonts w:ascii="Times New Roman" w:eastAsia="仿宋_GB2312" w:hAnsi="Times New Roman" w:cs="Times New Roman"/>
          <w:sz w:val="32"/>
          <w:szCs w:val="32"/>
        </w:rPr>
        <w:lastRenderedPageBreak/>
        <w:t>对比。为便于理解，将技术特征和生物学特性举例并说明如下：</w:t>
      </w:r>
      <w:bookmarkEnd w:id="6"/>
    </w:p>
    <w:p w:rsidR="00E1541F" w:rsidRDefault="00F241A3">
      <w:pPr>
        <w:widowControl w:val="0"/>
        <w:spacing w:after="0" w:line="560" w:lineRule="exact"/>
        <w:ind w:firstLineChars="250" w:firstLine="8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）技术特征：</w:t>
      </w:r>
    </w:p>
    <w:p w:rsidR="00E1541F" w:rsidRDefault="00F241A3">
      <w:pPr>
        <w:widowControl w:val="0"/>
        <w:spacing w:after="0" w:line="560" w:lineRule="exact"/>
        <w:ind w:firstLineChars="250" w:firstLine="8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①</w:t>
      </w:r>
      <w:r>
        <w:rPr>
          <w:rFonts w:ascii="Times New Roman" w:eastAsia="仿宋_GB2312" w:hAnsi="Times New Roman" w:cs="Times New Roman"/>
          <w:sz w:val="32"/>
          <w:szCs w:val="32"/>
        </w:rPr>
        <w:t>设计信息：</w:t>
      </w:r>
    </w:p>
    <w:p w:rsidR="00E1541F" w:rsidRDefault="00F241A3">
      <w:pPr>
        <w:widowControl w:val="0"/>
        <w:spacing w:after="0" w:line="560" w:lineRule="exact"/>
        <w:ind w:firstLineChars="250" w:firstLine="8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工作原理、作用机理；</w:t>
      </w:r>
    </w:p>
    <w:p w:rsidR="00E1541F" w:rsidRDefault="00F241A3">
      <w:pPr>
        <w:widowControl w:val="0"/>
        <w:spacing w:after="0" w:line="560" w:lineRule="exact"/>
        <w:ind w:firstLineChars="250" w:firstLine="8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器械设计特征及依据：如组成、材料、产品结构的表征（可根据产品特征，选择适用的方式，包括结构图、三视图、爆炸图、局部细节放大图、工程图等）、尺寸和公差、软件等；</w:t>
      </w:r>
    </w:p>
    <w:p w:rsidR="00E1541F" w:rsidRDefault="00F241A3">
      <w:pPr>
        <w:widowControl w:val="0"/>
        <w:spacing w:after="0" w:line="560" w:lineRule="exact"/>
        <w:ind w:firstLineChars="250" w:firstLine="8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申报器械的重大特性，明确其在整体设计和适用范围下的用途；如果没有明确的用途，应重点详述特定的设计或组件如何促进申报器械的整体使用和功能。</w:t>
      </w:r>
    </w:p>
    <w:p w:rsidR="00E1541F" w:rsidRDefault="00F241A3">
      <w:pPr>
        <w:widowControl w:val="0"/>
        <w:spacing w:after="0" w:line="560" w:lineRule="exact"/>
        <w:ind w:firstLineChars="250" w:firstLine="8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②</w:t>
      </w:r>
      <w:r>
        <w:rPr>
          <w:rFonts w:ascii="Times New Roman" w:eastAsia="仿宋_GB2312" w:hAnsi="Times New Roman" w:cs="Times New Roman"/>
          <w:sz w:val="32"/>
          <w:szCs w:val="32"/>
        </w:rPr>
        <w:t>材料：</w:t>
      </w:r>
    </w:p>
    <w:p w:rsidR="00E1541F" w:rsidRDefault="00F241A3">
      <w:pPr>
        <w:widowControl w:val="0"/>
        <w:spacing w:after="0" w:line="560" w:lineRule="exact"/>
        <w:ind w:firstLineChars="250" w:firstLine="8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部分产品尤其是植入性医疗器械由于与人体组织直接接触，需明示组成材料详细、完整的化学组成，识别添加剂，如着色剂、涂层或其它表面改性剂等；</w:t>
      </w:r>
    </w:p>
    <w:p w:rsidR="00E1541F" w:rsidRDefault="00F241A3">
      <w:pPr>
        <w:widowControl w:val="0"/>
        <w:spacing w:after="0" w:line="560" w:lineRule="exact"/>
        <w:ind w:firstLineChars="250" w:firstLine="8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部分产品的材料加工方式（如锻造或铸造）及其状态（如无定形或结晶）可能影响产品的安全有效性，适用时需考虑列出；</w:t>
      </w:r>
    </w:p>
    <w:p w:rsidR="00E1541F" w:rsidRDefault="00F241A3">
      <w:pPr>
        <w:widowControl w:val="0"/>
        <w:spacing w:after="0" w:line="560" w:lineRule="exact"/>
        <w:ind w:firstLineChars="250" w:firstLine="8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除医疗器械常见组成材料外，部分产品可能涉及生物制剂、药物、涂层、添加剂等。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③</w:t>
      </w:r>
      <w:r>
        <w:rPr>
          <w:rFonts w:ascii="Times New Roman" w:eastAsia="仿宋_GB2312" w:hAnsi="Times New Roman" w:cs="Times New Roman"/>
          <w:sz w:val="32"/>
          <w:szCs w:val="32"/>
        </w:rPr>
        <w:t>能源</w:t>
      </w:r>
      <w:r>
        <w:rPr>
          <w:rFonts w:ascii="Times New Roman" w:eastAsia="仿宋_GB2312" w:hAnsi="Times New Roman" w:cs="Times New Roman"/>
          <w:sz w:val="32"/>
          <w:szCs w:val="32"/>
        </w:rPr>
        <w:t>:</w:t>
      </w:r>
      <w:r>
        <w:rPr>
          <w:rFonts w:ascii="Times New Roman" w:eastAsia="仿宋_GB2312" w:hAnsi="Times New Roman" w:cs="Times New Roman"/>
          <w:sz w:val="32"/>
          <w:szCs w:val="32"/>
        </w:rPr>
        <w:t>如对器械的能源传递（如电池的使用），作为器械功能方面的一部分且对使用产品的患者和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或医务人员有影响的能源传递（如</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射线、激光、射频、超声）等。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④</w:t>
      </w:r>
      <w:r>
        <w:rPr>
          <w:rFonts w:ascii="Times New Roman" w:eastAsia="仿宋_GB2312" w:hAnsi="Times New Roman" w:cs="Times New Roman"/>
          <w:sz w:val="32"/>
          <w:szCs w:val="32"/>
        </w:rPr>
        <w:t>产品性能、功能及其他关键技术特</w:t>
      </w:r>
      <w:r>
        <w:rPr>
          <w:rFonts w:ascii="Times New Roman" w:eastAsia="仿宋_GB2312" w:hAnsi="Times New Roman" w:cs="Times New Roman"/>
          <w:sz w:val="32"/>
          <w:szCs w:val="32"/>
        </w:rPr>
        <w:t>征：</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从测试方式角度，如实验室测试、计算机模拟、动物试验、</w:t>
      </w:r>
      <w:r>
        <w:rPr>
          <w:rFonts w:ascii="Times New Roman" w:eastAsia="仿宋_GB2312" w:hAnsi="Times New Roman" w:cs="Times New Roman"/>
          <w:sz w:val="32"/>
          <w:szCs w:val="32"/>
        </w:rPr>
        <w:lastRenderedPageBreak/>
        <w:t>其他模拟临床使用的非临床研究等。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从技术特征角度，如疲劳、磨损、抗拉强度、压迫、流量、爆裂压力、软件</w:t>
      </w:r>
      <w:r>
        <w:rPr>
          <w:rFonts w:ascii="Times New Roman" w:eastAsia="仿宋_GB2312" w:hAnsi="Times New Roman" w:cs="Times New Roman"/>
          <w:sz w:val="32"/>
          <w:szCs w:val="32"/>
        </w:rPr>
        <w:t>/</w:t>
      </w:r>
      <w:r>
        <w:rPr>
          <w:rFonts w:ascii="Times New Roman" w:eastAsia="仿宋_GB2312" w:hAnsi="Times New Roman" w:cs="Times New Roman"/>
          <w:sz w:val="32"/>
          <w:szCs w:val="32"/>
        </w:rPr>
        <w:t>硬件特性、软件核心算法、密度、孔隙度、体外降解特性、试验方法的原理等。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bookmarkStart w:id="7" w:name="_Hlk75096308"/>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）生物学特性：如降解性能、生物学反应（如免疫反应、组织整合等）等。</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bookmarkStart w:id="8" w:name="_Hlk75100023"/>
      <w:bookmarkEnd w:id="7"/>
      <w:r>
        <w:rPr>
          <w:rFonts w:ascii="Times New Roman" w:eastAsia="仿宋_GB2312" w:hAnsi="Times New Roman" w:cs="Times New Roman"/>
          <w:sz w:val="32"/>
          <w:szCs w:val="32"/>
        </w:rPr>
        <w:t>值得注意的是，上述各对比项目举例仅为便于理解而提出的一般性举例。对比项目、数据类型和数据量需与产品的研发背景、设计特征、关键技术、适用范围和风险程度等相适应，注册申请人应基于申报产品的具体情况，选择适宜的对比项目，并充分识别、详细阐述申报产品与对比器械间的差异。</w:t>
      </w:r>
      <w:bookmarkEnd w:id="8"/>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如何评价技术特征、生物学特性的差异</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）提供充分的科学证据证明二者具有相同的安全有效性</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当申报产品的技术特征和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或生物特性与对比器械存在差异时，需提交充分的科学证据证明二者具有相同的安全有效性，从而论证其等同性。</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）选择适宜的对比医疗器械</w:t>
      </w:r>
      <w:r>
        <w:rPr>
          <w:rFonts w:ascii="Times New Roman" w:eastAsia="仿宋_GB2312" w:hAnsi="Times New Roman" w:cs="Times New Roman"/>
          <w:sz w:val="32"/>
          <w:szCs w:val="32"/>
        </w:rPr>
        <w:t>，尽可能缩小二者差异</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随着差异程度的增大，特别是显著影响或可能显著影响产品安全有效性的差异，进行等同性论证时所需的科学证据将增加。基于上述考虑，建议在适宜的前提下，选择与申报产品尽可能相似的产品作为对比器械，二者的差异不引起不同的安全有效性问题，即申报产品未出现对比器械不存在的且可能引发重大风险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或引起显著影响有效性的问题。</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申报产品与对比器械在技术特征和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或生物学特性的各方面都可能存在差异，某一方面的差异是否引发不同的安全有效性问题，因具体产品和不同情形而异。以无源医疗器械的主要组成材料为例，当申报产品</w:t>
      </w:r>
      <w:r>
        <w:rPr>
          <w:rFonts w:ascii="Times New Roman" w:eastAsia="仿宋_GB2312" w:hAnsi="Times New Roman" w:cs="Times New Roman"/>
          <w:sz w:val="32"/>
          <w:szCs w:val="32"/>
        </w:rPr>
        <w:t>的主要组成材料与选择的对比器械不同时，若该材料已用于具有相同适用范围且已在境内获准上市的同类产品，注册申请人可从材料变化对该产品临床安全有效性的影响、材料性能差异、材料与结构的相互作用、使用该材料的具有相同适用范围的已在境内上市的同类产品的数据等方面进行充分分析，有可能得出</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申报产品与对比器械相比，未出现可能引发重大风险或显著影响有效性问题</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的结论。此种情形下，选择的对比器械多为申报产品的前代产品，或者其设计特征（如结构）与申报产品最为相似，因此注册申请人未优先选择制造材料最为相似的已上市产品作为对比器械。</w:t>
      </w:r>
      <w:r>
        <w:rPr>
          <w:rFonts w:ascii="Times New Roman" w:eastAsia="仿宋_GB2312" w:hAnsi="Times New Roman" w:cs="Times New Roman"/>
          <w:sz w:val="32"/>
          <w:szCs w:val="32"/>
        </w:rPr>
        <w:t>例如：常规设计的髋关节假体组件</w:t>
      </w:r>
      <w:r>
        <w:rPr>
          <w:rFonts w:ascii="Times New Roman" w:eastAsia="仿宋_GB2312" w:hAnsi="Times New Roman" w:cs="Times New Roman"/>
          <w:sz w:val="32"/>
          <w:szCs w:val="32"/>
        </w:rPr>
        <w:t>-</w:t>
      </w:r>
      <w:r>
        <w:rPr>
          <w:rFonts w:ascii="Times New Roman" w:eastAsia="仿宋_GB2312" w:hAnsi="Times New Roman" w:cs="Times New Roman"/>
          <w:sz w:val="32"/>
          <w:szCs w:val="32"/>
        </w:rPr>
        <w:t>股骨柄，其主要制造材料由前代产品的不锈钢更换为钛合金，结构不变或仅进行微小改进，由于钛合金已广泛应用于其他已获准上市的股骨柄并已有充分的相关数据，注册申请人可考虑使用不锈钢材料制造的前代产品作为对比器械进行等同性论证。又如，申报产品为泌尿导管，在前代产品的基础上增加亲水涂层，该涂层已用于其他已获准上市的泌尿导管并已有充分的相关数据，注册申请人可考虑使用无涂层的前代产品作为对比器械进行等同性论证。</w:t>
      </w:r>
    </w:p>
    <w:p w:rsidR="00E1541F" w:rsidRDefault="00F241A3">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对于无源医疗器械，主要组成材料的不同可能引起产品技术特征、生物学特性的不同，特别</w:t>
      </w:r>
      <w:r>
        <w:rPr>
          <w:rFonts w:ascii="Times New Roman" w:eastAsia="仿宋_GB2312" w:hAnsi="Times New Roman" w:cs="Times New Roman"/>
          <w:sz w:val="32"/>
          <w:szCs w:val="32"/>
        </w:rPr>
        <w:t>是申报产品所用材料尚未用于已</w:t>
      </w:r>
      <w:r>
        <w:rPr>
          <w:rFonts w:ascii="Times New Roman" w:eastAsia="仿宋_GB2312" w:hAnsi="Times New Roman" w:cs="Times New Roman"/>
          <w:sz w:val="32"/>
          <w:szCs w:val="32"/>
        </w:rPr>
        <w:lastRenderedPageBreak/>
        <w:t>上市同类产品的情形，申报产品可能出现选择的对比器械不存在的、可能引发重大风险和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或引起显著影响有效性的问题。例如，隐形眼镜多功能护理液使用的消毒剂尚未用于具有相同适用范围的已上市产品。</w:t>
      </w:r>
    </w:p>
    <w:p w:rsidR="00E1541F" w:rsidRDefault="00F241A3">
      <w:pPr>
        <w:widowControl w:val="0"/>
        <w:spacing w:after="0" w:line="560" w:lineRule="exact"/>
        <w:ind w:firstLineChars="200" w:firstLine="640"/>
        <w:jc w:val="both"/>
        <w:rPr>
          <w:rFonts w:ascii="楷体_GB2312" w:eastAsia="楷体_GB2312" w:hAnsi="楷体_GB2312" w:cs="楷体_GB2312"/>
          <w:sz w:val="32"/>
          <w:szCs w:val="32"/>
        </w:rPr>
      </w:pPr>
      <w:bookmarkStart w:id="9" w:name="_Toc496993197"/>
      <w:bookmarkStart w:id="10" w:name="bookmark12"/>
      <w:r>
        <w:rPr>
          <w:rFonts w:ascii="楷体_GB2312" w:eastAsia="楷体_GB2312" w:hAnsi="楷体_GB2312" w:cs="楷体_GB2312" w:hint="eastAsia"/>
          <w:sz w:val="32"/>
          <w:szCs w:val="32"/>
        </w:rPr>
        <w:t>（三）相关支持性资料的准备</w:t>
      </w:r>
    </w:p>
    <w:p w:rsidR="00E1541F" w:rsidRDefault="00F241A3">
      <w:pPr>
        <w:widowControl w:val="0"/>
        <w:spacing w:after="0" w:line="560"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等同性论证时，申报产品与对比器械进行比对时所用的数据和信息，二者存在差异时证明其具有相同的安全有效性所用的有效科学证据，均为等同性论证的支持性资料。支持性资料通常需包括准确、可靠、完整、可追溯的数据，必要时包括数据的产生过程，试验</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实验数据建议来自有良好质量控制的实验室</w:t>
      </w:r>
      <w:r>
        <w:rPr>
          <w:rFonts w:ascii="Times New Roman" w:eastAsia="仿宋_GB2312" w:hAnsi="Times New Roman" w:cs="Times New Roman"/>
          <w:color w:val="000000"/>
          <w:sz w:val="32"/>
          <w:szCs w:val="32"/>
        </w:rPr>
        <w:t>；仅在极少数情形下，可使用一般性描述（如行业的普遍性共识）。未经证实的观点，以及未基于详细数据的科学评价报告不能作为支持性资料。本指导原则只要求做出等同性判定所必需的支持性资料，注册申请人对资料的真实性负责。</w:t>
      </w:r>
    </w:p>
    <w:p w:rsidR="00E1541F" w:rsidRDefault="00F241A3">
      <w:pPr>
        <w:widowControl w:val="0"/>
        <w:spacing w:after="0" w:line="560"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医疗器械的研发和改进多为渐进式发展，应基于申报医疗器械的研发历史和设计理念，从产品研发初期开始全面、客观、有序地收集对比器械相关信息和数据，其可为公开发表的文献、数据、信息等，也可来自注册申请人进行的实验室测试、计算机模拟研究、动物试验等；可为注册申请人前代产品或同系列产品的数据和信息，也可为其他注册</w:t>
      </w:r>
      <w:r>
        <w:rPr>
          <w:rFonts w:ascii="Times New Roman" w:eastAsia="仿宋_GB2312" w:hAnsi="Times New Roman" w:cs="Times New Roman"/>
          <w:color w:val="000000"/>
          <w:sz w:val="32"/>
          <w:szCs w:val="32"/>
        </w:rPr>
        <w:t>申请人授权使用的同品种产品非公开数据和信息，后者需提供数据使用授权书，以保证数据来源的合法性。</w:t>
      </w:r>
      <w:bookmarkEnd w:id="9"/>
      <w:bookmarkEnd w:id="10"/>
    </w:p>
    <w:p w:rsidR="00E1541F" w:rsidRDefault="00F241A3">
      <w:pPr>
        <w:widowControl w:val="0"/>
        <w:spacing w:after="0" w:line="560" w:lineRule="exact"/>
        <w:ind w:firstLineChars="200" w:firstLine="640"/>
        <w:jc w:val="both"/>
        <w:rPr>
          <w:rFonts w:ascii="Times New Roman" w:eastAsia="黑体" w:hAnsi="Times New Roman" w:cs="Times New Roman"/>
          <w:color w:val="000000"/>
          <w:sz w:val="32"/>
          <w:szCs w:val="32"/>
        </w:rPr>
      </w:pPr>
      <w:r>
        <w:rPr>
          <w:rFonts w:ascii="Times New Roman" w:eastAsia="黑体" w:hAnsi="Times New Roman" w:cs="Times New Roman"/>
          <w:color w:val="000000"/>
          <w:sz w:val="32"/>
          <w:szCs w:val="32"/>
        </w:rPr>
        <w:t>六、临床评价报告中等同性论证相关内容的编写</w:t>
      </w:r>
    </w:p>
    <w:p w:rsidR="00E1541F" w:rsidRDefault="00F241A3">
      <w:pPr>
        <w:widowControl w:val="0"/>
        <w:spacing w:after="0" w:line="560"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lastRenderedPageBreak/>
        <w:t>建议注册申请人按照附件</w:t>
      </w: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所述的步骤并结合正文相应内容进行等同性论证，若已建立申报产品和对比产品的等同性，可使用等同器械的临床数据进行临床评价，并按照《医疗器械注册申报临床评价报告技术指导原则》要求完成临床评价报告中等同性论证相关内容的编写。</w:t>
      </w:r>
    </w:p>
    <w:p w:rsidR="00E1541F" w:rsidRDefault="00E1541F">
      <w:pPr>
        <w:widowControl w:val="0"/>
        <w:spacing w:after="0" w:line="560" w:lineRule="exact"/>
        <w:ind w:firstLineChars="200" w:firstLine="640"/>
        <w:jc w:val="both"/>
        <w:rPr>
          <w:rFonts w:ascii="Times New Roman" w:eastAsia="仿宋_GB2312" w:hAnsi="Times New Roman" w:cs="Times New Roman"/>
          <w:color w:val="000000"/>
          <w:sz w:val="32"/>
          <w:szCs w:val="32"/>
        </w:rPr>
      </w:pPr>
    </w:p>
    <w:p w:rsidR="00E1541F" w:rsidRDefault="00F241A3">
      <w:pPr>
        <w:widowControl w:val="0"/>
        <w:spacing w:after="0" w:line="520"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附件：等同性论证流程图</w:t>
      </w:r>
    </w:p>
    <w:p w:rsidR="00E1541F" w:rsidRDefault="00F241A3">
      <w:pPr>
        <w:widowControl w:val="0"/>
        <w:topLinePunct/>
        <w:spacing w:after="0" w:line="580" w:lineRule="exact"/>
        <w:rPr>
          <w:rFonts w:ascii="Times New Roman" w:eastAsia="黑体" w:hAnsi="Times New Roman" w:cs="Times New Roman"/>
          <w:sz w:val="32"/>
          <w:szCs w:val="32"/>
          <w:lang w:val="zh-CN"/>
        </w:rPr>
      </w:pPr>
      <w:r>
        <w:rPr>
          <w:rFonts w:ascii="Times New Roman" w:hAnsi="Times New Roman" w:cs="Times New Roman"/>
        </w:rPr>
        <w:br w:type="page"/>
      </w:r>
      <w:r>
        <w:rPr>
          <w:rFonts w:ascii="Times New Roman" w:eastAsia="黑体" w:hAnsi="Times New Roman" w:cs="Times New Roman"/>
          <w:sz w:val="32"/>
          <w:szCs w:val="32"/>
          <w:lang w:val="zh-CN"/>
        </w:rPr>
        <w:lastRenderedPageBreak/>
        <w:t>附件</w:t>
      </w:r>
    </w:p>
    <w:p w:rsidR="00E1541F" w:rsidRDefault="00F241A3">
      <w:pPr>
        <w:widowControl w:val="0"/>
        <w:topLinePunct/>
        <w:spacing w:after="0" w:line="580" w:lineRule="exact"/>
        <w:jc w:val="center"/>
        <w:rPr>
          <w:rFonts w:ascii="Times New Roman" w:eastAsia="方正小标宋简体" w:hAnsi="Times New Roman" w:cs="Times New Roman"/>
          <w:sz w:val="44"/>
          <w:szCs w:val="44"/>
          <w:lang w:val="zh-CN"/>
        </w:rPr>
      </w:pPr>
      <w:r>
        <w:rPr>
          <w:rFonts w:ascii="Times New Roman" w:hAnsi="Times New Roman" w:cs="Times New Roman"/>
          <w:noProof/>
        </w:rPr>
        <mc:AlternateContent>
          <mc:Choice Requires="wpg">
            <w:drawing>
              <wp:anchor distT="0" distB="0" distL="114300" distR="114300" simplePos="0" relativeHeight="251708416" behindDoc="0" locked="0" layoutInCell="1" allowOverlap="1">
                <wp:simplePos x="0" y="0"/>
                <wp:positionH relativeFrom="column">
                  <wp:posOffset>693420</wp:posOffset>
                </wp:positionH>
                <wp:positionV relativeFrom="paragraph">
                  <wp:posOffset>532130</wp:posOffset>
                </wp:positionV>
                <wp:extent cx="4754880" cy="7653020"/>
                <wp:effectExtent l="50165" t="4445" r="14605" b="19685"/>
                <wp:wrapNone/>
                <wp:docPr id="20" name="组合 20"/>
                <wp:cNvGraphicFramePr/>
                <a:graphic xmlns:a="http://schemas.openxmlformats.org/drawingml/2006/main">
                  <a:graphicData uri="http://schemas.microsoft.com/office/word/2010/wordprocessingGroup">
                    <wpg:wgp>
                      <wpg:cNvGrpSpPr/>
                      <wpg:grpSpPr>
                        <a:xfrm>
                          <a:off x="0" y="0"/>
                          <a:ext cx="4754880" cy="7653020"/>
                          <a:chOff x="0" y="0"/>
                          <a:chExt cx="4959350" cy="7800340"/>
                        </a:xfrm>
                      </wpg:grpSpPr>
                      <wps:wsp>
                        <wps:cNvPr id="29" name="流程图: 过程 6"/>
                        <wps:cNvSpPr/>
                        <wps:spPr>
                          <a:xfrm>
                            <a:off x="716280" y="3718560"/>
                            <a:ext cx="2553970" cy="456565"/>
                          </a:xfrm>
                          <a:prstGeom prst="flowChartProcess">
                            <a:avLst/>
                          </a:prstGeom>
                          <a:noFill/>
                          <a:ln w="3175" cap="flat" cmpd="sng">
                            <a:solidFill>
                              <a:srgbClr val="000000"/>
                            </a:solidFill>
                            <a:prstDash val="solid"/>
                            <a:miter/>
                            <a:headEnd type="none" w="med" len="med"/>
                            <a:tailEnd type="none" w="med" len="med"/>
                          </a:ln>
                        </wps:spPr>
                        <wps:txbx>
                          <w:txbxContent>
                            <w:p w:rsidR="00E1541F" w:rsidRDefault="00F241A3">
                              <w:pPr>
                                <w:kinsoku w:val="0"/>
                                <w:overflowPunct w:val="0"/>
                                <w:spacing w:after="0" w:line="200" w:lineRule="exact"/>
                                <w:textAlignment w:val="baseline"/>
                              </w:pPr>
                              <w:r>
                                <w:rPr>
                                  <w:rFonts w:ascii="Calibri" w:cs="Times New Roman" w:hint="eastAsia"/>
                                  <w:color w:val="000000" w:themeColor="text1"/>
                                  <w:kern w:val="24"/>
                                  <w:sz w:val="16"/>
                                  <w:szCs w:val="16"/>
                                </w:rPr>
                                <w:t>对申报产品与对比器械技术特征和生物学特性的差异进行评价</w:t>
                              </w:r>
                            </w:p>
                          </w:txbxContent>
                        </wps:txbx>
                        <wps:bodyPr vert="horz" anchor="ctr" upright="1"/>
                      </wps:wsp>
                      <wps:wsp>
                        <wps:cNvPr id="1" name="流程图: 决策 7"/>
                        <wps:cNvSpPr/>
                        <wps:spPr>
                          <a:xfrm>
                            <a:off x="464820" y="4442460"/>
                            <a:ext cx="2698750" cy="893445"/>
                          </a:xfrm>
                          <a:prstGeom prst="flowChartDecision">
                            <a:avLst/>
                          </a:prstGeom>
                          <a:noFill/>
                          <a:ln w="3175" cap="flat" cmpd="sng">
                            <a:solidFill>
                              <a:srgbClr val="000000"/>
                            </a:solidFill>
                            <a:prstDash val="solid"/>
                            <a:miter/>
                            <a:headEnd type="none" w="med" len="med"/>
                            <a:tailEnd type="none" w="med" len="med"/>
                          </a:ln>
                        </wps:spPr>
                        <wps:txbx>
                          <w:txbxContent>
                            <w:p w:rsidR="00E1541F" w:rsidRDefault="00F241A3">
                              <w:pPr>
                                <w:spacing w:after="0" w:line="200" w:lineRule="exact"/>
                                <w:jc w:val="center"/>
                                <w:rPr>
                                  <w:rFonts w:ascii="Calibri" w:eastAsia="宋体" w:hAnsi="宋体" w:cs="Times New Roman"/>
                                  <w:color w:val="000000" w:themeColor="text1"/>
                                  <w:kern w:val="24"/>
                                  <w:sz w:val="16"/>
                                  <w:szCs w:val="16"/>
                                </w:rPr>
                              </w:pPr>
                              <w:r>
                                <w:rPr>
                                  <w:rFonts w:ascii="Calibri" w:eastAsia="宋体" w:hAnsi="宋体" w:cs="Times New Roman" w:hint="eastAsia"/>
                                  <w:color w:val="000000" w:themeColor="text1"/>
                                  <w:kern w:val="24"/>
                                  <w:sz w:val="16"/>
                                  <w:szCs w:val="16"/>
                                </w:rPr>
                                <w:t>技术特征和生物学特性的差异是否引起不同的安全有效性问题</w:t>
                              </w:r>
                            </w:p>
                          </w:txbxContent>
                        </wps:txbx>
                        <wps:bodyPr vert="horz" lIns="91440" tIns="0" rIns="91440" bIns="0" anchor="ctr" upright="1"/>
                      </wps:wsp>
                      <wps:wsp>
                        <wps:cNvPr id="2" name="流程图: 可选过程 17"/>
                        <wps:cNvSpPr/>
                        <wps:spPr>
                          <a:xfrm>
                            <a:off x="3695669" y="967599"/>
                            <a:ext cx="1170295" cy="645929"/>
                          </a:xfrm>
                          <a:prstGeom prst="flowChartAlternateProcess">
                            <a:avLst/>
                          </a:prstGeom>
                          <a:noFill/>
                          <a:ln w="3175" cap="flat" cmpd="sng">
                            <a:solidFill>
                              <a:srgbClr val="000000"/>
                            </a:solidFill>
                            <a:prstDash val="solid"/>
                            <a:miter/>
                            <a:headEnd type="none" w="med" len="med"/>
                            <a:tailEnd type="none" w="med" len="med"/>
                          </a:ln>
                        </wps:spPr>
                        <wps:txbx>
                          <w:txbxContent>
                            <w:p w:rsidR="00E1541F" w:rsidRDefault="00F241A3">
                              <w:pPr>
                                <w:kinsoku w:val="0"/>
                                <w:overflowPunct w:val="0"/>
                                <w:spacing w:after="0" w:line="200" w:lineRule="exact"/>
                                <w:textAlignment w:val="baseline"/>
                              </w:pPr>
                              <w:r>
                                <w:rPr>
                                  <w:rFonts w:ascii="Calibri" w:cs="Times New Roman" w:hint="eastAsia"/>
                                  <w:color w:val="000000" w:themeColor="text1"/>
                                  <w:kern w:val="24"/>
                                  <w:sz w:val="16"/>
                                  <w:szCs w:val="16"/>
                                </w:rPr>
                                <w:t>不能证明申报产品与所选对比器械的等同性，不能视为等</w:t>
                              </w:r>
                              <w:r>
                                <w:rPr>
                                  <w:rFonts w:ascii="Calibri" w:cs="Times New Roman" w:hint="eastAsia"/>
                                  <w:color w:val="000000" w:themeColor="text1"/>
                                  <w:kern w:val="24"/>
                                  <w:sz w:val="16"/>
                                  <w:szCs w:val="16"/>
                                </w:rPr>
                                <w:t>同器械</w:t>
                              </w:r>
                            </w:p>
                          </w:txbxContent>
                        </wps:txbx>
                        <wps:bodyPr vert="horz" lIns="91440" tIns="0" rIns="91440" bIns="0" anchor="ctr" upright="1"/>
                      </wps:wsp>
                      <wps:wsp>
                        <wps:cNvPr id="3" name="流程图: 过程 6"/>
                        <wps:cNvSpPr/>
                        <wps:spPr>
                          <a:xfrm>
                            <a:off x="624840" y="5562600"/>
                            <a:ext cx="2517775" cy="443230"/>
                          </a:xfrm>
                          <a:prstGeom prst="flowChartProcess">
                            <a:avLst/>
                          </a:prstGeom>
                          <a:noFill/>
                          <a:ln w="3175" cap="flat" cmpd="sng">
                            <a:solidFill>
                              <a:srgbClr val="000000"/>
                            </a:solidFill>
                            <a:prstDash val="solid"/>
                            <a:miter/>
                            <a:headEnd type="none" w="med" len="med"/>
                            <a:tailEnd type="none" w="med" len="med"/>
                          </a:ln>
                        </wps:spPr>
                        <wps:txbx>
                          <w:txbxContent>
                            <w:p w:rsidR="00E1541F" w:rsidRDefault="00F241A3">
                              <w:pPr>
                                <w:spacing w:line="200" w:lineRule="exact"/>
                                <w:jc w:val="center"/>
                              </w:pPr>
                              <w:r>
                                <w:rPr>
                                  <w:rFonts w:ascii="Calibri" w:cs="Times New Roman" w:hint="eastAsia"/>
                                  <w:color w:val="000000" w:themeColor="text1"/>
                                  <w:kern w:val="24"/>
                                  <w:sz w:val="16"/>
                                  <w:szCs w:val="16"/>
                                </w:rPr>
                                <w:t>申报产品与对比器械具有相似的技术特征和生物学特性</w:t>
                              </w:r>
                            </w:p>
                          </w:txbxContent>
                        </wps:txbx>
                        <wps:bodyPr vert="horz" lIns="91440" tIns="90001" rIns="91440" bIns="72001" anchor="ctr" upright="1"/>
                      </wps:wsp>
                      <wps:wsp>
                        <wps:cNvPr id="4" name="文本框 175"/>
                        <wps:cNvSpPr txBox="1"/>
                        <wps:spPr>
                          <a:xfrm>
                            <a:off x="1836420" y="1554480"/>
                            <a:ext cx="311785" cy="271145"/>
                          </a:xfrm>
                          <a:prstGeom prst="rect">
                            <a:avLst/>
                          </a:prstGeom>
                          <a:noFill/>
                          <a:ln w="9525">
                            <a:noFill/>
                          </a:ln>
                        </wps:spPr>
                        <wps:txbx>
                          <w:txbxContent>
                            <w:p w:rsidR="00E1541F" w:rsidRDefault="00F241A3">
                              <w:pPr>
                                <w:spacing w:after="0"/>
                                <w:rPr>
                                  <w:sz w:val="16"/>
                                  <w:szCs w:val="16"/>
                                </w:rPr>
                              </w:pPr>
                              <w:r>
                                <w:rPr>
                                  <w:rFonts w:hint="eastAsia"/>
                                  <w:color w:val="000000" w:themeColor="text1"/>
                                  <w:kern w:val="24"/>
                                  <w:sz w:val="16"/>
                                  <w:szCs w:val="16"/>
                                </w:rPr>
                                <w:t>是</w:t>
                              </w:r>
                            </w:p>
                          </w:txbxContent>
                        </wps:txbx>
                        <wps:bodyPr vert="horz" anchor="t" upright="1"/>
                      </wps:wsp>
                      <wps:wsp>
                        <wps:cNvPr id="5" name="文本框 177"/>
                        <wps:cNvSpPr txBox="1"/>
                        <wps:spPr>
                          <a:xfrm>
                            <a:off x="0" y="2695719"/>
                            <a:ext cx="467360" cy="421005"/>
                          </a:xfrm>
                          <a:prstGeom prst="rect">
                            <a:avLst/>
                          </a:prstGeom>
                          <a:noFill/>
                          <a:ln w="9525">
                            <a:noFill/>
                          </a:ln>
                        </wps:spPr>
                        <wps:txbx>
                          <w:txbxContent>
                            <w:p w:rsidR="00E1541F" w:rsidRDefault="00F241A3">
                              <w:pPr>
                                <w:spacing w:after="0"/>
                                <w:rPr>
                                  <w:sz w:val="16"/>
                                  <w:szCs w:val="16"/>
                                </w:rPr>
                              </w:pPr>
                              <w:r>
                                <w:rPr>
                                  <w:rFonts w:hint="eastAsia"/>
                                  <w:color w:val="000000" w:themeColor="text1"/>
                                  <w:kern w:val="24"/>
                                  <w:sz w:val="16"/>
                                  <w:szCs w:val="16"/>
                                </w:rPr>
                                <w:t>是</w:t>
                              </w:r>
                            </w:p>
                          </w:txbxContent>
                        </wps:txbx>
                        <wps:bodyPr vert="horz" anchor="t" upright="1"/>
                      </wps:wsp>
                      <wps:wsp>
                        <wps:cNvPr id="6" name="文本框 179"/>
                        <wps:cNvSpPr txBox="1"/>
                        <wps:spPr>
                          <a:xfrm>
                            <a:off x="1851660" y="7002780"/>
                            <a:ext cx="487045" cy="421005"/>
                          </a:xfrm>
                          <a:prstGeom prst="rect">
                            <a:avLst/>
                          </a:prstGeom>
                          <a:noFill/>
                          <a:ln w="9525">
                            <a:noFill/>
                          </a:ln>
                        </wps:spPr>
                        <wps:txbx>
                          <w:txbxContent>
                            <w:p w:rsidR="00E1541F" w:rsidRDefault="00F241A3">
                              <w:pPr>
                                <w:spacing w:after="0"/>
                                <w:rPr>
                                  <w:sz w:val="16"/>
                                  <w:szCs w:val="16"/>
                                </w:rPr>
                              </w:pPr>
                              <w:r>
                                <w:rPr>
                                  <w:rFonts w:hint="eastAsia"/>
                                  <w:color w:val="000000" w:themeColor="text1"/>
                                  <w:kern w:val="24"/>
                                  <w:sz w:val="16"/>
                                  <w:szCs w:val="16"/>
                                </w:rPr>
                                <w:t>是</w:t>
                              </w:r>
                            </w:p>
                          </w:txbxContent>
                        </wps:txbx>
                        <wps:bodyPr vert="horz" anchor="t" upright="1"/>
                      </wps:wsp>
                      <wps:wsp>
                        <wps:cNvPr id="7" name="文本框 180"/>
                        <wps:cNvSpPr txBox="1"/>
                        <wps:spPr>
                          <a:xfrm>
                            <a:off x="3160553" y="924251"/>
                            <a:ext cx="487045" cy="421005"/>
                          </a:xfrm>
                          <a:prstGeom prst="rect">
                            <a:avLst/>
                          </a:prstGeom>
                          <a:noFill/>
                          <a:ln w="9525">
                            <a:noFill/>
                          </a:ln>
                        </wps:spPr>
                        <wps:txbx>
                          <w:txbxContent>
                            <w:p w:rsidR="00E1541F" w:rsidRDefault="00F241A3">
                              <w:pPr>
                                <w:spacing w:after="0"/>
                                <w:rPr>
                                  <w:sz w:val="16"/>
                                  <w:szCs w:val="16"/>
                                </w:rPr>
                              </w:pPr>
                              <w:r>
                                <w:rPr>
                                  <w:rFonts w:hint="eastAsia"/>
                                  <w:color w:val="000000" w:themeColor="text1"/>
                                  <w:kern w:val="24"/>
                                  <w:sz w:val="16"/>
                                  <w:szCs w:val="16"/>
                                </w:rPr>
                                <w:t>否</w:t>
                              </w:r>
                            </w:p>
                          </w:txbxContent>
                        </wps:txbx>
                        <wps:bodyPr vert="horz" anchor="t" upright="1"/>
                      </wps:wsp>
                      <wps:wsp>
                        <wps:cNvPr id="8" name="文本框 182"/>
                        <wps:cNvSpPr txBox="1"/>
                        <wps:spPr>
                          <a:xfrm>
                            <a:off x="3241039" y="6417321"/>
                            <a:ext cx="487045" cy="421005"/>
                          </a:xfrm>
                          <a:prstGeom prst="rect">
                            <a:avLst/>
                          </a:prstGeom>
                          <a:noFill/>
                          <a:ln w="9525">
                            <a:noFill/>
                          </a:ln>
                        </wps:spPr>
                        <wps:txbx>
                          <w:txbxContent>
                            <w:p w:rsidR="00E1541F" w:rsidRDefault="00F241A3">
                              <w:pPr>
                                <w:spacing w:after="0"/>
                                <w:rPr>
                                  <w:sz w:val="16"/>
                                  <w:szCs w:val="16"/>
                                </w:rPr>
                              </w:pPr>
                              <w:r>
                                <w:rPr>
                                  <w:rFonts w:hint="eastAsia"/>
                                  <w:color w:val="000000" w:themeColor="text1"/>
                                  <w:kern w:val="24"/>
                                  <w:sz w:val="16"/>
                                  <w:szCs w:val="16"/>
                                </w:rPr>
                                <w:t>否</w:t>
                              </w:r>
                            </w:p>
                          </w:txbxContent>
                        </wps:txbx>
                        <wps:bodyPr vert="horz" anchor="t" upright="1"/>
                      </wps:wsp>
                      <wps:wsp>
                        <wps:cNvPr id="9" name="文本框 183"/>
                        <wps:cNvSpPr txBox="1"/>
                        <wps:spPr>
                          <a:xfrm>
                            <a:off x="1813560" y="3421380"/>
                            <a:ext cx="462915" cy="285750"/>
                          </a:xfrm>
                          <a:prstGeom prst="rect">
                            <a:avLst/>
                          </a:prstGeom>
                          <a:noFill/>
                          <a:ln w="9525">
                            <a:noFill/>
                          </a:ln>
                        </wps:spPr>
                        <wps:txbx>
                          <w:txbxContent>
                            <w:p w:rsidR="00E1541F" w:rsidRDefault="00F241A3">
                              <w:pPr>
                                <w:spacing w:after="0"/>
                                <w:rPr>
                                  <w:sz w:val="16"/>
                                  <w:szCs w:val="16"/>
                                </w:rPr>
                              </w:pPr>
                              <w:r>
                                <w:rPr>
                                  <w:rFonts w:hint="eastAsia"/>
                                  <w:color w:val="000000" w:themeColor="text1"/>
                                  <w:kern w:val="24"/>
                                  <w:sz w:val="16"/>
                                  <w:szCs w:val="16"/>
                                </w:rPr>
                                <w:t>否</w:t>
                              </w:r>
                            </w:p>
                          </w:txbxContent>
                        </wps:txbx>
                        <wps:bodyPr vert="horz" anchor="t" upright="1"/>
                      </wps:wsp>
                      <wps:wsp>
                        <wps:cNvPr id="10" name="文本框 184"/>
                        <wps:cNvSpPr txBox="1"/>
                        <wps:spPr>
                          <a:xfrm>
                            <a:off x="3208654" y="4652983"/>
                            <a:ext cx="487045" cy="421005"/>
                          </a:xfrm>
                          <a:prstGeom prst="rect">
                            <a:avLst/>
                          </a:prstGeom>
                          <a:noFill/>
                          <a:ln w="9525">
                            <a:noFill/>
                          </a:ln>
                        </wps:spPr>
                        <wps:txbx>
                          <w:txbxContent>
                            <w:p w:rsidR="00E1541F" w:rsidRDefault="00F241A3">
                              <w:pPr>
                                <w:spacing w:after="0"/>
                                <w:rPr>
                                  <w:sz w:val="16"/>
                                  <w:szCs w:val="16"/>
                                </w:rPr>
                              </w:pPr>
                              <w:r>
                                <w:rPr>
                                  <w:rFonts w:hint="eastAsia"/>
                                  <w:color w:val="000000" w:themeColor="text1"/>
                                  <w:kern w:val="24"/>
                                  <w:sz w:val="16"/>
                                  <w:szCs w:val="16"/>
                                </w:rPr>
                                <w:t>是</w:t>
                              </w:r>
                            </w:p>
                          </w:txbxContent>
                        </wps:txbx>
                        <wps:bodyPr vert="horz" anchor="t" upright="1"/>
                      </wps:wsp>
                      <wps:wsp>
                        <wps:cNvPr id="11" name="流程图: 决策 9"/>
                        <wps:cNvSpPr/>
                        <wps:spPr>
                          <a:xfrm>
                            <a:off x="419100" y="6233160"/>
                            <a:ext cx="2814320" cy="836930"/>
                          </a:xfrm>
                          <a:prstGeom prst="flowChartDecision">
                            <a:avLst/>
                          </a:prstGeom>
                          <a:noFill/>
                          <a:ln w="3175" cap="flat" cmpd="sng">
                            <a:solidFill>
                              <a:srgbClr val="000000"/>
                            </a:solidFill>
                            <a:prstDash val="solid"/>
                            <a:miter/>
                            <a:headEnd type="none" w="med" len="med"/>
                            <a:tailEnd type="none" w="med" len="med"/>
                          </a:ln>
                        </wps:spPr>
                        <wps:txbx>
                          <w:txbxContent>
                            <w:p w:rsidR="00E1541F" w:rsidRDefault="00F241A3">
                              <w:pPr>
                                <w:kinsoku w:val="0"/>
                                <w:overflowPunct w:val="0"/>
                                <w:spacing w:after="0" w:line="180" w:lineRule="exact"/>
                                <w:jc w:val="center"/>
                                <w:textAlignment w:val="baseline"/>
                                <w:rPr>
                                  <w:rFonts w:ascii="Calibri" w:cs="Times New Roman"/>
                                  <w:color w:val="000000" w:themeColor="text1"/>
                                  <w:kern w:val="24"/>
                                  <w:sz w:val="16"/>
                                  <w:szCs w:val="16"/>
                                </w:rPr>
                              </w:pPr>
                              <w:r>
                                <w:rPr>
                                  <w:rFonts w:ascii="Calibri" w:cs="Times New Roman" w:hint="eastAsia"/>
                                  <w:color w:val="000000" w:themeColor="text1"/>
                                  <w:kern w:val="24"/>
                                  <w:sz w:val="16"/>
                                  <w:szCs w:val="16"/>
                                </w:rPr>
                                <w:t>是否有充分的科学证据证明申报产品与对比器械具有相同的安全有效性</w:t>
                              </w:r>
                            </w:p>
                          </w:txbxContent>
                        </wps:txbx>
                        <wps:bodyPr vert="horz" anchor="ctr" upright="1"/>
                      </wps:wsp>
                      <wps:wsp>
                        <wps:cNvPr id="12" name="流程图: 可选过程 25"/>
                        <wps:cNvSpPr/>
                        <wps:spPr>
                          <a:xfrm>
                            <a:off x="3718560" y="4640580"/>
                            <a:ext cx="1198245" cy="490220"/>
                          </a:xfrm>
                          <a:prstGeom prst="flowChartAlternateProcess">
                            <a:avLst/>
                          </a:prstGeom>
                          <a:noFill/>
                          <a:ln w="3175" cap="flat" cmpd="sng">
                            <a:solidFill>
                              <a:srgbClr val="000000"/>
                            </a:solidFill>
                            <a:prstDash val="solid"/>
                            <a:miter/>
                            <a:headEnd type="none" w="med" len="med"/>
                            <a:tailEnd type="none" w="med" len="med"/>
                          </a:ln>
                        </wps:spPr>
                        <wps:txbx>
                          <w:txbxContent>
                            <w:p w:rsidR="00E1541F" w:rsidRDefault="00F241A3">
                              <w:pPr>
                                <w:kinsoku w:val="0"/>
                                <w:overflowPunct w:val="0"/>
                                <w:spacing w:after="0" w:line="200" w:lineRule="exact"/>
                                <w:jc w:val="center"/>
                                <w:textAlignment w:val="baseline"/>
                              </w:pPr>
                              <w:r>
                                <w:rPr>
                                  <w:rFonts w:ascii="Calibri" w:cs="Times New Roman" w:hint="eastAsia"/>
                                  <w:color w:val="000000" w:themeColor="text1"/>
                                  <w:kern w:val="24"/>
                                  <w:sz w:val="16"/>
                                  <w:szCs w:val="16"/>
                                </w:rPr>
                                <w:t>建议更换对比器械</w:t>
                              </w:r>
                            </w:p>
                          </w:txbxContent>
                        </wps:txbx>
                        <wps:bodyPr vert="horz" anchor="ctr" upright="1"/>
                      </wps:wsp>
                      <wps:wsp>
                        <wps:cNvPr id="14" name="流程图: 可选过程 27"/>
                        <wps:cNvSpPr/>
                        <wps:spPr>
                          <a:xfrm>
                            <a:off x="3726180" y="6416040"/>
                            <a:ext cx="1233170" cy="476250"/>
                          </a:xfrm>
                          <a:prstGeom prst="flowChartAlternateProcess">
                            <a:avLst/>
                          </a:prstGeom>
                          <a:noFill/>
                          <a:ln w="3175" cap="flat" cmpd="sng">
                            <a:solidFill>
                              <a:srgbClr val="000000"/>
                            </a:solidFill>
                            <a:prstDash val="solid"/>
                            <a:miter/>
                            <a:headEnd type="none" w="med" len="med"/>
                            <a:tailEnd type="none" w="med" len="med"/>
                          </a:ln>
                        </wps:spPr>
                        <wps:txbx>
                          <w:txbxContent>
                            <w:p w:rsidR="00E1541F" w:rsidRDefault="00F241A3">
                              <w:pPr>
                                <w:kinsoku w:val="0"/>
                                <w:overflowPunct w:val="0"/>
                                <w:spacing w:after="0" w:line="200" w:lineRule="exact"/>
                                <w:jc w:val="center"/>
                                <w:textAlignment w:val="baseline"/>
                              </w:pPr>
                              <w:r>
                                <w:rPr>
                                  <w:rFonts w:ascii="Calibri" w:cs="Times New Roman" w:hint="eastAsia"/>
                                  <w:color w:val="000000" w:themeColor="text1"/>
                                  <w:kern w:val="24"/>
                                  <w:sz w:val="16"/>
                                  <w:szCs w:val="16"/>
                                </w:rPr>
                                <w:t>不能证明申报产品与所选对比器械的等同性</w:t>
                              </w:r>
                            </w:p>
                          </w:txbxContent>
                        </wps:txbx>
                        <wps:bodyPr vert="horz" lIns="90001" tIns="0" rIns="91440" bIns="0" anchor="ctr" upright="1"/>
                      </wps:wsp>
                      <wps:wsp>
                        <wps:cNvPr id="15" name="流程图: 过程 19"/>
                        <wps:cNvSpPr/>
                        <wps:spPr>
                          <a:xfrm>
                            <a:off x="586740" y="7231380"/>
                            <a:ext cx="2525395" cy="568960"/>
                          </a:xfrm>
                          <a:prstGeom prst="roundRect">
                            <a:avLst/>
                          </a:prstGeom>
                          <a:noFill/>
                          <a:ln w="3175" cap="flat" cmpd="sng">
                            <a:solidFill>
                              <a:srgbClr val="000000"/>
                            </a:solidFill>
                            <a:prstDash val="solid"/>
                            <a:miter/>
                            <a:headEnd type="none" w="med" len="med"/>
                            <a:tailEnd type="none" w="med" len="med"/>
                          </a:ln>
                        </wps:spPr>
                        <wps:txbx>
                          <w:txbxContent>
                            <w:p w:rsidR="00E1541F" w:rsidRDefault="00F241A3">
                              <w:pPr>
                                <w:kinsoku w:val="0"/>
                                <w:overflowPunct w:val="0"/>
                                <w:spacing w:after="0"/>
                                <w:jc w:val="center"/>
                                <w:textAlignment w:val="baseline"/>
                              </w:pPr>
                              <w:r>
                                <w:rPr>
                                  <w:rFonts w:ascii="Calibri" w:cs="Times New Roman" w:hint="eastAsia"/>
                                  <w:color w:val="000000" w:themeColor="text1"/>
                                  <w:kern w:val="24"/>
                                  <w:sz w:val="16"/>
                                  <w:szCs w:val="16"/>
                                </w:rPr>
                                <w:t>对比器械通过论证可视为等同器械，可使用等同</w:t>
                              </w:r>
                              <w:r>
                                <w:rPr>
                                  <w:rFonts w:ascii="Calibri" w:cs="Times New Roman" w:hint="eastAsia"/>
                                  <w:color w:val="000000" w:themeColor="text1"/>
                                  <w:kern w:val="24"/>
                                  <w:sz w:val="16"/>
                                  <w:szCs w:val="16"/>
                                </w:rPr>
                                <w:t>器械</w:t>
                              </w:r>
                              <w:r>
                                <w:rPr>
                                  <w:rFonts w:ascii="Calibri" w:cs="Times New Roman" w:hint="eastAsia"/>
                                  <w:color w:val="000000" w:themeColor="text1"/>
                                  <w:kern w:val="24"/>
                                  <w:sz w:val="16"/>
                                  <w:szCs w:val="16"/>
                                </w:rPr>
                                <w:t>的临床</w:t>
                              </w:r>
                              <w:r>
                                <w:rPr>
                                  <w:rFonts w:ascii="Calibri" w:cs="Times New Roman"/>
                                  <w:color w:val="000000" w:themeColor="text1"/>
                                  <w:kern w:val="24"/>
                                  <w:sz w:val="16"/>
                                  <w:szCs w:val="16"/>
                                </w:rPr>
                                <w:t>数据进行</w:t>
                              </w:r>
                              <w:r>
                                <w:rPr>
                                  <w:rFonts w:ascii="Calibri" w:cs="Times New Roman" w:hint="eastAsia"/>
                                  <w:color w:val="000000" w:themeColor="text1"/>
                                  <w:kern w:val="24"/>
                                  <w:sz w:val="16"/>
                                  <w:szCs w:val="16"/>
                                </w:rPr>
                                <w:t>临床</w:t>
                              </w:r>
                              <w:r>
                                <w:rPr>
                                  <w:rFonts w:ascii="Calibri" w:cs="Times New Roman"/>
                                  <w:color w:val="000000" w:themeColor="text1"/>
                                  <w:kern w:val="24"/>
                                  <w:sz w:val="16"/>
                                  <w:szCs w:val="16"/>
                                </w:rPr>
                                <w:t>评价。</w:t>
                              </w:r>
                            </w:p>
                          </w:txbxContent>
                        </wps:txbx>
                        <wps:bodyPr vert="horz" anchor="ctr" upright="1"/>
                      </wps:wsp>
                      <wps:wsp>
                        <wps:cNvPr id="18" name="AutoShape 168"/>
                        <wps:cNvCnPr>
                          <a:cxnSpLocks noChangeShapeType="1"/>
                        </wps:cNvCnPr>
                        <wps:spPr bwMode="auto">
                          <a:xfrm rot="5400000">
                            <a:off x="1676400" y="594360"/>
                            <a:ext cx="274955" cy="0"/>
                          </a:xfrm>
                          <a:prstGeom prst="straightConnector1">
                            <a:avLst/>
                          </a:prstGeom>
                          <a:noFill/>
                          <a:ln w="9525">
                            <a:solidFill>
                              <a:srgbClr val="000000"/>
                            </a:solidFill>
                            <a:round/>
                            <a:tailEnd type="arrow" w="med" len="med"/>
                          </a:ln>
                        </wps:spPr>
                        <wps:bodyPr/>
                      </wps:wsp>
                      <wps:wsp>
                        <wps:cNvPr id="22" name="AutoShape 169"/>
                        <wps:cNvCnPr>
                          <a:cxnSpLocks noChangeShapeType="1"/>
                        </wps:cNvCnPr>
                        <wps:spPr bwMode="auto">
                          <a:xfrm flipH="1">
                            <a:off x="1813560" y="1623060"/>
                            <a:ext cx="3175" cy="208915"/>
                          </a:xfrm>
                          <a:prstGeom prst="straightConnector1">
                            <a:avLst/>
                          </a:prstGeom>
                          <a:noFill/>
                          <a:ln w="9525">
                            <a:solidFill>
                              <a:srgbClr val="000000"/>
                            </a:solidFill>
                            <a:round/>
                            <a:tailEnd type="arrow" w="med" len="med"/>
                          </a:ln>
                        </wps:spPr>
                        <wps:bodyPr/>
                      </wps:wsp>
                      <wps:wsp>
                        <wps:cNvPr id="23" name="AutoShape 174"/>
                        <wps:cNvCnPr>
                          <a:cxnSpLocks noChangeShapeType="1"/>
                        </wps:cNvCnPr>
                        <wps:spPr bwMode="auto">
                          <a:xfrm>
                            <a:off x="3162300" y="1181100"/>
                            <a:ext cx="533400" cy="0"/>
                          </a:xfrm>
                          <a:prstGeom prst="straightConnector1">
                            <a:avLst/>
                          </a:prstGeom>
                          <a:noFill/>
                          <a:ln w="9525">
                            <a:solidFill>
                              <a:srgbClr val="000000"/>
                            </a:solidFill>
                            <a:round/>
                            <a:tailEnd type="arrow" w="med" len="med"/>
                          </a:ln>
                        </wps:spPr>
                        <wps:bodyPr/>
                      </wps:wsp>
                      <wps:wsp>
                        <wps:cNvPr id="24" name="直接箭头连接符 54"/>
                        <wps:cNvCnPr/>
                        <wps:spPr>
                          <a:xfrm>
                            <a:off x="3878580" y="6568440"/>
                            <a:ext cx="0" cy="0"/>
                          </a:xfrm>
                          <a:prstGeom prst="straightConnector1">
                            <a:avLst/>
                          </a:prstGeom>
                          <a:noFill/>
                          <a:ln w="9525" cap="flat" cmpd="sng" algn="ctr">
                            <a:solidFill>
                              <a:srgbClr val="4A7EBB">
                                <a:shade val="95000"/>
                                <a:satMod val="105000"/>
                              </a:srgbClr>
                            </a:solidFill>
                            <a:prstDash val="solid"/>
                            <a:tailEnd type="arrow"/>
                          </a:ln>
                        </wps:spPr>
                        <wps:bodyPr/>
                      </wps:wsp>
                      <wps:wsp>
                        <wps:cNvPr id="25" name="AutoShape 176"/>
                        <wps:cNvCnPr>
                          <a:cxnSpLocks noChangeShapeType="1"/>
                        </wps:cNvCnPr>
                        <wps:spPr bwMode="auto">
                          <a:xfrm flipH="1">
                            <a:off x="1836420" y="7071360"/>
                            <a:ext cx="635" cy="163830"/>
                          </a:xfrm>
                          <a:prstGeom prst="straightConnector1">
                            <a:avLst/>
                          </a:prstGeom>
                          <a:noFill/>
                          <a:ln w="9525">
                            <a:solidFill>
                              <a:srgbClr val="000000"/>
                            </a:solidFill>
                            <a:round/>
                            <a:tailEnd type="arrow" w="med" len="med"/>
                          </a:ln>
                        </wps:spPr>
                        <wps:bodyPr/>
                      </wps:wsp>
                      <wps:wsp>
                        <wps:cNvPr id="26" name="AutoShape 177"/>
                        <wps:cNvCnPr>
                          <a:cxnSpLocks noChangeShapeType="1"/>
                        </wps:cNvCnPr>
                        <wps:spPr bwMode="auto">
                          <a:xfrm rot="10800000" flipH="1" flipV="1">
                            <a:off x="457200" y="2979420"/>
                            <a:ext cx="128270" cy="4491990"/>
                          </a:xfrm>
                          <a:prstGeom prst="bentConnector3">
                            <a:avLst>
                              <a:gd name="adj1" fmla="val -393565"/>
                            </a:avLst>
                          </a:prstGeom>
                          <a:noFill/>
                          <a:ln w="9525">
                            <a:solidFill>
                              <a:srgbClr val="000000"/>
                            </a:solidFill>
                            <a:round/>
                            <a:tailEnd type="arrow" w="med" len="med"/>
                          </a:ln>
                        </wps:spPr>
                        <wps:bodyPr/>
                      </wps:wsp>
                      <wps:wsp>
                        <wps:cNvPr id="27" name="AutoShape 178"/>
                        <wps:cNvCnPr>
                          <a:cxnSpLocks noChangeShapeType="1"/>
                        </wps:cNvCnPr>
                        <wps:spPr bwMode="auto">
                          <a:xfrm>
                            <a:off x="3169920" y="4884420"/>
                            <a:ext cx="548640" cy="0"/>
                          </a:xfrm>
                          <a:prstGeom prst="straightConnector1">
                            <a:avLst/>
                          </a:prstGeom>
                          <a:noFill/>
                          <a:ln w="9525">
                            <a:solidFill>
                              <a:srgbClr val="000000"/>
                            </a:solidFill>
                            <a:round/>
                            <a:tailEnd type="arrow" w="med" len="med"/>
                          </a:ln>
                        </wps:spPr>
                        <wps:bodyPr/>
                      </wps:wsp>
                      <wps:wsp>
                        <wps:cNvPr id="28" name="AutoShape 179"/>
                        <wps:cNvCnPr>
                          <a:cxnSpLocks noChangeShapeType="1"/>
                        </wps:cNvCnPr>
                        <wps:spPr bwMode="auto">
                          <a:xfrm>
                            <a:off x="3223260" y="6652260"/>
                            <a:ext cx="504825" cy="0"/>
                          </a:xfrm>
                          <a:prstGeom prst="straightConnector1">
                            <a:avLst/>
                          </a:prstGeom>
                          <a:noFill/>
                          <a:ln w="9525">
                            <a:solidFill>
                              <a:srgbClr val="000000"/>
                            </a:solidFill>
                            <a:round/>
                            <a:tailEnd type="arrow" w="med" len="med"/>
                          </a:ln>
                        </wps:spPr>
                        <wps:bodyPr/>
                      </wps:wsp>
                      <wps:wsp>
                        <wps:cNvPr id="30" name="文本框 179"/>
                        <wps:cNvSpPr txBox="1"/>
                        <wps:spPr>
                          <a:xfrm>
                            <a:off x="1851660" y="5334000"/>
                            <a:ext cx="487045" cy="421005"/>
                          </a:xfrm>
                          <a:prstGeom prst="rect">
                            <a:avLst/>
                          </a:prstGeom>
                          <a:noFill/>
                          <a:ln w="9525">
                            <a:noFill/>
                          </a:ln>
                        </wps:spPr>
                        <wps:txbx>
                          <w:txbxContent>
                            <w:p w:rsidR="00E1541F" w:rsidRDefault="00F241A3">
                              <w:pPr>
                                <w:spacing w:after="0"/>
                                <w:rPr>
                                  <w:sz w:val="16"/>
                                  <w:szCs w:val="16"/>
                                </w:rPr>
                              </w:pPr>
                              <w:r>
                                <w:rPr>
                                  <w:rFonts w:hint="eastAsia"/>
                                  <w:color w:val="000000" w:themeColor="text1"/>
                                  <w:kern w:val="24"/>
                                  <w:sz w:val="16"/>
                                  <w:szCs w:val="16"/>
                                </w:rPr>
                                <w:t>否</w:t>
                              </w:r>
                            </w:p>
                          </w:txbxContent>
                        </wps:txbx>
                        <wps:bodyPr vert="horz" anchor="t" upright="1"/>
                      </wps:wsp>
                      <wps:wsp>
                        <wps:cNvPr id="31" name="AutoShape 181"/>
                        <wps:cNvCnPr>
                          <a:cxnSpLocks noChangeShapeType="1"/>
                        </wps:cNvCnPr>
                        <wps:spPr bwMode="auto">
                          <a:xfrm>
                            <a:off x="1821180" y="6004560"/>
                            <a:ext cx="1270" cy="231140"/>
                          </a:xfrm>
                          <a:prstGeom prst="straightConnector1">
                            <a:avLst/>
                          </a:prstGeom>
                          <a:noFill/>
                          <a:ln w="9525">
                            <a:solidFill>
                              <a:srgbClr val="000000"/>
                            </a:solidFill>
                            <a:round/>
                            <a:tailEnd type="arrow" w="med" len="med"/>
                          </a:ln>
                        </wps:spPr>
                        <wps:bodyPr/>
                      </wps:wsp>
                      <wps:wsp>
                        <wps:cNvPr id="64" name="流程图: 可选过程 17"/>
                        <wps:cNvSpPr/>
                        <wps:spPr>
                          <a:xfrm>
                            <a:off x="670560" y="0"/>
                            <a:ext cx="2444115" cy="451485"/>
                          </a:xfrm>
                          <a:prstGeom prst="flowChartAlternateProcess">
                            <a:avLst/>
                          </a:prstGeom>
                          <a:noFill/>
                          <a:ln w="3175" cap="flat" cmpd="sng">
                            <a:solidFill>
                              <a:srgbClr val="000000"/>
                            </a:solidFill>
                            <a:prstDash val="solid"/>
                            <a:miter/>
                            <a:headEnd type="none" w="med" len="med"/>
                            <a:tailEnd type="none" w="med" len="med"/>
                          </a:ln>
                        </wps:spPr>
                        <wps:txbx>
                          <w:txbxContent>
                            <w:p w:rsidR="00E1541F" w:rsidRDefault="00F241A3">
                              <w:pPr>
                                <w:kinsoku w:val="0"/>
                                <w:overflowPunct w:val="0"/>
                                <w:spacing w:after="0" w:line="200" w:lineRule="exact"/>
                                <w:jc w:val="center"/>
                                <w:textAlignment w:val="baseline"/>
                              </w:pPr>
                              <w:r>
                                <w:rPr>
                                  <w:rFonts w:ascii="Calibri" w:cs="Times New Roman" w:hint="eastAsia"/>
                                  <w:color w:val="000000" w:themeColor="text1"/>
                                  <w:kern w:val="24"/>
                                  <w:sz w:val="16"/>
                                  <w:szCs w:val="16"/>
                                </w:rPr>
                                <w:t>结合产品研发背景，初步选择对比器械</w:t>
                              </w:r>
                            </w:p>
                          </w:txbxContent>
                        </wps:txbx>
                        <wps:bodyPr vert="horz" lIns="91440" tIns="0" rIns="91440" bIns="0" anchor="ctr" upright="1"/>
                      </wps:wsp>
                      <wps:wsp>
                        <wps:cNvPr id="65" name="流程图: 决策 7"/>
                        <wps:cNvSpPr/>
                        <wps:spPr>
                          <a:xfrm>
                            <a:off x="464820" y="731520"/>
                            <a:ext cx="2698750" cy="893445"/>
                          </a:xfrm>
                          <a:prstGeom prst="flowChartDecision">
                            <a:avLst/>
                          </a:prstGeom>
                          <a:noFill/>
                          <a:ln w="3175" cap="flat" cmpd="sng">
                            <a:solidFill>
                              <a:srgbClr val="000000"/>
                            </a:solidFill>
                            <a:prstDash val="solid"/>
                            <a:miter/>
                            <a:headEnd type="none" w="med" len="med"/>
                            <a:tailEnd type="none" w="med" len="med"/>
                          </a:ln>
                        </wps:spPr>
                        <wps:txbx>
                          <w:txbxContent>
                            <w:p w:rsidR="00E1541F" w:rsidRDefault="00F241A3">
                              <w:pPr>
                                <w:spacing w:after="0" w:line="200" w:lineRule="exact"/>
                                <w:jc w:val="center"/>
                                <w:rPr>
                                  <w:rFonts w:ascii="Calibri" w:eastAsia="宋体" w:hAnsi="宋体" w:cs="Times New Roman"/>
                                  <w:color w:val="000000" w:themeColor="text1"/>
                                  <w:kern w:val="24"/>
                                  <w:sz w:val="16"/>
                                  <w:szCs w:val="16"/>
                                </w:rPr>
                              </w:pPr>
                              <w:r>
                                <w:rPr>
                                  <w:rFonts w:ascii="Calibri" w:eastAsia="宋体" w:hAnsi="宋体" w:cs="Times New Roman" w:hint="eastAsia"/>
                                  <w:color w:val="000000" w:themeColor="text1"/>
                                  <w:kern w:val="24"/>
                                  <w:sz w:val="16"/>
                                  <w:szCs w:val="16"/>
                                </w:rPr>
                                <w:t>选择的对比器械与申报产品是否具有相同的适用范围</w:t>
                              </w:r>
                            </w:p>
                          </w:txbxContent>
                        </wps:txbx>
                        <wps:bodyPr vert="horz" lIns="91440" tIns="0" rIns="91440" bIns="0" anchor="ctr" upright="1"/>
                      </wps:wsp>
                      <wps:wsp>
                        <wps:cNvPr id="66" name="流程图: 过程 6"/>
                        <wps:cNvSpPr/>
                        <wps:spPr>
                          <a:xfrm>
                            <a:off x="563880" y="1821180"/>
                            <a:ext cx="2517775" cy="483235"/>
                          </a:xfrm>
                          <a:prstGeom prst="flowChartProcess">
                            <a:avLst/>
                          </a:prstGeom>
                          <a:noFill/>
                          <a:ln w="3175" cap="flat" cmpd="sng">
                            <a:solidFill>
                              <a:srgbClr val="000000"/>
                            </a:solidFill>
                            <a:prstDash val="solid"/>
                            <a:miter/>
                            <a:headEnd type="none" w="med" len="med"/>
                            <a:tailEnd type="none" w="med" len="med"/>
                          </a:ln>
                        </wps:spPr>
                        <wps:txbx>
                          <w:txbxContent>
                            <w:p w:rsidR="00E1541F" w:rsidRDefault="00F241A3">
                              <w:pPr>
                                <w:spacing w:line="200" w:lineRule="exact"/>
                                <w:jc w:val="center"/>
                              </w:pPr>
                              <w:r>
                                <w:rPr>
                                  <w:rFonts w:ascii="Calibri" w:cs="Times New Roman" w:hint="eastAsia"/>
                                  <w:color w:val="000000" w:themeColor="text1"/>
                                  <w:kern w:val="24"/>
                                  <w:sz w:val="16"/>
                                  <w:szCs w:val="16"/>
                                </w:rPr>
                                <w:t>将申报产品的技术特征和生物学特性与对比器械进行比对</w:t>
                              </w:r>
                            </w:p>
                          </w:txbxContent>
                        </wps:txbx>
                        <wps:bodyPr vert="horz" lIns="91440" tIns="90001" rIns="91440" bIns="72001" anchor="ctr" upright="1"/>
                      </wps:wsp>
                      <wps:wsp>
                        <wps:cNvPr id="67" name="流程图: 决策 7"/>
                        <wps:cNvSpPr/>
                        <wps:spPr>
                          <a:xfrm>
                            <a:off x="464820" y="2537460"/>
                            <a:ext cx="2698750" cy="893445"/>
                          </a:xfrm>
                          <a:prstGeom prst="flowChartDecision">
                            <a:avLst/>
                          </a:prstGeom>
                          <a:noFill/>
                          <a:ln w="3175" cap="flat" cmpd="sng">
                            <a:solidFill>
                              <a:srgbClr val="000000"/>
                            </a:solidFill>
                            <a:prstDash val="solid"/>
                            <a:miter/>
                            <a:headEnd type="none" w="med" len="med"/>
                            <a:tailEnd type="none" w="med" len="med"/>
                          </a:ln>
                        </wps:spPr>
                        <wps:txbx>
                          <w:txbxContent>
                            <w:p w:rsidR="00E1541F" w:rsidRDefault="00F241A3">
                              <w:pPr>
                                <w:spacing w:after="0" w:line="200" w:lineRule="exact"/>
                                <w:jc w:val="center"/>
                                <w:rPr>
                                  <w:rFonts w:ascii="Calibri" w:eastAsia="宋体" w:hAnsi="宋体" w:cs="Times New Roman"/>
                                  <w:color w:val="000000" w:themeColor="text1"/>
                                  <w:kern w:val="24"/>
                                  <w:sz w:val="16"/>
                                  <w:szCs w:val="16"/>
                                </w:rPr>
                              </w:pPr>
                              <w:r>
                                <w:rPr>
                                  <w:rFonts w:ascii="Calibri" w:eastAsia="宋体" w:hAnsi="宋体" w:cs="Times New Roman" w:hint="eastAsia"/>
                                  <w:color w:val="000000" w:themeColor="text1"/>
                                  <w:kern w:val="24"/>
                                  <w:sz w:val="16"/>
                                  <w:szCs w:val="16"/>
                                </w:rPr>
                                <w:t>申报产品与对比器械是否具有相同的技术特征和生物学特性</w:t>
                              </w:r>
                            </w:p>
                          </w:txbxContent>
                        </wps:txbx>
                        <wps:bodyPr vert="horz" lIns="91440" tIns="0" rIns="91440" bIns="0" anchor="ctr" upright="1"/>
                      </wps:wsp>
                      <wps:wsp>
                        <wps:cNvPr id="68" name="AutoShape 24"/>
                        <wps:cNvCnPr>
                          <a:cxnSpLocks noChangeShapeType="1"/>
                        </wps:cNvCnPr>
                        <wps:spPr bwMode="auto">
                          <a:xfrm>
                            <a:off x="1805940" y="5334000"/>
                            <a:ext cx="1270" cy="231140"/>
                          </a:xfrm>
                          <a:prstGeom prst="straightConnector1">
                            <a:avLst/>
                          </a:prstGeom>
                          <a:noFill/>
                          <a:ln w="9525">
                            <a:solidFill>
                              <a:srgbClr val="000000"/>
                            </a:solidFill>
                            <a:round/>
                            <a:tailEnd type="arrow" w="med" len="med"/>
                          </a:ln>
                        </wps:spPr>
                        <wps:bodyPr/>
                      </wps:wsp>
                      <wps:wsp>
                        <wps:cNvPr id="69" name="AutoShape 169"/>
                        <wps:cNvCnPr>
                          <a:cxnSpLocks noChangeShapeType="1"/>
                        </wps:cNvCnPr>
                        <wps:spPr bwMode="auto">
                          <a:xfrm flipH="1">
                            <a:off x="1805940" y="2301240"/>
                            <a:ext cx="3176" cy="236220"/>
                          </a:xfrm>
                          <a:prstGeom prst="straightConnector1">
                            <a:avLst/>
                          </a:prstGeom>
                          <a:noFill/>
                          <a:ln w="9525">
                            <a:solidFill>
                              <a:srgbClr val="000000"/>
                            </a:solidFill>
                            <a:round/>
                            <a:tailEnd type="arrow" w="med" len="med"/>
                          </a:ln>
                        </wps:spPr>
                        <wps:bodyPr/>
                      </wps:wsp>
                      <wps:wsp>
                        <wps:cNvPr id="70" name="AutoShape 169"/>
                        <wps:cNvCnPr>
                          <a:cxnSpLocks noChangeShapeType="1"/>
                        </wps:cNvCnPr>
                        <wps:spPr bwMode="auto">
                          <a:xfrm>
                            <a:off x="1805940" y="3421380"/>
                            <a:ext cx="4444" cy="297180"/>
                          </a:xfrm>
                          <a:prstGeom prst="straightConnector1">
                            <a:avLst/>
                          </a:prstGeom>
                          <a:noFill/>
                          <a:ln w="9525">
                            <a:solidFill>
                              <a:srgbClr val="000000"/>
                            </a:solidFill>
                            <a:round/>
                            <a:tailEnd type="arrow" w="med" len="med"/>
                          </a:ln>
                        </wps:spPr>
                        <wps:bodyPr/>
                      </wps:wsp>
                      <wps:wsp>
                        <wps:cNvPr id="71" name="AutoShape 169"/>
                        <wps:cNvCnPr>
                          <a:cxnSpLocks noChangeShapeType="1"/>
                        </wps:cNvCnPr>
                        <wps:spPr bwMode="auto">
                          <a:xfrm flipH="1">
                            <a:off x="1805940" y="4175760"/>
                            <a:ext cx="3176" cy="266700"/>
                          </a:xfrm>
                          <a:prstGeom prst="straightConnector1">
                            <a:avLst/>
                          </a:prstGeom>
                          <a:noFill/>
                          <a:ln w="9525">
                            <a:solidFill>
                              <a:srgbClr val="000000"/>
                            </a:solidFill>
                            <a:round/>
                            <a:tailEnd type="arrow" w="med" len="med"/>
                          </a:ln>
                        </wps:spPr>
                        <wps:bodyPr/>
                      </wps:wsp>
                    </wpg:wgp>
                  </a:graphicData>
                </a:graphic>
              </wp:anchor>
            </w:drawing>
          </mc:Choice>
          <mc:Fallback xmlns:wpsCustomData="http://www.wps.cn/officeDocument/2013/wpsCustomData">
            <w:pict>
              <v:group id="_x0000_s1026" o:spid="_x0000_s1026" o:spt="203" style="position:absolute;left:0pt;margin-left:54.6pt;margin-top:41.9pt;height:602.6pt;width:374.4pt;z-index:251708416;mso-width-relative:page;mso-height-relative:page;" coordsize="4959350,7800340" o:gfxdata="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">
                <o:lock v:ext="edit" aspectratio="f"/>
                <v:shape id="流程图: 过程 6" o:spid="_x0000_s1026" o:spt="109" type="#_x0000_t109" style="position:absolute;left:716280;top:3718560;height:456565;width:2553970;v-text-anchor:middle;" filled="f" stroked="t" coordsize="21600,21600" o:gfxdata="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bMoNvwAAANsAAAAPAAAAAAAAAAEAIAAAADgAAABkcnMvZG93bnJl&#10;di54bWxQSwECFAAUAAAACACHTuJAMy8FnjsAAAA5AAAAEAAAAAAAAAABACAAAAAkAQAAZHJzL3No&#10;YXBleG1sLnhtbFBLBQYAAAAABgAGAFsBAADOAwAAAAA=&#10;">
                  <v:fill on="f" focussize="0,0"/>
                  <v:stroke weight="0.25pt" color="#000000" joinstyle="miter"/>
                  <v:imagedata o:title=""/>
                  <o:lock v:ext="edit" aspectratio="f"/>
                  <v:textbox>
                    <w:txbxContent>
                      <w:p>
                        <w:pPr>
                          <w:kinsoku w:val="0"/>
                          <w:overflowPunct w:val="0"/>
                          <w:spacing w:after="0" w:line="200" w:lineRule="exact"/>
                          <w:textAlignment w:val="baseline"/>
                        </w:pPr>
                        <w:r>
                          <w:rPr>
                            <w:rFonts w:hint="eastAsia" w:ascii="Calibri" w:cs="Times New Roman"/>
                            <w:color w:val="000000" w:themeColor="text1"/>
                            <w:kern w:val="24"/>
                            <w:sz w:val="16"/>
                            <w:szCs w:val="16"/>
                            <w14:textFill>
                              <w14:solidFill>
                                <w14:schemeClr w14:val="tx1"/>
                              </w14:solidFill>
                            </w14:textFill>
                          </w:rPr>
                          <w:t>对申报产品与对比器械技术特征和生物学特性的差异进行评价</w:t>
                        </w:r>
                      </w:p>
                    </w:txbxContent>
                  </v:textbox>
                </v:shape>
                <v:shape id="流程图: 决策 7" o:spid="_x0000_s1026" o:spt="110" type="#_x0000_t110" style="position:absolute;left:464820;top:4442460;height:893445;width:2698750;v-text-anchor:middle;" filled="f" stroked="t" coordsize="21600,21600" o:gfxdata="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3f6tUrcAAADaAAAADwAAAAAAAAABACAAAAA4AAAAZHJzL2Rvd25yZXYueG1sUEsB&#10;AhQAFAAAAAgAh07iQDMvBZ47AAAAOQAAABAAAAAAAAAAAQAgAAAAHAEAAGRycy9zaGFwZXhtbC54&#10;bWxQSwUGAAAAAAYABgBbAQAAxgMAAAAA&#10;">
                  <v:fill on="f" focussize="0,0"/>
                  <v:stroke weight="0.25pt" color="#000000" joinstyle="miter"/>
                  <v:imagedata o:title=""/>
                  <o:lock v:ext="edit" aspectratio="f"/>
                  <v:textbox inset="2.54mm,0mm,2.54mm,0mm">
                    <w:txbxContent>
                      <w:p>
                        <w:pPr>
                          <w:spacing w:after="0" w:line="200" w:lineRule="exact"/>
                          <w:jc w:val="center"/>
                          <w:rPr>
                            <w:rFonts w:ascii="Calibri" w:hAnsi="宋体" w:eastAsia="宋体" w:cs="Times New Roman"/>
                            <w:color w:val="000000" w:themeColor="text1"/>
                            <w:kern w:val="24"/>
                            <w:sz w:val="16"/>
                            <w:szCs w:val="16"/>
                            <w14:textFill>
                              <w14:solidFill>
                                <w14:schemeClr w14:val="tx1"/>
                              </w14:solidFill>
                            </w14:textFill>
                          </w:rPr>
                        </w:pPr>
                        <w:r>
                          <w:rPr>
                            <w:rFonts w:hint="eastAsia" w:ascii="Calibri" w:hAnsi="宋体" w:eastAsia="宋体" w:cs="Times New Roman"/>
                            <w:color w:val="000000" w:themeColor="text1"/>
                            <w:kern w:val="24"/>
                            <w:sz w:val="16"/>
                            <w:szCs w:val="16"/>
                            <w14:textFill>
                              <w14:solidFill>
                                <w14:schemeClr w14:val="tx1"/>
                              </w14:solidFill>
                            </w14:textFill>
                          </w:rPr>
                          <w:t>技术特征和生物学特性的差异是否引起不同的安全有效性问题</w:t>
                        </w:r>
                      </w:p>
                    </w:txbxContent>
                  </v:textbox>
                </v:shape>
                <v:shape id="流程图: 可选过程 17" o:spid="_x0000_s1026" o:spt="176" type="#_x0000_t176" style="position:absolute;left:3695669;top:967599;height:645929;width:1170295;v-text-anchor:middle;" filled="f" stroked="t" coordsize="21600,21600" o:gfxdata="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9WX3LoAAADaAAAADwAAAAAAAAABACAAAAA4AAAAZHJzL2Rvd25yZXYueG1s&#10;UEsBAhQAFAAAAAgAh07iQDMvBZ47AAAAOQAAABAAAAAAAAAAAQAgAAAAHwEAAGRycy9zaGFwZXht&#10;bC54bWxQSwUGAAAAAAYABgBbAQAAyQMAAAAA&#10;">
                  <v:fill on="f" focussize="0,0"/>
                  <v:stroke weight="0.25pt" color="#000000" joinstyle="miter"/>
                  <v:imagedata o:title=""/>
                  <o:lock v:ext="edit" aspectratio="f"/>
                  <v:textbox inset="2.54mm,0mm,2.54mm,0mm">
                    <w:txbxContent>
                      <w:p>
                        <w:pPr>
                          <w:kinsoku w:val="0"/>
                          <w:overflowPunct w:val="0"/>
                          <w:spacing w:after="0" w:line="200" w:lineRule="exact"/>
                          <w:jc w:val="left"/>
                          <w:textAlignment w:val="baseline"/>
                        </w:pPr>
                        <w:r>
                          <w:rPr>
                            <w:rFonts w:hint="eastAsia" w:ascii="Calibri" w:cs="Times New Roman"/>
                            <w:color w:val="000000" w:themeColor="text1"/>
                            <w:kern w:val="24"/>
                            <w:sz w:val="16"/>
                            <w:szCs w:val="16"/>
                            <w14:textFill>
                              <w14:solidFill>
                                <w14:schemeClr w14:val="tx1"/>
                              </w14:solidFill>
                            </w14:textFill>
                          </w:rPr>
                          <w:t>不能证明申报产品与所选对比器械的等同性，不能视为等</w:t>
                        </w:r>
                        <w:r>
                          <w:rPr>
                            <w:rFonts w:hint="eastAsia" w:ascii="Calibri" w:cs="Times New Roman"/>
                            <w:color w:val="000000" w:themeColor="text1"/>
                            <w:kern w:val="24"/>
                            <w:sz w:val="16"/>
                            <w:szCs w:val="16"/>
                            <w:lang w:eastAsia="zh-CN"/>
                            <w14:textFill>
                              <w14:solidFill>
                                <w14:schemeClr w14:val="tx1"/>
                              </w14:solidFill>
                            </w14:textFill>
                          </w:rPr>
                          <w:t>同器械</w:t>
                        </w:r>
                      </w:p>
                    </w:txbxContent>
                  </v:textbox>
                </v:shape>
                <v:shape id="流程图: 过程 6" o:spid="_x0000_s1026" o:spt="109" type="#_x0000_t109" style="position:absolute;left:624840;top:5562600;height:443230;width:2517775;v-text-anchor:middle;" filled="f" stroked="t" coordsize="21600,21600" o:gfxdata="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1hWi+7AAAA2gAAAA8AAAAAAAAAAQAgAAAAOAAAAGRycy9kb3ducmV2Lnht&#10;bFBLAQIUABQAAAAIAIdO4kAzLwWeOwAAADkAAAAQAAAAAAAAAAEAIAAAACABAABkcnMvc2hhcGV4&#10;bWwueG1sUEsFBgAAAAAGAAYAWwEAAMoDAAAAAA==&#10;">
                  <v:fill on="f" focussize="0,0"/>
                  <v:stroke weight="0.25pt" color="#000000" joinstyle="miter"/>
                  <v:imagedata o:title=""/>
                  <o:lock v:ext="edit" aspectratio="f"/>
                  <v:textbox inset="2.54mm,7.08669291338583pt,2.54mm,0.0787412510936133in">
                    <w:txbxContent>
                      <w:p>
                        <w:pPr>
                          <w:spacing w:line="200" w:lineRule="exact"/>
                          <w:jc w:val="center"/>
                        </w:pPr>
                        <w:r>
                          <w:rPr>
                            <w:rFonts w:hint="eastAsia" w:ascii="Calibri" w:cs="Times New Roman"/>
                            <w:color w:val="000000" w:themeColor="text1"/>
                            <w:kern w:val="24"/>
                            <w:sz w:val="16"/>
                            <w:szCs w:val="16"/>
                            <w14:textFill>
                              <w14:solidFill>
                                <w14:schemeClr w14:val="tx1"/>
                              </w14:solidFill>
                            </w14:textFill>
                          </w:rPr>
                          <w:t>申报产品与对比器械具有相似的技术特征和生物学特性</w:t>
                        </w:r>
                      </w:p>
                    </w:txbxContent>
                  </v:textbox>
                </v:shape>
                <v:shape id="文本框 175" o:spid="_x0000_s1026" o:spt="202" type="#_x0000_t202" style="position:absolute;left:1836420;top:1554480;height:271145;width:311785;" filled="f" stroked="f" coordsize="21600,21600" o:gfxdata="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HVqU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spacing w:after="0"/>
                          <w:rPr>
                            <w:sz w:val="16"/>
                            <w:szCs w:val="16"/>
                          </w:rPr>
                        </w:pPr>
                        <w:r>
                          <w:rPr>
                            <w:rFonts w:hint="eastAsia"/>
                            <w:color w:val="000000" w:themeColor="text1"/>
                            <w:kern w:val="24"/>
                            <w:sz w:val="16"/>
                            <w:szCs w:val="16"/>
                            <w14:textFill>
                              <w14:solidFill>
                                <w14:schemeClr w14:val="tx1"/>
                              </w14:solidFill>
                            </w14:textFill>
                          </w:rPr>
                          <w:t>是</w:t>
                        </w:r>
                      </w:p>
                    </w:txbxContent>
                  </v:textbox>
                </v:shape>
                <v:shape id="文本框 177" o:spid="_x0000_s1026" o:spt="202" type="#_x0000_t202" style="position:absolute;left:0;top:2695719;height:421005;width:467360;" filled="f" stroked="f" coordsize="21600,21600" o:gfxdata="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8Uf8P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spacing w:after="0"/>
                          <w:rPr>
                            <w:sz w:val="16"/>
                            <w:szCs w:val="16"/>
                          </w:rPr>
                        </w:pPr>
                        <w:r>
                          <w:rPr>
                            <w:rFonts w:hint="eastAsia"/>
                            <w:color w:val="000000" w:themeColor="text1"/>
                            <w:kern w:val="24"/>
                            <w:sz w:val="16"/>
                            <w:szCs w:val="16"/>
                            <w14:textFill>
                              <w14:solidFill>
                                <w14:schemeClr w14:val="tx1"/>
                              </w14:solidFill>
                            </w14:textFill>
                          </w:rPr>
                          <w:t>是</w:t>
                        </w:r>
                      </w:p>
                    </w:txbxContent>
                  </v:textbox>
                </v:shape>
                <v:shape id="文本框 179" o:spid="_x0000_s1026" o:spt="202" type="#_x0000_t202" style="position:absolute;left:1851660;top:7002780;height:421005;width:487045;" filled="f" stroked="f" coordsize="21600,21600" o:gfxdata="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g2F4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spacing w:after="0"/>
                          <w:rPr>
                            <w:sz w:val="16"/>
                            <w:szCs w:val="16"/>
                          </w:rPr>
                        </w:pPr>
                        <w:r>
                          <w:rPr>
                            <w:rFonts w:hint="eastAsia"/>
                            <w:color w:val="000000" w:themeColor="text1"/>
                            <w:kern w:val="24"/>
                            <w:sz w:val="16"/>
                            <w:szCs w:val="16"/>
                            <w14:textFill>
                              <w14:solidFill>
                                <w14:schemeClr w14:val="tx1"/>
                              </w14:solidFill>
                            </w14:textFill>
                          </w:rPr>
                          <w:t>是</w:t>
                        </w:r>
                      </w:p>
                    </w:txbxContent>
                  </v:textbox>
                </v:shape>
                <v:shape id="文本框 180" o:spid="_x0000_s1026" o:spt="202" type="#_x0000_t202" style="position:absolute;left:3160553;top:924251;height:421005;width:487045;" filled="f" stroked="f" coordsize="21600,21600" o:gfxdata="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8/E47oAAADaAAAADwAAAAAAAAABACAAAAA4AAAAZHJzL2Rvd25yZXYueG1s&#10;UEsBAhQAFAAAAAgAh07iQDMvBZ47AAAAOQAAABAAAAAAAAAAAQAgAAAAHwEAAGRycy9zaGFwZXht&#10;bC54bWxQSwUGAAAAAAYABgBbAQAAyQMAAAAA&#10;">
                  <v:fill on="f" focussize="0,0"/>
                  <v:stroke on="f"/>
                  <v:imagedata o:title=""/>
                  <o:lock v:ext="edit" aspectratio="f"/>
                  <v:textbox>
                    <w:txbxContent>
                      <w:p>
                        <w:pPr>
                          <w:spacing w:after="0"/>
                          <w:rPr>
                            <w:sz w:val="16"/>
                            <w:szCs w:val="16"/>
                          </w:rPr>
                        </w:pPr>
                        <w:r>
                          <w:rPr>
                            <w:rFonts w:hint="eastAsia"/>
                            <w:color w:val="000000" w:themeColor="text1"/>
                            <w:kern w:val="24"/>
                            <w:sz w:val="16"/>
                            <w:szCs w:val="16"/>
                            <w14:textFill>
                              <w14:solidFill>
                                <w14:schemeClr w14:val="tx1"/>
                              </w14:solidFill>
                            </w14:textFill>
                          </w:rPr>
                          <w:t>否</w:t>
                        </w:r>
                      </w:p>
                    </w:txbxContent>
                  </v:textbox>
                </v:shape>
                <v:shape id="文本框 182" o:spid="_x0000_s1026" o:spt="202" type="#_x0000_t202" style="position:absolute;left:3241039;top:6417321;height:421005;width:487045;" filled="f" stroked="f" coordsize="21600,21600" o:gfxdata="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&#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JQUJG4AAAA2gAAAA8AAAAAAAAAAQAgAAAAOAAAAGRycy9kb3ducmV2LnhtbFBL&#10;AQIUABQAAAAIAIdO4kAzLwWeOwAAADkAAAAQAAAAAAAAAAEAIAAAAB0BAABkcnMvc2hhcGV4bWwu&#10;eG1sUEsFBgAAAAAGAAYAWwEAAMcDAAAAAA==&#10;">
                  <v:fill on="f" focussize="0,0"/>
                  <v:stroke on="f"/>
                  <v:imagedata o:title=""/>
                  <o:lock v:ext="edit" aspectratio="f"/>
                  <v:textbox>
                    <w:txbxContent>
                      <w:p>
                        <w:pPr>
                          <w:spacing w:after="0"/>
                          <w:rPr>
                            <w:sz w:val="16"/>
                            <w:szCs w:val="16"/>
                          </w:rPr>
                        </w:pPr>
                        <w:r>
                          <w:rPr>
                            <w:rFonts w:hint="eastAsia"/>
                            <w:color w:val="000000" w:themeColor="text1"/>
                            <w:kern w:val="24"/>
                            <w:sz w:val="16"/>
                            <w:szCs w:val="16"/>
                            <w14:textFill>
                              <w14:solidFill>
                                <w14:schemeClr w14:val="tx1"/>
                              </w14:solidFill>
                            </w14:textFill>
                          </w:rPr>
                          <w:t>否</w:t>
                        </w:r>
                      </w:p>
                    </w:txbxContent>
                  </v:textbox>
                </v:shape>
                <v:shape id="文本框 183" o:spid="_x0000_s1026" o:spt="202" type="#_x0000_t202" style="position:absolute;left:1813560;top:3421380;height:285750;width:462915;" filled="f" stroked="f" coordsize="21600,21600" o:gfxdata="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9HPUK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spacing w:after="0"/>
                          <w:rPr>
                            <w:sz w:val="16"/>
                            <w:szCs w:val="16"/>
                          </w:rPr>
                        </w:pPr>
                        <w:r>
                          <w:rPr>
                            <w:rFonts w:hint="eastAsia"/>
                            <w:color w:val="000000" w:themeColor="text1"/>
                            <w:kern w:val="24"/>
                            <w:sz w:val="16"/>
                            <w:szCs w:val="16"/>
                            <w14:textFill>
                              <w14:solidFill>
                                <w14:schemeClr w14:val="tx1"/>
                              </w14:solidFill>
                            </w14:textFill>
                          </w:rPr>
                          <w:t>否</w:t>
                        </w:r>
                      </w:p>
                    </w:txbxContent>
                  </v:textbox>
                </v:shape>
                <v:shape id="文本框 184" o:spid="_x0000_s1026" o:spt="202" type="#_x0000_t202" style="position:absolute;left:3208654;top:4652983;height:421005;width:487045;" filled="f" stroked="f" coordsize="21600,21600" o:gfxdata="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7OG9r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spacing w:after="0"/>
                          <w:rPr>
                            <w:sz w:val="16"/>
                            <w:szCs w:val="16"/>
                          </w:rPr>
                        </w:pPr>
                        <w:r>
                          <w:rPr>
                            <w:rFonts w:hint="eastAsia"/>
                            <w:color w:val="000000" w:themeColor="text1"/>
                            <w:kern w:val="24"/>
                            <w:sz w:val="16"/>
                            <w:szCs w:val="16"/>
                            <w14:textFill>
                              <w14:solidFill>
                                <w14:schemeClr w14:val="tx1"/>
                              </w14:solidFill>
                            </w14:textFill>
                          </w:rPr>
                          <w:t>是</w:t>
                        </w:r>
                      </w:p>
                    </w:txbxContent>
                  </v:textbox>
                </v:shape>
                <v:shape id="流程图: 决策 9" o:spid="_x0000_s1026" o:spt="110" type="#_x0000_t110" style="position:absolute;left:419100;top:6233160;height:836930;width:2814320;v-text-anchor:middle;" filled="f" stroked="t" coordsize="21600,21600" o:gfxdata="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z1VvAAAANsAAAAPAAAAAAAAAAEAIAAAADgAAABkcnMvZG93bnJldi54&#10;bWxQSwECFAAUAAAACACHTuJAMy8FnjsAAAA5AAAAEAAAAAAAAAABACAAAAAhAQAAZHJzL3NoYXBl&#10;eG1sLnhtbFBLBQYAAAAABgAGAFsBAADLAwAAAAA=&#10;">
                  <v:fill on="f" focussize="0,0"/>
                  <v:stroke weight="0.25pt" color="#000000" joinstyle="miter"/>
                  <v:imagedata o:title=""/>
                  <o:lock v:ext="edit" aspectratio="f"/>
                  <v:textbox>
                    <w:txbxContent>
                      <w:p>
                        <w:pPr>
                          <w:kinsoku w:val="0"/>
                          <w:overflowPunct w:val="0"/>
                          <w:spacing w:after="0" w:line="180" w:lineRule="exact"/>
                          <w:jc w:val="center"/>
                          <w:textAlignment w:val="baseline"/>
                          <w:rPr>
                            <w:rFonts w:ascii="Calibri" w:cs="Times New Roman"/>
                            <w:color w:val="000000" w:themeColor="text1"/>
                            <w:kern w:val="24"/>
                            <w:sz w:val="16"/>
                            <w:szCs w:val="16"/>
                            <w14:textFill>
                              <w14:solidFill>
                                <w14:schemeClr w14:val="tx1"/>
                              </w14:solidFill>
                            </w14:textFill>
                          </w:rPr>
                        </w:pPr>
                        <w:r>
                          <w:rPr>
                            <w:rFonts w:hint="eastAsia" w:ascii="Calibri" w:cs="Times New Roman"/>
                            <w:color w:val="000000" w:themeColor="text1"/>
                            <w:kern w:val="24"/>
                            <w:sz w:val="16"/>
                            <w:szCs w:val="16"/>
                            <w14:textFill>
                              <w14:solidFill>
                                <w14:schemeClr w14:val="tx1"/>
                              </w14:solidFill>
                            </w14:textFill>
                          </w:rPr>
                          <w:t>是否有充分的科学证据证明申报产品与对比器械具有相同的安全有效性</w:t>
                        </w:r>
                      </w:p>
                    </w:txbxContent>
                  </v:textbox>
                </v:shape>
                <v:shape id="流程图: 可选过程 25" o:spid="_x0000_s1026" o:spt="176" type="#_x0000_t176" style="position:absolute;left:3718560;top:4640580;height:490220;width:1198245;v-text-anchor:middle;" filled="f" stroked="t" coordsize="21600,21600" o:gfxdata="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ouSLoAAADbAAAADwAAAAAAAAABACAAAAA4AAAAZHJzL2Rvd25yZXYueG1s&#10;UEsBAhQAFAAAAAgAh07iQDMvBZ47AAAAOQAAABAAAAAAAAAAAQAgAAAAHwEAAGRycy9zaGFwZXht&#10;bC54bWxQSwUGAAAAAAYABgBbAQAAyQMAAAAA&#10;">
                  <v:fill on="f" focussize="0,0"/>
                  <v:stroke weight="0.25pt" color="#000000" joinstyle="miter"/>
                  <v:imagedata o:title=""/>
                  <o:lock v:ext="edit" aspectratio="f"/>
                  <v:textbox>
                    <w:txbxContent>
                      <w:p>
                        <w:pPr>
                          <w:kinsoku w:val="0"/>
                          <w:overflowPunct w:val="0"/>
                          <w:spacing w:after="0" w:line="200" w:lineRule="exact"/>
                          <w:jc w:val="center"/>
                          <w:textAlignment w:val="baseline"/>
                        </w:pPr>
                        <w:r>
                          <w:rPr>
                            <w:rFonts w:hint="eastAsia" w:ascii="Calibri" w:cs="Times New Roman"/>
                            <w:color w:val="000000" w:themeColor="text1"/>
                            <w:kern w:val="24"/>
                            <w:sz w:val="16"/>
                            <w:szCs w:val="16"/>
                            <w14:textFill>
                              <w14:solidFill>
                                <w14:schemeClr w14:val="tx1"/>
                              </w14:solidFill>
                            </w14:textFill>
                          </w:rPr>
                          <w:t>建议更换对比器械</w:t>
                        </w:r>
                      </w:p>
                    </w:txbxContent>
                  </v:textbox>
                </v:shape>
                <v:shape id="流程图: 可选过程 27" o:spid="_x0000_s1026" o:spt="176" type="#_x0000_t176" style="position:absolute;left:3726180;top:6416040;height:476250;width:1233170;v-text-anchor:middle;" filled="f" stroked="t" coordsize="21600,21600" o:gfxdata="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AcxtLoAAADbAAAADwAAAAAAAAABACAAAAA4AAAAZHJzL2Rvd25yZXYueG1s&#10;UEsBAhQAFAAAAAgAh07iQDMvBZ47AAAAOQAAABAAAAAAAAAAAQAgAAAAHwEAAGRycy9zaGFwZXht&#10;bC54bWxQSwUGAAAAAAYABgBbAQAAyQMAAAAA&#10;">
                  <v:fill on="f" focussize="0,0"/>
                  <v:stroke weight="0.25pt" color="#000000" joinstyle="miter"/>
                  <v:imagedata o:title=""/>
                  <o:lock v:ext="edit" aspectratio="f"/>
                  <v:textbox inset="7.08669291338583pt,0mm,2.54mm,0mm">
                    <w:txbxContent>
                      <w:p>
                        <w:pPr>
                          <w:kinsoku w:val="0"/>
                          <w:overflowPunct w:val="0"/>
                          <w:spacing w:after="0" w:line="200" w:lineRule="exact"/>
                          <w:jc w:val="center"/>
                          <w:textAlignment w:val="baseline"/>
                        </w:pPr>
                        <w:r>
                          <w:rPr>
                            <w:rFonts w:hint="eastAsia" w:ascii="Calibri" w:cs="Times New Roman"/>
                            <w:color w:val="000000" w:themeColor="text1"/>
                            <w:kern w:val="24"/>
                            <w:sz w:val="16"/>
                            <w:szCs w:val="16"/>
                            <w14:textFill>
                              <w14:solidFill>
                                <w14:schemeClr w14:val="tx1"/>
                              </w14:solidFill>
                            </w14:textFill>
                          </w:rPr>
                          <w:t>不能证明申报产品与所选对比器械的等同性</w:t>
                        </w:r>
                      </w:p>
                    </w:txbxContent>
                  </v:textbox>
                </v:shape>
                <v:roundrect id="流程图: 过程 19" o:spid="_x0000_s1026" o:spt="2" style="position:absolute;left:586740;top:7231380;height:568960;width:2525395;v-text-anchor:middle;" filled="f" stroked="t" coordsize="21600,21600" arcsize="0.166666666666667" o:gfxdata="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hkHIO7AAAA2wAAAA8AAAAAAAAAAQAgAAAAOAAAAGRycy9kb3ducmV2Lnht&#10;bFBLAQIUABQAAAAIAIdO4kAzLwWeOwAAADkAAAAQAAAAAAAAAAEAIAAAACABAABkcnMvc2hhcGV4&#10;bWwueG1sUEsFBgAAAAAGAAYAWwEAAMoDAAAAAA==&#10;">
                  <v:fill on="f" focussize="0,0"/>
                  <v:stroke weight="0.25pt" color="#000000" joinstyle="miter"/>
                  <v:imagedata o:title=""/>
                  <o:lock v:ext="edit" aspectratio="f"/>
                  <v:textbox>
                    <w:txbxContent>
                      <w:p>
                        <w:pPr>
                          <w:kinsoku w:val="0"/>
                          <w:overflowPunct w:val="0"/>
                          <w:spacing w:after="0"/>
                          <w:jc w:val="center"/>
                          <w:textAlignment w:val="baseline"/>
                        </w:pPr>
                        <w:r>
                          <w:rPr>
                            <w:rFonts w:hint="eastAsia" w:ascii="Calibri" w:cs="Times New Roman"/>
                            <w:color w:val="000000" w:themeColor="text1"/>
                            <w:kern w:val="24"/>
                            <w:sz w:val="16"/>
                            <w:szCs w:val="16"/>
                            <w14:textFill>
                              <w14:solidFill>
                                <w14:schemeClr w14:val="tx1"/>
                              </w14:solidFill>
                            </w14:textFill>
                          </w:rPr>
                          <w:t>对比器械通过论证可视为等同器械，可使用等同</w:t>
                        </w:r>
                        <w:r>
                          <w:rPr>
                            <w:rFonts w:hint="eastAsia" w:ascii="Calibri" w:cs="Times New Roman"/>
                            <w:color w:val="000000" w:themeColor="text1"/>
                            <w:kern w:val="24"/>
                            <w:sz w:val="16"/>
                            <w:szCs w:val="16"/>
                            <w:lang w:eastAsia="zh-CN"/>
                            <w14:textFill>
                              <w14:solidFill>
                                <w14:schemeClr w14:val="tx1"/>
                              </w14:solidFill>
                            </w14:textFill>
                          </w:rPr>
                          <w:t>器械</w:t>
                        </w:r>
                        <w:r>
                          <w:rPr>
                            <w:rFonts w:hint="eastAsia" w:ascii="Calibri" w:cs="Times New Roman"/>
                            <w:color w:val="000000" w:themeColor="text1"/>
                            <w:kern w:val="24"/>
                            <w:sz w:val="16"/>
                            <w:szCs w:val="16"/>
                            <w14:textFill>
                              <w14:solidFill>
                                <w14:schemeClr w14:val="tx1"/>
                              </w14:solidFill>
                            </w14:textFill>
                          </w:rPr>
                          <w:t>的临床</w:t>
                        </w:r>
                        <w:r>
                          <w:rPr>
                            <w:rFonts w:ascii="Calibri" w:cs="Times New Roman"/>
                            <w:color w:val="000000" w:themeColor="text1"/>
                            <w:kern w:val="24"/>
                            <w:sz w:val="16"/>
                            <w:szCs w:val="16"/>
                            <w14:textFill>
                              <w14:solidFill>
                                <w14:schemeClr w14:val="tx1"/>
                              </w14:solidFill>
                            </w14:textFill>
                          </w:rPr>
                          <w:t>数据进行</w:t>
                        </w:r>
                        <w:r>
                          <w:rPr>
                            <w:rFonts w:hint="eastAsia" w:ascii="Calibri" w:cs="Times New Roman"/>
                            <w:color w:val="000000" w:themeColor="text1"/>
                            <w:kern w:val="24"/>
                            <w:sz w:val="16"/>
                            <w:szCs w:val="16"/>
                            <w14:textFill>
                              <w14:solidFill>
                                <w14:schemeClr w14:val="tx1"/>
                              </w14:solidFill>
                            </w14:textFill>
                          </w:rPr>
                          <w:t>临床</w:t>
                        </w:r>
                        <w:r>
                          <w:rPr>
                            <w:rFonts w:ascii="Calibri" w:cs="Times New Roman"/>
                            <w:color w:val="000000" w:themeColor="text1"/>
                            <w:kern w:val="24"/>
                            <w:sz w:val="16"/>
                            <w:szCs w:val="16"/>
                            <w14:textFill>
                              <w14:solidFill>
                                <w14:schemeClr w14:val="tx1"/>
                              </w14:solidFill>
                            </w14:textFill>
                          </w:rPr>
                          <w:t>评价。</w:t>
                        </w:r>
                      </w:p>
                    </w:txbxContent>
                  </v:textbox>
                </v:roundrect>
                <v:shape id="AutoShape 168" o:spid="_x0000_s1026" o:spt="32" type="#_x0000_t32" style="position:absolute;left:1676400;top:594360;height:0;width:274955;rotation:5898240f;" filled="f" stroked="t" coordsize="21600,21600" o:gfxdata="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tAzvAAAANsAAAAPAAAAAAAAAAEAIAAAADgAAABkcnMvZG93bnJldi54&#10;bWxQSwECFAAUAAAACACHTuJAMy8FnjsAAAA5AAAAEAAAAAAAAAABACAAAAAhAQAAZHJzL3NoYXBl&#10;eG1sLnhtbFBLBQYAAAAABgAGAFsBAADLAwAAAAA=&#10;">
                  <v:fill on="f" focussize="0,0"/>
                  <v:stroke color="#000000" joinstyle="round" endarrow="open"/>
                  <v:imagedata o:title=""/>
                  <o:lock v:ext="edit" aspectratio="f"/>
                </v:shape>
                <v:shape id="AutoShape 169" o:spid="_x0000_s1026" o:spt="32" type="#_x0000_t32" style="position:absolute;left:1813560;top:1623060;flip:x;height:208915;width:3175;" filled="f" stroked="t" coordsize="21600,21600" o:gfxdata="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EJYL70AAADbAAAADwAAAAAAAAABACAAAAA4AAAAZHJzL2Rvd25yZXYu&#10;eG1sUEsBAhQAFAAAAAgAh07iQDMvBZ47AAAAOQAAABAAAAAAAAAAAQAgAAAAIgEAAGRycy9zaGFw&#10;ZXhtbC54bWxQSwUGAAAAAAYABgBbAQAAzAMAAAAA&#10;">
                  <v:fill on="f" focussize="0,0"/>
                  <v:stroke color="#000000" joinstyle="round" endarrow="open"/>
                  <v:imagedata o:title=""/>
                  <o:lock v:ext="edit" aspectratio="f"/>
                </v:shape>
                <v:shape id="AutoShape 174" o:spid="_x0000_s1026" o:spt="32" type="#_x0000_t32" style="position:absolute;left:3162300;top:1181100;height:0;width:533400;" filled="f" stroked="t" coordsize="21600,21600" o:gfxdata="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Ll/Ku7AAAA2wAAAA8AAAAAAAAAAQAgAAAAOAAAAGRycy9kb3ducmV2Lnht&#10;bFBLAQIUABQAAAAIAIdO4kAzLwWeOwAAADkAAAAQAAAAAAAAAAEAIAAAACABAABkcnMvc2hhcGV4&#10;bWwueG1sUEsFBgAAAAAGAAYAWwEAAMoDAAAAAA==&#10;">
                  <v:fill on="f" focussize="0,0"/>
                  <v:stroke color="#000000" joinstyle="round" endarrow="open"/>
                  <v:imagedata o:title=""/>
                  <o:lock v:ext="edit" aspectratio="f"/>
                </v:shape>
                <v:shape id="直接箭头连接符 54" o:spid="_x0000_s1026" o:spt="32" type="#_x0000_t32" style="position:absolute;left:3878580;top:6568440;height:0;width:0;" filled="f" stroked="t" coordsize="21600,21600" o:gfxdata="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CDgh8AAAADbAAAADwAAAAAAAAABACAAAAA4AAAAZHJzL2Rvd25y&#10;ZXYueG1sUEsBAhQAFAAAAAgAh07iQDMvBZ47AAAAOQAAABAAAAAAAAAAAQAgAAAAJQEAAGRycy9z&#10;aGFwZXhtbC54bWxQSwUGAAAAAAYABgBbAQAAzwMAAAAA&#10;">
                  <v:fill on="f" focussize="0,0"/>
                  <v:stroke color="#457BBA" joinstyle="round" endarrow="open"/>
                  <v:imagedata o:title=""/>
                  <o:lock v:ext="edit" aspectratio="f"/>
                </v:shape>
                <v:shape id="AutoShape 176" o:spid="_x0000_s1026" o:spt="32" type="#_x0000_t32" style="position:absolute;left:1836420;top:7071360;flip:x;height:163830;width:635;" filled="f" stroked="t" coordsize="21600,21600" o:gfxdata="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6vAW70AAADbAAAADwAAAAAAAAABACAAAAA4AAAAZHJzL2Rvd25yZXYu&#10;eG1sUEsBAhQAFAAAAAgAh07iQDMvBZ47AAAAOQAAABAAAAAAAAAAAQAgAAAAIgEAAGRycy9zaGFw&#10;ZXhtbC54bWxQSwUGAAAAAAYABgBbAQAAzAMAAAAA&#10;">
                  <v:fill on="f" focussize="0,0"/>
                  <v:stroke color="#000000" joinstyle="round" endarrow="open"/>
                  <v:imagedata o:title=""/>
                  <o:lock v:ext="edit" aspectratio="f"/>
                </v:shape>
                <v:shape id="AutoShape 177" o:spid="_x0000_s1026" o:spt="34" type="#_x0000_t34" style="position:absolute;left:457200;top:2979420;flip:x y;height:4491990;width:128270;rotation:11796480f;" filled="f" stroked="t" coordsize="21600,21600" o:gfxdata="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jFdNivAAAANsAAAAPAAAAAAAAAAEAIAAAADgAAABkcnMvZG93bnJldi54&#10;bWxQSwECFAAUAAAACACHTuJAMy8FnjsAAAA5AAAAEAAAAAAAAAABACAAAAAhAQAAZHJzL3NoYXBl&#10;eG1sLnhtbFBLBQYAAAAABgAGAFsBAADLAwAAAAA=&#10;" adj="-85010">
                  <v:fill on="f" focussize="0,0"/>
                  <v:stroke color="#000000" joinstyle="round" endarrow="open"/>
                  <v:imagedata o:title=""/>
                  <o:lock v:ext="edit" aspectratio="f"/>
                </v:shape>
                <v:shape id="AutoShape 178" o:spid="_x0000_s1026" o:spt="32" type="#_x0000_t32" style="position:absolute;left:3169920;top:4884420;height:0;width:548640;" filled="f" stroked="t" coordsize="21600,21600" o:gfxdata="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3e+qi7AAAA2wAAAA8AAAAAAAAAAQAgAAAAOAAAAGRycy9kb3ducmV2Lnht&#10;bFBLAQIUABQAAAAIAIdO4kAzLwWeOwAAADkAAAAQAAAAAAAAAAEAIAAAACABAABkcnMvc2hhcGV4&#10;bWwueG1sUEsFBgAAAAAGAAYAWwEAAMoDAAAAAA==&#10;">
                  <v:fill on="f" focussize="0,0"/>
                  <v:stroke color="#000000" joinstyle="round" endarrow="open"/>
                  <v:imagedata o:title=""/>
                  <o:lock v:ext="edit" aspectratio="f"/>
                </v:shape>
                <v:shape id="AutoShape 179" o:spid="_x0000_s1026" o:spt="32" type="#_x0000_t32" style="position:absolute;left:3223260;top:6652260;height:0;width:504825;" filled="f" stroked="t" coordsize="21600,21600" o:gfxdata="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&#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8QW7auQAAANsAAAAPAAAAAAAAAAEAIAAAADgAAABkcnMvZG93bnJldi54bWxQ&#10;SwECFAAUAAAACACHTuJAMy8FnjsAAAA5AAAAEAAAAAAAAAABACAAAAAeAQAAZHJzL3NoYXBleG1s&#10;LnhtbFBLBQYAAAAABgAGAFsBAADIAwAAAAA=&#10;">
                  <v:fill on="f" focussize="0,0"/>
                  <v:stroke color="#000000" joinstyle="round" endarrow="open"/>
                  <v:imagedata o:title=""/>
                  <o:lock v:ext="edit" aspectratio="f"/>
                </v:shape>
                <v:shape id="文本框 179" o:spid="_x0000_s1026" o:spt="202" type="#_x0000_t202" style="position:absolute;left:1851660;top:5334000;height:421005;width:487045;" filled="f" stroked="f" coordsize="21600,21600" o:gfxdata="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IBtqWuQAAANsAAAAPAAAAAAAAAAEAIAAAADgAAABkcnMvZG93bnJldi54bWxQ&#10;SwECFAAUAAAACACHTuJAMy8FnjsAAAA5AAAAEAAAAAAAAAABACAAAAAeAQAAZHJzL3NoYXBleG1s&#10;LnhtbFBLBQYAAAAABgAGAFsBAADIAwAAAAA=&#10;">
                  <v:fill on="f" focussize="0,0"/>
                  <v:stroke on="f"/>
                  <v:imagedata o:title=""/>
                  <o:lock v:ext="edit" aspectratio="f"/>
                  <v:textbox>
                    <w:txbxContent>
                      <w:p>
                        <w:pPr>
                          <w:spacing w:after="0"/>
                          <w:rPr>
                            <w:sz w:val="16"/>
                            <w:szCs w:val="16"/>
                          </w:rPr>
                        </w:pPr>
                        <w:r>
                          <w:rPr>
                            <w:rFonts w:hint="eastAsia"/>
                            <w:color w:val="000000" w:themeColor="text1"/>
                            <w:kern w:val="24"/>
                            <w:sz w:val="16"/>
                            <w:szCs w:val="16"/>
                            <w14:textFill>
                              <w14:solidFill>
                                <w14:schemeClr w14:val="tx1"/>
                              </w14:solidFill>
                            </w14:textFill>
                          </w:rPr>
                          <w:t>否</w:t>
                        </w:r>
                      </w:p>
                    </w:txbxContent>
                  </v:textbox>
                </v:shape>
                <v:shape id="AutoShape 181" o:spid="_x0000_s1026" o:spt="32" type="#_x0000_t32" style="position:absolute;left:1821180;top:6004560;height:231140;width:1270;" filled="f" stroked="t" coordsize="21600,21600" o:gfxdata="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KJRmr0AAADbAAAADwAAAAAAAAABACAAAAA4AAAAZHJzL2Rvd25yZXYu&#10;eG1sUEsBAhQAFAAAAAgAh07iQDMvBZ47AAAAOQAAABAAAAAAAAAAAQAgAAAAIgEAAGRycy9zaGFw&#10;ZXhtbC54bWxQSwUGAAAAAAYABgBbAQAAzAMAAAAA&#10;">
                  <v:fill on="f" focussize="0,0"/>
                  <v:stroke color="#000000" joinstyle="round" endarrow="open"/>
                  <v:imagedata o:title=""/>
                  <o:lock v:ext="edit" aspectratio="f"/>
                </v:shape>
                <v:shape id="流程图: 可选过程 17" o:spid="_x0000_s1026" o:spt="176" type="#_x0000_t176" style="position:absolute;left:670560;top:0;height:451485;width:2444115;v-text-anchor:middle;" filled="f" stroked="t" coordsize="21600,21600" o:gfxdata="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iaV7S7AAAA2wAAAA8AAAAAAAAAAQAgAAAAOAAAAGRycy9kb3ducmV2Lnht&#10;bFBLAQIUABQAAAAIAIdO4kAzLwWeOwAAADkAAAAQAAAAAAAAAAEAIAAAACABAABkcnMvc2hhcGV4&#10;bWwueG1sUEsFBgAAAAAGAAYAWwEAAMoDAAAAAA==&#10;">
                  <v:fill on="f" focussize="0,0"/>
                  <v:stroke weight="0.25pt" color="#000000" joinstyle="miter"/>
                  <v:imagedata o:title=""/>
                  <o:lock v:ext="edit" aspectratio="f"/>
                  <v:textbox inset="2.54mm,0mm,2.54mm,0mm">
                    <w:txbxContent>
                      <w:p>
                        <w:pPr>
                          <w:kinsoku w:val="0"/>
                          <w:overflowPunct w:val="0"/>
                          <w:spacing w:after="0" w:line="200" w:lineRule="exact"/>
                          <w:jc w:val="center"/>
                          <w:textAlignment w:val="baseline"/>
                        </w:pPr>
                        <w:r>
                          <w:rPr>
                            <w:rFonts w:hint="eastAsia" w:ascii="Calibri" w:cs="Times New Roman"/>
                            <w:color w:val="000000" w:themeColor="text1"/>
                            <w:kern w:val="24"/>
                            <w:sz w:val="16"/>
                            <w:szCs w:val="16"/>
                            <w14:textFill>
                              <w14:solidFill>
                                <w14:schemeClr w14:val="tx1"/>
                              </w14:solidFill>
                            </w14:textFill>
                          </w:rPr>
                          <w:t>结合产品研发背景，初步选择对比器械</w:t>
                        </w:r>
                      </w:p>
                    </w:txbxContent>
                  </v:textbox>
                </v:shape>
                <v:shape id="流程图: 决策 7" o:spid="_x0000_s1026" o:spt="110" type="#_x0000_t110" style="position:absolute;left:464820;top:731520;height:893445;width:2698750;v-text-anchor:middle;" filled="f" stroked="t" coordsize="21600,21600" o:gfxdata="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s6tufvAAAANsAAAAPAAAAAAAAAAEAIAAAADgAAABkcnMvZG93bnJldi54&#10;bWxQSwECFAAUAAAACACHTuJAMy8FnjsAAAA5AAAAEAAAAAAAAAABACAAAAAhAQAAZHJzL3NoYXBl&#10;eG1sLnhtbFBLBQYAAAAABgAGAFsBAADLAwAAAAA=&#10;">
                  <v:fill on="f" focussize="0,0"/>
                  <v:stroke weight="0.25pt" color="#000000" joinstyle="miter"/>
                  <v:imagedata o:title=""/>
                  <o:lock v:ext="edit" aspectratio="f"/>
                  <v:textbox inset="2.54mm,0mm,2.54mm,0mm">
                    <w:txbxContent>
                      <w:p>
                        <w:pPr>
                          <w:spacing w:after="0" w:line="200" w:lineRule="exact"/>
                          <w:jc w:val="center"/>
                          <w:rPr>
                            <w:rFonts w:ascii="Calibri" w:hAnsi="宋体" w:eastAsia="宋体" w:cs="Times New Roman"/>
                            <w:color w:val="000000" w:themeColor="text1"/>
                            <w:kern w:val="24"/>
                            <w:sz w:val="16"/>
                            <w:szCs w:val="16"/>
                            <w14:textFill>
                              <w14:solidFill>
                                <w14:schemeClr w14:val="tx1"/>
                              </w14:solidFill>
                            </w14:textFill>
                          </w:rPr>
                        </w:pPr>
                        <w:r>
                          <w:rPr>
                            <w:rFonts w:hint="eastAsia" w:ascii="Calibri" w:hAnsi="宋体" w:eastAsia="宋体" w:cs="Times New Roman"/>
                            <w:color w:val="000000" w:themeColor="text1"/>
                            <w:kern w:val="24"/>
                            <w:sz w:val="16"/>
                            <w:szCs w:val="16"/>
                            <w14:textFill>
                              <w14:solidFill>
                                <w14:schemeClr w14:val="tx1"/>
                              </w14:solidFill>
                            </w14:textFill>
                          </w:rPr>
                          <w:t>选择的对比器械与申报产品是否具有相同的适用范围</w:t>
                        </w:r>
                      </w:p>
                    </w:txbxContent>
                  </v:textbox>
                </v:shape>
                <v:shape id="流程图: 过程 6" o:spid="_x0000_s1026" o:spt="109" type="#_x0000_t109" style="position:absolute;left:563880;top:1821180;height:483235;width:2517775;v-text-anchor:middle;" filled="f" stroked="t" coordsize="21600,21600" o:gfxdata="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8Kw/jvAAAANsAAAAPAAAAAAAAAAEAIAAAADgAAABkcnMvZG93bnJldi54&#10;bWxQSwECFAAUAAAACACHTuJAMy8FnjsAAAA5AAAAEAAAAAAAAAABACAAAAAhAQAAZHJzL3NoYXBl&#10;eG1sLnhtbFBLBQYAAAAABgAGAFsBAADLAwAAAAA=&#10;">
                  <v:fill on="f" focussize="0,0"/>
                  <v:stroke weight="0.25pt" color="#000000" joinstyle="miter"/>
                  <v:imagedata o:title=""/>
                  <o:lock v:ext="edit" aspectratio="f"/>
                  <v:textbox inset="2.54mm,7.08669291338583pt,2.54mm,0.0787412510936133in">
                    <w:txbxContent>
                      <w:p>
                        <w:pPr>
                          <w:spacing w:line="200" w:lineRule="exact"/>
                          <w:jc w:val="center"/>
                        </w:pPr>
                        <w:r>
                          <w:rPr>
                            <w:rFonts w:hint="eastAsia" w:ascii="Calibri" w:cs="Times New Roman"/>
                            <w:color w:val="000000" w:themeColor="text1"/>
                            <w:kern w:val="24"/>
                            <w:sz w:val="16"/>
                            <w:szCs w:val="16"/>
                            <w14:textFill>
                              <w14:solidFill>
                                <w14:schemeClr w14:val="tx1"/>
                              </w14:solidFill>
                            </w14:textFill>
                          </w:rPr>
                          <w:t>将申报产品的技术特征和生物学特性与对比器械进行比对</w:t>
                        </w:r>
                      </w:p>
                    </w:txbxContent>
                  </v:textbox>
                </v:shape>
                <v:shape id="流程图: 决策 7" o:spid="_x0000_s1026" o:spt="110" type="#_x0000_t110" style="position:absolute;left:464820;top:2537460;height:893445;width:2698750;v-text-anchor:middle;" filled="f" stroked="t" coordsize="21600,21600" o:gfxdata="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zdOBzvAAAANsAAAAPAAAAAAAAAAEAIAAAADgAAABkcnMvZG93bnJldi54&#10;bWxQSwECFAAUAAAACACHTuJAMy8FnjsAAAA5AAAAEAAAAAAAAAABACAAAAAhAQAAZHJzL3NoYXBl&#10;eG1sLnhtbFBLBQYAAAAABgAGAFsBAADLAwAAAAA=&#10;">
                  <v:fill on="f" focussize="0,0"/>
                  <v:stroke weight="0.25pt" color="#000000" joinstyle="miter"/>
                  <v:imagedata o:title=""/>
                  <o:lock v:ext="edit" aspectratio="f"/>
                  <v:textbox inset="2.54mm,0mm,2.54mm,0mm">
                    <w:txbxContent>
                      <w:p>
                        <w:pPr>
                          <w:spacing w:after="0" w:line="200" w:lineRule="exact"/>
                          <w:jc w:val="center"/>
                          <w:rPr>
                            <w:rFonts w:ascii="Calibri" w:hAnsi="宋体" w:eastAsia="宋体" w:cs="Times New Roman"/>
                            <w:color w:val="000000" w:themeColor="text1"/>
                            <w:kern w:val="24"/>
                            <w:sz w:val="16"/>
                            <w:szCs w:val="16"/>
                            <w14:textFill>
                              <w14:solidFill>
                                <w14:schemeClr w14:val="tx1"/>
                              </w14:solidFill>
                            </w14:textFill>
                          </w:rPr>
                        </w:pPr>
                        <w:r>
                          <w:rPr>
                            <w:rFonts w:hint="eastAsia" w:ascii="Calibri" w:hAnsi="宋体" w:eastAsia="宋体" w:cs="Times New Roman"/>
                            <w:color w:val="000000" w:themeColor="text1"/>
                            <w:kern w:val="24"/>
                            <w:sz w:val="16"/>
                            <w:szCs w:val="16"/>
                            <w14:textFill>
                              <w14:solidFill>
                                <w14:schemeClr w14:val="tx1"/>
                              </w14:solidFill>
                            </w14:textFill>
                          </w:rPr>
                          <w:t>申报产品与对比器械是否具有相同的技术特征和生物学特性</w:t>
                        </w:r>
                      </w:p>
                    </w:txbxContent>
                  </v:textbox>
                </v:shape>
                <v:shape id="AutoShape 24" o:spid="_x0000_s1026" o:spt="32" type="#_x0000_t32" style="position:absolute;left:1805940;top:5334000;height:231140;width:1270;" filled="f" stroked="t" coordsize="21600,21600" o:gfxdata="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&#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qK9cauQAAANsAAAAPAAAAAAAAAAEAIAAAADgAAABkcnMvZG93bnJldi54bWxQ&#10;SwECFAAUAAAACACHTuJAMy8FnjsAAAA5AAAAEAAAAAAAAAABACAAAAAeAQAAZHJzL3NoYXBleG1s&#10;LnhtbFBLBQYAAAAABgAGAFsBAADIAwAAAAA=&#10;">
                  <v:fill on="f" focussize="0,0"/>
                  <v:stroke color="#000000" joinstyle="round" endarrow="open"/>
                  <v:imagedata o:title=""/>
                  <o:lock v:ext="edit" aspectratio="f"/>
                </v:shape>
                <v:shape id="AutoShape 169" o:spid="_x0000_s1026" o:spt="32" type="#_x0000_t32" style="position:absolute;left:1805940;top:2301240;flip:x;height:236220;width:3176;" filled="f" stroked="t" coordsize="21600,21600" o:gfxdata="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SMc56+AAAA2wAAAA8AAAAAAAAAAQAgAAAAOAAAAGRycy9kb3ducmV2&#10;LnhtbFBLAQIUABQAAAAIAIdO4kAzLwWeOwAAADkAAAAQAAAAAAAAAAEAIAAAACMBAABkcnMvc2hh&#10;cGV4bWwueG1sUEsFBgAAAAAGAAYAWwEAAM0DAAAAAA==&#10;">
                  <v:fill on="f" focussize="0,0"/>
                  <v:stroke color="#000000" joinstyle="round" endarrow="open"/>
                  <v:imagedata o:title=""/>
                  <o:lock v:ext="edit" aspectratio="f"/>
                </v:shape>
                <v:shape id="AutoShape 169" o:spid="_x0000_s1026" o:spt="32" type="#_x0000_t32" style="position:absolute;left:1805940;top:3421380;height:297180;width:4444;" filled="f" stroked="t" coordsize="21600,21600" o:gfxdata="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RhE3BuQAAANsAAAAPAAAAAAAAAAEAIAAAADgAAABkcnMvZG93bnJldi54bWxQ&#10;SwECFAAUAAAACACHTuJAMy8FnjsAAAA5AAAAEAAAAAAAAAABACAAAAAeAQAAZHJzL3NoYXBleG1s&#10;LnhtbFBLBQYAAAAABgAGAFsBAADIAwAAAAA=&#10;">
                  <v:fill on="f" focussize="0,0"/>
                  <v:stroke color="#000000" joinstyle="round" endarrow="open"/>
                  <v:imagedata o:title=""/>
                  <o:lock v:ext="edit" aspectratio="f"/>
                </v:shape>
                <v:shape id="AutoShape 169" o:spid="_x0000_s1026" o:spt="32" type="#_x0000_t32" style="position:absolute;left:1805940;top:4175760;flip:x;height:266700;width:3176;" filled="f" stroked="t" coordsize="21600,21600" o:gfxdata="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8j6UW+AAAA2wAAAA8AAAAAAAAAAQAgAAAAOAAAAGRycy9kb3ducmV2&#10;LnhtbFBLAQIUABQAAAAIAIdO4kAzLwWeOwAAADkAAAAQAAAAAAAAAAEAIAAAACMBAABkcnMvc2hh&#10;cGV4bWwueG1sUEsFBgAAAAAGAAYAWwEAAM0DAAAAAA==&#10;">
                  <v:fill on="f" focussize="0,0"/>
                  <v:stroke color="#000000" joinstyle="round" endarrow="open"/>
                  <v:imagedata o:title=""/>
                  <o:lock v:ext="edit" aspectratio="f"/>
                </v:shape>
              </v:group>
            </w:pict>
          </mc:Fallback>
        </mc:AlternateContent>
      </w:r>
      <w:r>
        <w:rPr>
          <w:rFonts w:ascii="Times New Roman" w:eastAsia="方正小标宋简体" w:hAnsi="Times New Roman" w:cs="Times New Roman"/>
          <w:sz w:val="44"/>
          <w:szCs w:val="44"/>
          <w:lang w:val="zh-CN"/>
        </w:rPr>
        <w:t>等同性论证流程图</w:t>
      </w: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widowControl w:val="0"/>
        <w:spacing w:after="0" w:line="580" w:lineRule="exact"/>
        <w:rPr>
          <w:rFonts w:ascii="Times New Roman" w:eastAsia="方正小标宋简体" w:hAnsi="Times New Roman" w:cs="Times New Roman"/>
          <w:sz w:val="24"/>
          <w:szCs w:val="24"/>
        </w:rPr>
      </w:pPr>
    </w:p>
    <w:p w:rsidR="00E1541F" w:rsidRDefault="00E1541F">
      <w:pPr>
        <w:rPr>
          <w:rFonts w:ascii="Times New Roman" w:hAnsi="Times New Roman" w:cs="Times New Roman"/>
        </w:rPr>
      </w:pPr>
      <w:bookmarkStart w:id="11" w:name="_GoBack"/>
      <w:bookmarkEnd w:id="11"/>
    </w:p>
    <w:sectPr w:rsidR="00E1541F">
      <w:headerReference w:type="even" r:id="rId8"/>
      <w:headerReference w:type="default" r:id="rId9"/>
      <w:footerReference w:type="even" r:id="rId10"/>
      <w:footerReference w:type="default" r:id="rId11"/>
      <w:pgSz w:w="11900" w:h="16838"/>
      <w:pgMar w:top="1928" w:right="1531" w:bottom="1814" w:left="1531" w:header="743" w:footer="850"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1A3" w:rsidRDefault="00F241A3">
      <w:pPr>
        <w:spacing w:line="240" w:lineRule="auto"/>
      </w:pPr>
      <w:r>
        <w:separator/>
      </w:r>
    </w:p>
  </w:endnote>
  <w:endnote w:type="continuationSeparator" w:id="0">
    <w:p w:rsidR="00F241A3" w:rsidRDefault="00F24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font>
  <w:font w:name="TimesNewRomanPS-ItalicMT">
    <w:altName w:val="Times New Roman"/>
    <w:charset w:val="00"/>
    <w:family w:val="roman"/>
    <w:pitch w:val="default"/>
  </w:font>
  <w:font w:name="Cambria">
    <w:altName w:val="FreeSerif"/>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F241A3">
    <w:pPr>
      <w:pStyle w:val="a6"/>
      <w:framePr w:wrap="around" w:vAnchor="text" w:hAnchor="margin" w:xAlign="outside" w:y="-248"/>
      <w:tabs>
        <w:tab w:val="clear" w:pos="4153"/>
        <w:tab w:val="clear" w:pos="8306"/>
        <w:tab w:val="center" w:pos="4320"/>
        <w:tab w:val="right" w:pos="8640"/>
      </w:tabs>
      <w:rPr>
        <w:rStyle w:val="ab"/>
        <w:sz w:val="28"/>
        <w:szCs w:val="28"/>
      </w:rPr>
    </w:pPr>
    <w:r>
      <w:rPr>
        <w:rStyle w:val="ab"/>
        <w:rFonts w:hint="eastAsia"/>
        <w:color w:val="FFFFFF"/>
        <w:sz w:val="28"/>
        <w:szCs w:val="28"/>
      </w:rPr>
      <w:t>啊</w:t>
    </w:r>
    <w:r>
      <w:rPr>
        <w:rStyle w:val="ab"/>
        <w:rFonts w:hint="eastAsia"/>
        <w:sz w:val="28"/>
        <w:szCs w:val="28"/>
      </w:rPr>
      <w:t>—</w:t>
    </w:r>
    <w:r>
      <w:rPr>
        <w:rStyle w:val="ab"/>
        <w:sz w:val="28"/>
        <w:szCs w:val="28"/>
      </w:rPr>
      <w:fldChar w:fldCharType="begin"/>
    </w:r>
    <w:r>
      <w:rPr>
        <w:rStyle w:val="ab"/>
        <w:sz w:val="28"/>
        <w:szCs w:val="28"/>
      </w:rPr>
      <w:instrText xml:space="preserve">PAGE  </w:instrText>
    </w:r>
    <w:r>
      <w:rPr>
        <w:rStyle w:val="ab"/>
        <w:sz w:val="28"/>
        <w:szCs w:val="28"/>
      </w:rPr>
      <w:fldChar w:fldCharType="separate"/>
    </w:r>
    <w:r>
      <w:rPr>
        <w:rStyle w:val="ab"/>
        <w:sz w:val="28"/>
        <w:szCs w:val="28"/>
      </w:rPr>
      <w:t>32</w:t>
    </w:r>
    <w:r>
      <w:rPr>
        <w:rStyle w:val="ab"/>
        <w:sz w:val="28"/>
        <w:szCs w:val="28"/>
      </w:rPr>
      <w:fldChar w:fldCharType="end"/>
    </w:r>
    <w:r>
      <w:rPr>
        <w:rStyle w:val="ab"/>
        <w:rFonts w:hint="eastAsia"/>
        <w:sz w:val="28"/>
        <w:szCs w:val="28"/>
      </w:rPr>
      <w:t>—</w:t>
    </w:r>
  </w:p>
  <w:p w:rsidR="00E1541F" w:rsidRDefault="00E1541F">
    <w:pPr>
      <w:pStyle w:val="a6"/>
      <w:tabs>
        <w:tab w:val="clear" w:pos="4153"/>
        <w:tab w:val="clear" w:pos="8306"/>
        <w:tab w:val="center" w:pos="4320"/>
        <w:tab w:val="right" w:pos="8640"/>
      </w:tabs>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058876"/>
    </w:sdtPr>
    <w:sdtEndPr/>
    <w:sdtContent>
      <w:p w:rsidR="00E1541F" w:rsidRDefault="00F241A3">
        <w:pPr>
          <w:pStyle w:val="a6"/>
          <w:tabs>
            <w:tab w:val="clear" w:pos="4153"/>
            <w:tab w:val="clear" w:pos="8306"/>
            <w:tab w:val="center" w:pos="4320"/>
            <w:tab w:val="right" w:pos="8640"/>
          </w:tabs>
          <w:jc w:val="center"/>
        </w:pPr>
      </w:p>
    </w:sdtContent>
  </w:sdt>
  <w:p w:rsidR="00E1541F" w:rsidRDefault="00E1541F">
    <w:pPr>
      <w:pStyle w:val="a6"/>
      <w:tabs>
        <w:tab w:val="clear" w:pos="4153"/>
        <w:tab w:val="clear" w:pos="8306"/>
        <w:tab w:val="center" w:pos="4320"/>
        <w:tab w:val="right" w:pos="8640"/>
      </w:tabs>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1A3" w:rsidRDefault="00F241A3">
      <w:pPr>
        <w:spacing w:line="240" w:lineRule="auto"/>
      </w:pPr>
      <w:r>
        <w:separator/>
      </w:r>
    </w:p>
  </w:footnote>
  <w:footnote w:type="continuationSeparator" w:id="0">
    <w:p w:rsidR="00F241A3" w:rsidRDefault="00F241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E1541F">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E1541F">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4C4"/>
    <w:multiLevelType w:val="multilevel"/>
    <w:tmpl w:val="026454C4"/>
    <w:lvl w:ilvl="0">
      <w:start w:val="1"/>
      <w:numFmt w:val="bullet"/>
      <w:lvlText w:val=""/>
      <w:lvlJc w:val="left"/>
      <w:pPr>
        <w:ind w:left="429" w:hanging="285"/>
      </w:pPr>
      <w:rPr>
        <w:rFonts w:ascii="Symbol" w:eastAsia="Symbol" w:hAnsi="Symbol" w:hint="default"/>
        <w:w w:val="99"/>
        <w:sz w:val="20"/>
        <w:szCs w:val="20"/>
      </w:rPr>
    </w:lvl>
    <w:lvl w:ilvl="1">
      <w:start w:val="1"/>
      <w:numFmt w:val="bullet"/>
      <w:lvlText w:val="•"/>
      <w:lvlJc w:val="left"/>
      <w:pPr>
        <w:ind w:left="672" w:hanging="285"/>
      </w:pPr>
      <w:rPr>
        <w:rFonts w:hint="default"/>
      </w:rPr>
    </w:lvl>
    <w:lvl w:ilvl="2">
      <w:start w:val="1"/>
      <w:numFmt w:val="bullet"/>
      <w:lvlText w:val="•"/>
      <w:lvlJc w:val="left"/>
      <w:pPr>
        <w:ind w:left="916" w:hanging="285"/>
      </w:pPr>
      <w:rPr>
        <w:rFonts w:hint="default"/>
      </w:rPr>
    </w:lvl>
    <w:lvl w:ilvl="3">
      <w:start w:val="1"/>
      <w:numFmt w:val="bullet"/>
      <w:lvlText w:val="•"/>
      <w:lvlJc w:val="left"/>
      <w:pPr>
        <w:ind w:left="1160" w:hanging="285"/>
      </w:pPr>
      <w:rPr>
        <w:rFonts w:hint="default"/>
      </w:rPr>
    </w:lvl>
    <w:lvl w:ilvl="4">
      <w:start w:val="1"/>
      <w:numFmt w:val="bullet"/>
      <w:lvlText w:val="•"/>
      <w:lvlJc w:val="left"/>
      <w:pPr>
        <w:ind w:left="1403" w:hanging="285"/>
      </w:pPr>
      <w:rPr>
        <w:rFonts w:hint="default"/>
      </w:rPr>
    </w:lvl>
    <w:lvl w:ilvl="5">
      <w:start w:val="1"/>
      <w:numFmt w:val="bullet"/>
      <w:lvlText w:val="•"/>
      <w:lvlJc w:val="left"/>
      <w:pPr>
        <w:ind w:left="1647" w:hanging="285"/>
      </w:pPr>
      <w:rPr>
        <w:rFonts w:hint="default"/>
      </w:rPr>
    </w:lvl>
    <w:lvl w:ilvl="6">
      <w:start w:val="1"/>
      <w:numFmt w:val="bullet"/>
      <w:lvlText w:val="•"/>
      <w:lvlJc w:val="left"/>
      <w:pPr>
        <w:ind w:left="1890" w:hanging="285"/>
      </w:pPr>
      <w:rPr>
        <w:rFonts w:hint="default"/>
      </w:rPr>
    </w:lvl>
    <w:lvl w:ilvl="7">
      <w:start w:val="1"/>
      <w:numFmt w:val="bullet"/>
      <w:lvlText w:val="•"/>
      <w:lvlJc w:val="left"/>
      <w:pPr>
        <w:ind w:left="2134" w:hanging="285"/>
      </w:pPr>
      <w:rPr>
        <w:rFonts w:hint="default"/>
      </w:rPr>
    </w:lvl>
    <w:lvl w:ilvl="8">
      <w:start w:val="1"/>
      <w:numFmt w:val="bullet"/>
      <w:lvlText w:val="•"/>
      <w:lvlJc w:val="left"/>
      <w:pPr>
        <w:ind w:left="2377" w:hanging="285"/>
      </w:pPr>
      <w:rPr>
        <w:rFonts w:hint="default"/>
      </w:rPr>
    </w:lvl>
  </w:abstractNum>
  <w:abstractNum w:abstractNumId="1" w15:restartNumberingAfterBreak="0">
    <w:nsid w:val="1E8B0347"/>
    <w:multiLevelType w:val="multilevel"/>
    <w:tmpl w:val="1E8B0347"/>
    <w:lvl w:ilvl="0">
      <w:start w:val="1"/>
      <w:numFmt w:val="japaneseCounting"/>
      <w:lvlText w:val="%1、"/>
      <w:lvlJc w:val="left"/>
      <w:pPr>
        <w:ind w:left="1360" w:hanging="720"/>
      </w:pPr>
      <w:rPr>
        <w:rFonts w:hint="default"/>
      </w:rPr>
    </w:lvl>
    <w:lvl w:ilvl="1">
      <w:start w:val="3"/>
      <w:numFmt w:val="decimal"/>
      <w:lvlText w:val="%2．"/>
      <w:lvlJc w:val="left"/>
      <w:pPr>
        <w:ind w:left="1780" w:hanging="720"/>
      </w:pPr>
      <w:rPr>
        <w:rFonts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2D890988"/>
    <w:multiLevelType w:val="multilevel"/>
    <w:tmpl w:val="2D890988"/>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0" w:hanging="360"/>
      </w:pPr>
      <w:rPr>
        <w:rFonts w:hint="default"/>
      </w:rPr>
    </w:lvl>
    <w:lvl w:ilvl="2">
      <w:start w:val="1"/>
      <w:numFmt w:val="bullet"/>
      <w:lvlText w:val="•"/>
      <w:lvlJc w:val="left"/>
      <w:pPr>
        <w:ind w:left="1336" w:hanging="360"/>
      </w:pPr>
      <w:rPr>
        <w:rFonts w:hint="default"/>
      </w:rPr>
    </w:lvl>
    <w:lvl w:ilvl="3">
      <w:start w:val="1"/>
      <w:numFmt w:val="bullet"/>
      <w:lvlText w:val="•"/>
      <w:lvlJc w:val="left"/>
      <w:pPr>
        <w:ind w:left="1572" w:hanging="360"/>
      </w:pPr>
      <w:rPr>
        <w:rFonts w:hint="default"/>
      </w:rPr>
    </w:lvl>
    <w:lvl w:ilvl="4">
      <w:start w:val="1"/>
      <w:numFmt w:val="bullet"/>
      <w:lvlText w:val="•"/>
      <w:lvlJc w:val="left"/>
      <w:pPr>
        <w:ind w:left="1808" w:hanging="360"/>
      </w:pPr>
      <w:rPr>
        <w:rFonts w:hint="default"/>
      </w:rPr>
    </w:lvl>
    <w:lvl w:ilvl="5">
      <w:start w:val="1"/>
      <w:numFmt w:val="bullet"/>
      <w:lvlText w:val="•"/>
      <w:lvlJc w:val="left"/>
      <w:pPr>
        <w:ind w:left="2044"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516" w:hanging="360"/>
      </w:pPr>
      <w:rPr>
        <w:rFonts w:hint="default"/>
      </w:rPr>
    </w:lvl>
    <w:lvl w:ilvl="8">
      <w:start w:val="1"/>
      <w:numFmt w:val="bullet"/>
      <w:lvlText w:val="•"/>
      <w:lvlJc w:val="left"/>
      <w:pPr>
        <w:ind w:left="2753" w:hanging="360"/>
      </w:pPr>
      <w:rPr>
        <w:rFonts w:hint="default"/>
      </w:rPr>
    </w:lvl>
  </w:abstractNum>
  <w:abstractNum w:abstractNumId="3" w15:restartNumberingAfterBreak="0">
    <w:nsid w:val="5F254666"/>
    <w:multiLevelType w:val="multilevel"/>
    <w:tmpl w:val="5F254666"/>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1" w:hanging="360"/>
      </w:pPr>
      <w:rPr>
        <w:rFonts w:hint="default"/>
      </w:rPr>
    </w:lvl>
    <w:lvl w:ilvl="2">
      <w:start w:val="1"/>
      <w:numFmt w:val="bullet"/>
      <w:lvlText w:val="•"/>
      <w:lvlJc w:val="left"/>
      <w:pPr>
        <w:ind w:left="1337" w:hanging="360"/>
      </w:pPr>
      <w:rPr>
        <w:rFonts w:hint="default"/>
      </w:rPr>
    </w:lvl>
    <w:lvl w:ilvl="3">
      <w:start w:val="1"/>
      <w:numFmt w:val="bullet"/>
      <w:lvlText w:val="•"/>
      <w:lvlJc w:val="left"/>
      <w:pPr>
        <w:ind w:left="1573" w:hanging="360"/>
      </w:pPr>
      <w:rPr>
        <w:rFonts w:hint="default"/>
      </w:rPr>
    </w:lvl>
    <w:lvl w:ilvl="4">
      <w:start w:val="1"/>
      <w:numFmt w:val="bullet"/>
      <w:lvlText w:val="•"/>
      <w:lvlJc w:val="left"/>
      <w:pPr>
        <w:ind w:left="1809" w:hanging="360"/>
      </w:pPr>
      <w:rPr>
        <w:rFonts w:hint="default"/>
      </w:rPr>
    </w:lvl>
    <w:lvl w:ilvl="5">
      <w:start w:val="1"/>
      <w:numFmt w:val="bullet"/>
      <w:lvlText w:val="•"/>
      <w:lvlJc w:val="left"/>
      <w:pPr>
        <w:ind w:left="2045" w:hanging="360"/>
      </w:pPr>
      <w:rPr>
        <w:rFonts w:hint="default"/>
      </w:rPr>
    </w:lvl>
    <w:lvl w:ilvl="6">
      <w:start w:val="1"/>
      <w:numFmt w:val="bullet"/>
      <w:lvlText w:val="•"/>
      <w:lvlJc w:val="left"/>
      <w:pPr>
        <w:ind w:left="2281" w:hanging="360"/>
      </w:pPr>
      <w:rPr>
        <w:rFonts w:hint="default"/>
      </w:rPr>
    </w:lvl>
    <w:lvl w:ilvl="7">
      <w:start w:val="1"/>
      <w:numFmt w:val="bullet"/>
      <w:lvlText w:val="•"/>
      <w:lvlJc w:val="left"/>
      <w:pPr>
        <w:ind w:left="2517" w:hanging="360"/>
      </w:pPr>
      <w:rPr>
        <w:rFonts w:hint="default"/>
      </w:rPr>
    </w:lvl>
    <w:lvl w:ilvl="8">
      <w:start w:val="1"/>
      <w:numFmt w:val="bullet"/>
      <w:lvlText w:val="•"/>
      <w:lvlJc w:val="left"/>
      <w:pPr>
        <w:ind w:left="2753" w:hanging="360"/>
      </w:pPr>
      <w:rPr>
        <w:rFonts w:hint="default"/>
      </w:rPr>
    </w:lvl>
  </w:abstractNum>
  <w:abstractNum w:abstractNumId="4" w15:restartNumberingAfterBreak="0">
    <w:nsid w:val="76660664"/>
    <w:multiLevelType w:val="multilevel"/>
    <w:tmpl w:val="76660664"/>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0" w:hanging="360"/>
      </w:pPr>
      <w:rPr>
        <w:rFonts w:hint="default"/>
      </w:rPr>
    </w:lvl>
    <w:lvl w:ilvl="2">
      <w:start w:val="1"/>
      <w:numFmt w:val="bullet"/>
      <w:lvlText w:val="•"/>
      <w:lvlJc w:val="left"/>
      <w:pPr>
        <w:ind w:left="1336" w:hanging="360"/>
      </w:pPr>
      <w:rPr>
        <w:rFonts w:hint="default"/>
      </w:rPr>
    </w:lvl>
    <w:lvl w:ilvl="3">
      <w:start w:val="1"/>
      <w:numFmt w:val="bullet"/>
      <w:lvlText w:val="•"/>
      <w:lvlJc w:val="left"/>
      <w:pPr>
        <w:ind w:left="1572" w:hanging="360"/>
      </w:pPr>
      <w:rPr>
        <w:rFonts w:hint="default"/>
      </w:rPr>
    </w:lvl>
    <w:lvl w:ilvl="4">
      <w:start w:val="1"/>
      <w:numFmt w:val="bullet"/>
      <w:lvlText w:val="•"/>
      <w:lvlJc w:val="left"/>
      <w:pPr>
        <w:ind w:left="1808" w:hanging="360"/>
      </w:pPr>
      <w:rPr>
        <w:rFonts w:hint="default"/>
      </w:rPr>
    </w:lvl>
    <w:lvl w:ilvl="5">
      <w:start w:val="1"/>
      <w:numFmt w:val="bullet"/>
      <w:lvlText w:val="•"/>
      <w:lvlJc w:val="left"/>
      <w:pPr>
        <w:ind w:left="2044"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516" w:hanging="360"/>
      </w:pPr>
      <w:rPr>
        <w:rFonts w:hint="default"/>
      </w:rPr>
    </w:lvl>
    <w:lvl w:ilvl="8">
      <w:start w:val="1"/>
      <w:numFmt w:val="bullet"/>
      <w:lvlText w:val="•"/>
      <w:lvlJc w:val="left"/>
      <w:pPr>
        <w:ind w:left="2753" w:hanging="360"/>
      </w:pPr>
      <w:rPr>
        <w:rFonts w:hint="default"/>
      </w:rPr>
    </w:lvl>
  </w:abstractNum>
  <w:abstractNum w:abstractNumId="5" w15:restartNumberingAfterBreak="0">
    <w:nsid w:val="7D5E5AC5"/>
    <w:multiLevelType w:val="multilevel"/>
    <w:tmpl w:val="7D5E5AC5"/>
    <w:lvl w:ilvl="0">
      <w:start w:val="1"/>
      <w:numFmt w:val="japaneseCounting"/>
      <w:lvlText w:val="（%1）"/>
      <w:lvlJc w:val="left"/>
      <w:pPr>
        <w:ind w:left="1623" w:hanging="630"/>
      </w:pPr>
      <w:rPr>
        <w:rFonts w:hint="default"/>
        <w:lang w:val="en-US"/>
      </w:rPr>
    </w:lvl>
    <w:lvl w:ilvl="1">
      <w:start w:val="4"/>
      <w:numFmt w:val="japaneseCounting"/>
      <w:lvlText w:val="%2、"/>
      <w:lvlJc w:val="left"/>
      <w:pPr>
        <w:ind w:left="2133" w:hanging="720"/>
      </w:pPr>
      <w:rPr>
        <w:rFonts w:hint="default"/>
      </w:rPr>
    </w:lvl>
    <w:lvl w:ilvl="2">
      <w:start w:val="2"/>
      <w:numFmt w:val="decimal"/>
      <w:lvlText w:val="%3．"/>
      <w:lvlJc w:val="left"/>
      <w:pPr>
        <w:ind w:left="2553" w:hanging="720"/>
      </w:pPr>
      <w:rPr>
        <w:rFonts w:hint="default"/>
      </w:r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6" w15:restartNumberingAfterBreak="0">
    <w:nsid w:val="7FD976FA"/>
    <w:multiLevelType w:val="multilevel"/>
    <w:tmpl w:val="7FD976FA"/>
    <w:lvl w:ilvl="0">
      <w:start w:val="1"/>
      <w:numFmt w:val="bullet"/>
      <w:lvlText w:val=""/>
      <w:lvlJc w:val="left"/>
      <w:pPr>
        <w:ind w:left="284" w:hanging="285"/>
      </w:pPr>
      <w:rPr>
        <w:rFonts w:ascii="Symbol" w:eastAsia="Symbol" w:hAnsi="Symbol" w:hint="default"/>
        <w:w w:val="99"/>
        <w:sz w:val="18"/>
        <w:szCs w:val="18"/>
      </w:rPr>
    </w:lvl>
    <w:lvl w:ilvl="1">
      <w:start w:val="1"/>
      <w:numFmt w:val="bullet"/>
      <w:lvlText w:val="•"/>
      <w:lvlJc w:val="left"/>
      <w:pPr>
        <w:ind w:left="513" w:hanging="285"/>
      </w:pPr>
      <w:rPr>
        <w:rFonts w:hint="default"/>
      </w:rPr>
    </w:lvl>
    <w:lvl w:ilvl="2">
      <w:start w:val="1"/>
      <w:numFmt w:val="bullet"/>
      <w:lvlText w:val="•"/>
      <w:lvlJc w:val="left"/>
      <w:pPr>
        <w:ind w:left="742" w:hanging="285"/>
      </w:pPr>
      <w:rPr>
        <w:rFonts w:hint="default"/>
      </w:rPr>
    </w:lvl>
    <w:lvl w:ilvl="3">
      <w:start w:val="1"/>
      <w:numFmt w:val="bullet"/>
      <w:lvlText w:val="•"/>
      <w:lvlJc w:val="left"/>
      <w:pPr>
        <w:ind w:left="972" w:hanging="285"/>
      </w:pPr>
      <w:rPr>
        <w:rFonts w:hint="default"/>
      </w:rPr>
    </w:lvl>
    <w:lvl w:ilvl="4">
      <w:start w:val="1"/>
      <w:numFmt w:val="bullet"/>
      <w:lvlText w:val="•"/>
      <w:lvlJc w:val="left"/>
      <w:pPr>
        <w:ind w:left="1201" w:hanging="285"/>
      </w:pPr>
      <w:rPr>
        <w:rFonts w:hint="default"/>
      </w:rPr>
    </w:lvl>
    <w:lvl w:ilvl="5">
      <w:start w:val="1"/>
      <w:numFmt w:val="bullet"/>
      <w:lvlText w:val="•"/>
      <w:lvlJc w:val="left"/>
      <w:pPr>
        <w:ind w:left="1430" w:hanging="285"/>
      </w:pPr>
      <w:rPr>
        <w:rFonts w:hint="default"/>
      </w:rPr>
    </w:lvl>
    <w:lvl w:ilvl="6">
      <w:start w:val="1"/>
      <w:numFmt w:val="bullet"/>
      <w:lvlText w:val="•"/>
      <w:lvlJc w:val="left"/>
      <w:pPr>
        <w:ind w:left="1659" w:hanging="285"/>
      </w:pPr>
      <w:rPr>
        <w:rFonts w:hint="default"/>
      </w:rPr>
    </w:lvl>
    <w:lvl w:ilvl="7">
      <w:start w:val="1"/>
      <w:numFmt w:val="bullet"/>
      <w:lvlText w:val="•"/>
      <w:lvlJc w:val="left"/>
      <w:pPr>
        <w:ind w:left="1888" w:hanging="285"/>
      </w:pPr>
      <w:rPr>
        <w:rFonts w:hint="default"/>
      </w:rPr>
    </w:lvl>
    <w:lvl w:ilvl="8">
      <w:start w:val="1"/>
      <w:numFmt w:val="bullet"/>
      <w:lvlText w:val="•"/>
      <w:lvlJc w:val="left"/>
      <w:pPr>
        <w:ind w:left="2118" w:hanging="285"/>
      </w:pPr>
      <w:rPr>
        <w:rFonts w:hint="default"/>
      </w:rPr>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220"/>
  <w:drawingGridVerticalSpacing w:val="-7946"/>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8D"/>
    <w:rsid w:val="8BECB4D4"/>
    <w:rsid w:val="9DFF796E"/>
    <w:rsid w:val="A2FF4BA8"/>
    <w:rsid w:val="AF3A0F99"/>
    <w:rsid w:val="B7FF6B9F"/>
    <w:rsid w:val="B97B4692"/>
    <w:rsid w:val="BFDE216F"/>
    <w:rsid w:val="BFFB0A3B"/>
    <w:rsid w:val="C3FD1B94"/>
    <w:rsid w:val="C6FEE877"/>
    <w:rsid w:val="CB7BECC1"/>
    <w:rsid w:val="CFFFC943"/>
    <w:rsid w:val="D5F9E587"/>
    <w:rsid w:val="D7B9A28B"/>
    <w:rsid w:val="DC797266"/>
    <w:rsid w:val="DE2FC3F4"/>
    <w:rsid w:val="DFBF0586"/>
    <w:rsid w:val="E2F79A2C"/>
    <w:rsid w:val="E7FF2850"/>
    <w:rsid w:val="EEBF9AB3"/>
    <w:rsid w:val="EED60FA0"/>
    <w:rsid w:val="EF1F94E9"/>
    <w:rsid w:val="F532D093"/>
    <w:rsid w:val="FBB4F98E"/>
    <w:rsid w:val="FD678FEE"/>
    <w:rsid w:val="FDB13C67"/>
    <w:rsid w:val="FFBB7E17"/>
    <w:rsid w:val="FFC5007C"/>
    <w:rsid w:val="FFFB471D"/>
    <w:rsid w:val="00021232"/>
    <w:rsid w:val="0002423E"/>
    <w:rsid w:val="000326B1"/>
    <w:rsid w:val="000D593E"/>
    <w:rsid w:val="00166595"/>
    <w:rsid w:val="001745D7"/>
    <w:rsid w:val="001A1BAB"/>
    <w:rsid w:val="00252DB0"/>
    <w:rsid w:val="00253185"/>
    <w:rsid w:val="002A02B6"/>
    <w:rsid w:val="002E003E"/>
    <w:rsid w:val="002F25AB"/>
    <w:rsid w:val="003165E4"/>
    <w:rsid w:val="00316ED1"/>
    <w:rsid w:val="00331865"/>
    <w:rsid w:val="003B5C4F"/>
    <w:rsid w:val="004756C2"/>
    <w:rsid w:val="004A7C75"/>
    <w:rsid w:val="004C55ED"/>
    <w:rsid w:val="00503CB2"/>
    <w:rsid w:val="0052700A"/>
    <w:rsid w:val="0056408D"/>
    <w:rsid w:val="005757C7"/>
    <w:rsid w:val="006729C0"/>
    <w:rsid w:val="006D0A03"/>
    <w:rsid w:val="006D3B27"/>
    <w:rsid w:val="006E6D13"/>
    <w:rsid w:val="00740E6A"/>
    <w:rsid w:val="007640E4"/>
    <w:rsid w:val="00791397"/>
    <w:rsid w:val="007C3EEA"/>
    <w:rsid w:val="00825505"/>
    <w:rsid w:val="00890225"/>
    <w:rsid w:val="008E3966"/>
    <w:rsid w:val="00936BC0"/>
    <w:rsid w:val="009542EC"/>
    <w:rsid w:val="00955893"/>
    <w:rsid w:val="00977204"/>
    <w:rsid w:val="00981B9C"/>
    <w:rsid w:val="00983B15"/>
    <w:rsid w:val="00A44411"/>
    <w:rsid w:val="00A76A9E"/>
    <w:rsid w:val="00A77B58"/>
    <w:rsid w:val="00A923F3"/>
    <w:rsid w:val="00B005F1"/>
    <w:rsid w:val="00B06182"/>
    <w:rsid w:val="00B10573"/>
    <w:rsid w:val="00C14C5E"/>
    <w:rsid w:val="00C24171"/>
    <w:rsid w:val="00C5572A"/>
    <w:rsid w:val="00C56008"/>
    <w:rsid w:val="00C82292"/>
    <w:rsid w:val="00CA2D79"/>
    <w:rsid w:val="00CC2DCA"/>
    <w:rsid w:val="00CE7082"/>
    <w:rsid w:val="00D55387"/>
    <w:rsid w:val="00E023B5"/>
    <w:rsid w:val="00E1541F"/>
    <w:rsid w:val="00EA05AC"/>
    <w:rsid w:val="00EF01A5"/>
    <w:rsid w:val="00F14B69"/>
    <w:rsid w:val="00F241A3"/>
    <w:rsid w:val="00F37080"/>
    <w:rsid w:val="00F54497"/>
    <w:rsid w:val="00FE588F"/>
    <w:rsid w:val="32F9299E"/>
    <w:rsid w:val="36D7F3A0"/>
    <w:rsid w:val="3DC990A3"/>
    <w:rsid w:val="3FB9911B"/>
    <w:rsid w:val="3FEE900B"/>
    <w:rsid w:val="485F16BA"/>
    <w:rsid w:val="4F0D9336"/>
    <w:rsid w:val="574FF29E"/>
    <w:rsid w:val="5B5F3330"/>
    <w:rsid w:val="5BFF8FB5"/>
    <w:rsid w:val="5BFFE8D0"/>
    <w:rsid w:val="5DEFCB20"/>
    <w:rsid w:val="5EDB1B42"/>
    <w:rsid w:val="60BDEFB3"/>
    <w:rsid w:val="68EE1B8B"/>
    <w:rsid w:val="6B79144E"/>
    <w:rsid w:val="6E792BD9"/>
    <w:rsid w:val="75DF28F0"/>
    <w:rsid w:val="77AFDFA1"/>
    <w:rsid w:val="78FC5995"/>
    <w:rsid w:val="797F9E56"/>
    <w:rsid w:val="79ADB731"/>
    <w:rsid w:val="79BC7F83"/>
    <w:rsid w:val="7AFEFF07"/>
    <w:rsid w:val="7BFF41D0"/>
    <w:rsid w:val="7D673BA1"/>
    <w:rsid w:val="7DFCA0F0"/>
    <w:rsid w:val="7F33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0757E30-6C63-4394-9A0E-C83797C5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paragraph" w:styleId="1">
    <w:name w:val="heading 1"/>
    <w:basedOn w:val="a"/>
    <w:next w:val="a"/>
    <w:link w:val="1Char"/>
    <w:uiPriority w:val="1"/>
    <w:qFormat/>
    <w:pPr>
      <w:widowControl w:val="0"/>
      <w:spacing w:after="0" w:line="240" w:lineRule="auto"/>
      <w:ind w:left="652" w:hanging="432"/>
      <w:outlineLvl w:val="0"/>
    </w:pPr>
    <w:rPr>
      <w:rFonts w:ascii="Times New Roman" w:eastAsia="Times New Roman" w:hAnsi="Times New Roman"/>
      <w:b/>
      <w:bCs/>
      <w:sz w:val="28"/>
      <w:szCs w:val="28"/>
      <w:lang w:eastAsia="en-US"/>
    </w:rPr>
  </w:style>
  <w:style w:type="paragraph" w:styleId="2">
    <w:name w:val="heading 2"/>
    <w:basedOn w:val="a"/>
    <w:next w:val="a"/>
    <w:link w:val="2Char"/>
    <w:uiPriority w:val="1"/>
    <w:qFormat/>
    <w:pPr>
      <w:widowControl w:val="0"/>
      <w:spacing w:after="0" w:line="240" w:lineRule="auto"/>
      <w:ind w:left="220"/>
      <w:outlineLvl w:val="1"/>
    </w:pPr>
    <w:rPr>
      <w:rFonts w:ascii="Times New Roman" w:eastAsia="Times New Roman" w:hAnsi="Times New Roman"/>
      <w:b/>
      <w:bC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pPr>
      <w:widowControl w:val="0"/>
      <w:spacing w:after="0" w:line="240" w:lineRule="auto"/>
    </w:pPr>
    <w:rPr>
      <w:lang w:eastAsia="en-US"/>
    </w:rPr>
  </w:style>
  <w:style w:type="paragraph" w:styleId="a4">
    <w:name w:val="Body Text"/>
    <w:basedOn w:val="a"/>
    <w:link w:val="Char0"/>
    <w:uiPriority w:val="1"/>
    <w:qFormat/>
    <w:pPr>
      <w:widowControl w:val="0"/>
      <w:spacing w:after="0" w:line="240" w:lineRule="auto"/>
      <w:ind w:left="1638"/>
    </w:pPr>
    <w:rPr>
      <w:rFonts w:ascii="Times New Roman" w:eastAsia="Times New Roman" w:hAnsi="Times New Roman"/>
      <w:sz w:val="24"/>
      <w:szCs w:val="24"/>
      <w:lang w:eastAsia="en-US"/>
    </w:rPr>
  </w:style>
  <w:style w:type="paragraph" w:styleId="3">
    <w:name w:val="toc 3"/>
    <w:basedOn w:val="a"/>
    <w:next w:val="a"/>
    <w:uiPriority w:val="39"/>
    <w:qFormat/>
    <w:pPr>
      <w:widowControl w:val="0"/>
      <w:spacing w:after="0" w:line="240" w:lineRule="auto"/>
      <w:ind w:left="1660" w:hanging="731"/>
    </w:pPr>
    <w:rPr>
      <w:rFonts w:ascii="Times New Roman" w:eastAsia="Times New Roman" w:hAnsi="Times New Roman"/>
      <w:sz w:val="24"/>
      <w:szCs w:val="24"/>
      <w:lang w:eastAsia="en-US"/>
    </w:rPr>
  </w:style>
  <w:style w:type="paragraph" w:styleId="a5">
    <w:name w:val="Balloon Text"/>
    <w:basedOn w:val="a"/>
    <w:link w:val="Char1"/>
    <w:uiPriority w:val="99"/>
    <w:semiHidden/>
    <w:unhideWhenUsed/>
    <w:qFormat/>
    <w:pPr>
      <w:widowControl w:val="0"/>
      <w:spacing w:after="0" w:line="240" w:lineRule="auto"/>
    </w:pPr>
    <w:rPr>
      <w:sz w:val="18"/>
      <w:szCs w:val="18"/>
      <w:lang w:eastAsia="en-US"/>
    </w:rPr>
  </w:style>
  <w:style w:type="paragraph" w:styleId="a6">
    <w:name w:val="footer"/>
    <w:basedOn w:val="a"/>
    <w:link w:val="Char2"/>
    <w:uiPriority w:val="99"/>
    <w:unhideWhenUsed/>
    <w:qFormat/>
    <w:pPr>
      <w:tabs>
        <w:tab w:val="center" w:pos="4153"/>
        <w:tab w:val="right" w:pos="8306"/>
      </w:tabs>
      <w:snapToGrid w:val="0"/>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val="0"/>
      <w:spacing w:after="0" w:line="240" w:lineRule="auto"/>
      <w:ind w:left="219"/>
    </w:pPr>
    <w:rPr>
      <w:rFonts w:ascii="Times New Roman" w:eastAsia="Times New Roman" w:hAnsi="Times New Roman"/>
      <w:sz w:val="24"/>
      <w:szCs w:val="24"/>
      <w:lang w:eastAsia="en-US"/>
    </w:rPr>
  </w:style>
  <w:style w:type="paragraph" w:styleId="a8">
    <w:name w:val="footnote text"/>
    <w:basedOn w:val="a"/>
    <w:link w:val="Char4"/>
    <w:uiPriority w:val="99"/>
    <w:semiHidden/>
    <w:unhideWhenUsed/>
    <w:qFormat/>
    <w:pPr>
      <w:widowControl w:val="0"/>
      <w:snapToGrid w:val="0"/>
      <w:spacing w:after="0" w:line="240" w:lineRule="auto"/>
    </w:pPr>
    <w:rPr>
      <w:sz w:val="18"/>
      <w:szCs w:val="18"/>
      <w:lang w:eastAsia="en-US"/>
    </w:rPr>
  </w:style>
  <w:style w:type="paragraph" w:styleId="20">
    <w:name w:val="toc 2"/>
    <w:basedOn w:val="a"/>
    <w:next w:val="a"/>
    <w:uiPriority w:val="39"/>
    <w:qFormat/>
    <w:pPr>
      <w:widowControl w:val="0"/>
      <w:spacing w:after="0" w:line="240" w:lineRule="auto"/>
      <w:ind w:left="220"/>
    </w:pPr>
    <w:rPr>
      <w:rFonts w:ascii="Times New Roman" w:eastAsia="Times New Roman" w:hAnsi="Times New Roman"/>
      <w:sz w:val="24"/>
      <w:szCs w:val="24"/>
      <w:lang w:eastAsia="en-US"/>
    </w:r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paragraph" w:styleId="a9">
    <w:name w:val="annotation subject"/>
    <w:basedOn w:val="a3"/>
    <w:next w:val="a3"/>
    <w:link w:val="Char5"/>
    <w:uiPriority w:val="99"/>
    <w:semiHidden/>
    <w:unhideWhenUsed/>
    <w:qFormat/>
    <w:rPr>
      <w:b/>
      <w:bCs/>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semiHidden/>
    <w:qFormat/>
  </w:style>
  <w:style w:type="character" w:styleId="ac">
    <w:name w:val="Hyperlink"/>
    <w:uiPriority w:val="99"/>
    <w:qFormat/>
    <w:rPr>
      <w:color w:val="000000"/>
      <w:sz w:val="21"/>
      <w:szCs w:val="21"/>
      <w:u w:val="single"/>
    </w:rPr>
  </w:style>
  <w:style w:type="character" w:styleId="ad">
    <w:name w:val="annotation reference"/>
    <w:basedOn w:val="a0"/>
    <w:uiPriority w:val="99"/>
    <w:semiHidden/>
    <w:unhideWhenUsed/>
    <w:qFormat/>
    <w:rPr>
      <w:sz w:val="21"/>
      <w:szCs w:val="21"/>
    </w:rPr>
  </w:style>
  <w:style w:type="character" w:styleId="ae">
    <w:name w:val="footnote reference"/>
    <w:basedOn w:val="a0"/>
    <w:uiPriority w:val="99"/>
    <w:semiHidden/>
    <w:unhideWhenUsed/>
    <w:qFormat/>
    <w:rPr>
      <w:vertAlign w:val="superscript"/>
    </w:rPr>
  </w:style>
  <w:style w:type="character" w:customStyle="1" w:styleId="1Char">
    <w:name w:val="标题 1 Char"/>
    <w:basedOn w:val="a0"/>
    <w:link w:val="1"/>
    <w:uiPriority w:val="1"/>
    <w:qFormat/>
    <w:rPr>
      <w:rFonts w:ascii="Times New Roman" w:eastAsia="Times New Roman" w:hAnsi="Times New Roman"/>
      <w:b/>
      <w:bCs/>
      <w:kern w:val="0"/>
      <w:sz w:val="28"/>
      <w:szCs w:val="28"/>
      <w:lang w:eastAsia="en-US"/>
    </w:rPr>
  </w:style>
  <w:style w:type="character" w:customStyle="1" w:styleId="2Char">
    <w:name w:val="标题 2 Char"/>
    <w:basedOn w:val="a0"/>
    <w:link w:val="2"/>
    <w:uiPriority w:val="1"/>
    <w:qFormat/>
    <w:rPr>
      <w:rFonts w:ascii="Times New Roman" w:eastAsia="Times New Roman" w:hAnsi="Times New Roman"/>
      <w:b/>
      <w:bCs/>
      <w:kern w:val="0"/>
      <w:sz w:val="24"/>
      <w:szCs w:val="24"/>
      <w:lang w:eastAsia="en-US"/>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0">
    <w:name w:val="正文文本 Char"/>
    <w:basedOn w:val="a0"/>
    <w:link w:val="a4"/>
    <w:uiPriority w:val="1"/>
    <w:qFormat/>
    <w:rPr>
      <w:rFonts w:ascii="Times New Roman" w:eastAsia="Times New Roman" w:hAnsi="Times New Roman"/>
      <w:kern w:val="0"/>
      <w:sz w:val="24"/>
      <w:szCs w:val="24"/>
      <w:lang w:eastAsia="en-US"/>
    </w:rPr>
  </w:style>
  <w:style w:type="paragraph" w:customStyle="1" w:styleId="11">
    <w:name w:val="列出段落1"/>
    <w:basedOn w:val="a"/>
    <w:uiPriority w:val="34"/>
    <w:qFormat/>
    <w:pPr>
      <w:widowControl w:val="0"/>
      <w:spacing w:after="15" w:line="600" w:lineRule="exact"/>
      <w:ind w:firstLineChars="200" w:firstLine="420"/>
      <w:jc w:val="both"/>
    </w:pPr>
    <w:rPr>
      <w:rFonts w:ascii="Calibri" w:eastAsia="宋体" w:hAnsi="Calibri" w:cs="Times New Roman"/>
      <w:kern w:val="2"/>
      <w:sz w:val="21"/>
    </w:rPr>
  </w:style>
  <w:style w:type="character" w:customStyle="1" w:styleId="Char">
    <w:name w:val="批注文字 Char"/>
    <w:basedOn w:val="a0"/>
    <w:link w:val="a3"/>
    <w:uiPriority w:val="99"/>
    <w:qFormat/>
    <w:rPr>
      <w:kern w:val="0"/>
      <w:sz w:val="22"/>
      <w:lang w:eastAsia="en-US"/>
    </w:rPr>
  </w:style>
  <w:style w:type="character" w:customStyle="1" w:styleId="Char1">
    <w:name w:val="批注框文本 Char"/>
    <w:basedOn w:val="a0"/>
    <w:link w:val="a5"/>
    <w:uiPriority w:val="99"/>
    <w:semiHidden/>
    <w:qFormat/>
    <w:rPr>
      <w:kern w:val="0"/>
      <w:sz w:val="18"/>
      <w:szCs w:val="18"/>
      <w:lang w:eastAsia="en-US"/>
    </w:rPr>
  </w:style>
  <w:style w:type="character" w:customStyle="1" w:styleId="Char4">
    <w:name w:val="脚注文本 Char"/>
    <w:basedOn w:val="a0"/>
    <w:link w:val="a8"/>
    <w:uiPriority w:val="99"/>
    <w:semiHidden/>
    <w:qFormat/>
    <w:rPr>
      <w:kern w:val="0"/>
      <w:sz w:val="18"/>
      <w:szCs w:val="18"/>
      <w:lang w:eastAsia="en-US"/>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har5">
    <w:name w:val="批注主题 Char"/>
    <w:basedOn w:val="Char"/>
    <w:link w:val="a9"/>
    <w:uiPriority w:val="99"/>
    <w:semiHidden/>
    <w:qFormat/>
    <w:rPr>
      <w:b/>
      <w:bCs/>
      <w:kern w:val="0"/>
      <w:sz w:val="22"/>
      <w:lang w:eastAsia="en-US"/>
    </w:rPr>
  </w:style>
  <w:style w:type="paragraph" w:styleId="af">
    <w:name w:val="List Paragraph"/>
    <w:basedOn w:val="a"/>
    <w:uiPriority w:val="34"/>
    <w:qFormat/>
    <w:pPr>
      <w:widowControl w:val="0"/>
      <w:spacing w:after="0" w:line="240" w:lineRule="auto"/>
    </w:pPr>
    <w:rPr>
      <w:lang w:eastAsia="en-US"/>
    </w:rPr>
  </w:style>
  <w:style w:type="paragraph" w:customStyle="1" w:styleId="TableParagraph">
    <w:name w:val="Table Paragraph"/>
    <w:basedOn w:val="a"/>
    <w:uiPriority w:val="1"/>
    <w:qFormat/>
    <w:pPr>
      <w:widowControl w:val="0"/>
      <w:spacing w:after="0" w:line="240" w:lineRule="auto"/>
    </w:pPr>
    <w:rPr>
      <w:lang w:eastAsia="en-US"/>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lang w:eastAsia="en-US"/>
    </w:rPr>
  </w:style>
  <w:style w:type="character" w:customStyle="1" w:styleId="fontstyle01">
    <w:name w:val="fontstyle01"/>
    <w:basedOn w:val="a0"/>
    <w:qFormat/>
    <w:rPr>
      <w:rFonts w:ascii="TimesNewRomanPSMT" w:hAnsi="TimesNewRomanPSMT" w:hint="default"/>
      <w:color w:val="000000"/>
      <w:sz w:val="24"/>
      <w:szCs w:val="24"/>
    </w:rPr>
  </w:style>
  <w:style w:type="character" w:customStyle="1" w:styleId="fontstyle21">
    <w:name w:val="fontstyle21"/>
    <w:basedOn w:val="a0"/>
    <w:qFormat/>
    <w:rPr>
      <w:rFonts w:ascii="TimesNewRomanPS-ItalicMT" w:hAnsi="TimesNewRomanPS-ItalicMT" w:hint="default"/>
      <w:i/>
      <w:iCs/>
      <w:color w:val="000000"/>
      <w:sz w:val="24"/>
      <w:szCs w:val="24"/>
    </w:rPr>
  </w:style>
  <w:style w:type="paragraph" w:customStyle="1" w:styleId="TOC1">
    <w:name w:val="TOC 标题1"/>
    <w:basedOn w:val="1"/>
    <w:next w:val="a"/>
    <w:uiPriority w:val="39"/>
    <w:unhideWhenUsed/>
    <w:qFormat/>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zh-CN"/>
    </w:rPr>
  </w:style>
  <w:style w:type="paragraph" w:customStyle="1" w:styleId="12">
    <w:name w:val="修订1"/>
    <w:hidden/>
    <w:uiPriority w:val="99"/>
    <w:semiHidden/>
    <w:qFormat/>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view01</dc:creator>
  <cp:lastModifiedBy>pc</cp:lastModifiedBy>
  <cp:revision>2</cp:revision>
  <cp:lastPrinted>2021-09-29T07:15:00Z</cp:lastPrinted>
  <dcterms:created xsi:type="dcterms:W3CDTF">2021-09-28T09:03:00Z</dcterms:created>
  <dcterms:modified xsi:type="dcterms:W3CDTF">2021-09-28T09:03:00Z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