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60" w:lineRule="exact"/>
        <w:jc w:val="center"/>
        <w:rPr>
          <w:rFonts w:ascii="Times New Roman" w:hAnsi="Times New Roman" w:eastAsia="方正小标宋简体" w:cs="Times New Roman"/>
          <w:bCs/>
          <w:color w:val="000000" w:themeColor="text1"/>
          <w:sz w:val="44"/>
          <w:szCs w:val="44"/>
          <w14:textFill>
            <w14:solidFill>
              <w14:schemeClr w14:val="tx1"/>
            </w14:solidFill>
          </w14:textFill>
        </w:rPr>
      </w:pPr>
    </w:p>
    <w:p>
      <w:pPr>
        <w:overflowPunct w:val="0"/>
        <w:spacing w:line="560" w:lineRule="exact"/>
        <w:jc w:val="center"/>
        <w:rPr>
          <w:rFonts w:ascii="Times New Roman" w:hAnsi="Times New Roman" w:eastAsia="方正小标宋简体" w:cs="Times New Roman"/>
          <w:bCs/>
          <w:color w:val="000000" w:themeColor="text1"/>
          <w:sz w:val="44"/>
          <w:szCs w:val="44"/>
          <w14:textFill>
            <w14:solidFill>
              <w14:schemeClr w14:val="tx1"/>
            </w14:solidFill>
          </w14:textFill>
        </w:rPr>
      </w:pPr>
      <w:r>
        <w:rPr>
          <w:rFonts w:ascii="Times New Roman" w:hAnsi="Times New Roman" w:eastAsia="方正小标宋简体" w:cs="Times New Roman"/>
          <w:bCs/>
          <w:color w:val="000000" w:themeColor="text1"/>
          <w:sz w:val="44"/>
          <w:szCs w:val="44"/>
          <w14:textFill>
            <w14:solidFill>
              <w14:schemeClr w14:val="tx1"/>
            </w14:solidFill>
          </w14:textFill>
        </w:rPr>
        <w:t>基因测序仪临床评价</w:t>
      </w:r>
      <w:r>
        <w:rPr>
          <w:rFonts w:hint="eastAsia" w:ascii="Times New Roman" w:hAnsi="Times New Roman" w:eastAsia="方正小标宋简体" w:cs="Times New Roman"/>
          <w:bCs/>
          <w:color w:val="000000" w:themeColor="text1"/>
          <w:sz w:val="44"/>
          <w:szCs w:val="44"/>
          <w14:textFill>
            <w14:solidFill>
              <w14:schemeClr w14:val="tx1"/>
            </w14:solidFill>
          </w14:textFill>
        </w:rPr>
        <w:t>注册审查</w:t>
      </w:r>
      <w:r>
        <w:rPr>
          <w:rFonts w:ascii="Times New Roman" w:hAnsi="Times New Roman" w:eastAsia="方正小标宋简体" w:cs="Times New Roman"/>
          <w:bCs/>
          <w:color w:val="000000" w:themeColor="text1"/>
          <w:sz w:val="44"/>
          <w:szCs w:val="44"/>
          <w14:textFill>
            <w14:solidFill>
              <w14:schemeClr w14:val="tx1"/>
            </w14:solidFill>
          </w14:textFill>
        </w:rPr>
        <w:t>指导原则</w:t>
      </w:r>
    </w:p>
    <w:p>
      <w:pPr>
        <w:overflowPunct w:val="0"/>
        <w:spacing w:line="560" w:lineRule="exact"/>
        <w:jc w:val="center"/>
        <w:rPr>
          <w:rFonts w:ascii="Times New Roman" w:hAnsi="Times New Roman" w:eastAsia="方正小标宋简体" w:cs="Times New Roman"/>
          <w:bCs/>
          <w:color w:val="000000" w:themeColor="text1"/>
          <w:sz w:val="44"/>
          <w:szCs w:val="44"/>
          <w14:textFill>
            <w14:solidFill>
              <w14:schemeClr w14:val="tx1"/>
            </w14:solidFill>
          </w14:textFill>
        </w:rPr>
      </w:pPr>
      <w:r>
        <w:rPr>
          <w:rFonts w:ascii="Times New Roman" w:hAnsi="Times New Roman" w:eastAsia="方正小标宋简体" w:cs="Times New Roman"/>
          <w:bCs/>
          <w:color w:val="000000" w:themeColor="text1"/>
          <w:sz w:val="44"/>
          <w:szCs w:val="44"/>
          <w14:textFill>
            <w14:solidFill>
              <w14:schemeClr w14:val="tx1"/>
            </w14:solidFill>
          </w14:textFill>
        </w:rPr>
        <w:t>（</w:t>
      </w:r>
      <w:r>
        <w:rPr>
          <w:rFonts w:hint="eastAsia" w:ascii="Times New Roman" w:hAnsi="Times New Roman" w:eastAsia="方正小标宋简体" w:cs="Times New Roman"/>
          <w:bCs/>
          <w:color w:val="000000" w:themeColor="text1"/>
          <w:sz w:val="44"/>
          <w:szCs w:val="44"/>
          <w14:textFill>
            <w14:solidFill>
              <w14:schemeClr w14:val="tx1"/>
            </w14:solidFill>
          </w14:textFill>
        </w:rPr>
        <w:t>征求意见</w:t>
      </w:r>
      <w:r>
        <w:rPr>
          <w:rFonts w:ascii="Times New Roman" w:hAnsi="Times New Roman" w:eastAsia="方正小标宋简体" w:cs="Times New Roman"/>
          <w:bCs/>
          <w:color w:val="000000" w:themeColor="text1"/>
          <w:sz w:val="44"/>
          <w:szCs w:val="44"/>
          <w14:textFill>
            <w14:solidFill>
              <w14:schemeClr w14:val="tx1"/>
            </w14:solidFill>
          </w14:textFill>
        </w:rPr>
        <w:t>稿）</w:t>
      </w:r>
    </w:p>
    <w:p>
      <w:pPr>
        <w:spacing w:line="520" w:lineRule="exact"/>
        <w:ind w:firstLine="640" w:firstLineChars="200"/>
        <w:rPr>
          <w:rFonts w:ascii="Times New Roman" w:hAnsi="Times New Roman" w:eastAsia="仿宋_GB2312" w:cs="Times New Roman"/>
          <w:kern w:val="0"/>
          <w:sz w:val="32"/>
          <w:szCs w:val="32"/>
        </w:rPr>
      </w:pP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本指导原则旨在指导注册申请人对基因测序仪注册申报资料的准备及撰写，同时也为技术审评部门审评注册申报资料提供参考。应在遵循相关法规的前提下使用本指导原则。</w:t>
      </w: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本指导原则是对基因测序仪的一般要求，申请人应依据产品的具体特性确定其中内容是否适用</w:t>
      </w:r>
      <w:r>
        <w:rPr>
          <w:rFonts w:hint="eastAsia" w:ascii="Times New Roman" w:hAnsi="Times New Roman" w:eastAsia="仿宋_GB2312" w:cs="Times New Roman"/>
          <w:kern w:val="0"/>
          <w:sz w:val="32"/>
          <w:szCs w:val="32"/>
        </w:rPr>
        <w:t>。</w:t>
      </w:r>
      <w:r>
        <w:rPr>
          <w:rFonts w:ascii="Times New Roman" w:hAnsi="Times New Roman" w:eastAsia="仿宋_GB2312" w:cs="Times New Roman"/>
          <w:kern w:val="0"/>
          <w:sz w:val="32"/>
          <w:szCs w:val="32"/>
        </w:rPr>
        <w:t>若不适用，需具体阐述理由</w:t>
      </w:r>
      <w:r>
        <w:rPr>
          <w:rFonts w:hint="eastAsia" w:ascii="Times New Roman" w:hAnsi="Times New Roman" w:eastAsia="仿宋_GB2312" w:cs="Times New Roman"/>
          <w:kern w:val="0"/>
          <w:sz w:val="32"/>
          <w:szCs w:val="32"/>
        </w:rPr>
        <w:t>并提供</w:t>
      </w:r>
      <w:r>
        <w:rPr>
          <w:rFonts w:ascii="Times New Roman" w:hAnsi="Times New Roman" w:eastAsia="仿宋_GB2312" w:cs="Times New Roman"/>
          <w:kern w:val="0"/>
          <w:sz w:val="32"/>
          <w:szCs w:val="32"/>
        </w:rPr>
        <w:t>相应的科学依据，</w:t>
      </w:r>
      <w:r>
        <w:rPr>
          <w:rFonts w:hint="eastAsia" w:ascii="Times New Roman" w:hAnsi="Times New Roman" w:eastAsia="仿宋_GB2312" w:cs="Times New Roman"/>
          <w:kern w:val="0"/>
          <w:sz w:val="32"/>
          <w:szCs w:val="32"/>
        </w:rPr>
        <w:t>同时</w:t>
      </w:r>
      <w:r>
        <w:rPr>
          <w:rFonts w:ascii="Times New Roman" w:hAnsi="Times New Roman" w:eastAsia="仿宋_GB2312" w:cs="Times New Roman"/>
          <w:kern w:val="0"/>
          <w:sz w:val="32"/>
          <w:szCs w:val="32"/>
        </w:rPr>
        <w:t>依据产品的具体特性对注册申报资料的内容进行充实和细化。</w:t>
      </w: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本指导原则是在现行法规、标准体系</w:t>
      </w:r>
      <w:r>
        <w:rPr>
          <w:rFonts w:hint="eastAsia" w:ascii="Times New Roman" w:hAnsi="Times New Roman" w:eastAsia="仿宋_GB2312" w:cs="Times New Roman"/>
          <w:kern w:val="0"/>
          <w:sz w:val="32"/>
          <w:szCs w:val="32"/>
        </w:rPr>
        <w:t>和</w:t>
      </w:r>
      <w:r>
        <w:rPr>
          <w:rFonts w:ascii="Times New Roman" w:hAnsi="Times New Roman" w:eastAsia="仿宋_GB2312" w:cs="Times New Roman"/>
          <w:kern w:val="0"/>
          <w:sz w:val="32"/>
          <w:szCs w:val="32"/>
        </w:rPr>
        <w:t>当前</w:t>
      </w:r>
      <w:r>
        <w:rPr>
          <w:rFonts w:hint="eastAsia" w:ascii="Times New Roman" w:hAnsi="Times New Roman" w:eastAsia="仿宋_GB2312" w:cs="Times New Roman"/>
          <w:kern w:val="0"/>
          <w:sz w:val="32"/>
          <w:szCs w:val="32"/>
        </w:rPr>
        <w:t>科学</w:t>
      </w:r>
      <w:r>
        <w:rPr>
          <w:rFonts w:ascii="Times New Roman" w:hAnsi="Times New Roman" w:eastAsia="仿宋_GB2312" w:cs="Times New Roman"/>
          <w:kern w:val="0"/>
          <w:sz w:val="32"/>
          <w:szCs w:val="32"/>
        </w:rPr>
        <w:t>认知水平下制定的，随着法规、标准体系的不断完善和科学技术的不断发展，本指导原则相关内容也</w:t>
      </w:r>
      <w:r>
        <w:rPr>
          <w:rFonts w:hint="eastAsia" w:ascii="Times New Roman" w:hAnsi="Times New Roman" w:eastAsia="仿宋_GB2312" w:cs="Times New Roman"/>
          <w:kern w:val="0"/>
          <w:sz w:val="32"/>
          <w:szCs w:val="32"/>
        </w:rPr>
        <w:t>将</w:t>
      </w:r>
      <w:r>
        <w:rPr>
          <w:rFonts w:ascii="Times New Roman" w:hAnsi="Times New Roman" w:eastAsia="仿宋_GB2312" w:cs="Times New Roman"/>
          <w:kern w:val="0"/>
          <w:sz w:val="32"/>
          <w:szCs w:val="32"/>
        </w:rPr>
        <w:t>适时进行调整。</w:t>
      </w:r>
    </w:p>
    <w:p>
      <w:pPr>
        <w:overflowPunct w:val="0"/>
        <w:spacing w:line="560" w:lineRule="exact"/>
        <w:ind w:firstLine="640" w:firstLineChars="200"/>
        <w:rPr>
          <w:rFonts w:ascii="Times New Roman" w:hAnsi="Times New Roman" w:eastAsia="黑体" w:cs="Times New Roman"/>
          <w:bCs/>
          <w:color w:val="000000" w:themeColor="text1"/>
          <w:sz w:val="32"/>
          <w:szCs w:val="32"/>
          <w14:textFill>
            <w14:solidFill>
              <w14:schemeClr w14:val="tx1"/>
            </w14:solidFill>
          </w14:textFill>
        </w:rPr>
      </w:pPr>
      <w:r>
        <w:rPr>
          <w:rFonts w:hint="eastAsia" w:ascii="Times New Roman" w:hAnsi="Times New Roman" w:eastAsia="黑体" w:cs="Times New Roman"/>
          <w:bCs/>
          <w:color w:val="000000" w:themeColor="text1"/>
          <w:sz w:val="32"/>
          <w:szCs w:val="32"/>
          <w14:textFill>
            <w14:solidFill>
              <w14:schemeClr w14:val="tx1"/>
            </w14:solidFill>
          </w14:textFill>
        </w:rPr>
        <w:t>一</w:t>
      </w:r>
      <w:r>
        <w:rPr>
          <w:rFonts w:ascii="Times New Roman" w:hAnsi="Times New Roman" w:eastAsia="黑体" w:cs="Times New Roman"/>
          <w:bCs/>
          <w:color w:val="000000" w:themeColor="text1"/>
          <w:sz w:val="32"/>
          <w:szCs w:val="32"/>
          <w14:textFill>
            <w14:solidFill>
              <w14:schemeClr w14:val="tx1"/>
            </w14:solidFill>
          </w14:textFill>
        </w:rPr>
        <w:t>、适用范围</w:t>
      </w:r>
    </w:p>
    <w:p>
      <w:pPr>
        <w:overflowPunct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本指导原则适用于</w:t>
      </w:r>
      <w:r>
        <w:rPr>
          <w:rFonts w:ascii="Times New Roman" w:hAnsi="Times New Roman" w:eastAsia="仿宋_GB2312" w:cs="Times New Roman"/>
          <w:color w:val="000000" w:themeColor="text1"/>
          <w:sz w:val="32"/>
          <w:szCs w:val="32"/>
          <w14:textFill>
            <w14:solidFill>
              <w14:schemeClr w14:val="tx1"/>
            </w14:solidFill>
          </w14:textFill>
        </w:rPr>
        <w:t>高通量测序的</w:t>
      </w:r>
      <w:r>
        <w:rPr>
          <w:rFonts w:ascii="Times New Roman" w:hAnsi="Times New Roman" w:eastAsia="仿宋_GB2312" w:cs="Times New Roman"/>
          <w:sz w:val="32"/>
          <w:szCs w:val="32"/>
        </w:rPr>
        <w:t>基因测序仪采用通过同品种医疗器械临床试验或临床使用获得的数据或通过自身临床试验数据进行临床评价。</w:t>
      </w:r>
    </w:p>
    <w:p>
      <w:pPr>
        <w:overflowPunct w:val="0"/>
        <w:spacing w:line="560"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ascii="Times New Roman" w:hAnsi="Times New Roman" w:eastAsia="仿宋_GB2312" w:cs="Times New Roman"/>
          <w:sz w:val="32"/>
          <w:szCs w:val="32"/>
        </w:rPr>
        <w:t>目前高通量</w:t>
      </w:r>
      <w:r>
        <w:rPr>
          <w:rFonts w:hint="eastAsia" w:ascii="Times New Roman" w:hAnsi="Times New Roman" w:eastAsia="仿宋_GB2312" w:cs="Times New Roman"/>
          <w:sz w:val="32"/>
          <w:szCs w:val="32"/>
        </w:rPr>
        <w:t>基因</w:t>
      </w:r>
      <w:r>
        <w:rPr>
          <w:rFonts w:ascii="Times New Roman" w:hAnsi="Times New Roman" w:eastAsia="仿宋_GB2312" w:cs="Times New Roman"/>
          <w:sz w:val="32"/>
          <w:szCs w:val="32"/>
        </w:rPr>
        <w:t>测序技术即指第二代测序技术</w:t>
      </w:r>
      <w:r>
        <w:rPr>
          <w:rFonts w:hint="eastAsia" w:ascii="Times New Roman" w:hAnsi="Times New Roman" w:eastAsia="仿宋_GB2312" w:cs="Times New Roman"/>
          <w:sz w:val="32"/>
          <w:szCs w:val="32"/>
        </w:rPr>
        <w:t>或下一代测序（</w:t>
      </w:r>
      <w:r>
        <w:rPr>
          <w:rFonts w:ascii="Times New Roman" w:hAnsi="Times New Roman" w:eastAsia="仿宋_GB2312" w:cs="Times New Roman"/>
          <w:sz w:val="32"/>
          <w:szCs w:val="32"/>
        </w:rPr>
        <w:t xml:space="preserve">Next Generation Sequencing </w:t>
      </w:r>
      <w:r>
        <w:rPr>
          <w:rFonts w:hint="eastAsia" w:ascii="Times New Roman" w:hAnsi="Times New Roman" w:eastAsia="仿宋_GB2312" w:cs="Times New Roman"/>
          <w:sz w:val="32"/>
          <w:szCs w:val="32"/>
        </w:rPr>
        <w:t>或</w:t>
      </w:r>
      <w:r>
        <w:rPr>
          <w:rFonts w:ascii="Times New Roman" w:hAnsi="Times New Roman" w:eastAsia="仿宋_GB2312" w:cs="Times New Roman"/>
          <w:sz w:val="32"/>
          <w:szCs w:val="32"/>
        </w:rPr>
        <w:t>NGS</w:t>
      </w:r>
      <w:r>
        <w:rPr>
          <w:rFonts w:hint="eastAsia" w:ascii="Times New Roman" w:hAnsi="Times New Roman" w:eastAsia="仿宋_GB2312" w:cs="Times New Roman"/>
          <w:sz w:val="32"/>
          <w:szCs w:val="32"/>
        </w:rPr>
        <w:t>）技术</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其技术特征是：（1）通过测定单元的高度并行化来实现高通量（如每次运行获得数百Mb及Gb序列）；（2）由于化学、物理等原理的限制，序列读长较短，一般在150～200bp（个别原理可以实现600bp，比如焦磷酸测序法）；（3）核心技术成熟。使用的元件（比如Flow Cell、硅基阵列、微流控电导结构等）的加工技术（一般在微米尺度以上）技术成熟，器件结构和性能不具有挑战性。其主流平台包括：（1）DNA聚合酶循环测序法（单色或多色荧光底物标记）；（2）DNA连接酶循环测序法（单色或多色荧光底物标记）；（3）焦磷酸循环测序法（原理一：单色或多色底物荧光；原理二：电学传感器）。</w:t>
      </w:r>
      <w:r>
        <w:rPr>
          <w:rFonts w:ascii="Times New Roman" w:hAnsi="Times New Roman" w:eastAsia="仿宋_GB2312" w:cs="Times New Roman"/>
          <w:kern w:val="0"/>
          <w:sz w:val="32"/>
          <w:szCs w:val="32"/>
        </w:rPr>
        <w:t>基于其他技术的</w:t>
      </w:r>
      <w:r>
        <w:rPr>
          <w:rFonts w:hint="eastAsia" w:ascii="Times New Roman" w:hAnsi="Times New Roman" w:eastAsia="仿宋_GB2312" w:cs="Times New Roman"/>
          <w:sz w:val="32"/>
          <w:szCs w:val="32"/>
        </w:rPr>
        <w:t>基因测序仪</w:t>
      </w:r>
      <w:r>
        <w:rPr>
          <w:rFonts w:ascii="Times New Roman" w:hAnsi="Times New Roman" w:eastAsia="仿宋_GB2312" w:cs="Times New Roman"/>
          <w:kern w:val="0"/>
          <w:sz w:val="32"/>
          <w:szCs w:val="32"/>
        </w:rPr>
        <w:t>产品，可参照本指导原则相关适用条款并结合产品特点准备注册申报资料。</w:t>
      </w: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本指导原则适用于申请产品注册和相关许可事项变更的产品。</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申请人应当按照《</w:t>
      </w:r>
      <w:r>
        <w:rPr>
          <w:rFonts w:hint="eastAsia" w:ascii="Times New Roman" w:hAnsi="Times New Roman" w:eastAsia="仿宋_GB2312" w:cs="Times New Roman"/>
          <w:kern w:val="0"/>
          <w:sz w:val="32"/>
          <w:szCs w:val="32"/>
        </w:rPr>
        <w:t>医疗器械临床评价技术指导原则</w:t>
      </w:r>
      <w:r>
        <w:rPr>
          <w:rFonts w:ascii="Times New Roman" w:hAnsi="Times New Roman" w:eastAsia="仿宋_GB2312" w:cs="Times New Roman"/>
          <w:kern w:val="0"/>
          <w:sz w:val="32"/>
          <w:szCs w:val="32"/>
        </w:rPr>
        <w:t>》的要求提交临床评价资料，选择通过同品种医疗器械临床试验或临床使用获得的数据进行分析评价，或者临床试验这两种评价路径中适用的任一方式，提交相应的临床评价资料。</w:t>
      </w:r>
    </w:p>
    <w:p>
      <w:pPr>
        <w:overflowPunct w:val="0"/>
        <w:spacing w:line="560" w:lineRule="exact"/>
        <w:ind w:firstLine="640" w:firstLineChars="200"/>
        <w:rPr>
          <w:rFonts w:ascii="Times New Roman" w:hAnsi="Times New Roman" w:eastAsia="黑体" w:cs="Times New Roman"/>
          <w:bCs/>
          <w:color w:val="000000" w:themeColor="text1"/>
          <w:sz w:val="32"/>
          <w:szCs w:val="32"/>
          <w14:textFill>
            <w14:solidFill>
              <w14:schemeClr w14:val="tx1"/>
            </w14:solidFill>
          </w14:textFill>
        </w:rPr>
      </w:pPr>
      <w:r>
        <w:rPr>
          <w:rFonts w:hint="eastAsia" w:ascii="Times New Roman" w:hAnsi="Times New Roman" w:eastAsia="黑体" w:cs="Times New Roman"/>
          <w:bCs/>
          <w:color w:val="000000" w:themeColor="text1"/>
          <w:sz w:val="32"/>
          <w:szCs w:val="32"/>
          <w14:textFill>
            <w14:solidFill>
              <w14:schemeClr w14:val="tx1"/>
            </w14:solidFill>
          </w14:textFill>
        </w:rPr>
        <w:t>二</w:t>
      </w:r>
      <w:r>
        <w:rPr>
          <w:rFonts w:ascii="Times New Roman" w:hAnsi="Times New Roman" w:eastAsia="黑体" w:cs="Times New Roman"/>
          <w:bCs/>
          <w:color w:val="000000" w:themeColor="text1"/>
          <w:sz w:val="32"/>
          <w:szCs w:val="32"/>
          <w14:textFill>
            <w14:solidFill>
              <w14:schemeClr w14:val="tx1"/>
            </w14:solidFill>
          </w14:textFill>
        </w:rPr>
        <w:t>、通过同品种医疗器械临床试验或临床使用获得的数据进行分析评价要求</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（一）同品种基因测序仪判定</w:t>
      </w:r>
    </w:p>
    <w:p>
      <w:pPr>
        <w:autoSpaceDE w:val="0"/>
        <w:autoSpaceDN w:val="0"/>
        <w:adjustRightInd w:val="0"/>
        <w:spacing w:line="53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注册申请人可按照通则中“同品种医疗器械”的定义和判定，选择对比产品，并根据产品特征选择合适的对比项目，基于详实的研究结果，分析拟申报产品和同品种产品是否存在差异。</w:t>
      </w:r>
      <w:bookmarkStart w:id="0" w:name="OLE_LINK12"/>
    </w:p>
    <w:p>
      <w:pPr>
        <w:autoSpaceDE w:val="0"/>
        <w:autoSpaceDN w:val="0"/>
        <w:adjustRightInd w:val="0"/>
        <w:spacing w:line="53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申请人所选取的同品种基因测序仪，其与拟申报产品工作原理</w:t>
      </w:r>
      <w:r>
        <w:rPr>
          <w:rFonts w:hint="eastAsia" w:ascii="Times New Roman" w:hAnsi="Times New Roman" w:eastAsia="仿宋_GB2312" w:cs="Times New Roman"/>
          <w:color w:val="000000"/>
          <w:sz w:val="32"/>
          <w:szCs w:val="32"/>
        </w:rPr>
        <w:t>相同</w:t>
      </w: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rPr>
        <w:t>关键模块相同</w:t>
      </w:r>
      <w:r>
        <w:rPr>
          <w:rFonts w:ascii="Times New Roman" w:hAnsi="Times New Roman" w:eastAsia="仿宋_GB2312" w:cs="Times New Roman"/>
          <w:color w:val="000000"/>
          <w:sz w:val="32"/>
          <w:szCs w:val="32"/>
        </w:rPr>
        <w:t>，其</w:t>
      </w:r>
      <w:r>
        <w:rPr>
          <w:rFonts w:hint="eastAsia" w:ascii="Times New Roman" w:hAnsi="Times New Roman" w:eastAsia="仿宋_GB2312" w:cs="Times New Roman"/>
          <w:color w:val="000000"/>
          <w:sz w:val="32"/>
          <w:szCs w:val="32"/>
        </w:rPr>
        <w:t>数据质量（包含所测序列中每个碱基的准确度：一般为仪器或分析软件系统的碱基判定时特有的质量值（quality score））、一次运行（run）的数据产量（包括平均产量、最大产量、产量在质量Q值在不同质量阈值下的平均产量等）、测序在一定质量阈值下的平均读长（可包括高质量的最长读长和最短可用读长等）、仪器指定的不同</w:t>
      </w:r>
      <w:r>
        <w:rPr>
          <w:rFonts w:ascii="Times New Roman" w:hAnsi="Times New Roman" w:eastAsia="仿宋_GB2312" w:cs="Times New Roman"/>
          <w:color w:val="000000"/>
          <w:sz w:val="32"/>
          <w:szCs w:val="32"/>
        </w:rPr>
        <w:t>测序</w:t>
      </w:r>
      <w:r>
        <w:rPr>
          <w:rFonts w:hint="eastAsia" w:ascii="Times New Roman" w:hAnsi="Times New Roman" w:eastAsia="仿宋_GB2312" w:cs="Times New Roman"/>
          <w:color w:val="000000"/>
          <w:sz w:val="32"/>
          <w:szCs w:val="32"/>
        </w:rPr>
        <w:t>模式、不同测序模式产生的数据量和运行时间差异</w:t>
      </w:r>
      <w:r>
        <w:rPr>
          <w:rFonts w:ascii="Times New Roman" w:hAnsi="Times New Roman" w:eastAsia="仿宋_GB2312" w:cs="Times New Roman"/>
          <w:color w:val="000000"/>
          <w:sz w:val="32"/>
          <w:szCs w:val="32"/>
        </w:rPr>
        <w:t>等关键指标</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不应显著差异于拟申报产品。</w:t>
      </w:r>
      <w:bookmarkEnd w:id="0"/>
    </w:p>
    <w:p>
      <w:pPr>
        <w:autoSpaceDE w:val="0"/>
        <w:autoSpaceDN w:val="0"/>
        <w:adjustRightInd w:val="0"/>
        <w:spacing w:line="53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比项目包括但不限于附件1所列举的项目。对比内容包括定性和定量数据、验证和确认结果，应详述二者的相同性和差异性，对差异性是否对产品的安全有效性产生不利影响，应通过拟申报产品自身的数据进行验证和/或确认。对于相同性，也应提交充分的证据。</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（二）拟申报产品与对比产品的评价关系</w:t>
      </w:r>
    </w:p>
    <w:p>
      <w:pPr>
        <w:overflowPunct w:val="0"/>
        <w:spacing w:line="56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根据《</w:t>
      </w:r>
      <w:r>
        <w:rPr>
          <w:rFonts w:hint="eastAsia" w:ascii="Times New Roman" w:hAnsi="Times New Roman" w:eastAsia="仿宋_GB2312" w:cs="Times New Roman"/>
          <w:color w:val="000000"/>
          <w:sz w:val="32"/>
          <w:szCs w:val="32"/>
        </w:rPr>
        <w:t>医疗器械临床评价技术指导原则</w:t>
      </w:r>
      <w:r>
        <w:rPr>
          <w:rFonts w:ascii="Times New Roman" w:hAnsi="Times New Roman" w:eastAsia="仿宋_GB2312" w:cs="Times New Roman"/>
          <w:color w:val="000000"/>
          <w:sz w:val="32"/>
          <w:szCs w:val="32"/>
        </w:rPr>
        <w:t>》中规定的评价路径可知，拟申报产品与对比产品关系有两种，或为同品种产品，或为非同品种产品，如为同品种产品，还需对两者之间的差异是否对产品安全性、有效性产生不利影响进行进一步评价。</w:t>
      </w:r>
    </w:p>
    <w:p>
      <w:pPr>
        <w:overflowPunct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针对拟申报产品与对比产品的差异，注册申请人需分析差异性是否对产品的安全性和有效性产生不利影响，将拟申报产品自身的数据作为支持性资料，如申报产品的非临床研究数据、临床文献数据、临床经验数据、针对差异性</w:t>
      </w:r>
      <w:r>
        <w:rPr>
          <w:rFonts w:hint="eastAsia" w:ascii="Times New Roman" w:hAnsi="Times New Roman" w:eastAsia="仿宋_GB2312" w:cs="Times New Roman"/>
          <w:sz w:val="32"/>
          <w:szCs w:val="32"/>
        </w:rPr>
        <w:t>的</w:t>
      </w:r>
      <w:r>
        <w:rPr>
          <w:rFonts w:ascii="Times New Roman" w:hAnsi="Times New Roman" w:eastAsia="仿宋_GB2312" w:cs="Times New Roman"/>
          <w:sz w:val="32"/>
          <w:szCs w:val="32"/>
        </w:rPr>
        <w:t>临床试验数据等。注册申请人还需进一步评价差异是否影响性能参数，以及影响的程度和范围，必要时提供临床试验数据进行确认。</w:t>
      </w:r>
    </w:p>
    <w:p>
      <w:pPr>
        <w:overflowPunct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针对申报产品的</w:t>
      </w:r>
      <w:r>
        <w:rPr>
          <w:rFonts w:hint="eastAsia" w:ascii="Times New Roman" w:hAnsi="Times New Roman" w:eastAsia="仿宋_GB2312" w:cs="Times New Roman"/>
          <w:sz w:val="32"/>
          <w:szCs w:val="32"/>
        </w:rPr>
        <w:t>生化原理（包括但不限于酶学反应、信号发生、信号源强度等）、物理原理（包括但不限于信号采集部件、光源、滤光器件等）、碱基质量判断</w:t>
      </w:r>
      <w:r>
        <w:rPr>
          <w:rFonts w:ascii="Times New Roman" w:hAnsi="Times New Roman" w:eastAsia="仿宋_GB2312" w:cs="Times New Roman"/>
          <w:sz w:val="32"/>
          <w:szCs w:val="32"/>
        </w:rPr>
        <w:t>软件</w:t>
      </w:r>
      <w:r>
        <w:rPr>
          <w:rFonts w:hint="eastAsia" w:ascii="Times New Roman" w:hAnsi="Times New Roman" w:eastAsia="仿宋_GB2312" w:cs="Times New Roman"/>
          <w:sz w:val="32"/>
          <w:szCs w:val="32"/>
        </w:rPr>
        <w:t>（包括但不限于碱基判断</w:t>
      </w:r>
      <w:r>
        <w:rPr>
          <w:rFonts w:ascii="Times New Roman" w:hAnsi="Times New Roman" w:eastAsia="仿宋_GB2312" w:cs="Times New Roman"/>
          <w:sz w:val="32"/>
          <w:szCs w:val="32"/>
        </w:rPr>
        <w:t>算法、</w:t>
      </w:r>
      <w:r>
        <w:rPr>
          <w:rFonts w:hint="eastAsia" w:ascii="Times New Roman" w:hAnsi="Times New Roman" w:eastAsia="仿宋_GB2312" w:cs="Times New Roman"/>
          <w:sz w:val="32"/>
          <w:szCs w:val="32"/>
        </w:rPr>
        <w:t>核心数据集、错误率评估、系统弱点评估等）、</w:t>
      </w:r>
      <w:r>
        <w:rPr>
          <w:rFonts w:ascii="Times New Roman" w:hAnsi="Times New Roman" w:eastAsia="仿宋_GB2312" w:cs="Times New Roman"/>
          <w:sz w:val="32"/>
          <w:szCs w:val="32"/>
        </w:rPr>
        <w:t>系统</w:t>
      </w:r>
      <w:r>
        <w:rPr>
          <w:rFonts w:hint="eastAsia" w:ascii="Times New Roman" w:hAnsi="Times New Roman" w:eastAsia="仿宋_GB2312" w:cs="Times New Roman"/>
          <w:sz w:val="32"/>
          <w:szCs w:val="32"/>
        </w:rPr>
        <w:t>集成原理和性能（包括但不限于：系统结构、核心模块、系统操控软件、操控人需求、</w:t>
      </w:r>
      <w:r>
        <w:rPr>
          <w:rFonts w:ascii="Times New Roman" w:hAnsi="Times New Roman" w:eastAsia="仿宋_GB2312" w:cs="Times New Roman"/>
          <w:sz w:val="32"/>
          <w:szCs w:val="32"/>
        </w:rPr>
        <w:t>可靠性</w:t>
      </w:r>
      <w:r>
        <w:rPr>
          <w:rFonts w:hint="eastAsia" w:ascii="Times New Roman" w:hAnsi="Times New Roman" w:eastAsia="仿宋_GB2312" w:cs="Times New Roman"/>
          <w:sz w:val="32"/>
          <w:szCs w:val="32"/>
        </w:rPr>
        <w:t>等）等</w:t>
      </w:r>
      <w:r>
        <w:rPr>
          <w:rFonts w:ascii="Times New Roman" w:hAnsi="Times New Roman" w:eastAsia="仿宋_GB2312" w:cs="Times New Roman"/>
          <w:sz w:val="32"/>
          <w:szCs w:val="32"/>
        </w:rPr>
        <w:t>基本性能等通过功能测试过程与同品种产品进行对比。</w:t>
      </w:r>
    </w:p>
    <w:p>
      <w:pPr>
        <w:autoSpaceDE w:val="0"/>
        <w:autoSpaceDN w:val="0"/>
        <w:adjustRightInd w:val="0"/>
        <w:spacing w:line="53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sz w:val="32"/>
          <w:szCs w:val="32"/>
        </w:rPr>
        <w:t>与同品种产品相比，申报产品的性能指标、数据质量不低于对比产品时，可认为申报产品</w:t>
      </w:r>
      <w:r>
        <w:rPr>
          <w:rFonts w:hint="eastAsia" w:ascii="Times New Roman" w:hAnsi="Times New Roman" w:eastAsia="仿宋_GB2312" w:cs="Times New Roman"/>
          <w:sz w:val="32"/>
          <w:szCs w:val="32"/>
        </w:rPr>
        <w:t>基本</w:t>
      </w:r>
      <w:r>
        <w:rPr>
          <w:rFonts w:ascii="Times New Roman" w:hAnsi="Times New Roman" w:eastAsia="仿宋_GB2312" w:cs="Times New Roman"/>
          <w:sz w:val="32"/>
          <w:szCs w:val="32"/>
        </w:rPr>
        <w:t>符合同品种产品预期的临床应用要求；若申报产品的关键</w:t>
      </w:r>
      <w:r>
        <w:rPr>
          <w:rFonts w:hint="eastAsia" w:ascii="Times New Roman" w:hAnsi="Times New Roman" w:eastAsia="仿宋_GB2312" w:cs="Times New Roman"/>
          <w:sz w:val="32"/>
          <w:szCs w:val="32"/>
        </w:rPr>
        <w:t>模块</w:t>
      </w:r>
      <w:r>
        <w:rPr>
          <w:rFonts w:ascii="Times New Roman" w:hAnsi="Times New Roman" w:eastAsia="仿宋_GB2312" w:cs="Times New Roman"/>
          <w:sz w:val="32"/>
          <w:szCs w:val="32"/>
        </w:rPr>
        <w:t>、产品结构、主要功能等与同品种产品具有显著差异，且该差异影响申报产品的性能指标，尤其是影响数据质量时，注册申请人还需开展对应差异的临床试验，对申报产品性能是否满足临床使用需要进行确认。</w:t>
      </w:r>
    </w:p>
    <w:p>
      <w:pPr>
        <w:autoSpaceDE w:val="0"/>
        <w:autoSpaceDN w:val="0"/>
        <w:adjustRightInd w:val="0"/>
        <w:spacing w:line="53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不同情形评价关系所需提交的支持性资料不尽相同，具体内容见表1，表1给出的具体情况举例可能不能涵盖所有情况，申请人应根据拟申报产品的具体情况进行列举和判定，并给出判定的具体理由。</w:t>
      </w:r>
    </w:p>
    <w:p>
      <w:pPr>
        <w:pStyle w:val="2"/>
        <w:ind w:firstLine="640"/>
        <w:rPr>
          <w:rFonts w:ascii="Times New Roman" w:hAnsi="Times New Roman" w:eastAsia="仿宋_GB2312" w:cs="Times New Roman"/>
          <w:color w:val="000000"/>
          <w:sz w:val="32"/>
          <w:szCs w:val="32"/>
        </w:rPr>
      </w:pPr>
    </w:p>
    <w:p>
      <w:pPr>
        <w:autoSpaceDE w:val="0"/>
        <w:autoSpaceDN w:val="0"/>
        <w:adjustRightInd w:val="0"/>
        <w:spacing w:line="520" w:lineRule="exact"/>
        <w:jc w:val="center"/>
        <w:rPr>
          <w:rFonts w:ascii="Times New Roman" w:hAnsi="Times New Roman" w:eastAsia="黑体" w:cs="Times New Roman"/>
          <w:color w:val="000000"/>
          <w:sz w:val="28"/>
          <w:szCs w:val="28"/>
        </w:rPr>
      </w:pPr>
      <w:r>
        <w:rPr>
          <w:rFonts w:ascii="Times New Roman" w:hAnsi="Times New Roman" w:eastAsia="黑体" w:cs="Times New Roman"/>
          <w:color w:val="000000"/>
          <w:sz w:val="28"/>
          <w:szCs w:val="28"/>
        </w:rPr>
        <w:t>表1 拟申报产品与对比产品关系及需提交资料类型表</w:t>
      </w:r>
    </w:p>
    <w:tbl>
      <w:tblPr>
        <w:tblStyle w:val="10"/>
        <w:tblpPr w:leftFromText="180" w:rightFromText="180" w:vertAnchor="text" w:horzAnchor="margin" w:tblpXSpec="center" w:tblpY="221"/>
        <w:tblOverlap w:val="never"/>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1440"/>
        <w:gridCol w:w="411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787" w:type="dxa"/>
            <w:vAlign w:val="center"/>
          </w:tcPr>
          <w:p>
            <w:pPr>
              <w:spacing w:line="340" w:lineRule="exact"/>
              <w:jc w:val="center"/>
              <w:rPr>
                <w:rFonts w:ascii="Times New Roman" w:hAnsi="Times New Roman" w:eastAsia="黑体" w:cs="Times New Roman"/>
                <w:color w:val="000000"/>
                <w:spacing w:val="-4"/>
                <w:sz w:val="24"/>
              </w:rPr>
            </w:pPr>
            <w:r>
              <w:rPr>
                <w:rFonts w:ascii="Times New Roman" w:hAnsi="Times New Roman" w:eastAsia="黑体" w:cs="Times New Roman"/>
                <w:color w:val="000000"/>
                <w:spacing w:val="-4"/>
                <w:sz w:val="24"/>
              </w:rPr>
              <w:t>拟申报产品与对比产品关系</w:t>
            </w:r>
          </w:p>
        </w:tc>
        <w:tc>
          <w:tcPr>
            <w:tcW w:w="1440" w:type="dxa"/>
            <w:vAlign w:val="center"/>
          </w:tcPr>
          <w:p>
            <w:pPr>
              <w:spacing w:line="340" w:lineRule="exact"/>
              <w:jc w:val="center"/>
              <w:rPr>
                <w:rFonts w:ascii="Times New Roman" w:hAnsi="Times New Roman" w:eastAsia="黑体" w:cs="Times New Roman"/>
                <w:color w:val="000000"/>
                <w:spacing w:val="-4"/>
                <w:sz w:val="24"/>
              </w:rPr>
            </w:pPr>
            <w:r>
              <w:rPr>
                <w:rFonts w:ascii="Times New Roman" w:hAnsi="Times New Roman" w:eastAsia="黑体" w:cs="Times New Roman"/>
                <w:color w:val="000000"/>
                <w:spacing w:val="-4"/>
                <w:sz w:val="24"/>
              </w:rPr>
              <w:t>拟申报产品与对比产品差异类型</w:t>
            </w:r>
          </w:p>
        </w:tc>
        <w:tc>
          <w:tcPr>
            <w:tcW w:w="4111" w:type="dxa"/>
            <w:vAlign w:val="center"/>
          </w:tcPr>
          <w:p>
            <w:pPr>
              <w:spacing w:line="340" w:lineRule="exact"/>
              <w:jc w:val="center"/>
              <w:rPr>
                <w:rFonts w:ascii="Times New Roman" w:hAnsi="Times New Roman" w:eastAsia="黑体" w:cs="Times New Roman"/>
                <w:color w:val="000000"/>
                <w:spacing w:val="-4"/>
                <w:sz w:val="24"/>
              </w:rPr>
            </w:pPr>
            <w:r>
              <w:rPr>
                <w:rFonts w:ascii="Times New Roman" w:hAnsi="Times New Roman" w:eastAsia="黑体" w:cs="Times New Roman"/>
                <w:color w:val="000000"/>
                <w:spacing w:val="-4"/>
                <w:sz w:val="24"/>
              </w:rPr>
              <w:t>具体情况举例</w:t>
            </w:r>
          </w:p>
        </w:tc>
        <w:tc>
          <w:tcPr>
            <w:tcW w:w="1701" w:type="dxa"/>
            <w:vAlign w:val="center"/>
          </w:tcPr>
          <w:p>
            <w:pPr>
              <w:spacing w:line="340" w:lineRule="exact"/>
              <w:jc w:val="center"/>
              <w:rPr>
                <w:rFonts w:ascii="Times New Roman" w:hAnsi="Times New Roman" w:eastAsia="黑体" w:cs="Times New Roman"/>
                <w:color w:val="000000"/>
                <w:spacing w:val="-4"/>
                <w:sz w:val="24"/>
              </w:rPr>
            </w:pPr>
            <w:r>
              <w:rPr>
                <w:rFonts w:ascii="Times New Roman" w:hAnsi="Times New Roman" w:eastAsia="黑体" w:cs="Times New Roman"/>
                <w:color w:val="000000"/>
                <w:spacing w:val="-4"/>
                <w:sz w:val="24"/>
              </w:rPr>
              <w:t>需提交</w:t>
            </w:r>
          </w:p>
          <w:p>
            <w:pPr>
              <w:spacing w:line="340" w:lineRule="exact"/>
              <w:jc w:val="center"/>
              <w:rPr>
                <w:rFonts w:ascii="Times New Roman" w:hAnsi="Times New Roman" w:eastAsia="黑体" w:cs="Times New Roman"/>
                <w:color w:val="000000"/>
                <w:spacing w:val="-4"/>
                <w:sz w:val="24"/>
              </w:rPr>
            </w:pPr>
            <w:r>
              <w:rPr>
                <w:rFonts w:ascii="Times New Roman" w:hAnsi="Times New Roman" w:eastAsia="黑体" w:cs="Times New Roman"/>
                <w:color w:val="000000"/>
                <w:spacing w:val="-4"/>
                <w:sz w:val="24"/>
              </w:rPr>
              <w:t>资料类型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787" w:type="dxa"/>
            <w:vMerge w:val="restart"/>
            <w:vAlign w:val="center"/>
          </w:tcPr>
          <w:p>
            <w:pPr>
              <w:spacing w:line="340" w:lineRule="exact"/>
              <w:jc w:val="center"/>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属于同品种（差异评价路径可参考附件3）</w:t>
            </w:r>
          </w:p>
        </w:tc>
        <w:tc>
          <w:tcPr>
            <w:tcW w:w="1440" w:type="dxa"/>
            <w:vAlign w:val="center"/>
          </w:tcPr>
          <w:p>
            <w:pPr>
              <w:spacing w:line="340" w:lineRule="exact"/>
              <w:jc w:val="center"/>
              <w:rPr>
                <w:rFonts w:ascii="Times New Roman" w:hAnsi="Times New Roman" w:eastAsia="仿宋_GB2312" w:cs="Times New Roman"/>
                <w:color w:val="000000"/>
                <w:spacing w:val="-4"/>
                <w:sz w:val="24"/>
              </w:rPr>
            </w:pPr>
            <w:r>
              <w:rPr>
                <w:rFonts w:hint="eastAsia" w:ascii="Times New Roman" w:hAnsi="Times New Roman" w:eastAsia="仿宋_GB2312" w:cs="Times New Roman"/>
                <w:color w:val="000000"/>
                <w:spacing w:val="-4"/>
                <w:sz w:val="24"/>
              </w:rPr>
              <w:t>通常提交</w:t>
            </w:r>
            <w:r>
              <w:rPr>
                <w:rFonts w:ascii="Times New Roman" w:hAnsi="Times New Roman" w:eastAsia="仿宋_GB2312" w:cs="Times New Roman"/>
                <w:color w:val="000000"/>
                <w:spacing w:val="-4"/>
                <w:sz w:val="24"/>
              </w:rPr>
              <w:t>非临床研究</w:t>
            </w:r>
            <w:r>
              <w:rPr>
                <w:rFonts w:hint="eastAsia" w:ascii="Times New Roman" w:hAnsi="Times New Roman" w:eastAsia="仿宋_GB2312" w:cs="Times New Roman"/>
                <w:color w:val="000000"/>
                <w:spacing w:val="-4"/>
                <w:sz w:val="24"/>
              </w:rPr>
              <w:t>可能充分证明的差异</w:t>
            </w:r>
          </w:p>
        </w:tc>
        <w:tc>
          <w:tcPr>
            <w:tcW w:w="4111" w:type="dxa"/>
            <w:vAlign w:val="center"/>
          </w:tcPr>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1.拟申报产品适用范围</w:t>
            </w:r>
            <w:r>
              <w:rPr>
                <w:rFonts w:hint="eastAsia" w:ascii="Times New Roman" w:hAnsi="Times New Roman" w:eastAsia="仿宋_GB2312" w:cs="Times New Roman"/>
                <w:color w:val="000000"/>
                <w:spacing w:val="-4"/>
                <w:sz w:val="24"/>
              </w:rPr>
              <w:t>不超出</w:t>
            </w:r>
            <w:r>
              <w:rPr>
                <w:rFonts w:ascii="Times New Roman" w:hAnsi="Times New Roman" w:eastAsia="仿宋_GB2312" w:cs="Times New Roman"/>
                <w:color w:val="000000"/>
                <w:spacing w:val="-4"/>
                <w:sz w:val="24"/>
              </w:rPr>
              <w:t>对比产品。</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2.拟申报产品芯片密度与对比产品</w:t>
            </w:r>
            <w:r>
              <w:rPr>
                <w:rFonts w:hint="eastAsia" w:ascii="Times New Roman" w:hAnsi="Times New Roman" w:eastAsia="仿宋_GB2312" w:cs="Times New Roman"/>
                <w:color w:val="000000"/>
                <w:spacing w:val="-4"/>
                <w:sz w:val="24"/>
              </w:rPr>
              <w:t>相当</w:t>
            </w:r>
            <w:r>
              <w:rPr>
                <w:rFonts w:ascii="Times New Roman" w:hAnsi="Times New Roman" w:eastAsia="仿宋_GB2312" w:cs="Times New Roman"/>
                <w:color w:val="000000"/>
                <w:spacing w:val="-4"/>
                <w:sz w:val="24"/>
              </w:rPr>
              <w:t>，仅数量不一致</w:t>
            </w:r>
            <w:r>
              <w:rPr>
                <w:rFonts w:hint="eastAsia" w:ascii="Times New Roman" w:hAnsi="Times New Roman" w:eastAsia="仿宋_GB2312" w:cs="Times New Roman"/>
                <w:color w:val="000000"/>
                <w:spacing w:val="-4"/>
                <w:sz w:val="24"/>
              </w:rPr>
              <w:t>，后期信号数据处理基本一致</w:t>
            </w:r>
            <w:r>
              <w:rPr>
                <w:rFonts w:ascii="Times New Roman" w:hAnsi="Times New Roman" w:eastAsia="仿宋_GB2312" w:cs="Times New Roman"/>
                <w:color w:val="000000"/>
                <w:spacing w:val="-4"/>
                <w:sz w:val="24"/>
              </w:rPr>
              <w:t>。</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3.拟申报产品流动槽支架的性能与对比产品不一致。</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4.拟申报产品流体自动化模块的性能与对比产品不一致。</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5.拟申报产品缓冲剂吸管装置的性能与对比产品不一致。</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以上差异未造成性能差异和数据质量下降。</w:t>
            </w:r>
          </w:p>
        </w:tc>
        <w:tc>
          <w:tcPr>
            <w:tcW w:w="1701" w:type="dxa"/>
            <w:vAlign w:val="center"/>
          </w:tcPr>
          <w:p>
            <w:pPr>
              <w:spacing w:line="340" w:lineRule="exact"/>
              <w:jc w:val="center"/>
              <w:rPr>
                <w:rFonts w:ascii="Times New Roman" w:hAnsi="Times New Roman" w:eastAsia="仿宋_GB2312" w:cs="Times New Roman"/>
                <w:color w:val="000000"/>
                <w:spacing w:val="-4"/>
                <w:sz w:val="24"/>
              </w:rPr>
            </w:pPr>
            <w:r>
              <w:rPr>
                <w:rFonts w:hint="eastAsia" w:ascii="Times New Roman" w:hAnsi="Times New Roman" w:eastAsia="仿宋_GB2312" w:cs="Times New Roman"/>
                <w:color w:val="000000"/>
                <w:spacing w:val="-4"/>
                <w:sz w:val="24"/>
              </w:rPr>
              <w:t>通常提交</w:t>
            </w:r>
            <w:r>
              <w:rPr>
                <w:rFonts w:ascii="Times New Roman" w:hAnsi="Times New Roman" w:eastAsia="仿宋_GB2312" w:cs="Times New Roman"/>
                <w:color w:val="000000"/>
                <w:spacing w:val="-4"/>
                <w:sz w:val="24"/>
              </w:rPr>
              <w:t>非临床研究</w:t>
            </w:r>
            <w:r>
              <w:rPr>
                <w:rFonts w:hint="eastAsia" w:ascii="Times New Roman" w:hAnsi="Times New Roman" w:eastAsia="仿宋_GB2312" w:cs="Times New Roman"/>
                <w:color w:val="000000"/>
                <w:spacing w:val="-4"/>
                <w:sz w:val="24"/>
              </w:rPr>
              <w:t>可能充分证明的差异：</w:t>
            </w:r>
            <w:r>
              <w:rPr>
                <w:rFonts w:ascii="Times New Roman" w:hAnsi="Times New Roman" w:eastAsia="仿宋_GB2312" w:cs="Times New Roman"/>
                <w:color w:val="000000"/>
                <w:spacing w:val="-4"/>
                <w:sz w:val="24"/>
              </w:rPr>
              <w:t>非临床研究、和/或临床文献数据、和/或临床经验数据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787" w:type="dxa"/>
            <w:vMerge w:val="continue"/>
            <w:vAlign w:val="center"/>
          </w:tcPr>
          <w:p>
            <w:pPr>
              <w:keepNext/>
              <w:keepLines/>
              <w:spacing w:before="260" w:after="260" w:line="340" w:lineRule="exact"/>
              <w:jc w:val="center"/>
              <w:rPr>
                <w:rFonts w:ascii="Times New Roman" w:hAnsi="Times New Roman" w:eastAsia="仿宋_GB2312" w:cs="Times New Roman"/>
                <w:color w:val="000000"/>
                <w:spacing w:val="-4"/>
                <w:sz w:val="24"/>
              </w:rPr>
            </w:pPr>
          </w:p>
        </w:tc>
        <w:tc>
          <w:tcPr>
            <w:tcW w:w="1440" w:type="dxa"/>
            <w:vAlign w:val="center"/>
          </w:tcPr>
          <w:p>
            <w:pPr>
              <w:spacing w:line="340" w:lineRule="exact"/>
              <w:jc w:val="center"/>
              <w:rPr>
                <w:rFonts w:ascii="Times New Roman" w:hAnsi="Times New Roman" w:eastAsia="仿宋_GB2312" w:cs="Times New Roman"/>
                <w:color w:val="000000"/>
                <w:spacing w:val="-4"/>
                <w:sz w:val="24"/>
              </w:rPr>
            </w:pPr>
            <w:r>
              <w:rPr>
                <w:rFonts w:hint="eastAsia" w:ascii="Times New Roman" w:hAnsi="Times New Roman" w:eastAsia="仿宋_GB2312" w:cs="Times New Roman"/>
                <w:color w:val="000000"/>
                <w:spacing w:val="-4"/>
                <w:sz w:val="24"/>
              </w:rPr>
              <w:t>需要提交</w:t>
            </w:r>
            <w:r>
              <w:rPr>
                <w:rFonts w:ascii="Times New Roman" w:hAnsi="Times New Roman" w:eastAsia="仿宋_GB2312" w:cs="Times New Roman"/>
                <w:color w:val="000000"/>
                <w:spacing w:val="-4"/>
                <w:sz w:val="24"/>
              </w:rPr>
              <w:t>临床试验资料</w:t>
            </w:r>
            <w:r>
              <w:rPr>
                <w:rFonts w:hint="eastAsia" w:ascii="Times New Roman" w:hAnsi="Times New Roman" w:eastAsia="仿宋_GB2312" w:cs="Times New Roman"/>
                <w:color w:val="000000"/>
                <w:spacing w:val="-4"/>
                <w:sz w:val="24"/>
              </w:rPr>
              <w:t>的差异</w:t>
            </w:r>
          </w:p>
        </w:tc>
        <w:tc>
          <w:tcPr>
            <w:tcW w:w="4111" w:type="dxa"/>
            <w:vAlign w:val="center"/>
          </w:tcPr>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1.拟申报产品适用范围多于对比产品。</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2.拟申报产品软件组件的主要功能、核心算法</w:t>
            </w:r>
            <w:r>
              <w:rPr>
                <w:rFonts w:hint="eastAsia" w:ascii="Times New Roman" w:hAnsi="Times New Roman" w:eastAsia="仿宋_GB2312" w:cs="Times New Roman"/>
                <w:color w:val="000000"/>
                <w:spacing w:val="-4"/>
                <w:sz w:val="24"/>
              </w:rPr>
              <w:t>（信号采集、信号建模、信号纠错等）</w:t>
            </w:r>
            <w:r>
              <w:rPr>
                <w:rFonts w:ascii="Times New Roman" w:hAnsi="Times New Roman" w:eastAsia="仿宋_GB2312" w:cs="Times New Roman"/>
                <w:color w:val="000000"/>
                <w:spacing w:val="-4"/>
                <w:sz w:val="24"/>
              </w:rPr>
              <w:t>与对比产品不一致。</w:t>
            </w:r>
          </w:p>
          <w:p>
            <w:pPr>
              <w:pStyle w:val="2"/>
              <w:ind w:left="0" w:leftChars="0" w:firstLine="0" w:firstLineChars="0"/>
              <w:rPr>
                <w:rFonts w:ascii="Times New Roman" w:hAnsi="Times New Roman" w:cs="Times New Roman"/>
              </w:rPr>
            </w:pPr>
            <w:r>
              <w:rPr>
                <w:rFonts w:ascii="Times New Roman" w:hAnsi="Times New Roman" w:eastAsia="仿宋_GB2312" w:cs="Times New Roman"/>
                <w:color w:val="000000"/>
                <w:spacing w:val="-4"/>
              </w:rPr>
              <w:t>3.拟申报产品芯片</w:t>
            </w:r>
            <w:r>
              <w:rPr>
                <w:rFonts w:hint="eastAsia" w:ascii="Times New Roman" w:hAnsi="Times New Roman" w:eastAsia="仿宋_GB2312" w:cs="Times New Roman"/>
                <w:color w:val="000000"/>
                <w:spacing w:val="-4"/>
              </w:rPr>
              <w:t>设计构架、密度及后期信号数据处理</w:t>
            </w:r>
            <w:r>
              <w:rPr>
                <w:rFonts w:ascii="Times New Roman" w:hAnsi="Times New Roman" w:eastAsia="仿宋_GB2312" w:cs="Times New Roman"/>
                <w:color w:val="000000"/>
                <w:spacing w:val="-4"/>
              </w:rPr>
              <w:t>等关键</w:t>
            </w:r>
            <w:r>
              <w:rPr>
                <w:rFonts w:hint="eastAsia" w:ascii="Times New Roman" w:hAnsi="Times New Roman" w:eastAsia="仿宋_GB2312" w:cs="Times New Roman"/>
                <w:color w:val="000000"/>
                <w:spacing w:val="-4"/>
              </w:rPr>
              <w:t>功能</w:t>
            </w:r>
            <w:r>
              <w:rPr>
                <w:rFonts w:ascii="Times New Roman" w:hAnsi="Times New Roman" w:eastAsia="仿宋_GB2312" w:cs="Times New Roman"/>
                <w:color w:val="000000"/>
                <w:spacing w:val="-4"/>
              </w:rPr>
              <w:t>有较大差异。</w:t>
            </w:r>
          </w:p>
        </w:tc>
        <w:tc>
          <w:tcPr>
            <w:tcW w:w="1701" w:type="dxa"/>
            <w:vAlign w:val="center"/>
          </w:tcPr>
          <w:p>
            <w:pPr>
              <w:spacing w:line="340" w:lineRule="exact"/>
              <w:jc w:val="center"/>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针对差异的临床试验资料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4" w:hRule="atLeast"/>
        </w:trPr>
        <w:tc>
          <w:tcPr>
            <w:tcW w:w="1787" w:type="dxa"/>
            <w:vAlign w:val="center"/>
          </w:tcPr>
          <w:p>
            <w:pPr>
              <w:spacing w:line="340" w:lineRule="exact"/>
              <w:jc w:val="center"/>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不属于同品种</w:t>
            </w:r>
          </w:p>
        </w:tc>
        <w:tc>
          <w:tcPr>
            <w:tcW w:w="1440" w:type="dxa"/>
            <w:vAlign w:val="center"/>
          </w:tcPr>
          <w:p>
            <w:pPr>
              <w:keepNext/>
              <w:keepLines/>
              <w:spacing w:before="260" w:after="260" w:line="340" w:lineRule="exact"/>
              <w:jc w:val="center"/>
              <w:rPr>
                <w:rFonts w:ascii="Times New Roman" w:hAnsi="Times New Roman" w:eastAsia="仿宋_GB2312" w:cs="Times New Roman"/>
                <w:color w:val="000000"/>
                <w:spacing w:val="-4"/>
                <w:sz w:val="24"/>
              </w:rPr>
            </w:pPr>
          </w:p>
        </w:tc>
        <w:tc>
          <w:tcPr>
            <w:tcW w:w="4111" w:type="dxa"/>
            <w:vAlign w:val="center"/>
          </w:tcPr>
          <w:p>
            <w:pPr>
              <w:spacing w:line="340" w:lineRule="exact"/>
              <w:rPr>
                <w:rFonts w:ascii="Times New Roman" w:hAnsi="Times New Roman" w:eastAsia="仿宋_GB2312" w:cs="Times New Roman"/>
                <w:color w:val="000000"/>
                <w:spacing w:val="-4"/>
                <w:sz w:val="24"/>
              </w:rPr>
            </w:pPr>
            <w:bookmarkStart w:id="1" w:name="OLE_LINK9"/>
            <w:bookmarkStart w:id="2" w:name="OLE_LINK8"/>
            <w:r>
              <w:rPr>
                <w:rFonts w:ascii="Times New Roman" w:hAnsi="Times New Roman" w:eastAsia="仿宋_GB2312" w:cs="Times New Roman"/>
                <w:color w:val="000000"/>
                <w:spacing w:val="-4"/>
                <w:sz w:val="24"/>
              </w:rPr>
              <w:t>1.拟申报产品的</w:t>
            </w:r>
            <w:bookmarkEnd w:id="1"/>
            <w:bookmarkEnd w:id="2"/>
            <w:r>
              <w:rPr>
                <w:rFonts w:ascii="Times New Roman" w:hAnsi="Times New Roman" w:eastAsia="仿宋_GB2312" w:cs="Times New Roman"/>
                <w:color w:val="000000"/>
                <w:spacing w:val="-4"/>
                <w:sz w:val="24"/>
              </w:rPr>
              <w:t>工作原理与对比产品不相同。</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2.拟申报产品的检测原理和判读方法与对比产品不相同。</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3.拟申报产品的使用环境与对比产品不相同。如台式、便携式与落地式。</w:t>
            </w:r>
          </w:p>
          <w:p>
            <w:pPr>
              <w:spacing w:line="340" w:lineRule="exact"/>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4.拟申报产品关键模块的原理与对比产品不一致。如成像模块的原理不一致。</w:t>
            </w:r>
          </w:p>
          <w:p>
            <w:pPr>
              <w:spacing w:line="340" w:lineRule="exact"/>
              <w:rPr>
                <w:rFonts w:ascii="Times New Roman" w:hAnsi="Times New Roman" w:eastAsia="仿宋_GB2312" w:cs="Times New Roman"/>
                <w:color w:val="000000"/>
                <w:spacing w:val="-6"/>
                <w:sz w:val="24"/>
              </w:rPr>
            </w:pPr>
            <w:r>
              <w:rPr>
                <w:rFonts w:ascii="Times New Roman" w:hAnsi="Times New Roman" w:eastAsia="仿宋_GB2312" w:cs="Times New Roman"/>
                <w:color w:val="000000"/>
                <w:spacing w:val="-4"/>
                <w:sz w:val="24"/>
              </w:rPr>
              <w:t>5.拟申报产品的性能与对比产品差异较大</w:t>
            </w:r>
            <w:r>
              <w:rPr>
                <w:rFonts w:ascii="Times New Roman" w:hAnsi="Times New Roman" w:eastAsia="仿宋_GB2312" w:cs="Times New Roman"/>
                <w:spacing w:val="-4"/>
                <w:sz w:val="24"/>
              </w:rPr>
              <w:t>。</w:t>
            </w:r>
          </w:p>
        </w:tc>
        <w:tc>
          <w:tcPr>
            <w:tcW w:w="1701" w:type="dxa"/>
            <w:vAlign w:val="center"/>
          </w:tcPr>
          <w:p>
            <w:pPr>
              <w:spacing w:line="340" w:lineRule="exact"/>
              <w:jc w:val="center"/>
              <w:rPr>
                <w:rFonts w:ascii="Times New Roman" w:hAnsi="Times New Roman" w:eastAsia="仿宋_GB2312" w:cs="Times New Roman"/>
                <w:color w:val="000000"/>
                <w:spacing w:val="-4"/>
                <w:sz w:val="24"/>
              </w:rPr>
            </w:pPr>
            <w:r>
              <w:rPr>
                <w:rFonts w:ascii="Times New Roman" w:hAnsi="Times New Roman" w:eastAsia="仿宋_GB2312" w:cs="Times New Roman"/>
                <w:color w:val="000000"/>
                <w:spacing w:val="-4"/>
                <w:sz w:val="24"/>
              </w:rPr>
              <w:t>重新选择同品种产品进行比较或补充针对产品的临床试验资料</w:t>
            </w:r>
          </w:p>
        </w:tc>
      </w:tr>
    </w:tbl>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（三）证明差异对产品的安全性、有效性未产生不利影响的支持性资料（</w:t>
      </w:r>
      <w:bookmarkStart w:id="3" w:name="OLE_LINK40"/>
      <w:bookmarkStart w:id="4" w:name="OLE_LINK53"/>
      <w:r>
        <w:rPr>
          <w:rFonts w:ascii="Times New Roman" w:hAnsi="Times New Roman" w:eastAsia="楷体_GB2312" w:cs="Times New Roman"/>
          <w:color w:val="000000"/>
          <w:sz w:val="32"/>
          <w:szCs w:val="32"/>
        </w:rPr>
        <w:t>临床经验数据、临床文献数据、</w:t>
      </w:r>
      <w:bookmarkEnd w:id="3"/>
      <w:r>
        <w:rPr>
          <w:rFonts w:ascii="Times New Roman" w:hAnsi="Times New Roman" w:eastAsia="楷体_GB2312" w:cs="Times New Roman"/>
          <w:color w:val="000000"/>
          <w:sz w:val="32"/>
          <w:szCs w:val="32"/>
        </w:rPr>
        <w:t>非临床研究等</w:t>
      </w:r>
      <w:bookmarkEnd w:id="4"/>
      <w:r>
        <w:rPr>
          <w:rFonts w:ascii="Times New Roman" w:hAnsi="Times New Roman" w:eastAsia="楷体_GB2312" w:cs="Times New Roman"/>
          <w:color w:val="000000"/>
          <w:sz w:val="32"/>
          <w:szCs w:val="32"/>
        </w:rPr>
        <w:t>）</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支持性资料中应明确说明拟申报产品与同品种基因测序仪的差异；详细说明针对拟申报产品与同品种基因测序仪的差异进行的研究方式及研究结果，提供的研究证据应证明拟申报产品与同品种基因测序仪的差异对产品临床使用的安全性和有效性带来的收益/影响。</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1.申请人应当完整地列出拟申报产品与</w:t>
      </w:r>
      <w:bookmarkStart w:id="5" w:name="OLE_LINK41"/>
      <w:r>
        <w:rPr>
          <w:rFonts w:ascii="Times New Roman" w:hAnsi="Times New Roman" w:eastAsia="仿宋_GB2312" w:cs="Times New Roman"/>
          <w:color w:val="000000"/>
          <w:sz w:val="32"/>
          <w:szCs w:val="32"/>
        </w:rPr>
        <w:t>同品种</w:t>
      </w:r>
      <w:bookmarkEnd w:id="5"/>
      <w:r>
        <w:rPr>
          <w:rFonts w:ascii="Times New Roman" w:hAnsi="Times New Roman" w:eastAsia="仿宋_GB2312" w:cs="Times New Roman"/>
          <w:color w:val="000000"/>
          <w:sz w:val="32"/>
          <w:szCs w:val="32"/>
        </w:rPr>
        <w:t>基因测序仪的所有差异点，并说明这些差异点的相互关系。若不同差异点之间存在相关性或相互影响，则应提供单个差异点影响的研究证据和关联性差异点共存时影响的研究证据。</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2.申请人应当根据拟申报产品与同品种基因测序仪的具体差异点提供相应的支持性资料，资料的类型和数量应根据拟申报产品和对比产品的差异点对产品安全性、有效性的影响进行确定。</w:t>
      </w:r>
    </w:p>
    <w:p>
      <w:pPr>
        <w:spacing w:line="530" w:lineRule="exact"/>
        <w:ind w:firstLine="640" w:firstLineChars="200"/>
        <w:rPr>
          <w:rFonts w:ascii="Times New Roman" w:hAnsi="Times New Roman" w:eastAsia="楷体_GB2312" w:cs="Times New Roman"/>
          <w:color w:val="000000"/>
          <w:sz w:val="32"/>
          <w:szCs w:val="32"/>
        </w:rPr>
      </w:pPr>
      <w:bookmarkStart w:id="6" w:name="OLE_LINK42"/>
      <w:r>
        <w:rPr>
          <w:rFonts w:ascii="Times New Roman" w:hAnsi="Times New Roman" w:eastAsia="楷体_GB2312" w:cs="Times New Roman"/>
          <w:color w:val="000000"/>
          <w:sz w:val="32"/>
          <w:szCs w:val="32"/>
        </w:rPr>
        <w:t>（四）针对差异性的</w:t>
      </w:r>
      <w:bookmarkEnd w:id="6"/>
      <w:r>
        <w:rPr>
          <w:rFonts w:ascii="Times New Roman" w:hAnsi="Times New Roman" w:eastAsia="楷体_GB2312" w:cs="Times New Roman"/>
          <w:color w:val="000000"/>
          <w:sz w:val="32"/>
          <w:szCs w:val="32"/>
        </w:rPr>
        <w:t>非临床研究资料</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根据拟申报产品与同品种产品的差异性分析，申请人应当对拟申报产品与对比产品的差异性及各差异点对产品安全性和有效性的影响进行全面评估，针对差异分别列出所进行的非临床研究的内容和结果，包括但不仅限内部研究资料或验证报告等。</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基于拟申报产品和同品种基因测序仪的对比结果，如果非临床研究、临床文献数据、临床经验数据等无法充分地证明该差异对产品安全性和有效性的影响，则申请人应提供相应的临床试验资料。</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（五）针对适用范围项目的对比，应提供的临床数据</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针对适用范围项目的对比，相同点应提交同品种产品的临床数据以及申报产品的非临床数据作为支持性资料，对于较同品种产品增加的适用范围，应提交申报产品的临床试验数据，同时可提交其他支持性资料。</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支持性资料为临床文献数据时，申请人应根据拟申报产品与同品种产品的差异点，合理选择临床文献数据库，准确设置检索词，进行全面的科学文献检索，完成文献检索和筛选方案、文献检索和筛选报告。</w:t>
      </w:r>
      <w:bookmarkStart w:id="7" w:name="OLE_LINK46"/>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支持性资料为临床经验数据时，在综合考虑、科学分析拟申报产品与同品种产品差异的基础上，可提供临床经验数据收集内容，包括对已完成的临床试验、不良事件、与临床风险相关的纠正措施等数据的收集。</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临床文献和经验数据的支持性资料应重点分析适用范围项目的对比。其中可应用于临床项目应考虑选择不同变异类型、不同核酸类型的检测项目。并</w:t>
      </w:r>
      <w:r>
        <w:rPr>
          <w:rFonts w:hint="eastAsia" w:ascii="Times New Roman" w:hAnsi="Times New Roman" w:eastAsia="仿宋_GB2312" w:cs="Times New Roman"/>
          <w:color w:val="000000"/>
          <w:sz w:val="32"/>
          <w:szCs w:val="32"/>
        </w:rPr>
        <w:t>充分</w:t>
      </w:r>
      <w:r>
        <w:rPr>
          <w:rFonts w:ascii="Times New Roman" w:hAnsi="Times New Roman" w:eastAsia="仿宋_GB2312" w:cs="Times New Roman"/>
          <w:color w:val="000000"/>
          <w:sz w:val="32"/>
          <w:szCs w:val="32"/>
        </w:rPr>
        <w:t>分析项目中的数据质量。对于数据质量</w:t>
      </w:r>
      <w:r>
        <w:rPr>
          <w:rFonts w:hint="eastAsia" w:ascii="Times New Roman" w:hAnsi="Times New Roman" w:eastAsia="仿宋_GB2312" w:cs="Times New Roman"/>
          <w:color w:val="000000"/>
          <w:sz w:val="32"/>
          <w:szCs w:val="32"/>
        </w:rPr>
        <w:t>进行</w:t>
      </w:r>
      <w:r>
        <w:rPr>
          <w:rFonts w:ascii="Times New Roman" w:hAnsi="Times New Roman" w:eastAsia="仿宋_GB2312" w:cs="Times New Roman"/>
          <w:color w:val="000000"/>
          <w:sz w:val="32"/>
          <w:szCs w:val="32"/>
        </w:rPr>
        <w:t>比较</w:t>
      </w:r>
      <w:r>
        <w:rPr>
          <w:rFonts w:hint="eastAsia" w:ascii="Times New Roman" w:hAnsi="Times New Roman" w:eastAsia="仿宋_GB2312" w:cs="Times New Roman"/>
          <w:color w:val="000000"/>
          <w:sz w:val="32"/>
          <w:szCs w:val="32"/>
        </w:rPr>
        <w:t>和充分</w:t>
      </w:r>
      <w:r>
        <w:rPr>
          <w:rFonts w:ascii="Times New Roman" w:hAnsi="Times New Roman" w:eastAsia="仿宋_GB2312" w:cs="Times New Roman"/>
          <w:color w:val="000000"/>
          <w:sz w:val="32"/>
          <w:szCs w:val="32"/>
        </w:rPr>
        <w:t>评价。</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支持性资料、同品种医疗器械临床使用获得的数据的收集、同品种医疗器械临床数据分析评价方法、临床评价报告撰写等方面的具体内容可参照《医疗器械临床评价技术指导原则》的相关规定。</w:t>
      </w:r>
      <w:bookmarkEnd w:id="7"/>
    </w:p>
    <w:p>
      <w:pPr>
        <w:numPr>
          <w:ilvl w:val="255"/>
          <w:numId w:val="0"/>
        </w:numPr>
        <w:overflowPunct w:val="0"/>
        <w:spacing w:line="560" w:lineRule="exact"/>
        <w:ind w:firstLine="640" w:firstLineChars="200"/>
        <w:rPr>
          <w:rFonts w:ascii="Times New Roman" w:hAnsi="Times New Roman" w:eastAsia="黑体" w:cs="Times New Roman"/>
          <w:bCs/>
          <w:color w:val="000000" w:themeColor="text1"/>
          <w:sz w:val="32"/>
          <w:szCs w:val="32"/>
          <w14:textFill>
            <w14:solidFill>
              <w14:schemeClr w14:val="tx1"/>
            </w14:solidFill>
          </w14:textFill>
        </w:rPr>
      </w:pPr>
      <w:r>
        <w:rPr>
          <w:rFonts w:hint="eastAsia" w:ascii="Times New Roman" w:hAnsi="Times New Roman" w:eastAsia="黑体" w:cs="Times New Roman"/>
          <w:bCs/>
          <w:color w:val="000000" w:themeColor="text1"/>
          <w:sz w:val="32"/>
          <w:szCs w:val="32"/>
          <w14:textFill>
            <w14:solidFill>
              <w14:schemeClr w14:val="tx1"/>
            </w14:solidFill>
          </w14:textFill>
        </w:rPr>
        <w:t>三、临床试验路径</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临床试验的开展、方案的制定以及报告的撰写均应符合相关法规及《</w:t>
      </w:r>
      <w:r>
        <w:rPr>
          <w:rFonts w:hint="eastAsia" w:ascii="Times New Roman" w:hAnsi="Times New Roman" w:eastAsia="仿宋_GB2312" w:cs="Times New Roman"/>
          <w:color w:val="000000"/>
          <w:sz w:val="32"/>
          <w:szCs w:val="32"/>
        </w:rPr>
        <w:t>医疗器械临床评价技术指导原则</w:t>
      </w:r>
      <w:r>
        <w:rPr>
          <w:rFonts w:ascii="Times New Roman" w:hAnsi="Times New Roman" w:eastAsia="仿宋_GB2312" w:cs="Times New Roman"/>
          <w:color w:val="000000"/>
          <w:sz w:val="32"/>
          <w:szCs w:val="32"/>
        </w:rPr>
        <w:t>》的要求，如相关法规、文件有更新，临床试验应符合更新后的要求。下面仅说明该类产品临床试验中应关注的重点问题。</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（一）临床试验机构</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应选择不少于两家（含两家）符合要求的临床试验机构开展临床试验。临床试验机构应具备相应的检测资质和人员。</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（二）临床试验目的及设计</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 临床试验目的</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证明申报产品与已上市同类产品</w:t>
      </w:r>
      <w:r>
        <w:rPr>
          <w:rFonts w:hint="eastAsia" w:ascii="Times New Roman" w:hAnsi="Times New Roman" w:eastAsia="仿宋_GB2312" w:cs="Times New Roman"/>
          <w:color w:val="000000"/>
          <w:sz w:val="32"/>
          <w:szCs w:val="32"/>
        </w:rPr>
        <w:t>临床性能的</w:t>
      </w:r>
      <w:r>
        <w:rPr>
          <w:rFonts w:ascii="Times New Roman" w:hAnsi="Times New Roman" w:eastAsia="仿宋_GB2312" w:cs="Times New Roman"/>
          <w:color w:val="000000"/>
          <w:sz w:val="32"/>
          <w:szCs w:val="32"/>
        </w:rPr>
        <w:t>一致性。</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2.对比方法的选择</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已有同类产品上市的临床研究，可以选择临床参考方法或已在中国境内上市的同类产品作为对照。如选同类产品作为对照，建议选择目前在临床检测方面使用状况良好的机型，应注意申报产品的适用范围不应超过同类产品的适用范围，同时应提供对照产品的信息，如生产企业、型号、适用范围等。如申报产品的适用范围超过已批准上市同类产品，则可与同类产品作为对照对相同的适用范围进行评价，并应另外选择临床参考方法作为对比方法，对超出同类产品的适用范围进行临床评价。</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对于无同类已上市产品的临床研究，可选择临床参考方法作为对比方法进行比较研究，以评价申报产品的临床性能。</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临床试验中还应对申报产品和对照产品/方法检测结果不一致样本进行</w:t>
      </w:r>
      <w:r>
        <w:rPr>
          <w:rFonts w:hint="eastAsia" w:ascii="Times New Roman" w:hAnsi="Times New Roman" w:eastAsia="仿宋_GB2312" w:cs="Times New Roman"/>
          <w:color w:val="000000"/>
          <w:sz w:val="32"/>
          <w:szCs w:val="32"/>
        </w:rPr>
        <w:t>分析</w:t>
      </w:r>
      <w:r>
        <w:rPr>
          <w:rFonts w:ascii="Times New Roman" w:hAnsi="Times New Roman" w:eastAsia="仿宋_GB2312" w:cs="Times New Roman"/>
          <w:color w:val="000000"/>
          <w:sz w:val="32"/>
          <w:szCs w:val="32"/>
        </w:rPr>
        <w:t>，以明确结果不一致的原因。</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临床参考方法可委托第三方机构检测，但应在临床试验方案中予以明确。</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3.验证项目的选择</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应根据申报产品所声称的适用范围，选择代表性的检测项目进行临床评价，同时应考虑到不同样本类型。</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如申报产品的适用范围为对来源于人体样本的人脱氧核糖核酸（DNA）进行测序，以检测基因</w:t>
      </w:r>
      <w:r>
        <w:rPr>
          <w:rFonts w:hint="eastAsia" w:ascii="Times New Roman" w:hAnsi="Times New Roman" w:eastAsia="仿宋_GB2312" w:cs="Times New Roman"/>
          <w:color w:val="000000"/>
          <w:sz w:val="32"/>
          <w:szCs w:val="32"/>
        </w:rPr>
        <w:t>序列</w:t>
      </w:r>
      <w:r>
        <w:rPr>
          <w:rFonts w:ascii="Times New Roman" w:hAnsi="Times New Roman" w:eastAsia="仿宋_GB2312" w:cs="Times New Roman"/>
          <w:color w:val="000000"/>
          <w:sz w:val="32"/>
          <w:szCs w:val="32"/>
        </w:rPr>
        <w:t>变化。至少应选择人类基因靶向测序以及</w:t>
      </w:r>
      <w:r>
        <w:rPr>
          <w:rFonts w:hint="eastAsia" w:ascii="Times New Roman" w:hAnsi="Times New Roman" w:eastAsia="仿宋_GB2312" w:cs="Times New Roman"/>
          <w:color w:val="000000"/>
          <w:sz w:val="32"/>
          <w:szCs w:val="32"/>
        </w:rPr>
        <w:t>非靶向</w:t>
      </w:r>
      <w:r>
        <w:rPr>
          <w:rFonts w:ascii="Times New Roman" w:hAnsi="Times New Roman" w:eastAsia="仿宋_GB2312" w:cs="Times New Roman"/>
          <w:color w:val="000000"/>
          <w:sz w:val="32"/>
          <w:szCs w:val="32"/>
        </w:rPr>
        <w:t>测序项目进行评价。其中人类基因靶向测序，</w:t>
      </w:r>
      <w:r>
        <w:rPr>
          <w:rFonts w:hint="eastAsia" w:ascii="Times New Roman" w:hAnsi="Times New Roman" w:eastAsia="仿宋_GB2312" w:cs="Times New Roman"/>
          <w:color w:val="000000"/>
          <w:sz w:val="32"/>
          <w:szCs w:val="32"/>
        </w:rPr>
        <w:t>建议选择肿瘤组织的基因突变为对象，</w:t>
      </w:r>
      <w:r>
        <w:rPr>
          <w:rFonts w:ascii="Times New Roman" w:hAnsi="Times New Roman" w:eastAsia="仿宋_GB2312" w:cs="Times New Roman"/>
          <w:color w:val="000000"/>
          <w:sz w:val="32"/>
          <w:szCs w:val="32"/>
        </w:rPr>
        <w:t>应包括代表性的突变类型，如点突变、</w:t>
      </w:r>
      <w:r>
        <w:rPr>
          <w:rFonts w:hint="eastAsia" w:ascii="Times New Roman" w:hAnsi="Times New Roman" w:eastAsia="仿宋_GB2312" w:cs="Times New Roman"/>
          <w:color w:val="000000"/>
          <w:sz w:val="32"/>
          <w:szCs w:val="32"/>
        </w:rPr>
        <w:t>小片段的插入/缺失、拷贝数变化</w:t>
      </w:r>
      <w:r>
        <w:rPr>
          <w:rFonts w:ascii="Times New Roman" w:hAnsi="Times New Roman" w:eastAsia="仿宋_GB2312" w:cs="Times New Roman"/>
          <w:color w:val="000000"/>
          <w:sz w:val="32"/>
          <w:szCs w:val="32"/>
        </w:rPr>
        <w:t>。如适用范围还包括核糖核酸（RNA）的测序，</w:t>
      </w:r>
      <w:r>
        <w:rPr>
          <w:rFonts w:hint="eastAsia" w:ascii="Times New Roman" w:hAnsi="Times New Roman" w:eastAsia="仿宋_GB2312" w:cs="Times New Roman"/>
          <w:color w:val="000000"/>
          <w:sz w:val="32"/>
          <w:szCs w:val="32"/>
        </w:rPr>
        <w:t>即将RNA逆转录成DNA后进行测序，</w:t>
      </w:r>
      <w:r>
        <w:rPr>
          <w:rFonts w:ascii="Times New Roman" w:hAnsi="Times New Roman" w:eastAsia="仿宋_GB2312" w:cs="Times New Roman"/>
          <w:color w:val="000000"/>
          <w:sz w:val="32"/>
          <w:szCs w:val="32"/>
        </w:rPr>
        <w:t>则还应对基因融合（如ALK融合）进行验证。</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如申报产品的适用范围不限于人DNA，则应增加病原体检测项目，</w:t>
      </w:r>
      <w:r>
        <w:rPr>
          <w:rFonts w:hint="eastAsia" w:ascii="Times New Roman" w:hAnsi="Times New Roman" w:eastAsia="仿宋_GB2312" w:cs="Times New Roman"/>
          <w:color w:val="000000"/>
          <w:sz w:val="32"/>
          <w:szCs w:val="32"/>
        </w:rPr>
        <w:t>不建议采用宏基因组测序的方式进行临床试验。病原体应来自于人体样本，</w:t>
      </w:r>
      <w:r>
        <w:rPr>
          <w:rFonts w:ascii="Times New Roman" w:hAnsi="Times New Roman" w:eastAsia="仿宋_GB2312" w:cs="Times New Roman"/>
          <w:color w:val="000000"/>
          <w:sz w:val="32"/>
          <w:szCs w:val="32"/>
        </w:rPr>
        <w:t>包括病毒、细菌、真菌等，每种类别各选一种代表性项目进行评价。如同时包括RNA，则还应选择至少</w:t>
      </w:r>
      <w:r>
        <w:rPr>
          <w:rFonts w:hint="eastAsia" w:ascii="Times New Roman" w:hAnsi="Times New Roman" w:eastAsia="仿宋_GB2312" w:cs="Times New Roman"/>
          <w:color w:val="000000"/>
          <w:sz w:val="32"/>
          <w:szCs w:val="32"/>
        </w:rPr>
        <w:t>一</w:t>
      </w:r>
      <w:r>
        <w:rPr>
          <w:rFonts w:ascii="Times New Roman" w:hAnsi="Times New Roman" w:eastAsia="仿宋_GB2312" w:cs="Times New Roman"/>
          <w:color w:val="000000"/>
          <w:sz w:val="32"/>
          <w:szCs w:val="32"/>
        </w:rPr>
        <w:t>种RNA病原体进行评价。</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应根据临床试验中所选择的临床项目，制定受试者的选择标准，即入选和排除标准。同时受试者年龄、性别分布应均衡合理，充分考虑人种、地域差异对试验结果的影响。</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 临床评价指标</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主要评价指标一般为检测准确性（灵敏度、特异度）或检测一致性（阳性/阴性</w:t>
      </w:r>
      <w:r>
        <w:rPr>
          <w:rFonts w:hint="eastAsia" w:ascii="Times New Roman" w:hAnsi="Times New Roman" w:eastAsia="仿宋_GB2312" w:cs="Times New Roman"/>
          <w:color w:val="000000"/>
          <w:sz w:val="32"/>
          <w:szCs w:val="32"/>
        </w:rPr>
        <w:t>符合率</w:t>
      </w:r>
      <w:r>
        <w:rPr>
          <w:rFonts w:ascii="Times New Roman" w:hAnsi="Times New Roman" w:eastAsia="仿宋_GB2312" w:cs="Times New Roman"/>
          <w:color w:val="000000"/>
          <w:sz w:val="32"/>
          <w:szCs w:val="32"/>
        </w:rPr>
        <w:t>、总</w:t>
      </w:r>
      <w:r>
        <w:rPr>
          <w:rFonts w:hint="eastAsia" w:ascii="Times New Roman" w:hAnsi="Times New Roman" w:eastAsia="仿宋_GB2312" w:cs="Times New Roman"/>
          <w:color w:val="000000"/>
          <w:sz w:val="32"/>
          <w:szCs w:val="32"/>
        </w:rPr>
        <w:t>符合率</w:t>
      </w:r>
      <w:r>
        <w:rPr>
          <w:rFonts w:ascii="Times New Roman" w:hAnsi="Times New Roman" w:eastAsia="仿宋_GB2312" w:cs="Times New Roman"/>
          <w:color w:val="000000"/>
          <w:sz w:val="32"/>
          <w:szCs w:val="32"/>
        </w:rPr>
        <w:t>、Kappa值等），主要评价指标应能够满足评价产品临床性能的要求。</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次要评价指标一般包括仪器功能、稳定性、使用便捷性、使用安全性等。</w:t>
      </w:r>
    </w:p>
    <w:p>
      <w:pPr>
        <w:pStyle w:val="2"/>
        <w:ind w:left="0" w:leftChars="0" w:firstLine="640"/>
        <w:rPr>
          <w:rFonts w:eastAsia="仿宋_GB2312"/>
        </w:rPr>
      </w:pPr>
      <w:r>
        <w:rPr>
          <w:rFonts w:hint="eastAsia" w:ascii="Times New Roman" w:hAnsi="Times New Roman" w:eastAsia="仿宋_GB2312" w:cs="Times New Roman"/>
          <w:color w:val="000000"/>
          <w:sz w:val="32"/>
          <w:szCs w:val="32"/>
        </w:rPr>
        <w:t>同时申请人还应对临床试验检测项目进行数据质量的分析。</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5.样本量估算</w:t>
      </w:r>
    </w:p>
    <w:p>
      <w:pPr>
        <w:autoSpaceDE w:val="0"/>
        <w:autoSpaceDN w:val="0"/>
        <w:adjustRightIn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color w:val="000000"/>
          <w:sz w:val="32"/>
          <w:szCs w:val="32"/>
        </w:rPr>
        <w:t>为实现样本代替总体的目的，临床试验需要一定的受试者数量（样本量）。样本量一般以临床试验的主要评价指标进行估算。需在临床试验方案中说明样本量估算的相关要素及其确定依据、样本量的具体计算方法</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主要评价指标的相关参数根据已有临床数据和小样本可行性试验（如有）的结果来估算，需要在临床试验方案中明确这些估计值的确定依据。一般情况下，</w:t>
      </w:r>
      <w:r>
        <w:rPr>
          <w:rFonts w:hint="eastAsia" w:ascii="Times New Roman" w:hAnsi="Times New Roman" w:eastAsia="仿宋_GB2312" w:cs="Times New Roman"/>
          <w:color w:val="000000"/>
          <w:sz w:val="32"/>
          <w:szCs w:val="32"/>
        </w:rPr>
        <w:t>Ⅰ</w:t>
      </w:r>
      <w:r>
        <w:rPr>
          <w:rFonts w:ascii="Times New Roman" w:hAnsi="Times New Roman" w:eastAsia="仿宋_GB2312" w:cs="Times New Roman"/>
          <w:color w:val="000000"/>
          <w:sz w:val="32"/>
          <w:szCs w:val="32"/>
        </w:rPr>
        <w:t>类错误概率α设定为双侧0.05或单侧0.025，</w:t>
      </w:r>
      <w:r>
        <w:rPr>
          <w:rFonts w:hint="eastAsia" w:ascii="Times New Roman" w:hAnsi="Times New Roman" w:eastAsia="仿宋_GB2312" w:cs="Times New Roman"/>
          <w:color w:val="000000"/>
          <w:sz w:val="32"/>
          <w:szCs w:val="32"/>
        </w:rPr>
        <w:t>Ⅱ</w:t>
      </w:r>
      <w:r>
        <w:rPr>
          <w:rFonts w:ascii="Times New Roman" w:hAnsi="Times New Roman" w:eastAsia="仿宋_GB2312" w:cs="Times New Roman"/>
          <w:color w:val="000000"/>
          <w:sz w:val="32"/>
          <w:szCs w:val="32"/>
        </w:rPr>
        <w:t>类错误概率β设定为不大于0.2，预期受试者脱落和方案违背的比例不大于0.2，申请人可根据产品特征和试验设计的具体情形采用不同的取值，需充分论证其合理性。</w:t>
      </w:r>
    </w:p>
    <w:p>
      <w:pPr>
        <w:spacing w:line="540" w:lineRule="exact"/>
        <w:ind w:firstLine="627" w:firstLineChars="196"/>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如临床试验采用申报产品与已上市同类产品进行比较研究的试验设计，</w:t>
      </w:r>
      <w:r>
        <w:rPr>
          <w:rFonts w:hint="eastAsia" w:ascii="Times New Roman" w:hAnsi="Times New Roman" w:eastAsia="仿宋_GB2312" w:cs="Times New Roman"/>
          <w:color w:val="000000"/>
          <w:sz w:val="32"/>
          <w:szCs w:val="32"/>
        </w:rPr>
        <w:t>建议</w:t>
      </w:r>
      <w:r>
        <w:rPr>
          <w:rFonts w:ascii="Times New Roman" w:hAnsi="Times New Roman" w:eastAsia="仿宋_GB2312" w:cs="Times New Roman"/>
          <w:color w:val="000000"/>
          <w:sz w:val="32"/>
          <w:szCs w:val="32"/>
        </w:rPr>
        <w:t>采用单组目标值法样本量公式估算最低样本量。</w:t>
      </w:r>
    </w:p>
    <w:p>
      <w:pPr>
        <w:ind w:firstLine="561"/>
        <w:jc w:val="center"/>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drawing>
          <wp:inline distT="0" distB="0" distL="0" distR="0">
            <wp:extent cx="3096895" cy="591820"/>
            <wp:effectExtent l="0" t="0" r="1905" b="5080"/>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96895" cy="591820"/>
                    </a:xfrm>
                    <a:prstGeom prst="rect">
                      <a:avLst/>
                    </a:prstGeom>
                    <a:noFill/>
                    <a:ln>
                      <a:noFill/>
                    </a:ln>
                  </pic:spPr>
                </pic:pic>
              </a:graphicData>
            </a:graphic>
          </wp:inline>
        </w:drawing>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公式中，n为样本量；Z</w:t>
      </w:r>
      <w:r>
        <w:rPr>
          <w:rFonts w:ascii="Times New Roman" w:hAnsi="Times New Roman" w:eastAsia="仿宋_GB2312" w:cs="Times New Roman"/>
          <w:color w:val="000000"/>
          <w:sz w:val="32"/>
          <w:szCs w:val="32"/>
          <w:vertAlign w:val="subscript"/>
        </w:rPr>
        <w:t>1-α</w:t>
      </w:r>
      <w:r>
        <w:rPr>
          <w:rFonts w:ascii="Times New Roman" w:hAnsi="Times New Roman" w:eastAsia="仿宋_GB2312" w:cs="Times New Roman"/>
          <w:color w:val="000000"/>
          <w:sz w:val="32"/>
          <w:szCs w:val="32"/>
        </w:rPr>
        <w:t>、Z</w:t>
      </w:r>
      <w:r>
        <w:rPr>
          <w:rFonts w:ascii="Times New Roman" w:hAnsi="Times New Roman" w:eastAsia="仿宋_GB2312" w:cs="Times New Roman"/>
          <w:color w:val="000000"/>
          <w:sz w:val="32"/>
          <w:szCs w:val="32"/>
          <w:vertAlign w:val="subscript"/>
        </w:rPr>
        <w:t>1-β</w:t>
      </w:r>
      <w:r>
        <w:rPr>
          <w:rFonts w:ascii="Times New Roman" w:hAnsi="Times New Roman" w:eastAsia="仿宋_GB2312" w:cs="Times New Roman"/>
          <w:color w:val="000000"/>
          <w:sz w:val="32"/>
          <w:szCs w:val="32"/>
        </w:rPr>
        <w:t>为显著性水平和把握度的标准正态分布的分数位，P0为评价指标的临床可接受标准，PT为试验用体外诊断试剂评价指标预期值。</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对于</w:t>
      </w:r>
      <w:r>
        <w:rPr>
          <w:rFonts w:ascii="Times New Roman" w:hAnsi="Times New Roman" w:eastAsia="仿宋_GB2312" w:cs="Times New Roman"/>
          <w:color w:val="000000"/>
          <w:sz w:val="32"/>
          <w:szCs w:val="32"/>
        </w:rPr>
        <w:t>所选择</w:t>
      </w:r>
      <w:r>
        <w:rPr>
          <w:rFonts w:hint="eastAsia" w:ascii="Times New Roman" w:hAnsi="Times New Roman" w:eastAsia="仿宋_GB2312" w:cs="Times New Roman"/>
          <w:color w:val="000000"/>
          <w:sz w:val="32"/>
          <w:szCs w:val="32"/>
        </w:rPr>
        <w:t>进行</w:t>
      </w:r>
      <w:r>
        <w:rPr>
          <w:rFonts w:ascii="Times New Roman" w:hAnsi="Times New Roman" w:eastAsia="仿宋_GB2312" w:cs="Times New Roman"/>
          <w:color w:val="000000"/>
          <w:sz w:val="32"/>
          <w:szCs w:val="32"/>
        </w:rPr>
        <w:t>临床</w:t>
      </w:r>
      <w:r>
        <w:rPr>
          <w:rFonts w:hint="eastAsia" w:ascii="Times New Roman" w:hAnsi="Times New Roman" w:eastAsia="仿宋_GB2312" w:cs="Times New Roman"/>
          <w:color w:val="000000"/>
          <w:sz w:val="32"/>
          <w:szCs w:val="32"/>
        </w:rPr>
        <w:t>验证</w:t>
      </w:r>
      <w:r>
        <w:rPr>
          <w:rFonts w:ascii="Times New Roman" w:hAnsi="Times New Roman" w:eastAsia="仿宋_GB2312" w:cs="Times New Roman"/>
          <w:color w:val="000000"/>
          <w:sz w:val="32"/>
          <w:szCs w:val="32"/>
        </w:rPr>
        <w:t>的代表性项目大类，如人类基因</w:t>
      </w:r>
      <w:r>
        <w:rPr>
          <w:rFonts w:hint="eastAsia" w:ascii="Times New Roman" w:hAnsi="Times New Roman" w:eastAsia="仿宋_GB2312" w:cs="Times New Roman"/>
          <w:color w:val="000000"/>
          <w:sz w:val="32"/>
          <w:szCs w:val="32"/>
        </w:rPr>
        <w:t>靶向测序</w:t>
      </w:r>
      <w:r>
        <w:rPr>
          <w:rFonts w:ascii="Times New Roman" w:hAnsi="Times New Roman" w:eastAsia="仿宋_GB2312" w:cs="Times New Roman"/>
          <w:color w:val="000000"/>
          <w:sz w:val="32"/>
          <w:szCs w:val="32"/>
        </w:rPr>
        <w:t>，总样本量应满足统计学要求，</w:t>
      </w:r>
      <w:r>
        <w:rPr>
          <w:rFonts w:hint="eastAsia" w:ascii="Times New Roman" w:hAnsi="Times New Roman" w:eastAsia="仿宋_GB2312" w:cs="Times New Roman"/>
          <w:color w:val="000000"/>
          <w:sz w:val="32"/>
          <w:szCs w:val="32"/>
        </w:rPr>
        <w:t>其中每种代表性</w:t>
      </w:r>
      <w:r>
        <w:rPr>
          <w:rFonts w:ascii="Times New Roman" w:hAnsi="Times New Roman" w:eastAsia="仿宋_GB2312" w:cs="Times New Roman"/>
          <w:color w:val="000000"/>
          <w:sz w:val="32"/>
          <w:szCs w:val="32"/>
        </w:rPr>
        <w:t>的突变类型</w:t>
      </w:r>
      <w:r>
        <w:rPr>
          <w:rFonts w:hint="eastAsia" w:ascii="Times New Roman" w:hAnsi="Times New Roman" w:eastAsia="仿宋_GB2312" w:cs="Times New Roman"/>
          <w:color w:val="000000"/>
          <w:sz w:val="32"/>
          <w:szCs w:val="32"/>
        </w:rPr>
        <w:t>均应有</w:t>
      </w:r>
      <w:r>
        <w:rPr>
          <w:rFonts w:ascii="Times New Roman" w:hAnsi="Times New Roman" w:eastAsia="仿宋_GB2312" w:cs="Times New Roman"/>
          <w:color w:val="000000"/>
          <w:sz w:val="32"/>
          <w:szCs w:val="32"/>
        </w:rPr>
        <w:t>一定例数。</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临床试验中如采用多中心临床，则所有中心临床样本总数应满足统计学要求，如采用非多中心临床，则每家临床机构样本量应均满足统计学要求。</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6.统计分析</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应选择合适的统计方法对临床试验结果进行统计分析，对于申报产品与</w:t>
      </w:r>
      <w:r>
        <w:rPr>
          <w:rFonts w:hint="eastAsia" w:ascii="Times New Roman" w:hAnsi="Times New Roman" w:eastAsia="仿宋_GB2312" w:cs="Times New Roman"/>
          <w:color w:val="000000"/>
          <w:sz w:val="32"/>
          <w:szCs w:val="32"/>
        </w:rPr>
        <w:t>参考方法/</w:t>
      </w:r>
      <w:r>
        <w:rPr>
          <w:rFonts w:ascii="Times New Roman" w:hAnsi="Times New Roman" w:eastAsia="仿宋_GB2312" w:cs="Times New Roman"/>
          <w:color w:val="000000"/>
          <w:sz w:val="32"/>
          <w:szCs w:val="32"/>
        </w:rPr>
        <w:t>已上市同类产品的一致性评价，一般选择2×2表的形式总结两种产品的检测结果，并据此计算</w:t>
      </w:r>
      <w:r>
        <w:rPr>
          <w:rFonts w:hint="eastAsia" w:ascii="Times New Roman" w:hAnsi="Times New Roman" w:eastAsia="仿宋_GB2312" w:cs="Times New Roman"/>
          <w:color w:val="000000"/>
          <w:sz w:val="32"/>
          <w:szCs w:val="32"/>
        </w:rPr>
        <w:t>灵敏度/特异度</w:t>
      </w:r>
      <w:r>
        <w:rPr>
          <w:rFonts w:ascii="Times New Roman" w:hAnsi="Times New Roman" w:eastAsia="仿宋_GB2312" w:cs="Times New Roman"/>
          <w:color w:val="000000"/>
          <w:sz w:val="32"/>
          <w:szCs w:val="32"/>
        </w:rPr>
        <w:t>、阳</w:t>
      </w:r>
      <w:r>
        <w:rPr>
          <w:rFonts w:hint="eastAsia" w:ascii="Times New Roman" w:hAnsi="Times New Roman" w:eastAsia="仿宋_GB2312" w:cs="Times New Roman"/>
          <w:color w:val="000000"/>
          <w:sz w:val="32"/>
          <w:szCs w:val="32"/>
        </w:rPr>
        <w:t>性/</w:t>
      </w:r>
      <w:r>
        <w:rPr>
          <w:rFonts w:ascii="Times New Roman" w:hAnsi="Times New Roman" w:eastAsia="仿宋_GB2312" w:cs="Times New Roman"/>
          <w:color w:val="000000"/>
          <w:sz w:val="32"/>
          <w:szCs w:val="32"/>
        </w:rPr>
        <w:t>阴性符合率、Kappa值等指标及其95%置信区间。</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对于不一致样本，应进行原因分析。如临床试验方案规定采用其他方法进行确认，则确认结果不应纳入统计分析。</w:t>
      </w:r>
    </w:p>
    <w:p>
      <w:pPr>
        <w:spacing w:line="530" w:lineRule="exact"/>
        <w:ind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（三）质量控制</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可重复性。</w:t>
      </w:r>
    </w:p>
    <w:p>
      <w:pPr>
        <w:overflowPunct w:val="0"/>
        <w:spacing w:line="560" w:lineRule="exact"/>
        <w:ind w:firstLine="640" w:firstLineChars="200"/>
        <w:rPr>
          <w:rFonts w:ascii="Times New Roman" w:hAnsi="Times New Roman" w:eastAsia="黑体" w:cs="Times New Roman"/>
          <w:bCs/>
          <w:color w:val="000000" w:themeColor="text1"/>
          <w:sz w:val="32"/>
          <w:szCs w:val="32"/>
          <w14:textFill>
            <w14:solidFill>
              <w14:schemeClr w14:val="tx1"/>
            </w14:solidFill>
          </w14:textFill>
        </w:rPr>
      </w:pPr>
    </w:p>
    <w:p>
      <w:pPr>
        <w:overflowPunct w:val="0"/>
        <w:spacing w:line="560" w:lineRule="exact"/>
        <w:ind w:firstLine="640" w:firstLineChars="200"/>
        <w:rPr>
          <w:rFonts w:ascii="Times New Roman" w:hAnsi="Times New Roman" w:eastAsia="黑体" w:cs="Times New Roman"/>
          <w:bCs/>
          <w:color w:val="000000" w:themeColor="text1"/>
          <w:sz w:val="32"/>
          <w:szCs w:val="32"/>
          <w14:textFill>
            <w14:solidFill>
              <w14:schemeClr w14:val="tx1"/>
            </w14:solidFill>
          </w14:textFill>
        </w:rPr>
      </w:pPr>
      <w:r>
        <w:rPr>
          <w:rFonts w:ascii="Times New Roman" w:hAnsi="Times New Roman" w:eastAsia="黑体" w:cs="Times New Roman"/>
          <w:bCs/>
          <w:color w:val="000000" w:themeColor="text1"/>
          <w:sz w:val="32"/>
          <w:szCs w:val="32"/>
          <w14:textFill>
            <w14:solidFill>
              <w14:schemeClr w14:val="tx1"/>
            </w14:solidFill>
          </w14:textFill>
        </w:rPr>
        <w:t>五、决策是否开展医疗器械临床试验</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对于具有下列情形之一的产品，通过同品种医疗器械临床试验或临床使用获得的数据进行分析评价无法充分证明产品安全性、有效性的，应当进行临床试验，包括：</w:t>
      </w:r>
    </w:p>
    <w:p>
      <w:pPr>
        <w:spacing w:line="540"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ascii="Times New Roman" w:hAnsi="Times New Roman" w:eastAsia="仿宋_GB2312" w:cs="Times New Roman"/>
          <w:kern w:val="0"/>
          <w:sz w:val="32"/>
          <w:szCs w:val="32"/>
        </w:rPr>
        <w:t>1.</w:t>
      </w:r>
      <w:r>
        <w:rPr>
          <w:rFonts w:ascii="Times New Roman" w:hAnsi="Times New Roman" w:eastAsia="仿宋_GB2312" w:cs="Times New Roman"/>
          <w:color w:val="000000" w:themeColor="text1"/>
          <w:sz w:val="32"/>
          <w:szCs w:val="32"/>
          <w14:textFill>
            <w14:solidFill>
              <w14:schemeClr w14:val="tx1"/>
            </w14:solidFill>
          </w14:textFill>
        </w:rPr>
        <w:t>拟申报产品或拟申报产品的某关键</w:t>
      </w:r>
      <w:r>
        <w:rPr>
          <w:rFonts w:hint="eastAsia" w:ascii="Times New Roman" w:hAnsi="Times New Roman" w:eastAsia="仿宋_GB2312" w:cs="Times New Roman"/>
          <w:color w:val="000000" w:themeColor="text1"/>
          <w:sz w:val="32"/>
          <w:szCs w:val="32"/>
          <w14:textFill>
            <w14:solidFill>
              <w14:schemeClr w14:val="tx1"/>
            </w14:solidFill>
          </w14:textFill>
        </w:rPr>
        <w:t>模块</w:t>
      </w:r>
      <w:r>
        <w:rPr>
          <w:rFonts w:ascii="Times New Roman" w:hAnsi="Times New Roman" w:eastAsia="仿宋_GB2312" w:cs="Times New Roman"/>
          <w:color w:val="000000" w:themeColor="text1"/>
          <w:sz w:val="32"/>
          <w:szCs w:val="32"/>
          <w14:textFill>
            <w14:solidFill>
              <w14:schemeClr w14:val="tx1"/>
            </w14:solidFill>
          </w14:textFill>
        </w:rPr>
        <w:t>（含软件）具有全新的技术特性</w:t>
      </w:r>
      <w:r>
        <w:rPr>
          <w:rFonts w:ascii="Times New Roman" w:hAnsi="Times New Roman" w:eastAsia="仿宋_GB2312" w:cs="Times New Roman"/>
          <w:kern w:val="0"/>
          <w:sz w:val="32"/>
          <w:szCs w:val="32"/>
        </w:rPr>
        <w:t>，</w:t>
      </w:r>
      <w:r>
        <w:rPr>
          <w:rFonts w:hint="eastAsia" w:ascii="Times New Roman" w:hAnsi="Times New Roman" w:eastAsia="仿宋_GB2312" w:cs="Times New Roman"/>
          <w:color w:val="000000" w:themeColor="text1"/>
          <w:sz w:val="32"/>
          <w:szCs w:val="32"/>
          <w14:textFill>
            <w14:solidFill>
              <w14:schemeClr w14:val="tx1"/>
            </w14:solidFill>
          </w14:textFill>
        </w:rPr>
        <w:t>或者数据质量</w:t>
      </w:r>
      <w:r>
        <w:rPr>
          <w:rFonts w:ascii="Times New Roman" w:hAnsi="Times New Roman" w:eastAsia="仿宋_GB2312" w:cs="Times New Roman"/>
          <w:color w:val="000000" w:themeColor="text1"/>
          <w:sz w:val="32"/>
          <w:szCs w:val="32"/>
          <w14:textFill>
            <w14:solidFill>
              <w14:schemeClr w14:val="tx1"/>
            </w14:solidFill>
          </w14:textFill>
        </w:rPr>
        <w:t>具有显著</w:t>
      </w:r>
      <w:r>
        <w:rPr>
          <w:rFonts w:hint="eastAsia" w:ascii="Times New Roman" w:hAnsi="Times New Roman" w:eastAsia="仿宋_GB2312" w:cs="Times New Roman"/>
          <w:color w:val="000000" w:themeColor="text1"/>
          <w:sz w:val="32"/>
          <w:szCs w:val="32"/>
          <w14:textFill>
            <w14:solidFill>
              <w14:schemeClr w14:val="tx1"/>
            </w14:solidFill>
          </w14:textFill>
        </w:rPr>
        <w:t>差异</w:t>
      </w:r>
      <w:r>
        <w:rPr>
          <w:rFonts w:ascii="Times New Roman" w:hAnsi="Times New Roman" w:eastAsia="仿宋_GB2312" w:cs="Times New Roman"/>
          <w:color w:val="000000" w:themeColor="text1"/>
          <w:sz w:val="32"/>
          <w:szCs w:val="32"/>
          <w14:textFill>
            <w14:solidFill>
              <w14:schemeClr w14:val="tx1"/>
            </w14:solidFill>
          </w14:textFill>
        </w:rPr>
        <w:t>。</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2.</w:t>
      </w:r>
      <w:r>
        <w:rPr>
          <w:rFonts w:ascii="Times New Roman" w:hAnsi="Times New Roman" w:eastAsia="仿宋_GB2312" w:cs="Times New Roman"/>
          <w:color w:val="000000" w:themeColor="text1"/>
          <w:sz w:val="32"/>
          <w:szCs w:val="32"/>
          <w14:textFill>
            <w14:solidFill>
              <w14:schemeClr w14:val="tx1"/>
            </w14:solidFill>
          </w14:textFill>
        </w:rPr>
        <w:t>拟申报产品</w:t>
      </w:r>
      <w:r>
        <w:rPr>
          <w:rFonts w:hint="eastAsia" w:ascii="Times New Roman" w:hAnsi="Times New Roman" w:eastAsia="仿宋_GB2312" w:cs="Times New Roman"/>
          <w:color w:val="000000" w:themeColor="text1"/>
          <w:sz w:val="32"/>
          <w:szCs w:val="32"/>
          <w14:textFill>
            <w14:solidFill>
              <w14:schemeClr w14:val="tx1"/>
            </w14:solidFill>
          </w14:textFill>
        </w:rPr>
        <w:t>具有新的</w:t>
      </w:r>
      <w:r>
        <w:rPr>
          <w:rFonts w:ascii="Times New Roman" w:hAnsi="Times New Roman" w:eastAsia="仿宋_GB2312" w:cs="Times New Roman"/>
          <w:color w:val="000000" w:themeColor="text1"/>
          <w:sz w:val="32"/>
          <w:szCs w:val="32"/>
          <w14:textFill>
            <w14:solidFill>
              <w14:schemeClr w14:val="tx1"/>
            </w14:solidFill>
          </w14:textFill>
        </w:rPr>
        <w:t>临床预期使用场景</w:t>
      </w:r>
      <w:r>
        <w:rPr>
          <w:rFonts w:hint="eastAsia" w:ascii="Times New Roman" w:hAnsi="Times New Roman" w:eastAsia="仿宋_GB2312" w:cs="Times New Roman"/>
          <w:color w:val="000000" w:themeColor="text1"/>
          <w:sz w:val="32"/>
          <w:szCs w:val="32"/>
          <w14:textFill>
            <w14:solidFill>
              <w14:schemeClr w14:val="tx1"/>
            </w14:solidFill>
          </w14:textFill>
        </w:rPr>
        <w:t>和功能，</w:t>
      </w:r>
      <w:r>
        <w:rPr>
          <w:rFonts w:ascii="Times New Roman" w:hAnsi="Times New Roman" w:eastAsia="仿宋_GB2312" w:cs="Times New Roman"/>
          <w:kern w:val="0"/>
          <w:sz w:val="32"/>
          <w:szCs w:val="32"/>
        </w:rPr>
        <w:t>且该功能从未在境内获得批准。</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3.针对</w:t>
      </w:r>
      <w:r>
        <w:rPr>
          <w:rFonts w:hint="eastAsia" w:ascii="Times New Roman" w:hAnsi="Times New Roman" w:eastAsia="仿宋_GB2312" w:cs="Times New Roman"/>
          <w:kern w:val="0"/>
          <w:sz w:val="32"/>
          <w:szCs w:val="32"/>
        </w:rPr>
        <w:t>与</w:t>
      </w:r>
      <w:r>
        <w:rPr>
          <w:rFonts w:ascii="Times New Roman" w:hAnsi="Times New Roman" w:eastAsia="仿宋_GB2312" w:cs="Times New Roman"/>
          <w:kern w:val="0"/>
          <w:sz w:val="32"/>
          <w:szCs w:val="32"/>
        </w:rPr>
        <w:t>同品种医疗器械之间的差异，</w:t>
      </w:r>
      <w:r>
        <w:rPr>
          <w:rFonts w:ascii="Times New Roman" w:hAnsi="Times New Roman" w:eastAsia="仿宋_GB2312" w:cs="Times New Roman"/>
          <w:color w:val="000000" w:themeColor="text1"/>
          <w:sz w:val="32"/>
          <w:szCs w:val="32"/>
          <w14:textFill>
            <w14:solidFill>
              <w14:schemeClr w14:val="tx1"/>
            </w14:solidFill>
          </w14:textFill>
        </w:rPr>
        <w:t>若不能通过非临床研究数据</w:t>
      </w:r>
      <w:r>
        <w:rPr>
          <w:rFonts w:ascii="Times New Roman" w:hAnsi="Times New Roman" w:eastAsia="仿宋_GB2312" w:cs="Times New Roman"/>
          <w:bCs/>
          <w:color w:val="000000" w:themeColor="text1"/>
          <w:sz w:val="32"/>
          <w:szCs w:val="32"/>
          <w14:textFill>
            <w14:solidFill>
              <w14:schemeClr w14:val="tx1"/>
            </w14:solidFill>
          </w14:textFill>
        </w:rPr>
        <w:t>、</w:t>
      </w:r>
      <w:r>
        <w:rPr>
          <w:rFonts w:ascii="Times New Roman" w:hAnsi="Times New Roman" w:eastAsia="仿宋_GB2312" w:cs="Times New Roman"/>
          <w:color w:val="000000" w:themeColor="text1"/>
          <w:sz w:val="32"/>
          <w:szCs w:val="32"/>
          <w14:textFill>
            <w14:solidFill>
              <w14:schemeClr w14:val="tx1"/>
            </w14:solidFill>
          </w14:textFill>
        </w:rPr>
        <w:t>临床应用数据等证据资料证明申报产品的安全性和有效性</w:t>
      </w:r>
      <w:r>
        <w:rPr>
          <w:rFonts w:ascii="Times New Roman" w:hAnsi="Times New Roman" w:eastAsia="仿宋_GB2312" w:cs="Times New Roman"/>
          <w:bCs/>
          <w:color w:val="000000" w:themeColor="text1"/>
          <w:sz w:val="32"/>
          <w:szCs w:val="32"/>
          <w14:textFill>
            <w14:solidFill>
              <w14:schemeClr w14:val="tx1"/>
            </w14:solidFill>
          </w14:textFill>
        </w:rPr>
        <w:t>，</w:t>
      </w:r>
      <w:r>
        <w:rPr>
          <w:rFonts w:ascii="Times New Roman" w:hAnsi="Times New Roman" w:eastAsia="仿宋_GB2312" w:cs="Times New Roman"/>
          <w:color w:val="000000" w:themeColor="text1"/>
          <w:sz w:val="32"/>
          <w:szCs w:val="32"/>
          <w14:textFill>
            <w14:solidFill>
              <w14:schemeClr w14:val="tx1"/>
            </w14:solidFill>
          </w14:textFill>
        </w:rPr>
        <w:t>申请人需要考虑通过临床试验来获得临床数据。</w:t>
      </w:r>
    </w:p>
    <w:p>
      <w:pPr>
        <w:autoSpaceDE w:val="0"/>
        <w:autoSpaceDN w:val="0"/>
        <w:adjustRightInd w:val="0"/>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themeColor="text1"/>
          <w:sz w:val="32"/>
          <w:szCs w:val="32"/>
          <w14:textFill>
            <w14:solidFill>
              <w14:schemeClr w14:val="tx1"/>
            </w14:solidFill>
          </w14:textFill>
        </w:rPr>
        <w:t>具体决策是否开展医疗器械临床试验可参照附件2</w:t>
      </w:r>
      <w:r>
        <w:rPr>
          <w:rFonts w:ascii="Times New Roman" w:hAnsi="Times New Roman" w:eastAsia="仿宋_GB2312" w:cs="Times New Roman"/>
          <w:color w:val="000000"/>
          <w:sz w:val="32"/>
          <w:szCs w:val="32"/>
        </w:rPr>
        <w:t>和</w:t>
      </w:r>
      <w:r>
        <w:rPr>
          <w:rFonts w:ascii="Times New Roman" w:hAnsi="Times New Roman" w:eastAsia="仿宋_GB2312" w:cs="Times New Roman"/>
          <w:color w:val="000000" w:themeColor="text1"/>
          <w:sz w:val="32"/>
          <w:szCs w:val="32"/>
          <w14:textFill>
            <w14:solidFill>
              <w14:schemeClr w14:val="tx1"/>
            </w14:solidFill>
          </w14:textFill>
        </w:rPr>
        <w:t>附件3</w:t>
      </w:r>
      <w:r>
        <w:rPr>
          <w:rFonts w:ascii="Times New Roman" w:hAnsi="Times New Roman" w:eastAsia="仿宋_GB2312" w:cs="Times New Roman"/>
          <w:color w:val="000000"/>
          <w:sz w:val="32"/>
          <w:szCs w:val="32"/>
        </w:rPr>
        <w:t>，并提供充分的依据。</w:t>
      </w:r>
    </w:p>
    <w:p>
      <w:pPr>
        <w:overflowPunct w:val="0"/>
        <w:spacing w:line="560" w:lineRule="exact"/>
        <w:ind w:firstLine="640" w:firstLineChars="200"/>
        <w:rPr>
          <w:rFonts w:hint="eastAsia" w:ascii="Times New Roman" w:hAnsi="Times New Roman" w:eastAsia="黑体" w:cs="Times New Roman"/>
          <w:bCs/>
          <w:color w:val="000000" w:themeColor="text1"/>
          <w:sz w:val="32"/>
          <w:szCs w:val="32"/>
          <w14:textFill>
            <w14:solidFill>
              <w14:schemeClr w14:val="tx1"/>
            </w14:solidFill>
          </w14:textFill>
        </w:rPr>
      </w:pPr>
      <w:r>
        <w:rPr>
          <w:rFonts w:hint="eastAsia" w:ascii="Times New Roman" w:hAnsi="Times New Roman" w:eastAsia="黑体" w:cs="Times New Roman"/>
          <w:bCs/>
          <w:color w:val="000000" w:themeColor="text1"/>
          <w:sz w:val="32"/>
          <w:szCs w:val="32"/>
          <w:lang w:val="en-US" w:eastAsia="zh-CN"/>
          <w14:textFill>
            <w14:solidFill>
              <w14:schemeClr w14:val="tx1"/>
            </w14:solidFill>
          </w14:textFill>
        </w:rPr>
        <w:t>六</w:t>
      </w:r>
      <w:r>
        <w:rPr>
          <w:rFonts w:hint="eastAsia" w:ascii="Times New Roman" w:hAnsi="Times New Roman" w:eastAsia="黑体" w:cs="Times New Roman"/>
          <w:bCs/>
          <w:color w:val="000000" w:themeColor="text1"/>
          <w:sz w:val="32"/>
          <w:szCs w:val="32"/>
          <w14:textFill>
            <w14:solidFill>
              <w14:schemeClr w14:val="tx1"/>
            </w14:solidFill>
          </w14:textFill>
        </w:rPr>
        <w:t>、参考文献</w:t>
      </w:r>
    </w:p>
    <w:p>
      <w:pPr>
        <w:spacing w:line="540" w:lineRule="exact"/>
        <w:ind w:firstLine="640" w:firstLineChars="200"/>
        <w:rPr>
          <w:rFonts w:hint="eastAsia"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[1]《医疗器械临床评价技术指导原则》（2015年第14号通告）</w:t>
      </w:r>
    </w:p>
    <w:p>
      <w:pPr>
        <w:spacing w:line="540" w:lineRule="exact"/>
        <w:ind w:firstLine="640" w:firstLineChars="200"/>
        <w:rPr>
          <w:rFonts w:hint="eastAsia"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[2] YY/T 17</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23</w:t>
      </w:r>
      <w:r>
        <w:rPr>
          <w:rFonts w:hint="eastAsia" w:ascii="Times New Roman" w:hAnsi="Times New Roman" w:eastAsia="仿宋_GB2312" w:cs="Times New Roman"/>
          <w:color w:val="000000" w:themeColor="text1"/>
          <w:sz w:val="32"/>
          <w:szCs w:val="32"/>
          <w14:textFill>
            <w14:solidFill>
              <w14:schemeClr w14:val="tx1"/>
            </w14:solidFill>
          </w14:textFill>
        </w:rPr>
        <w:t>-202</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0</w:t>
      </w:r>
      <w:r>
        <w:rPr>
          <w:rFonts w:hint="eastAsia"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高通量基因测序仪</w:t>
      </w:r>
      <w:r>
        <w:rPr>
          <w:rFonts w:hint="eastAsia" w:ascii="Times New Roman" w:hAnsi="Times New Roman" w:eastAsia="仿宋_GB2312" w:cs="Times New Roman"/>
          <w:color w:val="000000" w:themeColor="text1"/>
          <w:sz w:val="32"/>
          <w:szCs w:val="32"/>
          <w14:textFill>
            <w14:solidFill>
              <w14:schemeClr w14:val="tx1"/>
            </w14:solidFill>
          </w14:textFill>
        </w:rPr>
        <w:t>》[S]</w:t>
      </w:r>
      <w:bookmarkStart w:id="8" w:name="_GoBack"/>
      <w:bookmarkEnd w:id="8"/>
    </w:p>
    <w:p>
      <w:pPr>
        <w:overflowPunct w:val="0"/>
        <w:spacing w:line="560" w:lineRule="exact"/>
        <w:ind w:firstLine="640" w:firstLineChars="200"/>
        <w:rPr>
          <w:rFonts w:hint="eastAsia" w:ascii="Times New Roman" w:hAnsi="Times New Roman" w:eastAsia="黑体" w:cs="Times New Roman"/>
          <w:bCs/>
          <w:color w:val="000000" w:themeColor="text1"/>
          <w:sz w:val="32"/>
          <w:szCs w:val="32"/>
          <w:lang w:val="en-US" w:eastAsia="zh-CN"/>
          <w14:textFill>
            <w14:solidFill>
              <w14:schemeClr w14:val="tx1"/>
            </w14:solidFill>
          </w14:textFill>
        </w:rPr>
      </w:pPr>
      <w:r>
        <w:rPr>
          <w:rFonts w:hint="eastAsia" w:ascii="Times New Roman" w:hAnsi="Times New Roman" w:eastAsia="黑体" w:cs="Times New Roman"/>
          <w:bCs/>
          <w:color w:val="000000" w:themeColor="text1"/>
          <w:sz w:val="32"/>
          <w:szCs w:val="32"/>
          <w:lang w:val="en-US" w:eastAsia="zh-CN"/>
          <w14:textFill>
            <w14:solidFill>
              <w14:schemeClr w14:val="tx1"/>
            </w14:solidFill>
          </w14:textFill>
        </w:rPr>
        <w:t>七、起草单位</w:t>
      </w:r>
    </w:p>
    <w:p>
      <w:pPr>
        <w:spacing w:line="540"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起草单位：国家药品监督管理局医疗器械技术审评中心</w:t>
      </w:r>
    </w:p>
    <w:p>
      <w:pPr>
        <w:pStyle w:val="2"/>
        <w:rPr>
          <w:rFonts w:ascii="Times New Roman" w:hAnsi="Times New Roman" w:eastAsia="仿宋_GB2312" w:cs="Times New Roman"/>
        </w:rPr>
      </w:pPr>
    </w:p>
    <w:p>
      <w:pPr>
        <w:autoSpaceDE w:val="0"/>
        <w:autoSpaceDN w:val="0"/>
        <w:adjustRightInd w:val="0"/>
        <w:spacing w:line="520" w:lineRule="exact"/>
        <w:ind w:firstLine="640" w:firstLineChars="200"/>
        <w:jc w:val="lef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附件：1. 拟申报产品与同品种基因测序仪对比表</w:t>
      </w:r>
    </w:p>
    <w:p>
      <w:pPr>
        <w:tabs>
          <w:tab w:val="left" w:pos="312"/>
        </w:tabs>
        <w:autoSpaceDE w:val="0"/>
        <w:autoSpaceDN w:val="0"/>
        <w:adjustRightInd w:val="0"/>
        <w:spacing w:line="520" w:lineRule="exact"/>
        <w:ind w:left="161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2. </w:t>
      </w:r>
      <w:r>
        <w:rPr>
          <w:rFonts w:ascii="Times New Roman" w:hAnsi="Times New Roman" w:eastAsia="仿宋_GB2312" w:cs="Times New Roman"/>
          <w:color w:val="000000"/>
          <w:sz w:val="32"/>
          <w:szCs w:val="32"/>
        </w:rPr>
        <w:t>同品种比对路径</w:t>
      </w:r>
    </w:p>
    <w:p>
      <w:pPr>
        <w:tabs>
          <w:tab w:val="left" w:pos="312"/>
        </w:tabs>
        <w:autoSpaceDE w:val="0"/>
        <w:autoSpaceDN w:val="0"/>
        <w:adjustRightInd w:val="0"/>
        <w:spacing w:line="520" w:lineRule="exact"/>
        <w:ind w:left="161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sz w:val="32"/>
          <w:szCs w:val="32"/>
        </w:rPr>
        <w:t xml:space="preserve">3. </w:t>
      </w:r>
      <w:r>
        <w:rPr>
          <w:rFonts w:ascii="Times New Roman" w:hAnsi="Times New Roman" w:eastAsia="仿宋_GB2312" w:cs="Times New Roman"/>
          <w:color w:val="000000"/>
          <w:sz w:val="32"/>
          <w:szCs w:val="32"/>
        </w:rPr>
        <w:t>基因测序仪同品种比对差异评价路径</w:t>
      </w:r>
    </w:p>
    <w:p>
      <w:pPr>
        <w:overflowPunct w:val="0"/>
        <w:spacing w:line="560"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p>
    <w:p>
      <w:pPr>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w:br w:type="page"/>
      </w:r>
    </w:p>
    <w:p>
      <w:pPr>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w:t>附件1</w:t>
      </w:r>
    </w:p>
    <w:p>
      <w:pPr>
        <w:pStyle w:val="4"/>
        <w:jc w:val="center"/>
        <w:rPr>
          <w:rFonts w:ascii="Times New Roman" w:hAnsi="Times New Roman" w:eastAsia="方正小标宋简体" w:cs="Times New Roman"/>
          <w:bCs/>
          <w:color w:val="000000" w:themeColor="text1"/>
          <w:kern w:val="44"/>
          <w:sz w:val="36"/>
          <w:szCs w:val="36"/>
          <w14:textFill>
            <w14:solidFill>
              <w14:schemeClr w14:val="tx1"/>
            </w14:solidFill>
          </w14:textFill>
        </w:rPr>
      </w:pPr>
      <w:r>
        <w:rPr>
          <w:rFonts w:hint="eastAsia" w:ascii="Times New Roman" w:hAnsi="Times New Roman" w:eastAsia="方正小标宋简体" w:cs="Times New Roman"/>
          <w:bCs/>
          <w:color w:val="000000" w:themeColor="text1"/>
          <w:kern w:val="44"/>
          <w:sz w:val="36"/>
          <w:szCs w:val="36"/>
          <w14:textFill>
            <w14:solidFill>
              <w14:schemeClr w14:val="tx1"/>
            </w14:solidFill>
          </w14:textFill>
        </w:rPr>
        <w:t>拟申报产品与同品种基因测序仪对比表</w:t>
      </w:r>
    </w:p>
    <w:p>
      <w:pPr>
        <w:pStyle w:val="4"/>
        <w:jc w:val="center"/>
        <w:rPr>
          <w:rFonts w:ascii="Times New Roman" w:hAnsi="Times New Roman" w:eastAsia="方正小标宋简体" w:cs="Times New Roman"/>
          <w:bCs/>
          <w:color w:val="000000" w:themeColor="text1"/>
          <w:kern w:val="44"/>
          <w:sz w:val="36"/>
          <w:szCs w:val="36"/>
          <w14:textFill>
            <w14:solidFill>
              <w14:schemeClr w14:val="tx1"/>
            </w14:solidFill>
          </w14:textFill>
        </w:rPr>
      </w:pPr>
    </w:p>
    <w:p>
      <w:pPr>
        <w:pStyle w:val="2"/>
        <w:ind w:left="0" w:leftChars="0" w:firstLine="0" w:firstLineChars="0"/>
        <w:rPr>
          <w:rStyle w:val="17"/>
          <w:rFonts w:hint="default"/>
          <w:lang w:bidi="ar"/>
        </w:rPr>
      </w:pPr>
      <w:r>
        <w:rPr>
          <w:rStyle w:val="17"/>
          <w:rFonts w:hint="default"/>
          <w:lang w:bidi="ar"/>
        </w:rPr>
        <w:t>1.基本原理</w:t>
      </w:r>
    </w:p>
    <w:p>
      <w:pPr>
        <w:pStyle w:val="8"/>
        <w:rPr>
          <w:rFonts w:ascii="宋体" w:hAnsi="宋体" w:cs="宋体"/>
          <w:sz w:val="24"/>
          <w:szCs w:val="24"/>
        </w:rPr>
      </w:pPr>
      <w:r>
        <w:rPr>
          <w:rFonts w:hint="eastAsia" w:ascii="宋体" w:hAnsi="宋体" w:cs="宋体"/>
          <w:sz w:val="24"/>
          <w:szCs w:val="24"/>
        </w:rPr>
        <w:t>1.1拟申报产品和同品种产品的工作原理应一致。应详述核心结构模块和原理，包括：样本来源和处理（包括片段化、定向扩增、定向捕获或纯化等）、生化原理（包括催化酶、底物标记、荧光化学、试剂保存、硅基表面处理等）、物理原理（光学或电学模块并行化、信号采集、信号处理、液路设计、废液收集处理等）、碱基判断和质量评估原理（包括信号采集处理、质量评估、序列组装等核心算法和软件来源）等。</w:t>
      </w:r>
    </w:p>
    <w:p>
      <w:pPr>
        <w:pStyle w:val="8"/>
        <w:rPr>
          <w:rFonts w:ascii="宋体" w:hAnsi="宋体" w:cs="宋体"/>
          <w:sz w:val="24"/>
          <w:szCs w:val="24"/>
        </w:rPr>
      </w:pPr>
      <w:r>
        <w:rPr>
          <w:rFonts w:hint="eastAsia" w:ascii="宋体" w:hAnsi="宋体" w:cs="宋体"/>
          <w:sz w:val="24"/>
          <w:szCs w:val="24"/>
        </w:rPr>
        <w:t>1.2产品类型应明确台式、便携式、大型仪器。</w:t>
      </w:r>
    </w:p>
    <w:p>
      <w:pPr>
        <w:pStyle w:val="2"/>
        <w:numPr>
          <w:ilvl w:val="255"/>
          <w:numId w:val="0"/>
        </w:numPr>
        <w:ind w:left="840" w:leftChars="400"/>
        <w:rPr>
          <w:rFonts w:eastAsia="宋体" w:cs="宋体"/>
          <w:szCs w:val="24"/>
        </w:rPr>
      </w:pP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4"/>
        <w:gridCol w:w="1245"/>
        <w:gridCol w:w="2245"/>
        <w:gridCol w:w="888"/>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245"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88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245"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88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43" w:hRule="atLeast"/>
          <w:jc w:val="center"/>
        </w:trPr>
        <w:tc>
          <w:tcPr>
            <w:tcW w:w="734" w:type="dxa"/>
            <w:vMerge w:val="restart"/>
            <w:tcBorders>
              <w:tl2br w:val="nil"/>
              <w:tr2bl w:val="nil"/>
            </w:tcBorders>
            <w:shd w:val="clear" w:color="auto" w:fill="auto"/>
            <w:vAlign w:val="center"/>
          </w:tcPr>
          <w:p>
            <w:pPr>
              <w:jc w:val="center"/>
              <w:rPr>
                <w:rFonts w:ascii="宋体" w:hAnsi="宋体" w:eastAsia="宋体" w:cs="宋体"/>
                <w:color w:val="000000"/>
                <w:sz w:val="24"/>
                <w:szCs w:val="24"/>
              </w:rPr>
            </w:pPr>
            <w:r>
              <w:rPr>
                <w:rStyle w:val="17"/>
                <w:rFonts w:hint="default"/>
                <w:lang w:bidi="ar"/>
              </w:rPr>
              <w:t>基本原理</w:t>
            </w: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w:t>
            </w:r>
          </w:p>
        </w:tc>
        <w:tc>
          <w:tcPr>
            <w:tcW w:w="2245" w:type="dxa"/>
            <w:tcBorders>
              <w:tl2br w:val="nil"/>
              <w:tr2bl w:val="nil"/>
            </w:tcBorders>
            <w:shd w:val="clear" w:color="auto" w:fill="auto"/>
            <w:vAlign w:val="center"/>
          </w:tcPr>
          <w:p>
            <w:pPr>
              <w:jc w:val="left"/>
              <w:rPr>
                <w:rStyle w:val="17"/>
                <w:rFonts w:hint="default"/>
                <w:lang w:bidi="ar"/>
              </w:rPr>
            </w:pPr>
            <w:r>
              <w:rPr>
                <w:rStyle w:val="17"/>
                <w:rFonts w:hint="default"/>
                <w:lang w:bidi="ar"/>
              </w:rPr>
              <w:t>工作原理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1.1.1</w:t>
            </w:r>
          </w:p>
        </w:tc>
        <w:tc>
          <w:tcPr>
            <w:tcW w:w="2245" w:type="dxa"/>
            <w:tcBorders>
              <w:tl2br w:val="nil"/>
              <w:tr2bl w:val="nil"/>
            </w:tcBorders>
            <w:shd w:val="clear" w:color="auto" w:fill="auto"/>
            <w:vAlign w:val="center"/>
          </w:tcPr>
          <w:p>
            <w:pPr>
              <w:jc w:val="left"/>
              <w:rPr>
                <w:rStyle w:val="17"/>
                <w:rFonts w:hint="default"/>
                <w:lang w:bidi="ar"/>
              </w:rPr>
            </w:pPr>
            <w:r>
              <w:rPr>
                <w:rFonts w:hint="eastAsia" w:ascii="宋体" w:hAnsi="宋体" w:eastAsia="宋体" w:cs="宋体"/>
                <w:sz w:val="24"/>
                <w:szCs w:val="24"/>
              </w:rPr>
              <w:t>生化原理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1.1.2</w:t>
            </w:r>
          </w:p>
        </w:tc>
        <w:tc>
          <w:tcPr>
            <w:tcW w:w="2245" w:type="dxa"/>
            <w:tcBorders>
              <w:tl2br w:val="nil"/>
              <w:tr2bl w:val="nil"/>
            </w:tcBorders>
            <w:shd w:val="clear" w:color="auto" w:fill="auto"/>
            <w:vAlign w:val="center"/>
          </w:tcPr>
          <w:p>
            <w:pPr>
              <w:jc w:val="left"/>
              <w:rPr>
                <w:rStyle w:val="17"/>
                <w:rFonts w:hint="default"/>
                <w:lang w:bidi="ar"/>
              </w:rPr>
            </w:pPr>
            <w:r>
              <w:rPr>
                <w:rFonts w:hint="eastAsia" w:ascii="宋体" w:hAnsi="宋体" w:eastAsia="宋体" w:cs="宋体"/>
                <w:sz w:val="24"/>
                <w:szCs w:val="24"/>
              </w:rPr>
              <w:t>物理原理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1.1.3</w:t>
            </w:r>
          </w:p>
        </w:tc>
        <w:tc>
          <w:tcPr>
            <w:tcW w:w="2245" w:type="dxa"/>
            <w:tcBorders>
              <w:tl2br w:val="nil"/>
              <w:tr2bl w:val="nil"/>
            </w:tcBorders>
            <w:shd w:val="clear" w:color="auto" w:fill="auto"/>
            <w:vAlign w:val="center"/>
          </w:tcPr>
          <w:p>
            <w:pPr>
              <w:widowControl/>
              <w:jc w:val="left"/>
              <w:textAlignment w:val="center"/>
              <w:rPr>
                <w:rStyle w:val="17"/>
                <w:rFonts w:hint="default"/>
                <w:lang w:bidi="ar"/>
              </w:rPr>
            </w:pPr>
            <w:r>
              <w:rPr>
                <w:rFonts w:hint="eastAsia" w:ascii="宋体" w:hAnsi="宋体" w:eastAsia="宋体" w:cs="宋体"/>
                <w:color w:val="000000"/>
                <w:kern w:val="0"/>
                <w:sz w:val="22"/>
                <w:lang w:bidi="ar"/>
              </w:rPr>
              <w:t>信号放大和采集原理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1.1.4</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2"/>
                <w:lang w:bidi="ar"/>
              </w:rPr>
              <w:t>信号处理原理（信号建模、转换、纠错）</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1.1.5</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碱基识别和质量评估原理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1.1.6</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2"/>
                <w:lang w:bidi="ar"/>
              </w:rPr>
              <w:t>高通量、并行化原理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1.1.7</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2"/>
                <w:lang w:bidi="ar"/>
              </w:rPr>
              <w:t>液路系统</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1.1.8</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2"/>
                <w:lang w:bidi="ar"/>
              </w:rPr>
              <w:t>信号放大和采集原理</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sz w:val="24"/>
                <w:szCs w:val="24"/>
              </w:rPr>
            </w:pP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sz w:val="24"/>
                <w:szCs w:val="24"/>
              </w:rPr>
            </w:pPr>
            <w:r>
              <w:rPr>
                <w:rFonts w:hint="eastAsia" w:ascii="宋体" w:hAnsi="宋体" w:eastAsia="宋体" w:cs="宋体"/>
                <w:sz w:val="24"/>
                <w:szCs w:val="24"/>
              </w:rPr>
              <w:t>...</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73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45" w:type="dxa"/>
            <w:tcBorders>
              <w:tl2br w:val="nil"/>
              <w:tr2bl w:val="nil"/>
            </w:tcBorders>
            <w:shd w:val="clear" w:color="auto" w:fill="auto"/>
            <w:vAlign w:val="center"/>
          </w:tcPr>
          <w:p>
            <w:pPr>
              <w:widowControl/>
              <w:jc w:val="center"/>
              <w:textAlignment w:val="center"/>
              <w:rPr>
                <w:rFonts w:ascii="宋体" w:hAnsi="宋体" w:eastAsia="宋体" w:cs="宋体"/>
                <w:sz w:val="24"/>
                <w:szCs w:val="24"/>
              </w:rPr>
            </w:pPr>
            <w:r>
              <w:rPr>
                <w:rFonts w:hint="eastAsia" w:ascii="宋体" w:hAnsi="宋体" w:eastAsia="宋体" w:cs="宋体"/>
                <w:sz w:val="24"/>
                <w:szCs w:val="24"/>
              </w:rPr>
              <w:t>1.2</w:t>
            </w:r>
          </w:p>
        </w:tc>
        <w:tc>
          <w:tcPr>
            <w:tcW w:w="2245" w:type="dxa"/>
            <w:tcBorders>
              <w:tl2br w:val="nil"/>
              <w:tr2bl w:val="nil"/>
            </w:tcBorders>
            <w:shd w:val="clear" w:color="auto" w:fill="auto"/>
            <w:vAlign w:val="center"/>
          </w:tcPr>
          <w:p>
            <w:pPr>
              <w:widowControl/>
              <w:jc w:val="left"/>
              <w:textAlignment w:val="center"/>
              <w:rPr>
                <w:rFonts w:ascii="宋体" w:hAnsi="宋体" w:eastAsia="宋体" w:cs="宋体"/>
                <w:sz w:val="24"/>
                <w:szCs w:val="24"/>
              </w:rPr>
            </w:pPr>
            <w:r>
              <w:rPr>
                <w:rFonts w:hint="eastAsia" w:ascii="宋体" w:hAnsi="宋体" w:eastAsia="宋体" w:cs="宋体"/>
                <w:sz w:val="24"/>
                <w:szCs w:val="24"/>
              </w:rPr>
              <w:t>产品类型</w:t>
            </w:r>
          </w:p>
        </w:tc>
        <w:tc>
          <w:tcPr>
            <w:tcW w:w="888"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bl>
    <w:p>
      <w:pPr>
        <w:overflowPunct w:val="0"/>
        <w:spacing w:line="560" w:lineRule="exact"/>
        <w:ind w:firstLine="480" w:firstLineChars="200"/>
        <w:rPr>
          <w:rFonts w:ascii="宋体" w:hAnsi="宋体" w:eastAsia="宋体" w:cs="宋体"/>
          <w:color w:val="000000" w:themeColor="text1"/>
          <w:sz w:val="24"/>
          <w:szCs w:val="24"/>
          <w14:textFill>
            <w14:solidFill>
              <w14:schemeClr w14:val="tx1"/>
            </w14:solidFill>
          </w14:textFill>
        </w:rPr>
      </w:pPr>
    </w:p>
    <w:p>
      <w:pPr>
        <w:pStyle w:val="2"/>
        <w:ind w:left="0" w:leftChars="0" w:firstLine="0" w:firstLineChars="0"/>
        <w:rPr>
          <w:rStyle w:val="17"/>
          <w:rFonts w:hint="default"/>
          <w:lang w:bidi="ar"/>
        </w:rPr>
      </w:pPr>
      <w:r>
        <w:rPr>
          <w:rFonts w:hint="eastAsia" w:eastAsia="宋体" w:cs="宋体"/>
          <w:color w:val="000000"/>
          <w:kern w:val="0"/>
          <w:szCs w:val="24"/>
          <w:lang w:bidi="ar"/>
        </w:rPr>
        <w:t>2.</w:t>
      </w:r>
      <w:r>
        <w:rPr>
          <w:rStyle w:val="17"/>
          <w:rFonts w:hint="default"/>
          <w:lang w:bidi="ar"/>
        </w:rPr>
        <w:t>结构组成</w:t>
      </w:r>
    </w:p>
    <w:p>
      <w:pPr>
        <w:pStyle w:val="8"/>
        <w:rPr>
          <w:rFonts w:ascii="宋体" w:hAnsi="宋体" w:cs="宋体"/>
          <w:sz w:val="24"/>
          <w:szCs w:val="24"/>
        </w:rPr>
      </w:pPr>
      <w:r>
        <w:rPr>
          <w:rFonts w:hint="eastAsia" w:ascii="宋体" w:hAnsi="宋体" w:cs="宋体"/>
          <w:sz w:val="24"/>
          <w:szCs w:val="24"/>
        </w:rPr>
        <w:t>2.1产品组成应包括描述申报产品的所有结构组成。对成像模块、流动槽支架、流体自动化模块、缓冲剂吸管装置等功能模块、主体模块等核心结构模块进行逐项详细比对。</w:t>
      </w:r>
    </w:p>
    <w:p>
      <w:pPr>
        <w:pStyle w:val="8"/>
        <w:rPr>
          <w:rFonts w:ascii="宋体" w:hAnsi="宋体" w:cs="宋体"/>
          <w:sz w:val="24"/>
          <w:szCs w:val="24"/>
        </w:rPr>
      </w:pPr>
      <w:r>
        <w:rPr>
          <w:rFonts w:hint="eastAsia" w:ascii="宋体" w:hAnsi="宋体" w:cs="宋体"/>
          <w:sz w:val="24"/>
          <w:szCs w:val="24"/>
        </w:rPr>
        <w:t>2.2核心部件应至少对加样装置、恒温反应装置、芯片、信号采集、检测器及其原件技术要求进行对比。</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19"/>
        <w:gridCol w:w="1260"/>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15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15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7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49" w:hRule="atLeast"/>
          <w:jc w:val="center"/>
        </w:trPr>
        <w:tc>
          <w:tcPr>
            <w:tcW w:w="719"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Style w:val="17"/>
                <w:rFonts w:hint="default"/>
                <w:lang w:bidi="ar"/>
              </w:rPr>
              <w:t>结构组成</w:t>
            </w: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sz w:val="24"/>
                <w:szCs w:val="24"/>
              </w:rPr>
            </w:pPr>
            <w:r>
              <w:rPr>
                <w:rFonts w:hint="eastAsia" w:ascii="宋体" w:hAnsi="宋体" w:eastAsia="宋体" w:cs="宋体"/>
                <w:sz w:val="24"/>
                <w:szCs w:val="24"/>
              </w:rPr>
              <w:t>产品组成</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vMerge w:val="restart"/>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核心部件</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流体液路系统</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恒温反应装置</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2.2.3</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芯片设计构架</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2.2.4</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恒温反应装置</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2.2.5</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信号采集处理装置</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719"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60"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bl>
    <w:p>
      <w:pPr>
        <w:pStyle w:val="2"/>
        <w:ind w:leftChars="0" w:firstLine="0" w:firstLineChars="0"/>
        <w:rPr>
          <w:rFonts w:eastAsia="宋体" w:cs="宋体"/>
          <w:szCs w:val="24"/>
        </w:rPr>
      </w:pPr>
    </w:p>
    <w:p>
      <w:pPr>
        <w:pStyle w:val="2"/>
        <w:ind w:left="0" w:leftChars="0" w:firstLine="0" w:firstLineChars="0"/>
        <w:rPr>
          <w:rFonts w:eastAsia="宋体" w:cs="宋体"/>
          <w:color w:val="000000"/>
          <w:kern w:val="0"/>
          <w:szCs w:val="24"/>
          <w:lang w:bidi="ar"/>
        </w:rPr>
      </w:pPr>
      <w:r>
        <w:rPr>
          <w:rFonts w:hint="eastAsia" w:eastAsia="宋体" w:cs="宋体"/>
          <w:color w:val="000000"/>
          <w:kern w:val="0"/>
          <w:szCs w:val="24"/>
          <w:lang w:bidi="ar"/>
        </w:rPr>
        <w:t>3.性能要求</w:t>
      </w:r>
    </w:p>
    <w:p>
      <w:pPr>
        <w:pStyle w:val="8"/>
        <w:rPr>
          <w:rFonts w:ascii="宋体" w:hAnsi="宋体" w:cs="宋体"/>
          <w:sz w:val="24"/>
          <w:szCs w:val="24"/>
        </w:rPr>
      </w:pPr>
      <w:r>
        <w:rPr>
          <w:rFonts w:hint="eastAsia" w:ascii="宋体" w:hAnsi="宋体" w:cs="宋体"/>
          <w:sz w:val="24"/>
          <w:szCs w:val="24"/>
        </w:rPr>
        <w:t>3.1性能参数应包括 最大数据量/run*run，reads长度，突变类型以及人与病原体的检测性能，并对数据质量进行充分评价。</w:t>
      </w:r>
    </w:p>
    <w:p>
      <w:pPr>
        <w:pStyle w:val="8"/>
        <w:rPr>
          <w:rFonts w:ascii="宋体" w:hAnsi="宋体" w:cs="宋体"/>
          <w:sz w:val="24"/>
          <w:szCs w:val="24"/>
        </w:rPr>
      </w:pPr>
      <w:r>
        <w:rPr>
          <w:rFonts w:hint="eastAsia" w:ascii="宋体" w:hAnsi="宋体" w:cs="宋体"/>
          <w:sz w:val="24"/>
          <w:szCs w:val="24"/>
        </w:rPr>
        <w:t>3.2反应模式及时间应包括所有的反应模式如PE150，PE250，SE35等。</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7"/>
        <w:gridCol w:w="602"/>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15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15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7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性能要求</w:t>
            </w: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性能参数</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3.2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功能参数</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sz w:val="24"/>
                <w:szCs w:val="24"/>
              </w:rPr>
              <w:t>反应模式及用时</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sz w:val="24"/>
                <w:szCs w:val="24"/>
              </w:rPr>
            </w:pPr>
            <w:r>
              <w:rPr>
                <w:rFonts w:hint="eastAsia" w:ascii="宋体" w:hAnsi="宋体" w:eastAsia="宋体" w:cs="宋体"/>
                <w:sz w:val="24"/>
                <w:szCs w:val="24"/>
              </w:rPr>
              <w:t>...</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bl>
    <w:p>
      <w:pPr>
        <w:pStyle w:val="2"/>
        <w:ind w:left="0" w:leftChars="0" w:firstLine="0" w:firstLineChars="0"/>
        <w:rPr>
          <w:rFonts w:eastAsia="宋体" w:cs="宋体"/>
          <w:szCs w:val="24"/>
        </w:rPr>
      </w:pPr>
    </w:p>
    <w:p>
      <w:pPr>
        <w:pStyle w:val="2"/>
        <w:numPr>
          <w:ilvl w:val="255"/>
          <w:numId w:val="0"/>
        </w:numPr>
        <w:rPr>
          <w:rFonts w:eastAsia="宋体" w:cs="宋体"/>
          <w:color w:val="000000"/>
          <w:kern w:val="0"/>
          <w:szCs w:val="24"/>
          <w:lang w:bidi="ar"/>
        </w:rPr>
      </w:pPr>
      <w:r>
        <w:rPr>
          <w:rFonts w:hint="eastAsia" w:eastAsia="宋体" w:cs="宋体"/>
          <w:color w:val="000000"/>
          <w:kern w:val="0"/>
          <w:szCs w:val="24"/>
          <w:lang w:bidi="ar"/>
        </w:rPr>
        <w:t>4.软件核心功能及算法</w:t>
      </w:r>
    </w:p>
    <w:p>
      <w:pPr>
        <w:pStyle w:val="8"/>
        <w:rPr>
          <w:rFonts w:ascii="宋体" w:hAnsi="宋体" w:cs="宋体"/>
          <w:sz w:val="24"/>
          <w:szCs w:val="24"/>
        </w:rPr>
      </w:pPr>
      <w:r>
        <w:rPr>
          <w:rFonts w:hint="eastAsia" w:ascii="宋体" w:hAnsi="宋体" w:cs="宋体"/>
          <w:sz w:val="24"/>
          <w:szCs w:val="24"/>
        </w:rPr>
        <w:t>4.1对比产品的软件核心功能及算法</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94"/>
        <w:gridCol w:w="585"/>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15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15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7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62" w:hRule="atLeast"/>
          <w:jc w:val="center"/>
        </w:trPr>
        <w:tc>
          <w:tcPr>
            <w:tcW w:w="1394" w:type="dxa"/>
            <w:vMerge w:val="restart"/>
            <w:tcBorders>
              <w:tl2br w:val="nil"/>
              <w:tr2bl w:val="nil"/>
            </w:tcBorders>
            <w:shd w:val="clear" w:color="auto" w:fill="auto"/>
            <w:vAlign w:val="center"/>
          </w:tcPr>
          <w:p>
            <w:pPr>
              <w:pStyle w:val="2"/>
              <w:ind w:left="0" w:leftChars="0" w:firstLine="0" w:firstLineChars="0"/>
              <w:rPr>
                <w:rFonts w:eastAsia="宋体" w:cs="宋体"/>
                <w:color w:val="000000"/>
                <w:szCs w:val="24"/>
              </w:rPr>
            </w:pPr>
            <w:r>
              <w:rPr>
                <w:rFonts w:hint="eastAsia" w:eastAsia="宋体" w:cs="宋体"/>
                <w:bCs w:val="0"/>
                <w:color w:val="000000"/>
                <w:kern w:val="0"/>
                <w:szCs w:val="24"/>
                <w:lang w:bidi="ar"/>
              </w:rPr>
              <w:t>软件核心功能</w:t>
            </w: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运行控制</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42" w:hRule="atLeast"/>
          <w:jc w:val="center"/>
        </w:trPr>
        <w:tc>
          <w:tcPr>
            <w:tcW w:w="1394"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状态监控</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4.3</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碱基识别</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4.4</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数据质控</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4.5 </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结果判读</w:t>
            </w:r>
          </w:p>
        </w:tc>
        <w:tc>
          <w:tcPr>
            <w:tcW w:w="976" w:type="dxa"/>
            <w:tcBorders>
              <w:tl2br w:val="nil"/>
              <w:tr2bl w:val="nil"/>
            </w:tcBorders>
            <w:shd w:val="clear" w:color="auto" w:fill="auto"/>
            <w:vAlign w:val="center"/>
          </w:tcPr>
          <w:p>
            <w:pPr>
              <w:pStyle w:val="4"/>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976" w:type="dxa"/>
            <w:tcBorders>
              <w:tl2br w:val="nil"/>
              <w:tr2bl w:val="nil"/>
            </w:tcBorders>
            <w:shd w:val="clear" w:color="auto" w:fill="auto"/>
            <w:vAlign w:val="center"/>
          </w:tcPr>
          <w:p>
            <w:pPr>
              <w:pStyle w:val="4"/>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pStyle w:val="4"/>
              <w:jc w:val="center"/>
              <w:rPr>
                <w:rFonts w:ascii="宋体" w:hAnsi="宋体" w:eastAsia="宋体" w:cs="宋体"/>
                <w:color w:val="000000"/>
                <w:sz w:val="24"/>
                <w:szCs w:val="24"/>
              </w:rPr>
            </w:pPr>
          </w:p>
        </w:tc>
        <w:tc>
          <w:tcPr>
            <w:tcW w:w="976" w:type="dxa"/>
            <w:tcBorders>
              <w:tl2br w:val="nil"/>
              <w:tr2bl w:val="nil"/>
            </w:tcBorders>
            <w:shd w:val="clear" w:color="auto" w:fill="auto"/>
            <w:vAlign w:val="center"/>
          </w:tcPr>
          <w:p>
            <w:pPr>
              <w:pStyle w:val="4"/>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9" w:hRule="atLeast"/>
          <w:jc w:val="center"/>
        </w:trPr>
        <w:tc>
          <w:tcPr>
            <w:tcW w:w="1394"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585"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sz w:val="24"/>
                <w:szCs w:val="24"/>
              </w:rPr>
            </w:pPr>
          </w:p>
        </w:tc>
        <w:tc>
          <w:tcPr>
            <w:tcW w:w="976" w:type="dxa"/>
            <w:tcBorders>
              <w:tl2br w:val="nil"/>
              <w:tr2bl w:val="nil"/>
            </w:tcBorders>
            <w:shd w:val="clear" w:color="auto" w:fill="auto"/>
            <w:vAlign w:val="center"/>
          </w:tcPr>
          <w:p>
            <w:pPr>
              <w:pStyle w:val="4"/>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r>
    </w:tbl>
    <w:p>
      <w:pPr>
        <w:pStyle w:val="2"/>
        <w:ind w:leftChars="0" w:firstLine="0" w:firstLineChars="0"/>
        <w:rPr>
          <w:rStyle w:val="17"/>
          <w:rFonts w:hint="default"/>
          <w:lang w:bidi="ar"/>
        </w:rPr>
      </w:pPr>
    </w:p>
    <w:p>
      <w:pPr>
        <w:pStyle w:val="2"/>
        <w:numPr>
          <w:ilvl w:val="255"/>
          <w:numId w:val="0"/>
        </w:numPr>
        <w:rPr>
          <w:rStyle w:val="17"/>
          <w:rFonts w:hint="default"/>
          <w:lang w:bidi="ar"/>
        </w:rPr>
      </w:pPr>
      <w:r>
        <w:rPr>
          <w:rStyle w:val="17"/>
          <w:rFonts w:hint="default"/>
          <w:lang w:bidi="ar"/>
        </w:rPr>
        <w:t>5.适用范围及</w:t>
      </w:r>
      <w:r>
        <w:rPr>
          <w:rFonts w:hint="eastAsia" w:eastAsia="宋体" w:cs="宋体"/>
          <w:color w:val="000000"/>
          <w:szCs w:val="24"/>
        </w:rPr>
        <w:t>预期用途</w:t>
      </w:r>
    </w:p>
    <w:p>
      <w:pPr>
        <w:pStyle w:val="8"/>
        <w:jc w:val="both"/>
        <w:rPr>
          <w:rFonts w:ascii="宋体" w:hAnsi="宋体" w:cs="宋体"/>
          <w:sz w:val="24"/>
          <w:szCs w:val="24"/>
        </w:rPr>
      </w:pPr>
      <w:r>
        <w:rPr>
          <w:rFonts w:hint="eastAsia" w:ascii="宋体" w:hAnsi="宋体" w:cs="宋体"/>
          <w:sz w:val="24"/>
          <w:szCs w:val="24"/>
        </w:rPr>
        <w:t>5.1样本类型通常包括血清、全血、组织、FFPE及其他含有人类以及各种病原体的核酸的样本类型等，可采用代表性样本类型（根据样本中基因组特征）。</w:t>
      </w:r>
    </w:p>
    <w:p>
      <w:pPr>
        <w:pStyle w:val="8"/>
        <w:jc w:val="both"/>
        <w:rPr>
          <w:rFonts w:ascii="宋体" w:hAnsi="宋体" w:cs="宋体"/>
          <w:sz w:val="24"/>
          <w:szCs w:val="24"/>
        </w:rPr>
      </w:pPr>
      <w:r>
        <w:rPr>
          <w:rFonts w:hint="eastAsia" w:ascii="宋体" w:hAnsi="宋体" w:cs="宋体"/>
          <w:sz w:val="24"/>
          <w:szCs w:val="24"/>
        </w:rPr>
        <w:t>5.2变异类型通常包括点突变、插入缺少、结构变异等变异类型。</w:t>
      </w:r>
    </w:p>
    <w:p>
      <w:pPr>
        <w:pStyle w:val="8"/>
        <w:jc w:val="both"/>
        <w:rPr>
          <w:rFonts w:ascii="宋体" w:hAnsi="宋体" w:cs="宋体"/>
          <w:sz w:val="24"/>
          <w:szCs w:val="24"/>
        </w:rPr>
      </w:pPr>
      <w:r>
        <w:rPr>
          <w:rFonts w:hint="eastAsia" w:ascii="宋体" w:hAnsi="宋体" w:cs="宋体"/>
          <w:sz w:val="24"/>
          <w:szCs w:val="24"/>
        </w:rPr>
        <w:t>5.3检测的核酸样本类型通常包括人类基因组DNA、细胞内RNA、细胞外循环DNA或RNA，病原体DNA或RNA等。所有各类不同来源的RNA均须逆转录成互补DNA后才能用于测序。</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7"/>
        <w:gridCol w:w="602"/>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15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15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7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92" w:hRule="atLeast"/>
          <w:jc w:val="center"/>
        </w:trPr>
        <w:tc>
          <w:tcPr>
            <w:tcW w:w="137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Style w:val="17"/>
                <w:rFonts w:hint="default"/>
                <w:lang w:bidi="ar"/>
              </w:rPr>
              <w:t>适用范围</w:t>
            </w:r>
            <w:r>
              <w:rPr>
                <w:rFonts w:hint="eastAsia" w:ascii="宋体" w:hAnsi="宋体" w:eastAsia="宋体" w:cs="宋体"/>
                <w:color w:val="000000"/>
                <w:sz w:val="24"/>
                <w:szCs w:val="24"/>
              </w:rPr>
              <w:t>预期用途</w:t>
            </w: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sz w:val="24"/>
                <w:szCs w:val="24"/>
              </w:rPr>
              <w:t>预期用途</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26"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代表性样本类型</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09"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5.3</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可完成试验项目</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15"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5.4</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sz w:val="24"/>
                <w:szCs w:val="24"/>
              </w:rPr>
              <w:t>变异类型</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5.5</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检测的核酸类型</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5.6</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使用环境</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5"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bl>
    <w:p>
      <w:pPr>
        <w:pStyle w:val="8"/>
        <w:jc w:val="both"/>
        <w:rPr>
          <w:rFonts w:ascii="宋体" w:hAnsi="宋体" w:cs="宋体"/>
          <w:sz w:val="24"/>
          <w:szCs w:val="24"/>
        </w:rPr>
      </w:pPr>
    </w:p>
    <w:p>
      <w:pPr>
        <w:pStyle w:val="2"/>
        <w:numPr>
          <w:ilvl w:val="255"/>
          <w:numId w:val="0"/>
        </w:numPr>
        <w:rPr>
          <w:rStyle w:val="17"/>
          <w:rFonts w:hint="default"/>
          <w:lang w:bidi="ar"/>
        </w:rPr>
      </w:pPr>
      <w:r>
        <w:rPr>
          <w:rStyle w:val="17"/>
          <w:rFonts w:hint="default"/>
          <w:lang w:bidi="ar"/>
        </w:rPr>
        <w:t>6.配套要求</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7"/>
        <w:gridCol w:w="602"/>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序号</w:t>
            </w:r>
          </w:p>
        </w:tc>
        <w:tc>
          <w:tcPr>
            <w:tcW w:w="215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gridSpan w:val="2"/>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215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7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49" w:hRule="atLeast"/>
          <w:jc w:val="center"/>
        </w:trPr>
        <w:tc>
          <w:tcPr>
            <w:tcW w:w="1377" w:type="dxa"/>
            <w:vMerge w:val="restart"/>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配套要求</w:t>
            </w: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6.1</w:t>
            </w:r>
          </w:p>
        </w:tc>
        <w:tc>
          <w:tcPr>
            <w:tcW w:w="2157" w:type="dxa"/>
            <w:tcBorders>
              <w:tl2br w:val="nil"/>
              <w:tr2bl w:val="nil"/>
            </w:tcBorders>
            <w:shd w:val="clear" w:color="auto" w:fill="auto"/>
            <w:vAlign w:val="center"/>
          </w:tcPr>
          <w:p>
            <w:pPr>
              <w:pStyle w:val="9"/>
              <w:widowControl/>
              <w:jc w:val="center"/>
            </w:pPr>
            <w:r>
              <w:rPr>
                <w:rFonts w:hint="eastAsia"/>
              </w:rPr>
              <w:t>上机文库质量要求</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1377" w:type="dxa"/>
            <w:vMerge w:val="continue"/>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6.2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sz w:val="24"/>
                <w:szCs w:val="24"/>
              </w:rPr>
              <w:t>样本来源和处理（包括片段化、定向扩增、定向捕获或纯化等）</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1377"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6.3</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配套使用的测序通用试剂要求</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1377"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center"/>
              <w:rPr>
                <w:rFonts w:ascii="宋体" w:hAnsi="宋体" w:eastAsia="宋体" w:cs="宋体"/>
                <w:color w:val="000000"/>
                <w:sz w:val="24"/>
                <w:szCs w:val="24"/>
              </w:rPr>
            </w:pPr>
          </w:p>
        </w:tc>
      </w:tr>
    </w:tbl>
    <w:p>
      <w:pPr>
        <w:pStyle w:val="2"/>
        <w:ind w:leftChars="0" w:firstLine="0" w:firstLineChars="0"/>
        <w:rPr>
          <w:rStyle w:val="17"/>
          <w:rFonts w:hint="default"/>
          <w:lang w:bidi="ar"/>
        </w:rPr>
      </w:pPr>
    </w:p>
    <w:p>
      <w:pPr>
        <w:pStyle w:val="2"/>
        <w:ind w:left="0" w:leftChars="0" w:firstLine="0" w:firstLineChars="0"/>
        <w:rPr>
          <w:rStyle w:val="17"/>
          <w:rFonts w:hint="default"/>
          <w:lang w:bidi="ar"/>
        </w:rPr>
      </w:pPr>
      <w:r>
        <w:rPr>
          <w:rStyle w:val="17"/>
          <w:rFonts w:hint="default"/>
          <w:lang w:bidi="ar"/>
        </w:rPr>
        <w:t>7.安全性评价</w:t>
      </w:r>
    </w:p>
    <w:tbl>
      <w:tblPr>
        <w:tblStyle w:val="10"/>
        <w:tblpPr w:leftFromText="180" w:rightFromText="180" w:vertAnchor="text" w:horzAnchor="page" w:tblpX="1787" w:tblpY="83"/>
        <w:tblOverlap w:val="never"/>
        <w:tblW w:w="86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7"/>
        <w:gridCol w:w="602"/>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97" w:hRule="atLeast"/>
        </w:trPr>
        <w:tc>
          <w:tcPr>
            <w:tcW w:w="1377" w:type="dxa"/>
            <w:vMerge w:val="restart"/>
            <w:tcBorders>
              <w:tl2br w:val="nil"/>
              <w:tr2bl w:val="nil"/>
            </w:tcBorders>
            <w:shd w:val="clear" w:color="auto" w:fill="auto"/>
            <w:noWrap/>
            <w:vAlign w:val="center"/>
          </w:tcPr>
          <w:p>
            <w:pPr>
              <w:widowControl/>
              <w:jc w:val="center"/>
              <w:textAlignment w:val="center"/>
              <w:rPr>
                <w:rStyle w:val="17"/>
                <w:rFonts w:hint="default"/>
                <w:lang w:bidi="ar"/>
              </w:rPr>
            </w:pPr>
            <w:r>
              <w:rPr>
                <w:rStyle w:val="17"/>
                <w:rFonts w:hint="default"/>
                <w:lang w:bidi="ar"/>
              </w:rPr>
              <w:t>安全性</w:t>
            </w:r>
          </w:p>
          <w:p>
            <w:pPr>
              <w:widowControl/>
              <w:jc w:val="center"/>
              <w:textAlignment w:val="center"/>
              <w:rPr>
                <w:rFonts w:ascii="宋体" w:hAnsi="宋体" w:eastAsia="宋体" w:cs="宋体"/>
                <w:color w:val="000000"/>
                <w:sz w:val="24"/>
                <w:szCs w:val="24"/>
              </w:rPr>
            </w:pPr>
            <w:r>
              <w:rPr>
                <w:rStyle w:val="17"/>
                <w:rFonts w:hint="default"/>
                <w:lang w:bidi="ar"/>
              </w:rPr>
              <w:t>评价</w:t>
            </w: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通用电气安全</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left"/>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5" w:hRule="atLeast"/>
        </w:trPr>
        <w:tc>
          <w:tcPr>
            <w:tcW w:w="1377" w:type="dxa"/>
            <w:vMerge w:val="continue"/>
            <w:tcBorders>
              <w:tl2br w:val="nil"/>
              <w:tr2bl w:val="nil"/>
            </w:tcBorders>
            <w:shd w:val="clear" w:color="auto" w:fill="auto"/>
            <w:noWrap/>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专用安全</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left"/>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35" w:hRule="atLeast"/>
        </w:trPr>
        <w:tc>
          <w:tcPr>
            <w:tcW w:w="1377" w:type="dxa"/>
            <w:tcBorders>
              <w:tl2br w:val="nil"/>
              <w:tr2bl w:val="nil"/>
            </w:tcBorders>
            <w:shd w:val="clear" w:color="auto" w:fill="auto"/>
            <w:noWrap/>
            <w:vAlign w:val="center"/>
          </w:tcPr>
          <w:p>
            <w:pPr>
              <w:jc w:val="center"/>
              <w:rPr>
                <w:rFonts w:ascii="宋体" w:hAnsi="宋体" w:eastAsia="宋体" w:cs="宋体"/>
                <w:color w:val="000000"/>
                <w:sz w:val="24"/>
                <w:szCs w:val="24"/>
              </w:rPr>
            </w:pPr>
          </w:p>
        </w:tc>
        <w:tc>
          <w:tcPr>
            <w:tcW w:w="602"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7.3</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网络安全</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left"/>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bl>
    <w:p>
      <w:pPr>
        <w:pStyle w:val="2"/>
        <w:ind w:leftChars="0" w:firstLine="0" w:firstLineChars="0"/>
        <w:rPr>
          <w:rStyle w:val="17"/>
          <w:rFonts w:hint="default"/>
          <w:lang w:bidi="ar"/>
        </w:rPr>
      </w:pPr>
    </w:p>
    <w:p>
      <w:pPr>
        <w:pStyle w:val="2"/>
        <w:ind w:left="0" w:leftChars="0" w:firstLine="0" w:firstLineChars="0"/>
        <w:rPr>
          <w:rStyle w:val="17"/>
          <w:rFonts w:hint="default"/>
          <w:lang w:bidi="ar"/>
        </w:rPr>
      </w:pPr>
      <w:r>
        <w:rPr>
          <w:rStyle w:val="17"/>
          <w:rFonts w:hint="default"/>
          <w:lang w:bidi="ar"/>
        </w:rPr>
        <w:t>8.其他</w:t>
      </w:r>
    </w:p>
    <w:tbl>
      <w:tblPr>
        <w:tblStyle w:val="10"/>
        <w:tblW w:w="862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9"/>
        <w:gridCol w:w="2157"/>
        <w:gridCol w:w="976"/>
        <w:gridCol w:w="940"/>
        <w:gridCol w:w="941"/>
        <w:gridCol w:w="1226"/>
        <w:gridCol w:w="4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65"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序号</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对比项目</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同品种产品</w:t>
            </w:r>
          </w:p>
        </w:tc>
        <w:tc>
          <w:tcPr>
            <w:tcW w:w="940"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拟申报产品</w:t>
            </w:r>
          </w:p>
        </w:tc>
        <w:tc>
          <w:tcPr>
            <w:tcW w:w="941"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差异性</w:t>
            </w:r>
          </w:p>
        </w:tc>
        <w:tc>
          <w:tcPr>
            <w:tcW w:w="122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支持性资料概述</w:t>
            </w:r>
          </w:p>
        </w:tc>
        <w:tc>
          <w:tcPr>
            <w:tcW w:w="408"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6"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8</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标签</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left"/>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9</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产品说明书</w:t>
            </w:r>
          </w:p>
        </w:tc>
        <w:tc>
          <w:tcPr>
            <w:tcW w:w="97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widowControl/>
              <w:jc w:val="left"/>
              <w:textAlignment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widowControl/>
              <w:jc w:val="left"/>
              <w:textAlignment w:val="center"/>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10</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禁忌症</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23"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11</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防范措施和警告</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32"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12</w:t>
            </w: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产品符合的国家/行业标准</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atLeast"/>
          <w:jc w:val="center"/>
        </w:trPr>
        <w:tc>
          <w:tcPr>
            <w:tcW w:w="1979"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p>
        </w:tc>
        <w:tc>
          <w:tcPr>
            <w:tcW w:w="2157" w:type="dxa"/>
            <w:tcBorders>
              <w:tl2br w:val="nil"/>
              <w:tr2bl w:val="nil"/>
            </w:tcBorders>
            <w:shd w:val="clear" w:color="auto" w:fill="auto"/>
            <w:vAlign w:val="center"/>
          </w:tcPr>
          <w:p>
            <w:pPr>
              <w:widowControl/>
              <w:jc w:val="center"/>
              <w:textAlignment w:val="cente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976" w:type="dxa"/>
            <w:tcBorders>
              <w:tl2br w:val="nil"/>
              <w:tr2bl w:val="nil"/>
            </w:tcBorders>
            <w:shd w:val="clear" w:color="auto" w:fill="auto"/>
            <w:vAlign w:val="center"/>
          </w:tcPr>
          <w:p>
            <w:pPr>
              <w:widowControl/>
              <w:jc w:val="center"/>
              <w:textAlignment w:val="center"/>
              <w:rPr>
                <w:rFonts w:ascii="宋体" w:hAnsi="宋体" w:eastAsia="宋体" w:cs="宋体"/>
                <w:color w:val="000000"/>
                <w:sz w:val="24"/>
                <w:szCs w:val="24"/>
              </w:rPr>
            </w:pPr>
          </w:p>
        </w:tc>
        <w:tc>
          <w:tcPr>
            <w:tcW w:w="940"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941"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1226" w:type="dxa"/>
            <w:tcBorders>
              <w:tl2br w:val="nil"/>
              <w:tr2bl w:val="nil"/>
            </w:tcBorders>
            <w:shd w:val="clear" w:color="auto" w:fill="auto"/>
            <w:vAlign w:val="center"/>
          </w:tcPr>
          <w:p>
            <w:pPr>
              <w:jc w:val="center"/>
              <w:rPr>
                <w:rFonts w:ascii="宋体" w:hAnsi="宋体" w:eastAsia="宋体" w:cs="宋体"/>
                <w:color w:val="000000"/>
                <w:sz w:val="24"/>
                <w:szCs w:val="24"/>
              </w:rPr>
            </w:pPr>
          </w:p>
        </w:tc>
        <w:tc>
          <w:tcPr>
            <w:tcW w:w="408" w:type="dxa"/>
            <w:tcBorders>
              <w:tl2br w:val="nil"/>
              <w:tr2bl w:val="nil"/>
            </w:tcBorders>
            <w:shd w:val="clear" w:color="auto" w:fill="auto"/>
            <w:vAlign w:val="center"/>
          </w:tcPr>
          <w:p>
            <w:pPr>
              <w:jc w:val="left"/>
              <w:rPr>
                <w:rFonts w:ascii="宋体" w:hAnsi="宋体" w:eastAsia="宋体" w:cs="宋体"/>
                <w:color w:val="000000"/>
                <w:sz w:val="24"/>
                <w:szCs w:val="24"/>
              </w:rPr>
            </w:pPr>
          </w:p>
        </w:tc>
      </w:tr>
    </w:tbl>
    <w:p>
      <w:pPr>
        <w:rPr>
          <w:rStyle w:val="17"/>
          <w:rFonts w:hint="default"/>
          <w:lang w:bidi="ar"/>
        </w:rPr>
      </w:pPr>
      <w:r>
        <w:rPr>
          <w:rFonts w:hint="eastAsia" w:ascii="宋体" w:hAnsi="宋体" w:eastAsia="宋体" w:cs="宋体"/>
          <w:sz w:val="24"/>
          <w:szCs w:val="24"/>
        </w:rPr>
        <w:t>以上所列出的内容为拟申报产品与同品种基因测序仪对比需要具体考虑的事项，申请人可根据产品特点增加对比项目。</w:t>
      </w:r>
    </w:p>
    <w:p>
      <w:pPr>
        <w:topLinePunct/>
        <w:rPr>
          <w:rFonts w:ascii="Times New Roman" w:hAnsi="Times New Roman" w:eastAsia="黑体" w:cs="Times New Roman"/>
          <w:sz w:val="32"/>
          <w:szCs w:val="32"/>
          <w:lang w:val="zh-CN"/>
        </w:rPr>
      </w:pPr>
      <w:r>
        <w:rPr>
          <w:rFonts w:ascii="Times New Roman" w:hAnsi="Times New Roman" w:eastAsia="黑体" w:cs="Times New Roman"/>
          <w:sz w:val="32"/>
          <w:szCs w:val="32"/>
          <w:lang w:val="zh-CN"/>
        </w:rPr>
        <w:t>附件</w:t>
      </w:r>
      <w:r>
        <w:rPr>
          <w:rFonts w:ascii="Times New Roman" w:hAnsi="Times New Roman" w:eastAsia="黑体" w:cs="Times New Roman"/>
          <w:sz w:val="32"/>
          <w:szCs w:val="32"/>
        </w:rPr>
        <w:t>2</w:t>
      </w:r>
    </w:p>
    <w:p>
      <w:pPr>
        <w:spacing w:line="480" w:lineRule="exact"/>
        <w:jc w:val="cente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t>通过同品种医疗器械临床试验或临床使用获得的数据进行分析评价路径</w:t>
      </w:r>
    </w:p>
    <w:p>
      <w:pPr>
        <w:pStyle w:val="2"/>
        <w:rPr>
          <w:rFonts w:ascii="Times New Roman" w:hAnsi="Times New Roman" w:cs="Times New Roman"/>
        </w:rPr>
      </w:pPr>
      <w:r>
        <w:rPr>
          <w:rFonts w:ascii="Times New Roman" w:hAnsi="Times New Roman" w:cs="Times New Roman"/>
        </w:rPr>
        <mc:AlternateContent>
          <mc:Choice Requires="wpc">
            <w:drawing>
              <wp:anchor distT="0" distB="0" distL="0" distR="0" simplePos="0" relativeHeight="251659264" behindDoc="0" locked="0" layoutInCell="1" allowOverlap="1">
                <wp:simplePos x="0" y="0"/>
                <wp:positionH relativeFrom="column">
                  <wp:posOffset>27305</wp:posOffset>
                </wp:positionH>
                <wp:positionV relativeFrom="paragraph">
                  <wp:posOffset>122555</wp:posOffset>
                </wp:positionV>
                <wp:extent cx="5368925" cy="7350125"/>
                <wp:effectExtent l="0" t="0" r="41275" b="3175"/>
                <wp:wrapTopAndBottom/>
                <wp:docPr id="1" name="画布 1"/>
                <wp:cNvGraphicFramePr/>
                <a:graphic xmlns:a="http://schemas.openxmlformats.org/drawingml/2006/main">
                  <a:graphicData uri="http://schemas.microsoft.com/office/word/2010/wordprocessingCanvas">
                    <wpc:wpc>
                      <wpc:bg>
                        <a:noFill/>
                      </wpc:bg>
                      <wpc:whole>
                        <a:ln>
                          <a:noFill/>
                        </a:ln>
                      </wpc:whole>
                      <wps:wsp>
                        <wps:cNvPr id="61" name="Oval 35"/>
                        <wps:cNvSpPr>
                          <a:spLocks noChangeArrowheads="1"/>
                        </wps:cNvSpPr>
                        <wps:spPr bwMode="auto">
                          <a:xfrm>
                            <a:off x="2146300" y="248920"/>
                            <a:ext cx="1361440" cy="457200"/>
                          </a:xfrm>
                          <a:prstGeom prst="ellipse">
                            <a:avLst/>
                          </a:prstGeom>
                          <a:solidFill>
                            <a:srgbClr val="FFFFFF"/>
                          </a:solidFill>
                          <a:ln w="9525">
                            <a:solidFill>
                              <a:srgbClr val="000000"/>
                            </a:solidFill>
                            <a:round/>
                          </a:ln>
                        </wps:spPr>
                        <wps:txbx>
                          <w:txbxContent>
                            <w:p>
                              <w:pPr>
                                <w:jc w:val="center"/>
                              </w:pPr>
                              <w:r>
                                <w:rPr>
                                  <w:rFonts w:hint="eastAsia"/>
                                </w:rPr>
                                <w:t>医疗器械</w:t>
                              </w:r>
                            </w:p>
                          </w:txbxContent>
                        </wps:txbx>
                        <wps:bodyPr rot="0" vert="horz" wrap="square" lIns="91440" tIns="45720" rIns="91440" bIns="45720" anchor="t" anchorCtr="0" upright="1">
                          <a:noAutofit/>
                        </wps:bodyPr>
                      </wps:wsp>
                      <wps:wsp>
                        <wps:cNvPr id="62" name="AutoShape 36"/>
                        <wps:cNvSpPr>
                          <a:spLocks noChangeArrowheads="1"/>
                        </wps:cNvSpPr>
                        <wps:spPr bwMode="auto">
                          <a:xfrm>
                            <a:off x="1721485" y="1099820"/>
                            <a:ext cx="2144395" cy="1353185"/>
                          </a:xfrm>
                          <a:prstGeom prst="flowChartDecision">
                            <a:avLst/>
                          </a:prstGeom>
                          <a:solidFill>
                            <a:srgbClr val="FFFFFF"/>
                          </a:solidFill>
                          <a:ln w="9525">
                            <a:solidFill>
                              <a:srgbClr val="000000"/>
                            </a:solidFill>
                            <a:miter lim="800000"/>
                          </a:ln>
                        </wps:spPr>
                        <wps:txbx>
                          <w:txbxContent>
                            <w:p>
                              <w:r>
                                <w:rPr>
                                  <w:rFonts w:hint="eastAsia"/>
                                </w:rPr>
                                <w:t>与同品种医疗器械是否存在差异性？</w:t>
                              </w:r>
                            </w:p>
                          </w:txbxContent>
                        </wps:txbx>
                        <wps:bodyPr rot="0" vert="horz" wrap="square" lIns="91440" tIns="45720" rIns="91440" bIns="45720" anchor="t" anchorCtr="0" upright="1">
                          <a:noAutofit/>
                        </wps:bodyPr>
                      </wps:wsp>
                      <wps:wsp>
                        <wps:cNvPr id="64" name="AutoShape 39"/>
                        <wps:cNvSpPr>
                          <a:spLocks noChangeArrowheads="1"/>
                        </wps:cNvSpPr>
                        <wps:spPr bwMode="auto">
                          <a:xfrm>
                            <a:off x="177801" y="3714052"/>
                            <a:ext cx="1305203" cy="1062406"/>
                          </a:xfrm>
                          <a:prstGeom prst="flowChartAlternateProcess">
                            <a:avLst/>
                          </a:prstGeom>
                          <a:solidFill>
                            <a:srgbClr val="FFFFFF"/>
                          </a:solidFill>
                          <a:ln w="9525">
                            <a:solidFill>
                              <a:srgbClr val="000000"/>
                            </a:solidFill>
                            <a:miter lim="800000"/>
                          </a:ln>
                        </wps:spPr>
                        <wps:txbx>
                          <w:txbxContent>
                            <w:p>
                              <w:r>
                                <w:rPr>
                                  <w:rFonts w:hint="eastAsia"/>
                                </w:rPr>
                                <w:t>对同品种医疗器械临床文献和</w:t>
                              </w:r>
                              <w:r>
                                <w:t>/</w:t>
                              </w:r>
                              <w:r>
                                <w:rPr>
                                  <w:rFonts w:hint="eastAsia"/>
                                </w:rPr>
                                <w:t>或临床经验数据进行收集、分析</w:t>
                              </w:r>
                            </w:p>
                          </w:txbxContent>
                        </wps:txbx>
                        <wps:bodyPr rot="0" vert="horz" wrap="square" lIns="91440" tIns="45720" rIns="91440" bIns="45720" anchor="t" anchorCtr="0" upright="1">
                          <a:noAutofit/>
                        </wps:bodyPr>
                      </wps:wsp>
                      <wps:wsp>
                        <wps:cNvPr id="65" name="AutoShape 40"/>
                        <wps:cNvCnPr>
                          <a:cxnSpLocks noChangeShapeType="1"/>
                        </wps:cNvCnPr>
                        <wps:spPr bwMode="auto">
                          <a:xfrm>
                            <a:off x="2792730" y="748665"/>
                            <a:ext cx="1270" cy="334645"/>
                          </a:xfrm>
                          <a:prstGeom prst="straightConnector1">
                            <a:avLst/>
                          </a:prstGeom>
                          <a:noFill/>
                          <a:ln w="9525">
                            <a:solidFill>
                              <a:srgbClr val="000000"/>
                            </a:solidFill>
                            <a:round/>
                            <a:tailEnd type="triangle" w="med" len="med"/>
                          </a:ln>
                        </wps:spPr>
                        <wps:bodyPr/>
                      </wps:wsp>
                      <wps:wsp>
                        <wps:cNvPr id="66" name="AutoShape 44"/>
                        <wps:cNvSpPr>
                          <a:spLocks noChangeArrowheads="1"/>
                        </wps:cNvSpPr>
                        <wps:spPr bwMode="auto">
                          <a:xfrm>
                            <a:off x="2842895" y="6312535"/>
                            <a:ext cx="2379345" cy="977900"/>
                          </a:xfrm>
                          <a:prstGeom prst="flowChartAlternateProcess">
                            <a:avLst/>
                          </a:prstGeom>
                          <a:solidFill>
                            <a:srgbClr val="FFFFFF"/>
                          </a:solidFill>
                          <a:ln w="9525">
                            <a:solidFill>
                              <a:srgbClr val="000000"/>
                            </a:solidFill>
                            <a:miter lim="800000"/>
                          </a:ln>
                        </wps:spPr>
                        <wps:txbx>
                          <w:txbxContent>
                            <w:p>
                              <w:r>
                                <w:rPr>
                                  <w:rFonts w:hint="eastAsia"/>
                                </w:rPr>
                                <w:t>不能通过同品种医疗器械临床试验或临床使用获得的数据进行分析评价。注册申请人需按照规定提交相应临床试验资料。</w:t>
                              </w:r>
                            </w:p>
                          </w:txbxContent>
                        </wps:txbx>
                        <wps:bodyPr rot="0" vert="horz" wrap="square" lIns="91440" tIns="45720" rIns="91440" bIns="45720" anchor="t" anchorCtr="0" upright="1">
                          <a:noAutofit/>
                        </wps:bodyPr>
                      </wps:wsp>
                      <wps:wsp>
                        <wps:cNvPr id="67" name="Text Box 46"/>
                        <wps:cNvSpPr txBox="1">
                          <a:spLocks noChangeArrowheads="1"/>
                        </wps:cNvSpPr>
                        <wps:spPr bwMode="auto">
                          <a:xfrm>
                            <a:off x="3862705" y="1978025"/>
                            <a:ext cx="442595" cy="404495"/>
                          </a:xfrm>
                          <a:prstGeom prst="rect">
                            <a:avLst/>
                          </a:prstGeom>
                          <a:noFill/>
                          <a:ln>
                            <a:noFill/>
                          </a:ln>
                        </wps:spPr>
                        <wps:txbx>
                          <w:txbxContent>
                            <w:p>
                              <w:r>
                                <w:rPr>
                                  <w:rFonts w:hint="eastAsia"/>
                                </w:rPr>
                                <w:t>是</w:t>
                              </w:r>
                            </w:p>
                          </w:txbxContent>
                        </wps:txbx>
                        <wps:bodyPr rot="0" vert="horz" wrap="square" lIns="91440" tIns="45720" rIns="91440" bIns="45720" anchor="t" anchorCtr="0" upright="1">
                          <a:noAutofit/>
                        </wps:bodyPr>
                      </wps:wsp>
                      <wps:wsp>
                        <wps:cNvPr id="68" name="Text Box 47"/>
                        <wps:cNvSpPr txBox="1">
                          <a:spLocks noChangeArrowheads="1"/>
                        </wps:cNvSpPr>
                        <wps:spPr bwMode="auto">
                          <a:xfrm>
                            <a:off x="1108710" y="1480195"/>
                            <a:ext cx="442595" cy="404495"/>
                          </a:xfrm>
                          <a:prstGeom prst="rect">
                            <a:avLst/>
                          </a:prstGeom>
                          <a:noFill/>
                          <a:ln>
                            <a:noFill/>
                          </a:ln>
                        </wps:spPr>
                        <wps:txbx>
                          <w:txbxContent>
                            <w:p>
                              <w:r>
                                <w:rPr>
                                  <w:rFonts w:hint="eastAsia"/>
                                </w:rPr>
                                <w:t>否</w:t>
                              </w:r>
                            </w:p>
                          </w:txbxContent>
                        </wps:txbx>
                        <wps:bodyPr rot="0" vert="horz" wrap="square" lIns="91440" tIns="45720" rIns="91440" bIns="45720" anchor="t" anchorCtr="0" upright="1">
                          <a:noAutofit/>
                        </wps:bodyPr>
                      </wps:wsp>
                      <wps:wsp>
                        <wps:cNvPr id="69" name="Text Box 48"/>
                        <wps:cNvSpPr txBox="1">
                          <a:spLocks noChangeArrowheads="1"/>
                        </wps:cNvSpPr>
                        <wps:spPr bwMode="auto">
                          <a:xfrm>
                            <a:off x="3921120" y="5915114"/>
                            <a:ext cx="442601" cy="404502"/>
                          </a:xfrm>
                          <a:prstGeom prst="rect">
                            <a:avLst/>
                          </a:prstGeom>
                          <a:noFill/>
                          <a:ln>
                            <a:noFill/>
                          </a:ln>
                        </wps:spPr>
                        <wps:txbx>
                          <w:txbxContent>
                            <w:p>
                              <w:r>
                                <w:rPr>
                                  <w:rFonts w:hint="eastAsia"/>
                                </w:rPr>
                                <w:t>否</w:t>
                              </w:r>
                            </w:p>
                            <w:p/>
                          </w:txbxContent>
                        </wps:txbx>
                        <wps:bodyPr rot="0" vert="horz" wrap="square" lIns="91440" tIns="45720" rIns="91440" bIns="45720" anchor="t" anchorCtr="0" upright="1">
                          <a:noAutofit/>
                        </wps:bodyPr>
                      </wps:wsp>
                      <wps:wsp>
                        <wps:cNvPr id="70" name="Text Box 49"/>
                        <wps:cNvSpPr txBox="1">
                          <a:spLocks noChangeArrowheads="1"/>
                        </wps:cNvSpPr>
                        <wps:spPr bwMode="auto">
                          <a:xfrm>
                            <a:off x="1770931" y="4229104"/>
                            <a:ext cx="442601" cy="290202"/>
                          </a:xfrm>
                          <a:prstGeom prst="rect">
                            <a:avLst/>
                          </a:prstGeom>
                          <a:noFill/>
                          <a:ln>
                            <a:noFill/>
                          </a:ln>
                        </wps:spPr>
                        <wps:txbx>
                          <w:txbxContent>
                            <w:p>
                              <w:r>
                                <w:rPr>
                                  <w:rFonts w:hint="eastAsia"/>
                                </w:rPr>
                                <w:t>是</w:t>
                              </w:r>
                            </w:p>
                          </w:txbxContent>
                        </wps:txbx>
                        <wps:bodyPr rot="0" vert="horz" wrap="square" lIns="91440" tIns="45720" rIns="91440" bIns="45720" anchor="t" anchorCtr="0" upright="1">
                          <a:noAutofit/>
                        </wps:bodyPr>
                      </wps:wsp>
                      <wps:wsp>
                        <wps:cNvPr id="71" name="圆角矩形 48"/>
                        <wps:cNvSpPr>
                          <a:spLocks noChangeArrowheads="1"/>
                        </wps:cNvSpPr>
                        <wps:spPr bwMode="auto">
                          <a:xfrm>
                            <a:off x="225425" y="6581775"/>
                            <a:ext cx="1210310" cy="754380"/>
                          </a:xfrm>
                          <a:prstGeom prst="roundRect">
                            <a:avLst>
                              <a:gd name="adj" fmla="val 16667"/>
                            </a:avLst>
                          </a:prstGeom>
                          <a:noFill/>
                          <a:ln w="0">
                            <a:solidFill>
                              <a:srgbClr val="000000"/>
                            </a:solidFill>
                            <a:round/>
                          </a:ln>
                        </wps:spPr>
                        <wps:txbx>
                          <w:txbxContent>
                            <w:p>
                              <w:pPr>
                                <w:jc w:val="center"/>
                              </w:pPr>
                              <w:r>
                                <w:rPr>
                                  <w:rFonts w:hint="eastAsia"/>
                                </w:rPr>
                                <w:t>形成临床评价报告，完成临床评价</w:t>
                              </w:r>
                            </w:p>
                          </w:txbxContent>
                        </wps:txbx>
                        <wps:bodyPr rot="0" vert="horz" wrap="square" lIns="91440" tIns="45720" rIns="91440" bIns="45720" anchor="ctr" anchorCtr="0" upright="1">
                          <a:noAutofit/>
                        </wps:bodyPr>
                      </wps:wsp>
                      <wps:wsp>
                        <wps:cNvPr id="72" name="肘形连接符 7"/>
                        <wps:cNvCnPr>
                          <a:cxnSpLocks noChangeShapeType="1"/>
                        </wps:cNvCnPr>
                        <wps:spPr bwMode="auto">
                          <a:xfrm rot="5400000" flipV="1">
                            <a:off x="3382645" y="2256790"/>
                            <a:ext cx="930275" cy="38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3" name="肘形连接符 8"/>
                        <wps:cNvCnPr>
                          <a:cxnSpLocks noChangeShapeType="1"/>
                          <a:stCxn id="62" idx="1"/>
                        </wps:cNvCnPr>
                        <wps:spPr bwMode="auto">
                          <a:xfrm rot="10800000" flipV="1">
                            <a:off x="813435" y="1776095"/>
                            <a:ext cx="908050" cy="198056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4" name="肘形连接符 9"/>
                        <wps:cNvCnPr>
                          <a:cxnSpLocks noChangeShapeType="1"/>
                        </wps:cNvCnPr>
                        <wps:spPr bwMode="auto">
                          <a:xfrm rot="10800000" flipV="1">
                            <a:off x="1482725" y="4243705"/>
                            <a:ext cx="850265" cy="1905"/>
                          </a:xfrm>
                          <a:prstGeom prst="bentConnector3">
                            <a:avLst>
                              <a:gd name="adj1" fmla="val 5003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5" name="肘形连接符 11"/>
                        <wps:cNvCnPr>
                          <a:cxnSpLocks noChangeShapeType="1"/>
                        </wps:cNvCnPr>
                        <wps:spPr bwMode="auto">
                          <a:xfrm rot="5400000">
                            <a:off x="-72256" y="5679079"/>
                            <a:ext cx="1805280" cy="3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肘形连接符 12"/>
                        <wps:cNvCnPr>
                          <a:cxnSpLocks noChangeShapeType="1"/>
                        </wps:cNvCnPr>
                        <wps:spPr bwMode="auto">
                          <a:xfrm rot="5400000" flipV="1">
                            <a:off x="3585845" y="6025515"/>
                            <a:ext cx="539750" cy="13970"/>
                          </a:xfrm>
                          <a:prstGeom prst="bentConnector3">
                            <a:avLst>
                              <a:gd name="adj1" fmla="val -227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AutoShape 38"/>
                        <wps:cNvSpPr>
                          <a:spLocks noChangeArrowheads="1"/>
                        </wps:cNvSpPr>
                        <wps:spPr bwMode="auto">
                          <a:xfrm>
                            <a:off x="2332990" y="2724150"/>
                            <a:ext cx="3031490" cy="3038475"/>
                          </a:xfrm>
                          <a:prstGeom prst="flowChartDecision">
                            <a:avLst/>
                          </a:prstGeom>
                          <a:solidFill>
                            <a:srgbClr val="FFFFFF"/>
                          </a:solidFill>
                          <a:ln w="9525">
                            <a:solidFill>
                              <a:srgbClr val="000000"/>
                            </a:solidFill>
                            <a:miter lim="800000"/>
                          </a:ln>
                        </wps:spPr>
                        <wps:txbx>
                          <w:txbxContent>
                            <w:p>
                              <w:r>
                                <w:rPr>
                                  <w:rFonts w:hint="eastAsia"/>
                                </w:rPr>
                                <w:t>是否可通过申报产品的非临床研究资料、和／或临床文献数据、和／或临床经验数据、和／或针对差异性在中国境内开展的临床试验资料证明差异性对产品的安全有效性未产生不利影响</w:t>
                              </w:r>
                            </w:p>
                            <w:p/>
                          </w:txbxContent>
                        </wps:txbx>
                        <wps:bodyPr rot="0" vert="horz" wrap="square" lIns="91440" tIns="45720" rIns="91440" bIns="45720" anchor="t" anchorCtr="0" upright="1">
                          <a:noAutofit/>
                        </wps:bodyPr>
                      </wps:wsp>
                    </wpc:wpc>
                  </a:graphicData>
                </a:graphic>
              </wp:anchor>
            </w:drawing>
          </mc:Choice>
          <mc:Fallback>
            <w:pict>
              <v:group id="_x0000_s1026" o:spid="_x0000_s1026" o:spt="203" style="position:absolute;left:0pt;margin-left:2.15pt;margin-top:9.65pt;height:578.75pt;width:422.75pt;mso-wrap-distance-bottom:0pt;mso-wrap-distance-top:0pt;z-index:251659264;mso-width-relative:page;mso-height-relative:page;" coordsize="5368925,7350125" editas="canvas" o:gfxdata="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">
                <o:lock v:ext="edit" aspectratio="f"/>
                <v:shape id="_x0000_s1026" o:spid="_x0000_s1026" style="position:absolute;left:0;top:0;height:7350125;width:5368925;" filled="f" stroked="f" coordsize="21600,21600" o:gfxdata="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">
                  <v:fill on="f" focussize="0,0"/>
                  <v:stroke on="f"/>
                  <v:imagedata o:title=""/>
                  <o:lock v:ext="edit" aspectratio="f"/>
                </v:shape>
                <v:shape id="Oval 35" o:spid="_x0000_s1026" o:spt="3" type="#_x0000_t3" style="position:absolute;left:2146300;top:248920;height:457200;width:1361440;" fillcolor="#FFFFFF" filled="t" stroked="t" coordsize="21600,21600" o:gfxdata="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sxVP1wAAAAkBAAAPAAAAAAAAAAEAIAAAACIAAABkcnMvZG93bnJldi54bWxQ&#10;SwECFAAUAAAACACHTuJA9HpEBTECAAB7BAAADgAAAAAAAAABACAAAAAmAQAAZHJzL2Uyb0RvYy54&#10;bWxQSwUGAAAAAAYABgBZAQAAyQUAAAAA&#10;">
                  <v:fill on="t" focussize="0,0"/>
                  <v:stroke color="#000000" joinstyle="round"/>
                  <v:imagedata o:title=""/>
                  <o:lock v:ext="edit" aspectratio="f"/>
                  <v:textbox>
                    <w:txbxContent>
                      <w:p>
                        <w:pPr>
                          <w:jc w:val="center"/>
                        </w:pPr>
                        <w:r>
                          <w:rPr>
                            <w:rFonts w:hint="eastAsia"/>
                          </w:rPr>
                          <w:t>医疗器械</w:t>
                        </w:r>
                      </w:p>
                    </w:txbxContent>
                  </v:textbox>
                </v:shape>
                <v:shape id="AutoShape 36" o:spid="_x0000_s1026" o:spt="110" type="#_x0000_t110" style="position:absolute;left:1721485;top:1099820;height:1353185;width:2144395;" fillcolor="#FFFFFF" filled="t" stroked="t" coordsize="21600,21600" o:gfxdata="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yxJS9cAAAAJAQAADwAAAAAAAAABACAAAAAiAAAAZHJz&#10;L2Rvd25yZXYueG1sUEsBAhQAFAAAAAgAh07iQCV6KGA+AgAAmQQAAA4AAAAAAAAAAQAgAAAAJgEA&#10;AGRycy9lMm9Eb2MueG1sUEsFBgAAAAAGAAYAWQEAANYFAAAAAA==&#10;">
                  <v:fill on="t" focussize="0,0"/>
                  <v:stroke color="#000000" miterlimit="8" joinstyle="miter"/>
                  <v:imagedata o:title=""/>
                  <o:lock v:ext="edit" aspectratio="f"/>
                  <v:textbox>
                    <w:txbxContent>
                      <w:p>
                        <w:r>
                          <w:rPr>
                            <w:rFonts w:hint="eastAsia"/>
                          </w:rPr>
                          <w:t>与同品种医疗器械是否存在差异性？</w:t>
                        </w:r>
                      </w:p>
                    </w:txbxContent>
                  </v:textbox>
                </v:shape>
                <v:shape id="AutoShape 39" o:spid="_x0000_s1026" o:spt="176" type="#_x0000_t176" style="position:absolute;left:177801;top:3714052;height:1062406;width:1305203;" fillcolor="#FFFFFF" filled="t" stroked="t" coordsize="21600,21600" o:gfxdata="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VYfpu1QAAAAkBAAAPAAAAAAAAAAEAIAAAACIA&#10;AABkcnMvZG93bnJldi54bWxQSwECFAAUAAAACACHTuJAijMupEUCAACgBAAADgAAAAAAAAABACAA&#10;AAAkAQAAZHJzL2Uyb0RvYy54bWxQSwUGAAAAAAYABgBZAQAA2wUAAAAA&#10;">
                  <v:fill on="t" focussize="0,0"/>
                  <v:stroke color="#000000" miterlimit="8" joinstyle="miter"/>
                  <v:imagedata o:title=""/>
                  <o:lock v:ext="edit" aspectratio="f"/>
                  <v:textbox>
                    <w:txbxContent>
                      <w:p>
                        <w:r>
                          <w:rPr>
                            <w:rFonts w:hint="eastAsia"/>
                          </w:rPr>
                          <w:t>对同品种医疗器械临床文献和</w:t>
                        </w:r>
                        <w:r>
                          <w:t>/</w:t>
                        </w:r>
                        <w:r>
                          <w:rPr>
                            <w:rFonts w:hint="eastAsia"/>
                          </w:rPr>
                          <w:t>或临床经验数据进行收集、分析</w:t>
                        </w:r>
                      </w:p>
                    </w:txbxContent>
                  </v:textbox>
                </v:shape>
                <v:shape id="AutoShape 40" o:spid="_x0000_s1026" o:spt="32" type="#_x0000_t32" style="position:absolute;left:2792730;top:748665;height:334645;width:1270;" filled="f" stroked="t" coordsize="21600,21600" o:gfxdata="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Aq1nnYAAAACQEAAA8AAAAAAAAAAQAgAAAAIgAAAGRycy9k&#10;b3ducmV2LnhtbFBLAQIUABQAAAAIAIdO4kDyJTi0AgIAAO8DAAAOAAAAAAAAAAEAIAAAACcBAABk&#10;cnMvZTJvRG9jLnhtbFBLBQYAAAAABgAGAFkBAACbBQAAAAA=&#10;">
                  <v:fill on="f" focussize="0,0"/>
                  <v:stroke color="#000000" joinstyle="round" endarrow="block"/>
                  <v:imagedata o:title=""/>
                  <o:lock v:ext="edit" aspectratio="f"/>
                </v:shape>
                <v:shape id="AutoShape 44" o:spid="_x0000_s1026" o:spt="176" type="#_x0000_t176" style="position:absolute;left:2842895;top:6312535;height:977900;width:2379345;" fillcolor="#FFFFFF" filled="t" stroked="t" coordsize="21600,21600" o:gfxdata="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Vh+m7VAAAACQEAAA8AAAAAAAAAAQAgAAAA&#10;IgAAAGRycy9kb3ducmV2LnhtbFBLAQIUABQAAAAIAIdO4kBy3URnRwIAAKAEAAAOAAAAAAAAAAEA&#10;IAAAACQBAABkcnMvZTJvRG9jLnhtbFBLBQYAAAAABgAGAFkBAADdBQAAAAA=&#10;">
                  <v:fill on="t" focussize="0,0"/>
                  <v:stroke color="#000000" miterlimit="8" joinstyle="miter"/>
                  <v:imagedata o:title=""/>
                  <o:lock v:ext="edit" aspectratio="f"/>
                  <v:textbox>
                    <w:txbxContent>
                      <w:p>
                        <w:r>
                          <w:rPr>
                            <w:rFonts w:hint="eastAsia"/>
                          </w:rPr>
                          <w:t>不能通过同品种医疗器械临床试验或临床使用获得的数据进行分析评价。注册申请人需按照规定提交相应临床试验资料。</w:t>
                        </w:r>
                      </w:p>
                    </w:txbxContent>
                  </v:textbox>
                </v:shape>
                <v:shape id="Text Box 46" o:spid="_x0000_s1026" o:spt="202" type="#_x0000_t202" style="position:absolute;left:3862705;top:1978025;height:404495;width:442595;" filled="f" stroked="f" coordsize="21600,21600" o:gfxdata="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9Q4n1QAAAAkBAAAPAAAAAAAAAAEA&#10;IAAAACIAAABkcnMvZG93bnJldi54bWxQSwECFAAUAAAACACHTuJAHn6qAhICAAAhBAAADgAAAAAA&#10;AAABACAAAAAkAQAAZHJzL2Uyb0RvYy54bWxQSwUGAAAAAAYABgBZAQAAqAUAAAAA&#10;">
                  <v:fill on="f" focussize="0,0"/>
                  <v:stroke on="f"/>
                  <v:imagedata o:title=""/>
                  <o:lock v:ext="edit" aspectratio="f"/>
                  <v:textbox>
                    <w:txbxContent>
                      <w:p>
                        <w:r>
                          <w:rPr>
                            <w:rFonts w:hint="eastAsia"/>
                          </w:rPr>
                          <w:t>是</w:t>
                        </w:r>
                      </w:p>
                    </w:txbxContent>
                  </v:textbox>
                </v:shape>
                <v:shape id="Text Box 47" o:spid="_x0000_s1026" o:spt="202" type="#_x0000_t202" style="position:absolute;left:1108710;top:1480195;height:404495;width:442595;" filled="f" stroked="f" coordsize="21600,21600" o:gfxdata="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UOJ9UAAAAJAQAADwAAAAAAAAABACAA&#10;AAAiAAAAZHJzL2Rvd25yZXYueG1sUEsBAhQAFAAAAAgAh07iQNl7hAcQAgAAIQQAAA4AAAAAAAAA&#10;AQAgAAAAJAEAAGRycy9lMm9Eb2MueG1sUEsFBgAAAAAGAAYAWQEAAKYFAAAAAA==&#10;">
                  <v:fill on="f" focussize="0,0"/>
                  <v:stroke on="f"/>
                  <v:imagedata o:title=""/>
                  <o:lock v:ext="edit" aspectratio="f"/>
                  <v:textbox>
                    <w:txbxContent>
                      <w:p>
                        <w:r>
                          <w:rPr>
                            <w:rFonts w:hint="eastAsia"/>
                          </w:rPr>
                          <w:t>否</w:t>
                        </w:r>
                      </w:p>
                    </w:txbxContent>
                  </v:textbox>
                </v:shape>
                <v:shape id="Text Box 48" o:spid="_x0000_s1026" o:spt="202" type="#_x0000_t202" style="position:absolute;left:3921120;top:5915114;height:404502;width:442601;" filled="f" stroked="f" coordsize="21600,21600" o:gfxdata="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P1DifVAAAACQEAAA8AAAAAAAAA&#10;AQAgAAAAIgAAAGRycy9kb3ducmV2LnhtbFBLAQIUABQAAAAIAIdO4kB6aUgGFAIAACEEAAAOAAAA&#10;AAAAAAEAIAAAACQBAABkcnMvZTJvRG9jLnhtbFBLBQYAAAAABgAGAFkBAACqBQAAAAA=&#10;">
                  <v:fill on="f" focussize="0,0"/>
                  <v:stroke on="f"/>
                  <v:imagedata o:title=""/>
                  <o:lock v:ext="edit" aspectratio="f"/>
                  <v:textbox>
                    <w:txbxContent>
                      <w:p>
                        <w:r>
                          <w:rPr>
                            <w:rFonts w:hint="eastAsia"/>
                          </w:rPr>
                          <w:t>否</w:t>
                        </w:r>
                      </w:p>
                      <w:p/>
                    </w:txbxContent>
                  </v:textbox>
                </v:shape>
                <v:shape id="Text Box 49" o:spid="_x0000_s1026" o:spt="202" type="#_x0000_t202" style="position:absolute;left:1770931;top:4229104;height:290202;width:442601;" filled="f" stroked="f" coordsize="21600,21600" o:gfxdata="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9Q4n1QAAAAkBAAAPAAAAAAAAAAEA&#10;IAAAACIAAABkcnMvZG93bnJldi54bWxQSwECFAAUAAAACACHTuJAszUjyBICAAAhBAAADgAAAAAA&#10;AAABACAAAAAkAQAAZHJzL2Uyb0RvYy54bWxQSwUGAAAAAAYABgBZAQAAqAUAAAAA&#10;">
                  <v:fill on="f" focussize="0,0"/>
                  <v:stroke on="f"/>
                  <v:imagedata o:title=""/>
                  <o:lock v:ext="edit" aspectratio="f"/>
                  <v:textbox>
                    <w:txbxContent>
                      <w:p>
                        <w:r>
                          <w:rPr>
                            <w:rFonts w:hint="eastAsia"/>
                          </w:rPr>
                          <w:t>是</w:t>
                        </w:r>
                      </w:p>
                    </w:txbxContent>
                  </v:textbox>
                </v:shape>
                <v:roundrect id="圆角矩形 48" o:spid="_x0000_s1026" o:spt="2" style="position:absolute;left:225425;top:6581775;height:754380;width:1210310;v-text-anchor:middle;" filled="f" stroked="t" coordsize="21600,21600" arcsize="0.166666666666667" o:gfxdata="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EXB&#10;hdMAAAAJAQAADwAAAAAAAAABACAAAAAiAAAAZHJzL2Rvd25yZXYueG1sUEsBAhQAFAAAAAgAh07i&#10;QJFF1JZgAgAAhwQAAA4AAAAAAAAAAQAgAAAAIgEAAGRycy9lMm9Eb2MueG1sUEsFBgAAAAAGAAYA&#10;WQEAAPQFAAAAAA==&#10;">
                  <v:fill on="f" focussize="0,0"/>
                  <v:stroke weight="0pt" color="#000000" joinstyle="round"/>
                  <v:imagedata o:title=""/>
                  <o:lock v:ext="edit" aspectratio="f"/>
                  <v:textbox>
                    <w:txbxContent>
                      <w:p>
                        <w:pPr>
                          <w:jc w:val="center"/>
                        </w:pPr>
                        <w:r>
                          <w:rPr>
                            <w:rFonts w:hint="eastAsia"/>
                          </w:rPr>
                          <w:t>形成临床评价报告，完成临床评价</w:t>
                        </w:r>
                      </w:p>
                    </w:txbxContent>
                  </v:textbox>
                </v:roundrect>
                <v:shape id="肘形连接符 7" o:spid="_x0000_s1026" o:spt="34" type="#_x0000_t34" style="position:absolute;left:3382645;top:2256790;flip:y;height:3810;width:930275;rotation:-5898240f;" filled="f" stroked="t" coordsize="21600,21600" o:gfxdata="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Plm3vTAAAACQEAAA8AAAAAAAAAAQAgAAAAIgAAAGRycy9kb3ducmV2LnhtbFBLAQIUABQAAAAI&#10;AIdO4kDtKaDdZAIAAHoEAAAOAAAAAAAAAAEAIAAAACIBAABkcnMvZTJvRG9jLnhtbFBLBQYAAAAA&#10;BgAGAFkBAAD4BQAAAAA=&#10;" adj="10800">
                  <v:fill on="f" focussize="0,0"/>
                  <v:stroke weight="0.5pt" color="#000000 [3200]" miterlimit="8" joinstyle="miter" endarrow="open"/>
                  <v:imagedata o:title=""/>
                  <o:lock v:ext="edit" aspectratio="f"/>
                </v:shape>
                <v:shape id="肘形连接符 8" o:spid="_x0000_s1026" o:spt="33" type="#_x0000_t33" style="position:absolute;left:813435;top:1776095;flip:y;height:1980565;width:908050;rotation:11796480f;" filled="f" stroked="t" coordsize="21600,21600" o:gfxdata="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ZMhP9UAAAAJ&#10;AQAADwAAAAAAAAABACAAAAAiAAAAZHJzL2Rvd25yZXYueG1sUEsBAhQAFAAAAAgAh07iQNDl7iRY&#10;AgAAagQAAA4AAAAAAAAAAQAgAAAAJAEAAGRycy9lMm9Eb2MueG1sUEsFBgAAAAAGAAYAWQEAAO4F&#10;AAAAAA==&#10;">
                  <v:fill on="f" focussize="0,0"/>
                  <v:stroke weight="0.5pt" color="#000000 [3200]" miterlimit="8" joinstyle="miter" endarrow="open"/>
                  <v:imagedata o:title=""/>
                  <o:lock v:ext="edit" aspectratio="f"/>
                </v:shape>
                <v:shape id="肘形连接符 9" o:spid="_x0000_s1026" o:spt="34" type="#_x0000_t34" style="position:absolute;left:1482725;top:4243705;flip:y;height:1905;width:850265;rotation:11796480f;" filled="f" stroked="t" coordsize="21600,21600" o:gfxdata="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SbgfrXAAAACQEAAA8AAAAAAAAAAQAgAAAAIgAAAGRycy9kb3ducmV2LnhtbFBLAQIU&#10;ABQAAAAIAIdO4kCtj/UhZgIAAHsEAAAOAAAAAAAAAAEAIAAAACYBAABkcnMvZTJvRG9jLnhtbFBL&#10;BQYAAAAABgAGAFkBAAD+BQAAAAA=&#10;" adj="10808">
                  <v:fill on="f" focussize="0,0"/>
                  <v:stroke weight="0.5pt" color="#000000 [3200]" miterlimit="8" joinstyle="miter" endarrow="open"/>
                  <v:imagedata o:title=""/>
                  <o:lock v:ext="edit" aspectratio="f"/>
                </v:shape>
                <v:shape id="肘形连接符 11" o:spid="_x0000_s1026" o:spt="32" type="#_x0000_t32" style="position:absolute;left:-72256;top:5679079;height:38;width:1805280;rotation:5898240f;" filled="f" stroked="t" coordsize="21600,21600" o:gfxdata="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yyUMNcAAAAJAQAADwAAAAAAAAABACAA&#10;AAAiAAAAZHJzL2Rvd25yZXYueG1sUEsBAhQAFAAAAAgAh07iQBLYfMRHAgAARgQAAA4AAAAAAAAA&#10;AQAgAAAAJgEAAGRycy9lMm9Eb2MueG1sUEsFBgAAAAAGAAYAWQEAAN8FAAAAAA==&#10;">
                  <v:fill on="f" focussize="0,0"/>
                  <v:stroke weight="0.5pt" color="#000000 [3200]" miterlimit="8" joinstyle="miter" endarrow="open"/>
                  <v:imagedata o:title=""/>
                  <o:lock v:ext="edit" aspectratio="f"/>
                </v:shape>
                <v:shape id="肘形连接符 12" o:spid="_x0000_s1026" o:spt="34" type="#_x0000_t34" style="position:absolute;left:3585845;top:6025515;flip:y;height:13970;width:539750;rotation:-5898240f;" filled="f" stroked="t" coordsize="21600,21600" o:gfxdata="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KMTjNcAAAAJAQAADwAAAAAAAAABACAAAAAiAAAAZHJzL2Rvd25yZXYueG1sUEsB&#10;AhQAFAAAAAgAh07iQN21M8BoAgAAfQQAAA4AAAAAAAAAAQAgAAAAJgEAAGRycy9lMm9Eb2MueG1s&#10;UEsFBgAAAAAGAAYAWQEAAAAGAAAAAA==&#10;" adj="-4918">
                  <v:fill on="f" focussize="0,0"/>
                  <v:stroke weight="0.5pt" color="#000000 [3200]" miterlimit="8" joinstyle="miter" endarrow="open"/>
                  <v:imagedata o:title=""/>
                  <o:lock v:ext="edit" aspectratio="f"/>
                </v:shape>
                <v:shape id="AutoShape 38" o:spid="_x0000_s1026" o:spt="110" type="#_x0000_t110" style="position:absolute;left:2332990;top:2724150;height:3038475;width:3031490;" fillcolor="#FFFFFF" filled="t" stroked="t" coordsize="21600,21600" o:gfxdata="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1yxJS9cAAAAJAQAADwAAAAAAAAABACAAAAAiAAAA&#10;ZHJzL2Rvd25yZXYueG1sUEsBAhQAFAAAAAgAh07iQI9uBmdBAgAAmQQAAA4AAAAAAAAAAQAgAAAA&#10;JgEAAGRycy9lMm9Eb2MueG1sUEsFBgAAAAAGAAYAWQEAANkFAAAAAA==&#10;">
                  <v:fill on="t" focussize="0,0"/>
                  <v:stroke color="#000000" miterlimit="8" joinstyle="miter"/>
                  <v:imagedata o:title=""/>
                  <o:lock v:ext="edit" aspectratio="f"/>
                  <v:textbox>
                    <w:txbxContent>
                      <w:p>
                        <w:r>
                          <w:rPr>
                            <w:rFonts w:hint="eastAsia"/>
                          </w:rPr>
                          <w:t>是否可通过申报产品的非临床研究资料、和／或临床文献数据、和／或临床经验数据、和／或针对差异性在中国境内开展的临床试验资料证明差异性对产品的安全有效性未产生不利影响</w:t>
                        </w:r>
                      </w:p>
                      <w:p/>
                    </w:txbxContent>
                  </v:textbox>
                </v:shape>
                <w10:wrap type="topAndBottom"/>
              </v:group>
            </w:pict>
          </mc:Fallback>
        </mc:AlternateContent>
      </w:r>
    </w:p>
    <w:p>
      <w:pPr>
        <w:overflowPunct w:val="0"/>
        <w:spacing w:line="560" w:lineRule="exac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w:t>附</w:t>
      </w:r>
      <w:r>
        <w:rPr>
          <w:rFonts w:hint="eastAsia" w:ascii="Times New Roman" w:hAnsi="Times New Roman" w:eastAsia="黑体" w:cs="Times New Roman"/>
          <w:bCs/>
          <w:color w:val="000000" w:themeColor="text1"/>
          <w:kern w:val="44"/>
          <w:sz w:val="32"/>
          <w:szCs w:val="32"/>
          <w14:textFill>
            <w14:solidFill>
              <w14:schemeClr w14:val="tx1"/>
            </w14:solidFill>
          </w14:textFill>
        </w:rPr>
        <w:t>件</w:t>
      </w:r>
      <w:r>
        <w:rPr>
          <w:rFonts w:ascii="Times New Roman" w:hAnsi="Times New Roman" w:eastAsia="黑体" w:cs="Times New Roman"/>
          <w:bCs/>
          <w:color w:val="000000" w:themeColor="text1"/>
          <w:kern w:val="44"/>
          <w:sz w:val="32"/>
          <w:szCs w:val="32"/>
          <w14:textFill>
            <w14:solidFill>
              <w14:schemeClr w14:val="tx1"/>
            </w14:solidFill>
          </w14:textFill>
        </w:rPr>
        <w:t>3</w:t>
      </w:r>
    </w:p>
    <w:p>
      <w:pPr>
        <w:overflowPunct w:val="0"/>
        <w:spacing w:line="560" w:lineRule="exact"/>
        <w:jc w:val="center"/>
        <w:outlineLvl w:val="0"/>
        <w:rPr>
          <w:rFonts w:ascii="Times New Roman" w:hAnsi="Times New Roman" w:eastAsia="方正小标宋简体" w:cs="Times New Roman"/>
          <w:bCs/>
          <w:color w:val="000000" w:themeColor="text1"/>
          <w:kern w:val="44"/>
          <w:sz w:val="36"/>
          <w:szCs w:val="36"/>
          <w14:textFill>
            <w14:solidFill>
              <w14:schemeClr w14:val="tx1"/>
            </w14:solidFill>
          </w14:textFill>
        </w:rPr>
      </w:pPr>
      <w:r>
        <w:rPr>
          <w:rFonts w:ascii="Times New Roman" w:hAnsi="Times New Roman" w:eastAsia="方正小标宋简体" w:cs="Times New Roman"/>
          <w:bCs/>
          <w:color w:val="000000" w:themeColor="text1"/>
          <w:kern w:val="44"/>
          <w:sz w:val="36"/>
          <w:szCs w:val="36"/>
          <w14:textFill>
            <w14:solidFill>
              <w14:schemeClr w14:val="tx1"/>
            </w14:solidFill>
          </w14:textFill>
        </w:rPr>
        <w:t>同品种比对差异评价路径</w: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1687195</wp:posOffset>
                </wp:positionH>
                <wp:positionV relativeFrom="paragraph">
                  <wp:posOffset>245745</wp:posOffset>
                </wp:positionV>
                <wp:extent cx="1772285" cy="657860"/>
                <wp:effectExtent l="4445" t="4445" r="13970" b="10795"/>
                <wp:wrapNone/>
                <wp:docPr id="30" name="Oval 2"/>
                <wp:cNvGraphicFramePr/>
                <a:graphic xmlns:a="http://schemas.openxmlformats.org/drawingml/2006/main">
                  <a:graphicData uri="http://schemas.microsoft.com/office/word/2010/wordprocessingShape">
                    <wps:wsp>
                      <wps:cNvSpPr>
                        <a:spLocks noChangeArrowheads="1"/>
                      </wps:cNvSpPr>
                      <wps:spPr bwMode="auto">
                        <a:xfrm>
                          <a:off x="0" y="0"/>
                          <a:ext cx="1772285" cy="657860"/>
                        </a:xfrm>
                        <a:prstGeom prst="ellipse">
                          <a:avLst/>
                        </a:prstGeom>
                        <a:solidFill>
                          <a:srgbClr val="FFFFFF"/>
                        </a:solidFill>
                        <a:ln w="9525">
                          <a:solidFill>
                            <a:srgbClr val="000000"/>
                          </a:solidFill>
                          <a:round/>
                        </a:ln>
                      </wps:spPr>
                      <wps:txbx>
                        <w:txbxContent>
                          <w:p>
                            <w:pPr>
                              <w:jc w:val="center"/>
                            </w:pPr>
                            <w:r>
                              <w:rPr>
                                <w:rFonts w:hint="eastAsia"/>
                              </w:rPr>
                              <w:t>属于同品种，</w:t>
                            </w:r>
                          </w:p>
                          <w:p>
                            <w:pPr>
                              <w:jc w:val="center"/>
                            </w:pPr>
                            <w:r>
                              <w:rPr>
                                <w:rFonts w:hint="eastAsia"/>
                              </w:rPr>
                              <w:t>且存在差异</w:t>
                            </w:r>
                          </w:p>
                        </w:txbxContent>
                      </wps:txbx>
                      <wps:bodyPr rot="0" vert="horz" wrap="square" lIns="91440" tIns="45720" rIns="91440" bIns="45720" anchor="t" anchorCtr="0" upright="1">
                        <a:noAutofit/>
                      </wps:bodyPr>
                    </wps:wsp>
                  </a:graphicData>
                </a:graphic>
              </wp:anchor>
            </w:drawing>
          </mc:Choice>
          <mc:Fallback>
            <w:pict>
              <v:shape id="Oval 2" o:spid="_x0000_s1026" o:spt="3" type="#_x0000_t3" style="position:absolute;left:0pt;margin-left:132.85pt;margin-top:19.35pt;height:51.8pt;width:139.55pt;z-index:251660288;mso-width-relative:page;mso-height-relative:page;" fillcolor="#FFFFFF" filled="t" stroked="t" coordsize="21600,21600" o:gfxdata="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bS9Bc1wAAAAoBAAAPAAAAAAAAAAEAIAAAACIAAABkcnMvZG93bnJldi54bWxQSwECFAAU&#10;AAAACACHTuJAaO35wisCAABvBAAADgAAAAAAAAABACAAAAAmAQAAZHJzL2Uyb0RvYy54bWxQSwUG&#10;AAAAAAYABgBZAQAAwwUAAAAA&#10;">
                <v:fill on="t" focussize="0,0"/>
                <v:stroke color="#000000" joinstyle="round"/>
                <v:imagedata o:title=""/>
                <o:lock v:ext="edit" aspectratio="f"/>
                <v:textbox>
                  <w:txbxContent>
                    <w:p>
                      <w:pPr>
                        <w:jc w:val="center"/>
                      </w:pPr>
                      <w:r>
                        <w:rPr>
                          <w:rFonts w:hint="eastAsia"/>
                        </w:rPr>
                        <w:t>属于同品种，</w:t>
                      </w:r>
                    </w:p>
                    <w:p>
                      <w:pPr>
                        <w:jc w:val="center"/>
                      </w:pPr>
                      <w:r>
                        <w:rPr>
                          <w:rFonts w:hint="eastAsia"/>
                        </w:rPr>
                        <w:t>且存在差异</w:t>
                      </w:r>
                    </w:p>
                  </w:txbxContent>
                </v:textbox>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3665" distR="113665" simplePos="0" relativeHeight="251666432" behindDoc="0" locked="0" layoutInCell="1" allowOverlap="1">
                <wp:simplePos x="0" y="0"/>
                <wp:positionH relativeFrom="column">
                  <wp:posOffset>2569845</wp:posOffset>
                </wp:positionH>
                <wp:positionV relativeFrom="paragraph">
                  <wp:posOffset>206375</wp:posOffset>
                </wp:positionV>
                <wp:extent cx="3810" cy="308610"/>
                <wp:effectExtent l="37465" t="0" r="34925" b="8890"/>
                <wp:wrapNone/>
                <wp:docPr id="23" name="AutoShape 34"/>
                <wp:cNvGraphicFramePr/>
                <a:graphic xmlns:a="http://schemas.openxmlformats.org/drawingml/2006/main">
                  <a:graphicData uri="http://schemas.microsoft.com/office/word/2010/wordprocessingShape">
                    <wps:wsp>
                      <wps:cNvCnPr>
                        <a:cxnSpLocks noChangeShapeType="1"/>
                      </wps:cNvCnPr>
                      <wps:spPr bwMode="auto">
                        <a:xfrm flipH="1">
                          <a:off x="0" y="0"/>
                          <a:ext cx="3810" cy="308610"/>
                        </a:xfrm>
                        <a:prstGeom prst="straightConnector1">
                          <a:avLst/>
                        </a:prstGeom>
                        <a:noFill/>
                        <a:ln w="9525">
                          <a:solidFill>
                            <a:srgbClr val="000000"/>
                          </a:solidFill>
                          <a:round/>
                          <a:tailEnd type="triangle" w="med" len="med"/>
                        </a:ln>
                      </wps:spPr>
                      <wps:bodyPr/>
                    </wps:wsp>
                  </a:graphicData>
                </a:graphic>
              </wp:anchor>
            </w:drawing>
          </mc:Choice>
          <mc:Fallback>
            <w:pict>
              <v:shape id="AutoShape 34" o:spid="_x0000_s1026" o:spt="32" type="#_x0000_t32" style="position:absolute;left:0pt;flip:x;margin-left:202.35pt;margin-top:16.25pt;height:24.3pt;width:0.3pt;z-index:251666432;mso-width-relative:page;mso-height-relative:page;" filled="f" stroked="t" coordsize="21600,21600" o:gfxdata="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57Ys9kAAAAJAQAADwAAAAAAAAABACAAAAAiAAAAZHJzL2Rvd25yZXYu&#10;eG1sUEsBAhQAFAAAAAgAh07iQFeXpSv6AQAA7gMAAA4AAAAAAAAAAQAgAAAAKAEAAGRycy9lMm9E&#10;b2MueG1sUEsFBgAAAAAGAAYAWQEAAJQFAAAAAA==&#10;">
                <v:fill on="f" focussize="0,0"/>
                <v:stroke color="#000000" joinstyle="round" endarrow="block"/>
                <v:imagedata o:title=""/>
                <o:lock v:ext="edit" aspectratio="f"/>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1552575</wp:posOffset>
                </wp:positionH>
                <wp:positionV relativeFrom="paragraph">
                  <wp:posOffset>159385</wp:posOffset>
                </wp:positionV>
                <wp:extent cx="2033905" cy="730250"/>
                <wp:effectExtent l="4445" t="4445" r="6350" b="14605"/>
                <wp:wrapNone/>
                <wp:docPr id="78" name="AutoShape 32"/>
                <wp:cNvGraphicFramePr/>
                <a:graphic xmlns:a="http://schemas.openxmlformats.org/drawingml/2006/main">
                  <a:graphicData uri="http://schemas.microsoft.com/office/word/2010/wordprocessingShape">
                    <wps:wsp>
                      <wps:cNvSpPr>
                        <a:spLocks noChangeArrowheads="1"/>
                      </wps:cNvSpPr>
                      <wps:spPr bwMode="auto">
                        <a:xfrm>
                          <a:off x="0" y="0"/>
                          <a:ext cx="2033905" cy="730250"/>
                        </a:xfrm>
                        <a:prstGeom prst="roundRect">
                          <a:avLst>
                            <a:gd name="adj" fmla="val 50000"/>
                          </a:avLst>
                        </a:prstGeom>
                        <a:solidFill>
                          <a:srgbClr val="FFFFFF"/>
                        </a:solidFill>
                        <a:ln w="9525">
                          <a:solidFill>
                            <a:srgbClr val="000000"/>
                          </a:solidFill>
                          <a:round/>
                        </a:ln>
                      </wps:spPr>
                      <wps:txbx>
                        <w:txbxContent>
                          <w:p>
                            <w:r>
                              <w:rPr>
                                <w:rFonts w:hint="eastAsia"/>
                              </w:rPr>
                              <w:t>差异</w:t>
                            </w:r>
                            <w:r>
                              <w:t>是否</w:t>
                            </w:r>
                            <w:r>
                              <w:rPr>
                                <w:rFonts w:hint="eastAsia"/>
                              </w:rPr>
                              <w:t>可能</w:t>
                            </w:r>
                            <w:r>
                              <w:t>影响</w:t>
                            </w:r>
                            <w:r>
                              <w:rPr>
                                <w:rFonts w:hint="eastAsia"/>
                              </w:rPr>
                              <w:t>性能指标</w:t>
                            </w:r>
                          </w:p>
                          <w:p>
                            <w:r>
                              <w:rPr>
                                <w:rFonts w:hint="eastAsia"/>
                              </w:rPr>
                              <w:t>或数据</w:t>
                            </w:r>
                            <w:r>
                              <w:t>质量</w:t>
                            </w:r>
                            <w:r>
                              <w:rPr>
                                <w:rFonts w:hint="eastAsia"/>
                              </w:rPr>
                              <w:t>及适用范围</w:t>
                            </w:r>
                            <w:r>
                              <w:t>？</w:t>
                            </w:r>
                          </w:p>
                          <w:p/>
                        </w:txbxContent>
                      </wps:txbx>
                      <wps:bodyPr rot="0" vert="horz" wrap="square" lIns="91440" tIns="45720" rIns="91440" bIns="45720" anchor="t" anchorCtr="0" upright="1">
                        <a:noAutofit/>
                      </wps:bodyPr>
                    </wps:wsp>
                  </a:graphicData>
                </a:graphic>
              </wp:anchor>
            </w:drawing>
          </mc:Choice>
          <mc:Fallback>
            <w:pict>
              <v:roundrect id="AutoShape 32" o:spid="_x0000_s1026" o:spt="2" style="position:absolute;left:0pt;margin-left:122.25pt;margin-top:12.55pt;height:57.5pt;width:160.15pt;z-index:251678720;mso-width-relative:page;mso-height-relative:page;" fillcolor="#FFFFFF" filled="t" stroked="t" coordsize="21600,21600" arcsize="0.5" o:gfxdata="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SJ4f2AAAAAoBAAAPAAAAAAAAAAEAIAAAACIA&#10;AABkcnMvZG93bnJldi54bWxQSwECFAAUAAAACACHTuJAAla0ZkICAACjBAAADgAAAAAAAAABACAA&#10;AAAnAQAAZHJzL2Uyb0RvYy54bWxQSwUGAAAAAAYABgBZAQAA2wUAAAAA&#10;">
                <v:fill on="t" focussize="0,0"/>
                <v:stroke color="#000000" joinstyle="round"/>
                <v:imagedata o:title=""/>
                <o:lock v:ext="edit" aspectratio="f"/>
                <v:textbox>
                  <w:txbxContent>
                    <w:p>
                      <w:r>
                        <w:rPr>
                          <w:rFonts w:hint="eastAsia"/>
                        </w:rPr>
                        <w:t>差异</w:t>
                      </w:r>
                      <w:r>
                        <w:t>是否</w:t>
                      </w:r>
                      <w:r>
                        <w:rPr>
                          <w:rFonts w:hint="eastAsia"/>
                        </w:rPr>
                        <w:t>可能</w:t>
                      </w:r>
                      <w:r>
                        <w:t>影响</w:t>
                      </w:r>
                      <w:r>
                        <w:rPr>
                          <w:rFonts w:hint="eastAsia"/>
                        </w:rPr>
                        <w:t>性能指标</w:t>
                      </w:r>
                    </w:p>
                    <w:p>
                      <w:r>
                        <w:rPr>
                          <w:rFonts w:hint="eastAsia"/>
                        </w:rPr>
                        <w:t>或数据</w:t>
                      </w:r>
                      <w:r>
                        <w:t>质量</w:t>
                      </w:r>
                      <w:r>
                        <w:rPr>
                          <w:rFonts w:hint="eastAsia"/>
                        </w:rPr>
                        <w:t>及适用范围</w:t>
                      </w:r>
                      <w:r>
                        <w:t>？</w:t>
                      </w:r>
                    </w:p>
                    <w:p/>
                  </w:txbxContent>
                </v:textbox>
              </v:roundrect>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890905</wp:posOffset>
                </wp:positionH>
                <wp:positionV relativeFrom="paragraph">
                  <wp:posOffset>220980</wp:posOffset>
                </wp:positionV>
                <wp:extent cx="748665" cy="4445"/>
                <wp:effectExtent l="0" t="4445" r="635" b="10160"/>
                <wp:wrapNone/>
                <wp:docPr id="20" name="AutoShape 45"/>
                <wp:cNvGraphicFramePr/>
                <a:graphic xmlns:a="http://schemas.openxmlformats.org/drawingml/2006/main">
                  <a:graphicData uri="http://schemas.microsoft.com/office/word/2010/wordprocessingShape">
                    <wps:wsp>
                      <wps:cNvCnPr>
                        <a:cxnSpLocks noChangeShapeType="1"/>
                      </wps:cNvCnPr>
                      <wps:spPr bwMode="auto">
                        <a:xfrm>
                          <a:off x="0" y="0"/>
                          <a:ext cx="748665" cy="4445"/>
                        </a:xfrm>
                        <a:prstGeom prst="straightConnector1">
                          <a:avLst/>
                        </a:prstGeom>
                        <a:noFill/>
                        <a:ln w="9525">
                          <a:solidFill>
                            <a:srgbClr val="000000"/>
                          </a:solidFill>
                          <a:round/>
                        </a:ln>
                      </wps:spPr>
                      <wps:bodyPr/>
                    </wps:wsp>
                  </a:graphicData>
                </a:graphic>
              </wp:anchor>
            </w:drawing>
          </mc:Choice>
          <mc:Fallback>
            <w:pict>
              <v:shape id="AutoShape 45" o:spid="_x0000_s1026" o:spt="32" type="#_x0000_t32" style="position:absolute;left:0pt;margin-left:70.15pt;margin-top:17.4pt;height:0.35pt;width:58.95pt;z-index:251671552;mso-width-relative:page;mso-height-relative:page;" filled="f" stroked="t" coordsize="21600,21600" o:gfxdata="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VZgrPXAAAACQEAAA8AAAAAAAAA&#10;AQAgAAAAIgAAAGRycy9kb3ducmV2LnhtbFBLAQIUABQAAAAIAIdO4kAxAg392QEAALYDAAAOAAAA&#10;AAAAAAEAIAAAACYBAABkcnMvZTJvRG9jLnhtbFBLBQYAAAAABgAGAFkBAABxBQAAAAA=&#10;">
                <v:fill on="f" focussize="0,0"/>
                <v:stroke color="#000000" joinstyle="round"/>
                <v:imagedata o:title=""/>
                <o:lock v:ext="edit" aspectratio="f"/>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-1066800</wp:posOffset>
                </wp:positionH>
                <wp:positionV relativeFrom="paragraph">
                  <wp:posOffset>2163445</wp:posOffset>
                </wp:positionV>
                <wp:extent cx="4921250" cy="1021080"/>
                <wp:effectExtent l="4445" t="0" r="3175" b="44450"/>
                <wp:wrapNone/>
                <wp:docPr id="21" name="AutoShape 43"/>
                <wp:cNvGraphicFramePr/>
                <a:graphic xmlns:a="http://schemas.openxmlformats.org/drawingml/2006/main">
                  <a:graphicData uri="http://schemas.microsoft.com/office/word/2010/wordprocessingShape">
                    <wps:wsp>
                      <wps:cNvCnPr>
                        <a:cxnSpLocks noChangeShapeType="1"/>
                      </wps:cNvCnPr>
                      <wps:spPr bwMode="auto">
                        <a:xfrm rot="5400000" flipV="1">
                          <a:off x="0" y="0"/>
                          <a:ext cx="4921250" cy="1021080"/>
                        </a:xfrm>
                        <a:prstGeom prst="bentConnector3">
                          <a:avLst>
                            <a:gd name="adj1" fmla="val 99909"/>
                          </a:avLst>
                        </a:prstGeom>
                        <a:noFill/>
                        <a:ln w="9525">
                          <a:solidFill>
                            <a:srgbClr val="000000"/>
                          </a:solidFill>
                          <a:miter lim="800000"/>
                          <a:tailEnd type="triangle" w="med" len="med"/>
                        </a:ln>
                      </wps:spPr>
                      <wps:bodyPr/>
                    </wps:wsp>
                  </a:graphicData>
                </a:graphic>
              </wp:anchor>
            </w:drawing>
          </mc:Choice>
          <mc:Fallback>
            <w:pict>
              <v:shape id="AutoShape 43" o:spid="_x0000_s1026" o:spt="34" type="#_x0000_t34" style="position:absolute;left:0pt;flip:y;margin-left:-84pt;margin-top:170.35pt;height:80.4pt;width:387.5pt;rotation:-5898240f;z-index:251670528;mso-width-relative:page;mso-height-relative:page;" filled="f" stroked="t" coordsize="21600,21600" o:gfxdata="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L3Szh&#10;2AAAAAwBAAAPAAAAAAAAAAEAIAAAACIAAABkcnMvZG93bnJldi54bWxQSwECFAAUAAAACACHTuJA&#10;scQ2gyECAAA2BAAADgAAAAAAAAABACAAAAAnAQAAZHJzL2Uyb0RvYy54bWxQSwUGAAAAAAYABgBZ&#10;AQAAugUAAAAA&#10;" adj="21580">
                <v:fill on="f" focussize="0,0"/>
                <v:stroke color="#000000" miterlimit="8" joinstyle="miter" endarrow="block"/>
                <v:imagedata o:title=""/>
                <o:lock v:ext="edit" aspectratio="f"/>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3665" distR="113665" simplePos="0" relativeHeight="251679744" behindDoc="0" locked="0" layoutInCell="1" allowOverlap="1">
                <wp:simplePos x="0" y="0"/>
                <wp:positionH relativeFrom="column">
                  <wp:posOffset>2582545</wp:posOffset>
                </wp:positionH>
                <wp:positionV relativeFrom="paragraph">
                  <wp:posOffset>149860</wp:posOffset>
                </wp:positionV>
                <wp:extent cx="1905" cy="382270"/>
                <wp:effectExtent l="37465" t="0" r="36830" b="11430"/>
                <wp:wrapNone/>
                <wp:docPr id="79" name="AutoShape 34"/>
                <wp:cNvGraphicFramePr/>
                <a:graphic xmlns:a="http://schemas.openxmlformats.org/drawingml/2006/main">
                  <a:graphicData uri="http://schemas.microsoft.com/office/word/2010/wordprocessingShape">
                    <wps:wsp>
                      <wps:cNvCnPr>
                        <a:cxnSpLocks noChangeShapeType="1"/>
                      </wps:cNvCnPr>
                      <wps:spPr bwMode="auto">
                        <a:xfrm flipH="1">
                          <a:off x="0" y="0"/>
                          <a:ext cx="1905" cy="382270"/>
                        </a:xfrm>
                        <a:prstGeom prst="straightConnector1">
                          <a:avLst/>
                        </a:prstGeom>
                        <a:noFill/>
                        <a:ln w="9525">
                          <a:solidFill>
                            <a:srgbClr val="000000"/>
                          </a:solidFill>
                          <a:round/>
                          <a:tailEnd type="triangle" w="med" len="med"/>
                        </a:ln>
                      </wps:spPr>
                      <wps:bodyPr/>
                    </wps:wsp>
                  </a:graphicData>
                </a:graphic>
              </wp:anchor>
            </w:drawing>
          </mc:Choice>
          <mc:Fallback>
            <w:pict>
              <v:shape id="AutoShape 34" o:spid="_x0000_s1026" o:spt="32" type="#_x0000_t32" style="position:absolute;left:0pt;flip:x;margin-left:203.35pt;margin-top:11.8pt;height:30.1pt;width:0.15pt;z-index:251679744;mso-width-relative:page;mso-height-relative:page;" filled="f" stroked="t" coordsize="21600,21600" o:gfxdata="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1lb+LZAAAACQEAAA8AAAAAAAAAAQAgAAAAIgAAAGRycy9kb3ducmV2&#10;LnhtbFBLAQIUABQAAAAIAIdO4kAhpxi8+wEAAO4DAAAOAAAAAAAAAAEAIAAAACgBAABkcnMvZTJv&#10;RG9jLnhtbFBLBQYAAAAABgAGAFkBAACVBQAAAAA=&#10;">
                <v:fill on="f" focussize="0,0"/>
                <v:stroke color="#000000" joinstyle="round" endarrow="block"/>
                <v:imagedata o:title=""/>
                <o:lock v:ext="edit" aspectratio="f"/>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2145030</wp:posOffset>
                </wp:positionH>
                <wp:positionV relativeFrom="paragraph">
                  <wp:posOffset>250190</wp:posOffset>
                </wp:positionV>
                <wp:extent cx="330200" cy="283845"/>
                <wp:effectExtent l="4445" t="4445" r="8255" b="16510"/>
                <wp:wrapNone/>
                <wp:docPr id="19" name="Text Box 36"/>
                <wp:cNvGraphicFramePr/>
                <a:graphic xmlns:a="http://schemas.openxmlformats.org/drawingml/2006/main">
                  <a:graphicData uri="http://schemas.microsoft.com/office/word/2010/wordprocessingShape">
                    <wps:wsp>
                      <wps:cNvSpPr txBox="1">
                        <a:spLocks noChangeArrowheads="1"/>
                      </wps:cNvSpPr>
                      <wps:spPr bwMode="auto">
                        <a:xfrm>
                          <a:off x="0" y="0"/>
                          <a:ext cx="330200" cy="283845"/>
                        </a:xfrm>
                        <a:prstGeom prst="rect">
                          <a:avLst/>
                        </a:prstGeom>
                        <a:solidFill>
                          <a:srgbClr val="FFFFFF"/>
                        </a:solidFill>
                        <a:ln w="9525">
                          <a:solidFill>
                            <a:schemeClr val="bg1">
                              <a:lumMod val="100000"/>
                              <a:lumOff val="0"/>
                            </a:schemeClr>
                          </a:solidFill>
                          <a:miter lim="800000"/>
                        </a:ln>
                      </wps:spPr>
                      <wps:txbx>
                        <w:txbxContent>
                          <w:p>
                            <w:r>
                              <w:rPr>
                                <w:rFonts w:hint="eastAsia"/>
                              </w:rPr>
                              <w:t>是</w:t>
                            </w: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68.9pt;margin-top:19.7pt;height:22.35pt;width:26pt;z-index:251667456;mso-width-relative:page;mso-height-relative:page;" fillcolor="#FFFFFF" filled="t" stroked="t" coordsize="21600,21600" o:gfxdata="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ahYH2AAAAAkBAAAPAAAAAAAAAAEA&#10;IAAAACIAAABkcnMvZG93bnJldi54bWxQSwECFAAUAAAACACHTuJACtEqvUgCAAC9BAAADgAAAAAA&#10;AAABACAAAAAnAQAAZHJzL2Uyb0RvYy54bWxQSwUGAAAAAAYABgBZAQAA4QUAAAAA&#10;">
                <v:fill on="t" focussize="0,0"/>
                <v:stroke color="#FFFFFF [3228]" miterlimit="8" joinstyle="miter"/>
                <v:imagedata o:title=""/>
                <o:lock v:ext="edit" aspectratio="f"/>
                <v:textbox>
                  <w:txbxContent>
                    <w:p>
                      <w:r>
                        <w:rPr>
                          <w:rFonts w:hint="eastAsia"/>
                        </w:rPr>
                        <w:t>是</w:t>
                      </w:r>
                    </w:p>
                  </w:txbxContent>
                </v:textbox>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1282700</wp:posOffset>
                </wp:positionH>
                <wp:positionV relativeFrom="paragraph">
                  <wp:posOffset>174625</wp:posOffset>
                </wp:positionV>
                <wp:extent cx="2628900" cy="969645"/>
                <wp:effectExtent l="13970" t="5080" r="24130" b="15875"/>
                <wp:wrapNone/>
                <wp:docPr id="25" name="AutoShape 5"/>
                <wp:cNvGraphicFramePr/>
                <a:graphic xmlns:a="http://schemas.openxmlformats.org/drawingml/2006/main">
                  <a:graphicData uri="http://schemas.microsoft.com/office/word/2010/wordprocessingShape">
                    <wps:wsp>
                      <wps:cNvSpPr>
                        <a:spLocks noChangeArrowheads="1"/>
                      </wps:cNvSpPr>
                      <wps:spPr bwMode="auto">
                        <a:xfrm>
                          <a:off x="0" y="0"/>
                          <a:ext cx="2628900" cy="969645"/>
                        </a:xfrm>
                        <a:prstGeom prst="diamond">
                          <a:avLst/>
                        </a:prstGeom>
                        <a:solidFill>
                          <a:srgbClr val="FFFFFF"/>
                        </a:solidFill>
                        <a:ln w="9525">
                          <a:solidFill>
                            <a:srgbClr val="000000"/>
                          </a:solidFill>
                          <a:miter lim="800000"/>
                        </a:ln>
                      </wps:spPr>
                      <wps:txbx>
                        <w:txbxContent>
                          <w:p>
                            <w:pPr>
                              <w:rPr>
                                <w:szCs w:val="21"/>
                              </w:rPr>
                            </w:pPr>
                            <w:r>
                              <w:rPr>
                                <w:rFonts w:hint="eastAsia"/>
                                <w:szCs w:val="21"/>
                              </w:rPr>
                              <w:t>是否需要进行临床项目比对试验？</w:t>
                            </w:r>
                          </w:p>
                        </w:txbxContent>
                      </wps:txbx>
                      <wps:bodyPr rot="0" vert="horz" wrap="square" lIns="91440" tIns="45720" rIns="91440" bIns="45720" anchor="t" anchorCtr="0" upright="1">
                        <a:noAutofit/>
                      </wps:bodyPr>
                    </wps:wsp>
                  </a:graphicData>
                </a:graphic>
              </wp:anchor>
            </w:drawing>
          </mc:Choice>
          <mc:Fallback>
            <w:pict>
              <v:shape id="AutoShape 5" o:spid="_x0000_s1026" o:spt="4" type="#_x0000_t4" style="position:absolute;left:0pt;margin-left:101pt;margin-top:13.75pt;height:76.35pt;width:207pt;z-index:251661312;mso-width-relative:page;mso-height-relative:page;" fillcolor="#FFFFFF" filled="t" stroked="t" coordsize="21600,21600" o:gfxdata="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n6d2/1wAAAAoBAAAPAAAAAAAAAAEAIAAAACIAAABkcnMvZG93bnJldi54bWxQSwECFAAU&#10;AAAACACHTuJAz3UH2ysCAACBBAAADgAAAAAAAAABACAAAAAmAQAAZHJzL2Uyb0RvYy54bWxQSwUG&#10;AAAAAAYABgBZAQAAwwUAAAAA&#10;">
                <v:fill on="t" focussize="0,0"/>
                <v:stroke color="#000000" miterlimit="8" joinstyle="miter"/>
                <v:imagedata o:title=""/>
                <o:lock v:ext="edit" aspectratio="f"/>
                <v:textbox>
                  <w:txbxContent>
                    <w:p>
                      <w:pPr>
                        <w:rPr>
                          <w:szCs w:val="21"/>
                        </w:rPr>
                      </w:pPr>
                      <w:r>
                        <w:rPr>
                          <w:rFonts w:hint="eastAsia"/>
                          <w:szCs w:val="21"/>
                        </w:rPr>
                        <w:t>是否需要进行临床项目比对试验？</w:t>
                      </w:r>
                    </w:p>
                  </w:txbxContent>
                </v:textbox>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3761740</wp:posOffset>
                </wp:positionH>
                <wp:positionV relativeFrom="paragraph">
                  <wp:posOffset>466725</wp:posOffset>
                </wp:positionV>
                <wp:extent cx="1233170" cy="897890"/>
                <wp:effectExtent l="4445" t="0" r="50165" b="11430"/>
                <wp:wrapNone/>
                <wp:docPr id="28" name="AutoShape 46"/>
                <wp:cNvGraphicFramePr/>
                <a:graphic xmlns:a="http://schemas.openxmlformats.org/drawingml/2006/main">
                  <a:graphicData uri="http://schemas.microsoft.com/office/word/2010/wordprocessingShape">
                    <wps:wsp>
                      <wps:cNvCnPr>
                        <a:cxnSpLocks noChangeShapeType="1"/>
                      </wps:cNvCnPr>
                      <wps:spPr bwMode="auto">
                        <a:xfrm rot="5400000" flipV="1">
                          <a:off x="0" y="0"/>
                          <a:ext cx="1233170" cy="897890"/>
                        </a:xfrm>
                        <a:prstGeom prst="bentConnector3">
                          <a:avLst>
                            <a:gd name="adj1" fmla="val 617"/>
                          </a:avLst>
                        </a:prstGeom>
                        <a:noFill/>
                        <a:ln w="9525">
                          <a:solidFill>
                            <a:srgbClr val="000000"/>
                          </a:solidFill>
                          <a:miter lim="800000"/>
                          <a:tailEnd type="triangle" w="med" len="med"/>
                        </a:ln>
                      </wps:spPr>
                      <wps:bodyPr/>
                    </wps:wsp>
                  </a:graphicData>
                </a:graphic>
              </wp:anchor>
            </w:drawing>
          </mc:Choice>
          <mc:Fallback>
            <w:pict>
              <v:shape id="AutoShape 46" o:spid="_x0000_s1026" o:spt="34" type="#_x0000_t34" style="position:absolute;left:0pt;flip:y;margin-left:296.2pt;margin-top:36.75pt;height:70.7pt;width:97.1pt;rotation:-5898240f;z-index:251672576;mso-width-relative:page;mso-height-relative:page;" filled="f" stroked="t" coordsize="21600,21600" o:gfxdata="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lNxu3QAAAAoBAAAPAAAAAAAAAAEAIAAAACIAAABkcnMvZG93bnJldi54bWxQSwECFAAUAAAACACH&#10;TuJAEfM20R8CAAAzBAAADgAAAAAAAAABACAAAAAsAQAAZHJzL2Uyb0RvYy54bWxQSwUGAAAAAAYA&#10;BgBZAQAAvQUAAAAA&#10;" adj="133">
                <v:fill on="f" focussize="0,0"/>
                <v:stroke color="#000000" miterlimit="8" joinstyle="miter" endarrow="block"/>
                <v:imagedata o:title=""/>
                <o:lock v:ext="edit" aspectratio="f"/>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4286250</wp:posOffset>
                </wp:positionH>
                <wp:positionV relativeFrom="paragraph">
                  <wp:posOffset>353060</wp:posOffset>
                </wp:positionV>
                <wp:extent cx="411480" cy="264160"/>
                <wp:effectExtent l="5080" t="5080" r="21590" b="16510"/>
                <wp:wrapNone/>
                <wp:docPr id="3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411480" cy="264160"/>
                        </a:xfrm>
                        <a:prstGeom prst="rect">
                          <a:avLst/>
                        </a:prstGeom>
                        <a:solidFill>
                          <a:srgbClr val="FFFFFF"/>
                        </a:solidFill>
                        <a:ln w="9525">
                          <a:solidFill>
                            <a:schemeClr val="bg1">
                              <a:lumMod val="100000"/>
                              <a:lumOff val="0"/>
                            </a:schemeClr>
                          </a:solidFill>
                          <a:miter lim="800000"/>
                        </a:ln>
                      </wps:spPr>
                      <wps:txbx>
                        <w:txbxContent>
                          <w:p>
                            <w:r>
                              <w:rPr>
                                <w:rFonts w:hint="eastAsia"/>
                              </w:rPr>
                              <w:t>是</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37.5pt;margin-top:27.8pt;height:20.8pt;width:32.4pt;z-index:251668480;mso-width-relative:page;mso-height-relative:page;" fillcolor="#FFFFFF" filled="t" stroked="t" coordsize="21600,21600" o:gfxdata="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KjweT2AAAAAkBAAAPAAAAAAAAAAEA&#10;IAAAACIAAABkcnMvZG93bnJldi54bWxQSwECFAAUAAAACACHTuJAYhj/cEgCAAC9BAAADgAAAAAA&#10;AAABACAAAAAnAQAAZHJzL2Uyb0RvYy54bWxQSwUGAAAAAAYABgBZAQAA4QUAAAAA&#10;">
                <v:fill on="t" focussize="0,0"/>
                <v:stroke color="#FFFFFF [3228]" miterlimit="8" joinstyle="miter"/>
                <v:imagedata o:title=""/>
                <o:lock v:ext="edit" aspectratio="f"/>
                <v:textbox>
                  <w:txbxContent>
                    <w:p>
                      <w:r>
                        <w:rPr>
                          <w:rFonts w:hint="eastAsia"/>
                        </w:rPr>
                        <w:t>是</w:t>
                      </w:r>
                    </w:p>
                  </w:txbxContent>
                </v:textbox>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524510</wp:posOffset>
                </wp:positionH>
                <wp:positionV relativeFrom="paragraph">
                  <wp:posOffset>146050</wp:posOffset>
                </wp:positionV>
                <wp:extent cx="336550" cy="264160"/>
                <wp:effectExtent l="4445" t="5080" r="14605" b="10160"/>
                <wp:wrapNone/>
                <wp:docPr id="34" name="Text Box 48"/>
                <wp:cNvGraphicFramePr/>
                <a:graphic xmlns:a="http://schemas.openxmlformats.org/drawingml/2006/main">
                  <a:graphicData uri="http://schemas.microsoft.com/office/word/2010/wordprocessingShape">
                    <wps:wsp>
                      <wps:cNvSpPr txBox="1">
                        <a:spLocks noChangeArrowheads="1"/>
                      </wps:cNvSpPr>
                      <wps:spPr bwMode="auto">
                        <a:xfrm>
                          <a:off x="0" y="0"/>
                          <a:ext cx="336550" cy="264160"/>
                        </a:xfrm>
                        <a:prstGeom prst="rect">
                          <a:avLst/>
                        </a:prstGeom>
                        <a:solidFill>
                          <a:srgbClr val="FFFFFF"/>
                        </a:solidFill>
                        <a:ln w="9525">
                          <a:solidFill>
                            <a:schemeClr val="bg1">
                              <a:lumMod val="100000"/>
                              <a:lumOff val="0"/>
                            </a:schemeClr>
                          </a:solidFill>
                          <a:miter lim="800000"/>
                        </a:ln>
                      </wps:spPr>
                      <wps:txbx>
                        <w:txbxContent>
                          <w:p>
                            <w:r>
                              <w:rPr>
                                <w:rFonts w:hint="eastAsia"/>
                              </w:rPr>
                              <w:t>否</w:t>
                            </w:r>
                          </w:p>
                        </w:txbxContent>
                      </wps:txbx>
                      <wps:bodyPr rot="0" vert="horz" wrap="square" lIns="91440" tIns="45720" rIns="91440" bIns="45720" anchor="t" anchorCtr="0" upright="1">
                        <a:noAutofit/>
                      </wps:bodyPr>
                    </wps:wsp>
                  </a:graphicData>
                </a:graphic>
              </wp:anchor>
            </w:drawing>
          </mc:Choice>
          <mc:Fallback>
            <w:pict>
              <v:shape id="Text Box 48" o:spid="_x0000_s1026" o:spt="202" type="#_x0000_t202" style="position:absolute;left:0pt;margin-left:41.3pt;margin-top:11.5pt;height:20.8pt;width:26.5pt;z-index:251673600;mso-width-relative:page;mso-height-relative:page;" fillcolor="#FFFFFF" filled="t" stroked="t" coordsize="21600,21600" o:gfxdata="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5PtbPWAAAACAEAAA8AAAAAAAAAAQAg&#10;AAAAIgAAAGRycy9kb3ducmV2LnhtbFBLAQIUABQAAAAIAIdO4kAdsLX2SQIAAL0EAAAOAAAAAAAA&#10;AAEAIAAAACUBAABkcnMvZTJvRG9jLnhtbFBLBQYAAAAABgAGAFkBAADgBQAAAAA=&#10;">
                <v:fill on="t" focussize="0,0"/>
                <v:stroke color="#FFFFFF [3228]" miterlimit="8" joinstyle="miter"/>
                <v:imagedata o:title=""/>
                <o:lock v:ext="edit" aspectratio="f"/>
                <v:textbox>
                  <w:txbxContent>
                    <w:p>
                      <w:r>
                        <w:rPr>
                          <w:rFonts w:hint="eastAsia"/>
                        </w:rPr>
                        <w:t>否</w:t>
                      </w:r>
                    </w:p>
                  </w:txbxContent>
                </v:textbox>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2263140</wp:posOffset>
                </wp:positionH>
                <wp:positionV relativeFrom="paragraph">
                  <wp:posOffset>237490</wp:posOffset>
                </wp:positionV>
                <wp:extent cx="282575" cy="264160"/>
                <wp:effectExtent l="4445" t="5080" r="17780" b="16510"/>
                <wp:wrapNone/>
                <wp:docPr id="31" name="Text Box 39"/>
                <wp:cNvGraphicFramePr/>
                <a:graphic xmlns:a="http://schemas.openxmlformats.org/drawingml/2006/main">
                  <a:graphicData uri="http://schemas.microsoft.com/office/word/2010/wordprocessingShape">
                    <wps:wsp>
                      <wps:cNvSpPr txBox="1">
                        <a:spLocks noChangeArrowheads="1"/>
                      </wps:cNvSpPr>
                      <wps:spPr bwMode="auto">
                        <a:xfrm>
                          <a:off x="0" y="0"/>
                          <a:ext cx="282575" cy="264160"/>
                        </a:xfrm>
                        <a:prstGeom prst="rect">
                          <a:avLst/>
                        </a:prstGeom>
                        <a:solidFill>
                          <a:srgbClr val="FFFFFF"/>
                        </a:solidFill>
                        <a:ln w="9525">
                          <a:solidFill>
                            <a:schemeClr val="bg1">
                              <a:lumMod val="100000"/>
                              <a:lumOff val="0"/>
                            </a:schemeClr>
                          </a:solidFill>
                          <a:miter lim="800000"/>
                        </a:ln>
                      </wps:spPr>
                      <wps:txbx>
                        <w:txbxContent>
                          <w:p>
                            <w:r>
                              <w:rPr>
                                <w:rFonts w:hint="eastAsia"/>
                              </w:rPr>
                              <w:t>否</w:t>
                            </w:r>
                          </w:p>
                        </w:txbxContent>
                      </wps:txbx>
                      <wps:bodyPr rot="0" vert="horz" wrap="square" lIns="91440" tIns="45720" rIns="91440" bIns="45720" anchor="t" anchorCtr="0" upright="1">
                        <a:noAutofit/>
                      </wps:bodyPr>
                    </wps:wsp>
                  </a:graphicData>
                </a:graphic>
              </wp:anchor>
            </w:drawing>
          </mc:Choice>
          <mc:Fallback>
            <w:pict>
              <v:shape id="Text Box 39" o:spid="_x0000_s1026" o:spt="202" type="#_x0000_t202" style="position:absolute;left:0pt;margin-left:178.2pt;margin-top:18.7pt;height:20.8pt;width:22.25pt;z-index:251669504;mso-width-relative:page;mso-height-relative:page;" fillcolor="#FFFFFF" filled="t" stroked="t" coordsize="21600,21600" o:gfxdata="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2BfmHYAAAACQEAAA8AAAAAAAAA&#10;AQAgAAAAIgAAAGRycy9kb3ducmV2LnhtbFBLAQIUABQAAAAIAIdO4kDXOnE6SgIAAL0EAAAOAAAA&#10;AAAAAAEAIAAAACcBAABkcnMvZTJvRG9jLnhtbFBLBQYAAAAABgAGAFkBAADjBQAAAAA=&#10;">
                <v:fill on="t" focussize="0,0"/>
                <v:stroke color="#FFFFFF [3228]" miterlimit="8" joinstyle="miter"/>
                <v:imagedata o:title=""/>
                <o:lock v:ext="edit" aspectratio="f"/>
                <v:textbox>
                  <w:txbxContent>
                    <w:p>
                      <w:r>
                        <w:rPr>
                          <w:rFonts w:hint="eastAsia"/>
                        </w:rPr>
                        <w:t>否</w:t>
                      </w:r>
                    </w:p>
                  </w:txbxContent>
                </v:textbox>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3665" distR="113665" simplePos="0" relativeHeight="251664384" behindDoc="0" locked="0" layoutInCell="1" allowOverlap="1">
                <wp:simplePos x="0" y="0"/>
                <wp:positionH relativeFrom="column">
                  <wp:posOffset>2599690</wp:posOffset>
                </wp:positionH>
                <wp:positionV relativeFrom="paragraph">
                  <wp:posOffset>69850</wp:posOffset>
                </wp:positionV>
                <wp:extent cx="3810" cy="626745"/>
                <wp:effectExtent l="37465" t="0" r="34925" b="8255"/>
                <wp:wrapNone/>
                <wp:docPr id="33" name="AutoShape 12"/>
                <wp:cNvGraphicFramePr/>
                <a:graphic xmlns:a="http://schemas.openxmlformats.org/drawingml/2006/main">
                  <a:graphicData uri="http://schemas.microsoft.com/office/word/2010/wordprocessingShape">
                    <wps:wsp>
                      <wps:cNvCnPr>
                        <a:cxnSpLocks noChangeShapeType="1"/>
                      </wps:cNvCnPr>
                      <wps:spPr bwMode="auto">
                        <a:xfrm flipH="1">
                          <a:off x="0" y="0"/>
                          <a:ext cx="3810" cy="626745"/>
                        </a:xfrm>
                        <a:prstGeom prst="straightConnector1">
                          <a:avLst/>
                        </a:prstGeom>
                        <a:noFill/>
                        <a:ln w="9525">
                          <a:solidFill>
                            <a:srgbClr val="000000"/>
                          </a:solidFill>
                          <a:round/>
                          <a:tailEnd type="triangle" w="med" len="med"/>
                        </a:ln>
                      </wps:spPr>
                      <wps:bodyPr/>
                    </wps:wsp>
                  </a:graphicData>
                </a:graphic>
              </wp:anchor>
            </w:drawing>
          </mc:Choice>
          <mc:Fallback>
            <w:pict>
              <v:shape id="AutoShape 12" o:spid="_x0000_s1026" o:spt="32" type="#_x0000_t32" style="position:absolute;left:0pt;flip:x;margin-left:204.7pt;margin-top:5.5pt;height:49.35pt;width:0.3pt;z-index:251664384;mso-width-relative:page;mso-height-relative:page;" filled="f" stroked="t" coordsize="21600,21600" o:gfxdata="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vq4A2AAAAAoBAAAPAAAAAAAAAAEAIAAAACIAAABkcnMvZG93bnJldi54&#10;bWxQSwECFAAUAAAACACHTuJAer0dBfoBAADuAwAADgAAAAAAAAABACAAAAAnAQAAZHJzL2Uyb0Rv&#10;Yy54bWxQSwUGAAAAAAYABgBZAQAAkwUAAAAA&#10;">
                <v:fill on="f" focussize="0,0"/>
                <v:stroke color="#000000" joinstyle="round" endarrow="block"/>
                <v:imagedata o:title=""/>
                <o:lock v:ext="edit" aspectratio="f"/>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306070</wp:posOffset>
                </wp:positionH>
                <wp:positionV relativeFrom="paragraph">
                  <wp:posOffset>307975</wp:posOffset>
                </wp:positionV>
                <wp:extent cx="1172845" cy="1055370"/>
                <wp:effectExtent l="4445" t="4445" r="16510" b="6985"/>
                <wp:wrapNone/>
                <wp:docPr id="77" name="AutoShape 32"/>
                <wp:cNvGraphicFramePr/>
                <a:graphic xmlns:a="http://schemas.openxmlformats.org/drawingml/2006/main">
                  <a:graphicData uri="http://schemas.microsoft.com/office/word/2010/wordprocessingShape">
                    <wps:wsp>
                      <wps:cNvSpPr>
                        <a:spLocks noChangeArrowheads="1"/>
                      </wps:cNvSpPr>
                      <wps:spPr bwMode="auto">
                        <a:xfrm>
                          <a:off x="0" y="0"/>
                          <a:ext cx="1172845" cy="1055370"/>
                        </a:xfrm>
                        <a:prstGeom prst="roundRect">
                          <a:avLst>
                            <a:gd name="adj" fmla="val 16667"/>
                          </a:avLst>
                        </a:prstGeom>
                        <a:solidFill>
                          <a:srgbClr val="FFFFFF"/>
                        </a:solidFill>
                        <a:ln w="9525">
                          <a:solidFill>
                            <a:srgbClr val="000000"/>
                          </a:solidFill>
                          <a:round/>
                        </a:ln>
                      </wps:spPr>
                      <wps:txbx>
                        <w:txbxContent>
                          <w:p>
                            <w:pPr>
                              <w:rPr>
                                <w:sz w:val="18"/>
                                <w:szCs w:val="18"/>
                              </w:rPr>
                            </w:pPr>
                            <w:r>
                              <w:rPr>
                                <w:rFonts w:hint="eastAsia"/>
                                <w:sz w:val="18"/>
                                <w:szCs w:val="18"/>
                              </w:rPr>
                              <w:t>提供样本数据统计及相应的数据质量评价表，及提供相应研发资料</w:t>
                            </w:r>
                          </w:p>
                        </w:txbxContent>
                      </wps:txbx>
                      <wps:bodyPr rot="0" vert="horz" wrap="square" lIns="91440" tIns="45720" rIns="91440" bIns="45720" anchor="t" anchorCtr="0" upright="1">
                        <a:noAutofit/>
                      </wps:bodyPr>
                    </wps:wsp>
                  </a:graphicData>
                </a:graphic>
              </wp:anchor>
            </w:drawing>
          </mc:Choice>
          <mc:Fallback>
            <w:pict>
              <v:roundrect id="AutoShape 32" o:spid="_x0000_s1026" o:spt="2" style="position:absolute;left:0pt;margin-left:24.1pt;margin-top:24.25pt;height:83.1pt;width:92.35pt;z-index:251677696;mso-width-relative:page;mso-height-relative:page;" fillcolor="#FFFFFF" filled="t" stroked="t" coordsize="21600,21600" arcsize="0.166666666666667" o:gfxdata="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8BwV1gAAAAkBAAAPAAAAAAAAAAEAIAAAACIA&#10;AABkcnMvZG93bnJldi54bWxQSwECFAAUAAAACACHTuJAcTRvEkQCAACkBAAADgAAAAAAAAABACAA&#10;AAAlAQAAZHJzL2Uyb0RvYy54bWxQSwUGAAAAAAYABgBZAQAA2wUAAAAA&#10;">
                <v:fill on="t" focussize="0,0"/>
                <v:stroke color="#000000" joinstyle="round"/>
                <v:imagedata o:title=""/>
                <o:lock v:ext="edit" aspectratio="f"/>
                <v:textbox>
                  <w:txbxContent>
                    <w:p>
                      <w:pPr>
                        <w:rPr>
                          <w:sz w:val="18"/>
                          <w:szCs w:val="18"/>
                        </w:rPr>
                      </w:pPr>
                      <w:r>
                        <w:rPr>
                          <w:rFonts w:hint="eastAsia"/>
                          <w:sz w:val="18"/>
                          <w:szCs w:val="18"/>
                        </w:rPr>
                        <w:t>提供样本数据统计及相应的数据质量评价表，及提供相应研发资料</w:t>
                      </w:r>
                    </w:p>
                  </w:txbxContent>
                </v:textbox>
              </v:roundrect>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4277360</wp:posOffset>
                </wp:positionH>
                <wp:positionV relativeFrom="paragraph">
                  <wp:posOffset>103505</wp:posOffset>
                </wp:positionV>
                <wp:extent cx="1148715" cy="803275"/>
                <wp:effectExtent l="4445" t="4445" r="15240" b="5080"/>
                <wp:wrapNone/>
                <wp:docPr id="36" name="AutoShape 9"/>
                <wp:cNvGraphicFramePr/>
                <a:graphic xmlns:a="http://schemas.openxmlformats.org/drawingml/2006/main">
                  <a:graphicData uri="http://schemas.microsoft.com/office/word/2010/wordprocessingShape">
                    <wps:wsp>
                      <wps:cNvSpPr>
                        <a:spLocks noChangeArrowheads="1"/>
                      </wps:cNvSpPr>
                      <wps:spPr bwMode="auto">
                        <a:xfrm>
                          <a:off x="0" y="0"/>
                          <a:ext cx="1148715" cy="803275"/>
                        </a:xfrm>
                        <a:prstGeom prst="roundRect">
                          <a:avLst>
                            <a:gd name="adj" fmla="val 16667"/>
                          </a:avLst>
                        </a:prstGeom>
                        <a:solidFill>
                          <a:srgbClr val="FFFFFF"/>
                        </a:solidFill>
                        <a:ln w="9525">
                          <a:solidFill>
                            <a:srgbClr val="000000"/>
                          </a:solidFill>
                          <a:round/>
                        </a:ln>
                      </wps:spPr>
                      <wps:txbx>
                        <w:txbxContent>
                          <w:p>
                            <w:r>
                              <w:rPr>
                                <w:rFonts w:hint="eastAsia"/>
                                <w:szCs w:val="21"/>
                              </w:rPr>
                              <w:t>补充针对差异的申报产品的临床试验资料</w:t>
                            </w:r>
                          </w:p>
                        </w:txbxContent>
                      </wps:txbx>
                      <wps:bodyPr rot="0" vert="horz" wrap="square" lIns="91440" tIns="45720" rIns="91440" bIns="45720" anchor="t" anchorCtr="0" upright="1">
                        <a:noAutofit/>
                      </wps:bodyPr>
                    </wps:wsp>
                  </a:graphicData>
                </a:graphic>
              </wp:anchor>
            </w:drawing>
          </mc:Choice>
          <mc:Fallback>
            <w:pict>
              <v:roundrect id="AutoShape 9" o:spid="_x0000_s1026" o:spt="2" style="position:absolute;left:0pt;margin-left:336.8pt;margin-top:8.15pt;height:63.25pt;width:90.45pt;z-index:251663360;mso-width-relative:page;mso-height-relative:page;" fillcolor="#FFFFFF" filled="t" stroked="t" coordsize="21600,21600" arcsize="0.166666666666667" o:gfxdata="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YwxTtcAAAAKAQAADwAAAAAAAAABACAAAAAiAAAA&#10;ZHJzL2Rvd25yZXYueG1sUEsBAhQAFAAAAAgAh07iQEzSWsFBAgAAogQAAA4AAAAAAAAAAQAgAAAA&#10;JgEAAGRycy9lMm9Eb2MueG1sUEsFBgAAAAAGAAYAWQEAANkFAAAAAA==&#10;">
                <v:fill on="t" focussize="0,0"/>
                <v:stroke color="#000000" joinstyle="round"/>
                <v:imagedata o:title=""/>
                <o:lock v:ext="edit" aspectratio="f"/>
                <v:textbox>
                  <w:txbxContent>
                    <w:p>
                      <w:r>
                        <w:rPr>
                          <w:rFonts w:hint="eastAsia"/>
                          <w:szCs w:val="21"/>
                        </w:rPr>
                        <w:t>补充针对差异的申报产品的临床试验资料</w:t>
                      </w:r>
                    </w:p>
                  </w:txbxContent>
                </v:textbox>
              </v:roundrect>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1877695</wp:posOffset>
                </wp:positionH>
                <wp:positionV relativeFrom="paragraph">
                  <wp:posOffset>16510</wp:posOffset>
                </wp:positionV>
                <wp:extent cx="1522730" cy="1206500"/>
                <wp:effectExtent l="4445" t="4445" r="9525" b="8255"/>
                <wp:wrapNone/>
                <wp:docPr id="37" name="AutoShape 7"/>
                <wp:cNvGraphicFramePr/>
                <a:graphic xmlns:a="http://schemas.openxmlformats.org/drawingml/2006/main">
                  <a:graphicData uri="http://schemas.microsoft.com/office/word/2010/wordprocessingShape">
                    <wps:wsp>
                      <wps:cNvSpPr>
                        <a:spLocks noChangeArrowheads="1"/>
                      </wps:cNvSpPr>
                      <wps:spPr bwMode="auto">
                        <a:xfrm>
                          <a:off x="0" y="0"/>
                          <a:ext cx="1522730" cy="1206500"/>
                        </a:xfrm>
                        <a:prstGeom prst="roundRect">
                          <a:avLst>
                            <a:gd name="adj" fmla="val 16667"/>
                          </a:avLst>
                        </a:prstGeom>
                        <a:solidFill>
                          <a:srgbClr val="FFFFFF"/>
                        </a:solidFill>
                        <a:ln w="9525">
                          <a:solidFill>
                            <a:srgbClr val="000000"/>
                          </a:solidFill>
                          <a:round/>
                        </a:ln>
                      </wps:spPr>
                      <wps:txbx>
                        <w:txbxContent>
                          <w:p>
                            <w:pPr>
                              <w:rPr>
                                <w:sz w:val="18"/>
                                <w:szCs w:val="18"/>
                              </w:rPr>
                            </w:pPr>
                            <w:r>
                              <w:rPr>
                                <w:rFonts w:hint="eastAsia"/>
                                <w:sz w:val="18"/>
                                <w:szCs w:val="18"/>
                              </w:rPr>
                              <w:t>提交申报产品的非临床研究资料、临床文献数据、临床经验数据，提交相应的数据质量评价（结果：低于/不低于）</w:t>
                            </w:r>
                          </w:p>
                          <w:p/>
                        </w:txbxContent>
                      </wps:txbx>
                      <wps:bodyPr rot="0" vert="horz" wrap="square" lIns="91440" tIns="45720" rIns="91440" bIns="45720" anchor="t" anchorCtr="0" upright="1">
                        <a:noAutofit/>
                      </wps:bodyPr>
                    </wps:wsp>
                  </a:graphicData>
                </a:graphic>
              </wp:anchor>
            </w:drawing>
          </mc:Choice>
          <mc:Fallback>
            <w:pict>
              <v:roundrect id="AutoShape 7" o:spid="_x0000_s1026" o:spt="2" style="position:absolute;left:0pt;margin-left:147.85pt;margin-top:1.3pt;height:95pt;width:119.9pt;z-index:251680768;mso-width-relative:page;mso-height-relative:page;" fillcolor="#FFFFFF" filled="t" stroked="t" coordsize="21600,21600" arcsize="0.166666666666667" o:gfxdata="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165eS1QAAAAkBAAAPAAAAAAAAAAEAIAAAACIAAABk&#10;cnMvZG93bnJldi54bWxQSwECFAAUAAAACACHTuJAU81wBkICAACjBAAADgAAAAAAAAABACAAAAAk&#10;AQAAZHJzL2Uyb0RvYy54bWxQSwUGAAAAAAYABgBZAQAA2AUAAAAA&#10;">
                <v:fill on="t" focussize="0,0"/>
                <v:stroke color="#000000" joinstyle="round"/>
                <v:imagedata o:title=""/>
                <o:lock v:ext="edit" aspectratio="f"/>
                <v:textbox>
                  <w:txbxContent>
                    <w:p>
                      <w:pPr>
                        <w:rPr>
                          <w:sz w:val="18"/>
                          <w:szCs w:val="18"/>
                        </w:rPr>
                      </w:pPr>
                      <w:r>
                        <w:rPr>
                          <w:rFonts w:hint="eastAsia"/>
                          <w:sz w:val="18"/>
                          <w:szCs w:val="18"/>
                        </w:rPr>
                        <w:t>提交申报产品的非临床研究资料、临床文献数据、临床经验数据，提交相应的数据质量评价（结果：低于/不低于）</w:t>
                      </w:r>
                    </w:p>
                    <w:p/>
                  </w:txbxContent>
                </v:textbox>
              </v:roundrect>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3634105</wp:posOffset>
                </wp:positionH>
                <wp:positionV relativeFrom="paragraph">
                  <wp:posOffset>193040</wp:posOffset>
                </wp:positionV>
                <wp:extent cx="466725" cy="305435"/>
                <wp:effectExtent l="4445" t="4445" r="11430" b="7620"/>
                <wp:wrapNone/>
                <wp:docPr id="47" name="Text Box 40"/>
                <wp:cNvGraphicFramePr/>
                <a:graphic xmlns:a="http://schemas.openxmlformats.org/drawingml/2006/main">
                  <a:graphicData uri="http://schemas.microsoft.com/office/word/2010/wordprocessingShape">
                    <wps:wsp>
                      <wps:cNvSpPr txBox="1">
                        <a:spLocks noChangeArrowheads="1"/>
                      </wps:cNvSpPr>
                      <wps:spPr bwMode="auto">
                        <a:xfrm>
                          <a:off x="0" y="0"/>
                          <a:ext cx="466725" cy="305435"/>
                        </a:xfrm>
                        <a:prstGeom prst="rect">
                          <a:avLst/>
                        </a:prstGeom>
                        <a:solidFill>
                          <a:srgbClr val="FFFFFF"/>
                        </a:solidFill>
                        <a:ln w="9525">
                          <a:solidFill>
                            <a:schemeClr val="bg1">
                              <a:lumMod val="100000"/>
                              <a:lumOff val="0"/>
                            </a:schemeClr>
                          </a:solidFill>
                          <a:miter lim="800000"/>
                        </a:ln>
                      </wps:spPr>
                      <wps:txbx>
                        <w:txbxContent>
                          <w:p>
                            <w:pPr>
                              <w:rPr>
                                <w:szCs w:val="21"/>
                              </w:rPr>
                            </w:pPr>
                            <w:r>
                              <w:rPr>
                                <w:rFonts w:hint="eastAsia"/>
                                <w:szCs w:val="21"/>
                              </w:rPr>
                              <w:t>低于</w:t>
                            </w:r>
                          </w:p>
                        </w:txbxContent>
                      </wps:txbx>
                      <wps:bodyPr rot="0" vert="horz" wrap="square" lIns="91440" tIns="45720" rIns="91440" bIns="45720" anchor="t" anchorCtr="0" upright="1">
                        <a:noAutofit/>
                      </wps:bodyPr>
                    </wps:wsp>
                  </a:graphicData>
                </a:graphic>
              </wp:anchor>
            </w:drawing>
          </mc:Choice>
          <mc:Fallback>
            <w:pict>
              <v:shape id="Text Box 40" o:spid="_x0000_s1026" o:spt="202" type="#_x0000_t202" style="position:absolute;left:0pt;margin-left:286.15pt;margin-top:15.2pt;height:24.05pt;width:36.75pt;z-index:251676672;mso-width-relative:page;mso-height-relative:page;" fillcolor="#FFFFFF" filled="t" stroked="t" coordsize="21600,21600" o:gfxdata="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PgBy7YAAAACQEAAA8AAAAAAAAA&#10;AQAgAAAAIgAAAGRycy9kb3ducmV2LnhtbFBLAQIUABQAAAAIAIdO4kBj+i2ESgIAAL0EAAAOAAAA&#10;AAAAAAEAIAAAACcBAABkcnMvZTJvRG9jLnhtbFBLBQYAAAAABgAGAFkBAADjBQAAAAA=&#10;">
                <v:fill on="t" focussize="0,0"/>
                <v:stroke color="#FFFFFF [3228]" miterlimit="8" joinstyle="miter"/>
                <v:imagedata o:title=""/>
                <o:lock v:ext="edit" aspectratio="f"/>
                <v:textbox>
                  <w:txbxContent>
                    <w:p>
                      <w:pPr>
                        <w:rPr>
                          <w:szCs w:val="21"/>
                        </w:rPr>
                      </w:pPr>
                      <w:r>
                        <w:rPr>
                          <w:rFonts w:hint="eastAsia"/>
                          <w:szCs w:val="21"/>
                        </w:rPr>
                        <w:t>低于</w:t>
                      </w:r>
                    </w:p>
                  </w:txbxContent>
                </v:textbox>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3410585</wp:posOffset>
                </wp:positionH>
                <wp:positionV relativeFrom="paragraph">
                  <wp:posOffset>164465</wp:posOffset>
                </wp:positionV>
                <wp:extent cx="845820" cy="6985"/>
                <wp:effectExtent l="0" t="37465" r="11430" b="31750"/>
                <wp:wrapNone/>
                <wp:docPr id="38" name="AutoShape 49"/>
                <wp:cNvGraphicFramePr/>
                <a:graphic xmlns:a="http://schemas.openxmlformats.org/drawingml/2006/main">
                  <a:graphicData uri="http://schemas.microsoft.com/office/word/2010/wordprocessingShape">
                    <wps:wsp>
                      <wps:cNvCnPr>
                        <a:cxnSpLocks noChangeShapeType="1"/>
                      </wps:cNvCnPr>
                      <wps:spPr bwMode="auto">
                        <a:xfrm flipV="1">
                          <a:off x="0" y="0"/>
                          <a:ext cx="845820" cy="6985"/>
                        </a:xfrm>
                        <a:prstGeom prst="straightConnector1">
                          <a:avLst/>
                        </a:prstGeom>
                        <a:noFill/>
                        <a:ln w="9525">
                          <a:solidFill>
                            <a:srgbClr val="000000"/>
                          </a:solidFill>
                          <a:round/>
                          <a:tailEnd type="triangle" w="med" len="med"/>
                        </a:ln>
                      </wps:spPr>
                      <wps:bodyPr/>
                    </wps:wsp>
                  </a:graphicData>
                </a:graphic>
              </wp:anchor>
            </w:drawing>
          </mc:Choice>
          <mc:Fallback>
            <w:pict>
              <v:shape id="AutoShape 49" o:spid="_x0000_s1026" o:spt="32" type="#_x0000_t32" style="position:absolute;left:0pt;flip:y;margin-left:268.55pt;margin-top:12.95pt;height:0.55pt;width:66.6pt;z-index:251674624;mso-width-relative:page;mso-height-relative:page;" filled="f" stroked="t" coordsize="21600,21600" o:gfxdata="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AeLh32QAAAAkBAAAPAAAAAAAAAAEAIAAAACIAAABkcnMvZG93bnJldi54&#10;bWxQSwECFAAUAAAACACHTuJApYCMoPkBAADuAwAADgAAAAAAAAABACAAAAAoAQAAZHJzL2Uyb0Rv&#10;Yy54bWxQSwUGAAAAAAYABgBZAQAAkwUAAAAA&#10;">
                <v:fill on="f" focussize="0,0"/>
                <v:stroke color="#000000" joinstyle="round" endarrow="block"/>
                <v:imagedata o:title=""/>
                <o:lock v:ext="edit" aspectratio="f"/>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3383280</wp:posOffset>
                </wp:positionH>
                <wp:positionV relativeFrom="paragraph">
                  <wp:posOffset>422910</wp:posOffset>
                </wp:positionV>
                <wp:extent cx="1690370" cy="1271905"/>
                <wp:effectExtent l="0" t="0" r="10795" b="36830"/>
                <wp:wrapNone/>
                <wp:docPr id="44" name="AutoShape 46"/>
                <wp:cNvGraphicFramePr/>
                <a:graphic xmlns:a="http://schemas.openxmlformats.org/drawingml/2006/main">
                  <a:graphicData uri="http://schemas.microsoft.com/office/word/2010/wordprocessingShape">
                    <wps:wsp>
                      <wps:cNvCnPr>
                        <a:cxnSpLocks noChangeShapeType="1"/>
                      </wps:cNvCnPr>
                      <wps:spPr bwMode="auto">
                        <a:xfrm rot="5400000">
                          <a:off x="0" y="0"/>
                          <a:ext cx="1690370" cy="1271905"/>
                        </a:xfrm>
                        <a:prstGeom prst="bentConnector3">
                          <a:avLst>
                            <a:gd name="adj1" fmla="val 99643"/>
                          </a:avLst>
                        </a:prstGeom>
                        <a:noFill/>
                        <a:ln w="9525">
                          <a:solidFill>
                            <a:srgbClr val="000000"/>
                          </a:solidFill>
                          <a:miter lim="800000"/>
                          <a:tailEnd type="triangle" w="med" len="med"/>
                        </a:ln>
                      </wps:spPr>
                      <wps:bodyPr/>
                    </wps:wsp>
                  </a:graphicData>
                </a:graphic>
              </wp:anchor>
            </w:drawing>
          </mc:Choice>
          <mc:Fallback>
            <w:pict>
              <v:shape id="AutoShape 46" o:spid="_x0000_s1026" o:spt="34" type="#_x0000_t34" style="position:absolute;left:0pt;margin-left:266.4pt;margin-top:33.3pt;height:100.15pt;width:133.1pt;rotation:5898240f;z-index:251675648;mso-width-relative:page;mso-height-relative:page;" filled="f" stroked="t" coordsize="21600,21600" o:gfxdata="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t3NZ3bAAAA&#10;CgEAAA8AAAAAAAAAAQAgAAAAIgAAAGRycy9kb3ducmV2LnhtbFBLAQIUABQAAAAIAIdO4kBC7NsA&#10;GgIAACwEAAAOAAAAAAAAAAEAIAAAACoBAABkcnMvZTJvRG9jLnhtbFBLBQYAAAAABgAGAFkBAAC2&#10;BQAAAAA=&#10;" adj="21523">
                <v:fill on="f" focussize="0,0"/>
                <v:stroke color="#000000" miterlimit="8" joinstyle="miter" endarrow="block"/>
                <v:imagedata o:title=""/>
                <o:lock v:ext="edit" aspectratio="f"/>
              </v:shape>
            </w:pict>
          </mc:Fallback>
        </mc:AlternateContent>
      </w: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2606675</wp:posOffset>
                </wp:positionH>
                <wp:positionV relativeFrom="paragraph">
                  <wp:posOffset>140970</wp:posOffset>
                </wp:positionV>
                <wp:extent cx="12700" cy="1471930"/>
                <wp:effectExtent l="37465" t="0" r="26035" b="1270"/>
                <wp:wrapNone/>
                <wp:docPr id="39" name="AutoShape 13"/>
                <wp:cNvGraphicFramePr/>
                <a:graphic xmlns:a="http://schemas.openxmlformats.org/drawingml/2006/main">
                  <a:graphicData uri="http://schemas.microsoft.com/office/word/2010/wordprocessingShape">
                    <wps:wsp>
                      <wps:cNvCnPr>
                        <a:cxnSpLocks noChangeShapeType="1"/>
                      </wps:cNvCnPr>
                      <wps:spPr bwMode="auto">
                        <a:xfrm flipH="1">
                          <a:off x="0" y="0"/>
                          <a:ext cx="12700" cy="1471930"/>
                        </a:xfrm>
                        <a:prstGeom prst="straightConnector1">
                          <a:avLst/>
                        </a:prstGeom>
                        <a:noFill/>
                        <a:ln w="9525">
                          <a:solidFill>
                            <a:srgbClr val="000000"/>
                          </a:solidFill>
                          <a:round/>
                          <a:tailEnd type="triangle" w="med" len="med"/>
                        </a:ln>
                      </wps:spPr>
                      <wps:bodyPr/>
                    </wps:wsp>
                  </a:graphicData>
                </a:graphic>
              </wp:anchor>
            </w:drawing>
          </mc:Choice>
          <mc:Fallback>
            <w:pict>
              <v:shape id="AutoShape 13" o:spid="_x0000_s1026" o:spt="32" type="#_x0000_t32" style="position:absolute;left:0pt;flip:x;margin-left:205.25pt;margin-top:11.1pt;height:115.9pt;width:1pt;z-index:251665408;mso-width-relative:page;mso-height-relative:page;" filled="f" stroked="t" coordsize="21600,21600" o:gfxdata="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X+nTDYAAAACgEAAA8AAAAAAAAAAQAgAAAAIgAAAGRycy9kb3ducmV2&#10;LnhtbFBLAQIUABQAAAAIAIdO4kDC5SpM/AEAAPADAAAOAAAAAAAAAAEAIAAAACcBAABkcnMvZTJv&#10;RG9jLnhtbFBLBQYAAAAABgAGAFkBAACVBQAAAAA=&#10;">
                <v:fill on="f" focussize="0,0"/>
                <v:stroke color="#000000" joinstyle="round" endarrow="block"/>
                <v:imagedata o:title=""/>
                <o:lock v:ext="edit" aspectratio="f"/>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2263775</wp:posOffset>
                </wp:positionH>
                <wp:positionV relativeFrom="paragraph">
                  <wp:posOffset>75565</wp:posOffset>
                </wp:positionV>
                <wp:extent cx="304800" cy="694690"/>
                <wp:effectExtent l="4445" t="4445" r="8255" b="12065"/>
                <wp:wrapNone/>
                <wp:docPr id="80" name="Text Box 40"/>
                <wp:cNvGraphicFramePr/>
                <a:graphic xmlns:a="http://schemas.openxmlformats.org/drawingml/2006/main">
                  <a:graphicData uri="http://schemas.microsoft.com/office/word/2010/wordprocessingShape">
                    <wps:wsp>
                      <wps:cNvSpPr txBox="1">
                        <a:spLocks noChangeArrowheads="1"/>
                      </wps:cNvSpPr>
                      <wps:spPr bwMode="auto">
                        <a:xfrm>
                          <a:off x="0" y="0"/>
                          <a:ext cx="304800" cy="694690"/>
                        </a:xfrm>
                        <a:prstGeom prst="rect">
                          <a:avLst/>
                        </a:prstGeom>
                        <a:solidFill>
                          <a:srgbClr val="FFFFFF"/>
                        </a:solidFill>
                        <a:ln w="9525">
                          <a:solidFill>
                            <a:schemeClr val="bg1">
                              <a:lumMod val="100000"/>
                              <a:lumOff val="0"/>
                            </a:schemeClr>
                          </a:solidFill>
                          <a:miter lim="800000"/>
                        </a:ln>
                      </wps:spPr>
                      <wps:txbx>
                        <w:txbxContent>
                          <w:p>
                            <w:pPr>
                              <w:rPr>
                                <w:szCs w:val="21"/>
                              </w:rPr>
                            </w:pPr>
                            <w:r>
                              <w:rPr>
                                <w:rFonts w:hint="eastAsia"/>
                                <w:szCs w:val="21"/>
                              </w:rPr>
                              <w:t>不低于</w:t>
                            </w:r>
                          </w:p>
                        </w:txbxContent>
                      </wps:txbx>
                      <wps:bodyPr rot="0" vert="horz" wrap="square" lIns="91440" tIns="45720" rIns="91440" bIns="45720" anchor="t" anchorCtr="0" upright="1">
                        <a:noAutofit/>
                      </wps:bodyPr>
                    </wps:wsp>
                  </a:graphicData>
                </a:graphic>
              </wp:anchor>
            </w:drawing>
          </mc:Choice>
          <mc:Fallback>
            <w:pict>
              <v:shape id="Text Box 40" o:spid="_x0000_s1026" o:spt="202" type="#_x0000_t202" style="position:absolute;left:0pt;margin-left:178.25pt;margin-top:5.95pt;height:54.7pt;width:24pt;z-index:251681792;mso-width-relative:page;mso-height-relative:page;" fillcolor="#FFFFFF" filled="t" stroked="t" coordsize="21600,21600" o:gfxdata="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QOEX2AAAAAoBAAAPAAAAAAAAAAEA&#10;IAAAACIAAABkcnMvZG93bnJldi54bWxQSwECFAAUAAAACACHTuJAgeq3G0gCAAC9BAAADgAAAAAA&#10;AAABACAAAAAnAQAAZHJzL2Uyb0RvYy54bWxQSwUGAAAAAAYABgBZAQAA4QUAAAAA&#10;">
                <v:fill on="t" focussize="0,0"/>
                <v:stroke color="#FFFFFF [3228]" miterlimit="8" joinstyle="miter"/>
                <v:imagedata o:title=""/>
                <o:lock v:ext="edit" aspectratio="f"/>
                <v:textbox>
                  <w:txbxContent>
                    <w:p>
                      <w:pPr>
                        <w:rPr>
                          <w:szCs w:val="21"/>
                        </w:rPr>
                      </w:pPr>
                      <w:r>
                        <w:rPr>
                          <w:rFonts w:hint="eastAsia"/>
                          <w:szCs w:val="21"/>
                        </w:rPr>
                        <w:t>不低于</w:t>
                      </w:r>
                    </w:p>
                  </w:txbxContent>
                </v:textbox>
              </v:shape>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r>
        <w:rPr>
          <w:rFonts w:ascii="Times New Roman" w:hAnsi="Times New Roman" w:eastAsia="黑体" w:cs="Times New Roman"/>
          <w:bCs/>
          <w:color w:val="000000" w:themeColor="text1"/>
          <w:kern w:val="44"/>
          <w:sz w:val="32"/>
          <w:szCs w:val="32"/>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1943735</wp:posOffset>
                </wp:positionH>
                <wp:positionV relativeFrom="paragraph">
                  <wp:posOffset>215265</wp:posOffset>
                </wp:positionV>
                <wp:extent cx="1605280" cy="517525"/>
                <wp:effectExtent l="4445" t="4445" r="9525" b="11430"/>
                <wp:wrapNone/>
                <wp:docPr id="42" name="AutoShape 8"/>
                <wp:cNvGraphicFramePr/>
                <a:graphic xmlns:a="http://schemas.openxmlformats.org/drawingml/2006/main">
                  <a:graphicData uri="http://schemas.microsoft.com/office/word/2010/wordprocessingShape">
                    <wps:wsp>
                      <wps:cNvSpPr>
                        <a:spLocks noChangeArrowheads="1"/>
                      </wps:cNvSpPr>
                      <wps:spPr bwMode="auto">
                        <a:xfrm>
                          <a:off x="0" y="0"/>
                          <a:ext cx="1605280" cy="517525"/>
                        </a:xfrm>
                        <a:prstGeom prst="roundRect">
                          <a:avLst>
                            <a:gd name="adj" fmla="val 16667"/>
                          </a:avLst>
                        </a:prstGeom>
                        <a:solidFill>
                          <a:srgbClr val="FFFFFF"/>
                        </a:solidFill>
                        <a:ln w="9525">
                          <a:solidFill>
                            <a:srgbClr val="000000"/>
                          </a:solidFill>
                          <a:round/>
                        </a:ln>
                      </wps:spPr>
                      <wps:txbx>
                        <w:txbxContent>
                          <w:p>
                            <w:pPr>
                              <w:jc w:val="center"/>
                            </w:pPr>
                            <w:r>
                              <w:rPr>
                                <w:rFonts w:hint="eastAsia"/>
                              </w:rPr>
                              <w:t>形成临床评价报告，完成临床评价</w:t>
                            </w:r>
                          </w:p>
                        </w:txbxContent>
                      </wps:txbx>
                      <wps:bodyPr rot="0" vert="horz" wrap="square" lIns="91440" tIns="45720" rIns="91440" bIns="45720" anchor="t" anchorCtr="0" upright="1">
                        <a:noAutofit/>
                      </wps:bodyPr>
                    </wps:wsp>
                  </a:graphicData>
                </a:graphic>
              </wp:anchor>
            </w:drawing>
          </mc:Choice>
          <mc:Fallback>
            <w:pict>
              <v:roundrect id="AutoShape 8" o:spid="_x0000_s1026" o:spt="2" style="position:absolute;left:0pt;margin-left:153.05pt;margin-top:16.95pt;height:40.75pt;width:126.4pt;z-index:251662336;mso-width-relative:page;mso-height-relative:page;" fillcolor="#FFFFFF" filled="t" stroked="t" coordsize="21600,21600" arcsize="0.166666666666667" o:gfxdata="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1vm21QAAAAoBAAAPAAAAAAAAAAEAIAAAACIAAABkcnMvZG93&#10;bnJldi54bWxQSwECFAAUAAAACACHTuJAoAHI3DwCAACiBAAADgAAAAAAAAABACAAAAAkAQAAZHJz&#10;L2Uyb0RvYy54bWxQSwUGAAAAAAYABgBZAQAA0gUAAAAA&#10;">
                <v:fill on="t" focussize="0,0"/>
                <v:stroke color="#000000" joinstyle="round"/>
                <v:imagedata o:title=""/>
                <o:lock v:ext="edit" aspectratio="f"/>
                <v:textbox>
                  <w:txbxContent>
                    <w:p>
                      <w:pPr>
                        <w:jc w:val="center"/>
                      </w:pPr>
                      <w:r>
                        <w:rPr>
                          <w:rFonts w:hint="eastAsia"/>
                        </w:rPr>
                        <w:t>形成临床评价报告，完成临床评价</w:t>
                      </w:r>
                    </w:p>
                  </w:txbxContent>
                </v:textbox>
              </v:roundrect>
            </w:pict>
          </mc:Fallback>
        </mc:AlternateContent>
      </w: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overflowPunct w:val="0"/>
        <w:spacing w:line="560" w:lineRule="exact"/>
        <w:jc w:val="left"/>
        <w:outlineLvl w:val="0"/>
        <w:rPr>
          <w:rFonts w:ascii="Times New Roman" w:hAnsi="Times New Roman" w:eastAsia="黑体" w:cs="Times New Roman"/>
          <w:bCs/>
          <w:color w:val="000000" w:themeColor="text1"/>
          <w:kern w:val="44"/>
          <w:sz w:val="32"/>
          <w:szCs w:val="32"/>
          <w14:textFill>
            <w14:solidFill>
              <w14:schemeClr w14:val="tx1"/>
            </w14:solidFill>
          </w14:textFill>
        </w:rPr>
      </w:pPr>
    </w:p>
    <w:p>
      <w:pPr>
        <w:pStyle w:val="2"/>
        <w:jc w:val="left"/>
        <w:rPr>
          <w:rFonts w:ascii="Times New Roman" w:hAnsi="Times New Roman" w:cs="Times New Roman"/>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b/>
        <w:bCs/>
        <w:sz w:val="24"/>
        <w:szCs w:val="24"/>
      </w:rPr>
      <w:id w:val="1385605663"/>
    </w:sdtPr>
    <w:sdtEndPr>
      <w:rPr>
        <w:rFonts w:ascii="Times New Roman" w:hAnsi="Times New Roman" w:cs="Times New Roman"/>
        <w:b/>
        <w:bCs/>
        <w:sz w:val="24"/>
        <w:szCs w:val="24"/>
      </w:rPr>
    </w:sdtEndPr>
    <w:sdtContent>
      <w:sdt>
        <w:sdtPr>
          <w:rPr>
            <w:rFonts w:ascii="Times New Roman" w:hAnsi="Times New Roman" w:cs="Times New Roman"/>
            <w:b/>
            <w:bCs/>
            <w:sz w:val="24"/>
            <w:szCs w:val="24"/>
          </w:rPr>
          <w:id w:val="-869532990"/>
        </w:sdtPr>
        <w:sdtEndPr>
          <w:rPr>
            <w:rFonts w:ascii="Times New Roman" w:hAnsi="Times New Roman" w:cs="Times New Roman"/>
            <w:b/>
            <w:bCs/>
            <w:sz w:val="24"/>
            <w:szCs w:val="24"/>
          </w:rPr>
        </w:sdtEndPr>
        <w:sdtContent>
          <w:p>
            <w:pPr>
              <w:pStyle w:val="6"/>
              <w:ind w:firstLine="420"/>
              <w:jc w:val="center"/>
              <w:rPr>
                <w:rFonts w:ascii="Times New Roman" w:hAnsi="Times New Roman" w:cs="Times New Roman"/>
                <w:b/>
                <w:bCs/>
                <w:sz w:val="28"/>
                <w:szCs w:val="28"/>
              </w:rPr>
            </w:pPr>
            <w:r>
              <w:rPr>
                <w:rFonts w:ascii="Times New Roman" w:hAnsi="Times New Roman" w:cs="Times New Roman"/>
                <w:b/>
                <w:bCs/>
                <w:sz w:val="24"/>
                <w:szCs w:val="24"/>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PAGE</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2</w:t>
            </w:r>
            <w:r>
              <w:rPr>
                <w:rFonts w:ascii="Times New Roman" w:hAnsi="Times New Roman" w:cs="Times New Roman"/>
                <w:b/>
                <w:bCs/>
                <w:sz w:val="24"/>
                <w:szCs w:val="24"/>
              </w:rPr>
              <w:fldChar w:fldCharType="end"/>
            </w:r>
            <w:r>
              <w:rPr>
                <w:rFonts w:ascii="Times New Roman" w:hAnsi="Times New Roman" w:cs="Times New Roman"/>
                <w:b/>
                <w:bCs/>
                <w:sz w:val="24"/>
                <w:szCs w:val="24"/>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NUMPAGES</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16</w:t>
            </w:r>
            <w:r>
              <w:rPr>
                <w:rFonts w:ascii="Times New Roman" w:hAnsi="Times New Roman" w:cs="Times New Roman"/>
                <w:b/>
                <w:bCs/>
                <w:sz w:val="24"/>
                <w:szCs w:val="24"/>
              </w:rPr>
              <w:fldChar w:fldCharType="end"/>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031B5"/>
    <w:rsid w:val="000A4AF0"/>
    <w:rsid w:val="000B5CD8"/>
    <w:rsid w:val="00165353"/>
    <w:rsid w:val="001837F8"/>
    <w:rsid w:val="001956B3"/>
    <w:rsid w:val="001A0DF6"/>
    <w:rsid w:val="001B3C0B"/>
    <w:rsid w:val="001B6998"/>
    <w:rsid w:val="001C72F5"/>
    <w:rsid w:val="001D01C9"/>
    <w:rsid w:val="001E7BD6"/>
    <w:rsid w:val="00206DAE"/>
    <w:rsid w:val="00207EDF"/>
    <w:rsid w:val="002508C5"/>
    <w:rsid w:val="00272030"/>
    <w:rsid w:val="00277DA3"/>
    <w:rsid w:val="00285970"/>
    <w:rsid w:val="002B4B98"/>
    <w:rsid w:val="002B6C74"/>
    <w:rsid w:val="00314577"/>
    <w:rsid w:val="003A347C"/>
    <w:rsid w:val="003D2567"/>
    <w:rsid w:val="003E5AB4"/>
    <w:rsid w:val="004324B3"/>
    <w:rsid w:val="004878B6"/>
    <w:rsid w:val="004909FD"/>
    <w:rsid w:val="00493E99"/>
    <w:rsid w:val="004A6A91"/>
    <w:rsid w:val="004B4893"/>
    <w:rsid w:val="00502F42"/>
    <w:rsid w:val="00550276"/>
    <w:rsid w:val="00563DC5"/>
    <w:rsid w:val="00564722"/>
    <w:rsid w:val="00580580"/>
    <w:rsid w:val="005873B2"/>
    <w:rsid w:val="00590AB2"/>
    <w:rsid w:val="00594C18"/>
    <w:rsid w:val="005B611F"/>
    <w:rsid w:val="005C5354"/>
    <w:rsid w:val="005D6B93"/>
    <w:rsid w:val="005F75F2"/>
    <w:rsid w:val="00605C84"/>
    <w:rsid w:val="00633CF1"/>
    <w:rsid w:val="006676E7"/>
    <w:rsid w:val="0067013B"/>
    <w:rsid w:val="006D5B16"/>
    <w:rsid w:val="00707616"/>
    <w:rsid w:val="007414D2"/>
    <w:rsid w:val="00752268"/>
    <w:rsid w:val="007D644E"/>
    <w:rsid w:val="007D6AB0"/>
    <w:rsid w:val="007D748D"/>
    <w:rsid w:val="007E3A0C"/>
    <w:rsid w:val="008D08AF"/>
    <w:rsid w:val="008D6525"/>
    <w:rsid w:val="008E7848"/>
    <w:rsid w:val="00925381"/>
    <w:rsid w:val="00936095"/>
    <w:rsid w:val="00967318"/>
    <w:rsid w:val="00A22275"/>
    <w:rsid w:val="00A33A71"/>
    <w:rsid w:val="00A5175B"/>
    <w:rsid w:val="00A91B23"/>
    <w:rsid w:val="00A92B3D"/>
    <w:rsid w:val="00A93F53"/>
    <w:rsid w:val="00B006EC"/>
    <w:rsid w:val="00B44553"/>
    <w:rsid w:val="00B66720"/>
    <w:rsid w:val="00B7405E"/>
    <w:rsid w:val="00B740C7"/>
    <w:rsid w:val="00BB0AEE"/>
    <w:rsid w:val="00BD2621"/>
    <w:rsid w:val="00C045D8"/>
    <w:rsid w:val="00C26412"/>
    <w:rsid w:val="00C30606"/>
    <w:rsid w:val="00C32FE7"/>
    <w:rsid w:val="00C5190A"/>
    <w:rsid w:val="00CB0BEB"/>
    <w:rsid w:val="00CC06A9"/>
    <w:rsid w:val="00CC3B27"/>
    <w:rsid w:val="00CC3CFB"/>
    <w:rsid w:val="00CE6D25"/>
    <w:rsid w:val="00CF5805"/>
    <w:rsid w:val="00D1205D"/>
    <w:rsid w:val="00D303BB"/>
    <w:rsid w:val="00D45919"/>
    <w:rsid w:val="00DB60E5"/>
    <w:rsid w:val="00DC379B"/>
    <w:rsid w:val="00DC38A2"/>
    <w:rsid w:val="00DC6D9E"/>
    <w:rsid w:val="00DE0185"/>
    <w:rsid w:val="00E0132E"/>
    <w:rsid w:val="00E01410"/>
    <w:rsid w:val="00E37629"/>
    <w:rsid w:val="00E53CA5"/>
    <w:rsid w:val="00E73965"/>
    <w:rsid w:val="00E77C90"/>
    <w:rsid w:val="00E91B2B"/>
    <w:rsid w:val="00EA3B45"/>
    <w:rsid w:val="00EB3637"/>
    <w:rsid w:val="00EC7309"/>
    <w:rsid w:val="00EE26EF"/>
    <w:rsid w:val="00EE698F"/>
    <w:rsid w:val="00EE6CCB"/>
    <w:rsid w:val="00EF5F9A"/>
    <w:rsid w:val="00F017DC"/>
    <w:rsid w:val="00F529E4"/>
    <w:rsid w:val="00F77214"/>
    <w:rsid w:val="00FA2E1B"/>
    <w:rsid w:val="00FD44BD"/>
    <w:rsid w:val="00FE286D"/>
    <w:rsid w:val="0109516C"/>
    <w:rsid w:val="010C2610"/>
    <w:rsid w:val="011B4B57"/>
    <w:rsid w:val="01207FDD"/>
    <w:rsid w:val="012E628C"/>
    <w:rsid w:val="013F76A1"/>
    <w:rsid w:val="014C6F3D"/>
    <w:rsid w:val="014F3FC0"/>
    <w:rsid w:val="016F5902"/>
    <w:rsid w:val="01946781"/>
    <w:rsid w:val="01A22751"/>
    <w:rsid w:val="01B84D0D"/>
    <w:rsid w:val="01BC15AC"/>
    <w:rsid w:val="01D4112C"/>
    <w:rsid w:val="01E87439"/>
    <w:rsid w:val="0200182A"/>
    <w:rsid w:val="0206068C"/>
    <w:rsid w:val="02171BEA"/>
    <w:rsid w:val="022619B0"/>
    <w:rsid w:val="024E438B"/>
    <w:rsid w:val="02570DDA"/>
    <w:rsid w:val="0262703B"/>
    <w:rsid w:val="028E306B"/>
    <w:rsid w:val="02A30807"/>
    <w:rsid w:val="02B15D9D"/>
    <w:rsid w:val="02C36C5A"/>
    <w:rsid w:val="030756AD"/>
    <w:rsid w:val="03397323"/>
    <w:rsid w:val="03532495"/>
    <w:rsid w:val="0355279F"/>
    <w:rsid w:val="0358559A"/>
    <w:rsid w:val="035A439B"/>
    <w:rsid w:val="037F7621"/>
    <w:rsid w:val="038A7DFE"/>
    <w:rsid w:val="0390516E"/>
    <w:rsid w:val="03B33CE5"/>
    <w:rsid w:val="03BE22F8"/>
    <w:rsid w:val="03D2045B"/>
    <w:rsid w:val="03FC4857"/>
    <w:rsid w:val="040E4D75"/>
    <w:rsid w:val="043960EE"/>
    <w:rsid w:val="04536D2D"/>
    <w:rsid w:val="045615DF"/>
    <w:rsid w:val="046549B5"/>
    <w:rsid w:val="046A08B5"/>
    <w:rsid w:val="04820A14"/>
    <w:rsid w:val="048D72FB"/>
    <w:rsid w:val="049F3F18"/>
    <w:rsid w:val="04D21F92"/>
    <w:rsid w:val="04E71AC8"/>
    <w:rsid w:val="050E3679"/>
    <w:rsid w:val="054808C0"/>
    <w:rsid w:val="054F3624"/>
    <w:rsid w:val="05573426"/>
    <w:rsid w:val="05657318"/>
    <w:rsid w:val="05A926D6"/>
    <w:rsid w:val="05CF226E"/>
    <w:rsid w:val="05D11C93"/>
    <w:rsid w:val="06094992"/>
    <w:rsid w:val="06341F29"/>
    <w:rsid w:val="064020B8"/>
    <w:rsid w:val="064029E3"/>
    <w:rsid w:val="064E1C81"/>
    <w:rsid w:val="06590FD0"/>
    <w:rsid w:val="066B4998"/>
    <w:rsid w:val="06A37AFB"/>
    <w:rsid w:val="06B101C6"/>
    <w:rsid w:val="07093495"/>
    <w:rsid w:val="070E2FCF"/>
    <w:rsid w:val="074E47DD"/>
    <w:rsid w:val="07501D8F"/>
    <w:rsid w:val="079B72DE"/>
    <w:rsid w:val="07C75F19"/>
    <w:rsid w:val="07C83899"/>
    <w:rsid w:val="07CA4D4E"/>
    <w:rsid w:val="07CE5F61"/>
    <w:rsid w:val="07CF4EB3"/>
    <w:rsid w:val="07EE75CF"/>
    <w:rsid w:val="07FE463F"/>
    <w:rsid w:val="082C045E"/>
    <w:rsid w:val="0848130F"/>
    <w:rsid w:val="08605A8F"/>
    <w:rsid w:val="086429C7"/>
    <w:rsid w:val="086C718F"/>
    <w:rsid w:val="088812CB"/>
    <w:rsid w:val="08934724"/>
    <w:rsid w:val="08B5444C"/>
    <w:rsid w:val="08C50679"/>
    <w:rsid w:val="08CC33C6"/>
    <w:rsid w:val="08D52B10"/>
    <w:rsid w:val="08EA3DF0"/>
    <w:rsid w:val="08F6777A"/>
    <w:rsid w:val="090438EF"/>
    <w:rsid w:val="09053B20"/>
    <w:rsid w:val="0945589B"/>
    <w:rsid w:val="09526571"/>
    <w:rsid w:val="095513AF"/>
    <w:rsid w:val="096C0FF4"/>
    <w:rsid w:val="0983152E"/>
    <w:rsid w:val="098366F0"/>
    <w:rsid w:val="098767DF"/>
    <w:rsid w:val="099956B2"/>
    <w:rsid w:val="09BA74F7"/>
    <w:rsid w:val="09BD22F5"/>
    <w:rsid w:val="09BF2B74"/>
    <w:rsid w:val="09E45CF4"/>
    <w:rsid w:val="0A2B5127"/>
    <w:rsid w:val="0A2F4430"/>
    <w:rsid w:val="0A64790D"/>
    <w:rsid w:val="0A7E4F16"/>
    <w:rsid w:val="0A9465F6"/>
    <w:rsid w:val="0AA4384D"/>
    <w:rsid w:val="0AA53728"/>
    <w:rsid w:val="0AAB4E04"/>
    <w:rsid w:val="0ABE0949"/>
    <w:rsid w:val="0ABF378D"/>
    <w:rsid w:val="0AD11041"/>
    <w:rsid w:val="0AD430A9"/>
    <w:rsid w:val="0ADB7D3B"/>
    <w:rsid w:val="0AE8688F"/>
    <w:rsid w:val="0B0E74F7"/>
    <w:rsid w:val="0B234E23"/>
    <w:rsid w:val="0B3E17AE"/>
    <w:rsid w:val="0B4137C8"/>
    <w:rsid w:val="0B4B3781"/>
    <w:rsid w:val="0B4E4754"/>
    <w:rsid w:val="0B642AF1"/>
    <w:rsid w:val="0B7A58CB"/>
    <w:rsid w:val="0B7D4090"/>
    <w:rsid w:val="0B7E7CA6"/>
    <w:rsid w:val="0B913A8C"/>
    <w:rsid w:val="0BA15E3C"/>
    <w:rsid w:val="0BA52E9F"/>
    <w:rsid w:val="0BCD4F16"/>
    <w:rsid w:val="0BDC6DAF"/>
    <w:rsid w:val="0BEB2AA1"/>
    <w:rsid w:val="0BFC7742"/>
    <w:rsid w:val="0C017B67"/>
    <w:rsid w:val="0C6F3D80"/>
    <w:rsid w:val="0C7E091E"/>
    <w:rsid w:val="0C8C5123"/>
    <w:rsid w:val="0C8F1060"/>
    <w:rsid w:val="0C98508B"/>
    <w:rsid w:val="0C9F295B"/>
    <w:rsid w:val="0CAD5655"/>
    <w:rsid w:val="0CBD255F"/>
    <w:rsid w:val="0CCA7F4D"/>
    <w:rsid w:val="0CD31567"/>
    <w:rsid w:val="0CDD0426"/>
    <w:rsid w:val="0D48119C"/>
    <w:rsid w:val="0D531A75"/>
    <w:rsid w:val="0D717582"/>
    <w:rsid w:val="0D8C083D"/>
    <w:rsid w:val="0DB917D0"/>
    <w:rsid w:val="0DBA0438"/>
    <w:rsid w:val="0DBB0CF2"/>
    <w:rsid w:val="0DC81507"/>
    <w:rsid w:val="0DC906E8"/>
    <w:rsid w:val="0DD32CC6"/>
    <w:rsid w:val="0DD94F1B"/>
    <w:rsid w:val="0DEF6A0B"/>
    <w:rsid w:val="0E213AE2"/>
    <w:rsid w:val="0E2469A1"/>
    <w:rsid w:val="0E272C49"/>
    <w:rsid w:val="0E38186C"/>
    <w:rsid w:val="0E584FD7"/>
    <w:rsid w:val="0E587C39"/>
    <w:rsid w:val="0EBB2C6F"/>
    <w:rsid w:val="0EC42168"/>
    <w:rsid w:val="0EC54658"/>
    <w:rsid w:val="0ECD52D4"/>
    <w:rsid w:val="0EDF3A50"/>
    <w:rsid w:val="0EE131CA"/>
    <w:rsid w:val="0F073137"/>
    <w:rsid w:val="0F1C471D"/>
    <w:rsid w:val="0F49753A"/>
    <w:rsid w:val="0F4A7471"/>
    <w:rsid w:val="0F537FA7"/>
    <w:rsid w:val="0F60162F"/>
    <w:rsid w:val="0F7B3043"/>
    <w:rsid w:val="0F940298"/>
    <w:rsid w:val="0FAF242F"/>
    <w:rsid w:val="0FCD1D1D"/>
    <w:rsid w:val="0FCD601E"/>
    <w:rsid w:val="0FDD7414"/>
    <w:rsid w:val="0FEC3BA8"/>
    <w:rsid w:val="0FFE638C"/>
    <w:rsid w:val="10034171"/>
    <w:rsid w:val="100E0772"/>
    <w:rsid w:val="101023C3"/>
    <w:rsid w:val="101828F2"/>
    <w:rsid w:val="10480AAD"/>
    <w:rsid w:val="10484B71"/>
    <w:rsid w:val="10531B6A"/>
    <w:rsid w:val="10575CCA"/>
    <w:rsid w:val="10650F9A"/>
    <w:rsid w:val="106A4C39"/>
    <w:rsid w:val="1097070E"/>
    <w:rsid w:val="10987776"/>
    <w:rsid w:val="109C320A"/>
    <w:rsid w:val="10B555B8"/>
    <w:rsid w:val="10CC4646"/>
    <w:rsid w:val="10D032CA"/>
    <w:rsid w:val="10D11CB2"/>
    <w:rsid w:val="10D35EBC"/>
    <w:rsid w:val="11037108"/>
    <w:rsid w:val="11093031"/>
    <w:rsid w:val="11130A05"/>
    <w:rsid w:val="111572B8"/>
    <w:rsid w:val="111612BF"/>
    <w:rsid w:val="113856E6"/>
    <w:rsid w:val="113D7E72"/>
    <w:rsid w:val="114710AF"/>
    <w:rsid w:val="11561C19"/>
    <w:rsid w:val="117832E1"/>
    <w:rsid w:val="117B662D"/>
    <w:rsid w:val="1193343E"/>
    <w:rsid w:val="11C50394"/>
    <w:rsid w:val="11E3198C"/>
    <w:rsid w:val="12006F13"/>
    <w:rsid w:val="121216A9"/>
    <w:rsid w:val="122009AB"/>
    <w:rsid w:val="122F3DE6"/>
    <w:rsid w:val="123445EB"/>
    <w:rsid w:val="12511FF2"/>
    <w:rsid w:val="12676FCB"/>
    <w:rsid w:val="12AA1DED"/>
    <w:rsid w:val="12B35651"/>
    <w:rsid w:val="12B855FD"/>
    <w:rsid w:val="12B94551"/>
    <w:rsid w:val="12BB58FE"/>
    <w:rsid w:val="12BF7A40"/>
    <w:rsid w:val="12C2135E"/>
    <w:rsid w:val="13364AD0"/>
    <w:rsid w:val="134038B9"/>
    <w:rsid w:val="134111F6"/>
    <w:rsid w:val="134F542C"/>
    <w:rsid w:val="1367789E"/>
    <w:rsid w:val="13732CE5"/>
    <w:rsid w:val="1374390B"/>
    <w:rsid w:val="13B0128A"/>
    <w:rsid w:val="13BF3378"/>
    <w:rsid w:val="13C60442"/>
    <w:rsid w:val="142A17B7"/>
    <w:rsid w:val="14311FDD"/>
    <w:rsid w:val="14492C4B"/>
    <w:rsid w:val="147245E9"/>
    <w:rsid w:val="14853B54"/>
    <w:rsid w:val="148E50B0"/>
    <w:rsid w:val="14A67398"/>
    <w:rsid w:val="14A8755C"/>
    <w:rsid w:val="14AF7F5C"/>
    <w:rsid w:val="14B10E40"/>
    <w:rsid w:val="14DA19DE"/>
    <w:rsid w:val="14E17E0F"/>
    <w:rsid w:val="14EA7C55"/>
    <w:rsid w:val="1501250D"/>
    <w:rsid w:val="150D5F89"/>
    <w:rsid w:val="150E6FB7"/>
    <w:rsid w:val="151A0A23"/>
    <w:rsid w:val="154076DF"/>
    <w:rsid w:val="154F1387"/>
    <w:rsid w:val="155D18B7"/>
    <w:rsid w:val="1561352D"/>
    <w:rsid w:val="15643BB2"/>
    <w:rsid w:val="15810901"/>
    <w:rsid w:val="15831E24"/>
    <w:rsid w:val="159E56A5"/>
    <w:rsid w:val="15AB4C62"/>
    <w:rsid w:val="15C77A3A"/>
    <w:rsid w:val="15D6255B"/>
    <w:rsid w:val="15DC1264"/>
    <w:rsid w:val="15E87446"/>
    <w:rsid w:val="15F01A61"/>
    <w:rsid w:val="15FA3EF2"/>
    <w:rsid w:val="15FE73D9"/>
    <w:rsid w:val="160426EA"/>
    <w:rsid w:val="160E5755"/>
    <w:rsid w:val="16113A6D"/>
    <w:rsid w:val="161552BB"/>
    <w:rsid w:val="16400BCA"/>
    <w:rsid w:val="16564584"/>
    <w:rsid w:val="1668312E"/>
    <w:rsid w:val="166C094D"/>
    <w:rsid w:val="167033DE"/>
    <w:rsid w:val="167F3F3D"/>
    <w:rsid w:val="169879DC"/>
    <w:rsid w:val="169F48ED"/>
    <w:rsid w:val="16B33413"/>
    <w:rsid w:val="16B4378D"/>
    <w:rsid w:val="16C22DC9"/>
    <w:rsid w:val="16F36825"/>
    <w:rsid w:val="16F833AC"/>
    <w:rsid w:val="16FA3E2D"/>
    <w:rsid w:val="170E12D3"/>
    <w:rsid w:val="17154F9B"/>
    <w:rsid w:val="171D116A"/>
    <w:rsid w:val="17274AE3"/>
    <w:rsid w:val="172F492B"/>
    <w:rsid w:val="17311550"/>
    <w:rsid w:val="173838B9"/>
    <w:rsid w:val="17387827"/>
    <w:rsid w:val="173B46FE"/>
    <w:rsid w:val="17526A44"/>
    <w:rsid w:val="175D7ABE"/>
    <w:rsid w:val="176223E7"/>
    <w:rsid w:val="17780530"/>
    <w:rsid w:val="178B43F2"/>
    <w:rsid w:val="17B009C9"/>
    <w:rsid w:val="17D870AB"/>
    <w:rsid w:val="17DF1406"/>
    <w:rsid w:val="17F10C08"/>
    <w:rsid w:val="180500B4"/>
    <w:rsid w:val="184202A9"/>
    <w:rsid w:val="18507BB8"/>
    <w:rsid w:val="18704480"/>
    <w:rsid w:val="187E3BF0"/>
    <w:rsid w:val="189800D9"/>
    <w:rsid w:val="18A7366B"/>
    <w:rsid w:val="18B679CF"/>
    <w:rsid w:val="18BB013C"/>
    <w:rsid w:val="18E22A07"/>
    <w:rsid w:val="19152382"/>
    <w:rsid w:val="19197A82"/>
    <w:rsid w:val="19325F27"/>
    <w:rsid w:val="19393561"/>
    <w:rsid w:val="193F74A7"/>
    <w:rsid w:val="1950316C"/>
    <w:rsid w:val="195B6D12"/>
    <w:rsid w:val="199208C8"/>
    <w:rsid w:val="19F55688"/>
    <w:rsid w:val="19F73982"/>
    <w:rsid w:val="1A10599B"/>
    <w:rsid w:val="1A125D6F"/>
    <w:rsid w:val="1A2D6D20"/>
    <w:rsid w:val="1A3741C5"/>
    <w:rsid w:val="1A4055FA"/>
    <w:rsid w:val="1A575A41"/>
    <w:rsid w:val="1A6E45F8"/>
    <w:rsid w:val="1A773737"/>
    <w:rsid w:val="1A84691F"/>
    <w:rsid w:val="1A9D73EF"/>
    <w:rsid w:val="1AA7536F"/>
    <w:rsid w:val="1AA962C6"/>
    <w:rsid w:val="1AB324C3"/>
    <w:rsid w:val="1AB85CDE"/>
    <w:rsid w:val="1ABB7A0C"/>
    <w:rsid w:val="1ADA571F"/>
    <w:rsid w:val="1AE75F10"/>
    <w:rsid w:val="1AED6EE1"/>
    <w:rsid w:val="1AFD46C0"/>
    <w:rsid w:val="1B174977"/>
    <w:rsid w:val="1B4A2A79"/>
    <w:rsid w:val="1B662A69"/>
    <w:rsid w:val="1B6B06EA"/>
    <w:rsid w:val="1B706A11"/>
    <w:rsid w:val="1B7103C6"/>
    <w:rsid w:val="1B7F354D"/>
    <w:rsid w:val="1B9F0147"/>
    <w:rsid w:val="1BAE6A01"/>
    <w:rsid w:val="1BC118AC"/>
    <w:rsid w:val="1BDB6BE0"/>
    <w:rsid w:val="1BF065D9"/>
    <w:rsid w:val="1BFE0A89"/>
    <w:rsid w:val="1C145728"/>
    <w:rsid w:val="1C3201D3"/>
    <w:rsid w:val="1C354AF8"/>
    <w:rsid w:val="1C4742B1"/>
    <w:rsid w:val="1C4A3EDF"/>
    <w:rsid w:val="1C5F2DAF"/>
    <w:rsid w:val="1C6B1F1E"/>
    <w:rsid w:val="1C720299"/>
    <w:rsid w:val="1C80545A"/>
    <w:rsid w:val="1C834919"/>
    <w:rsid w:val="1C881B27"/>
    <w:rsid w:val="1C8E3FF4"/>
    <w:rsid w:val="1C984199"/>
    <w:rsid w:val="1CB8018D"/>
    <w:rsid w:val="1CEA31B8"/>
    <w:rsid w:val="1CF20A04"/>
    <w:rsid w:val="1D1106BC"/>
    <w:rsid w:val="1D234F63"/>
    <w:rsid w:val="1D3B2CEB"/>
    <w:rsid w:val="1D563282"/>
    <w:rsid w:val="1D5C47A7"/>
    <w:rsid w:val="1D5E60CD"/>
    <w:rsid w:val="1D7634C6"/>
    <w:rsid w:val="1D7845D7"/>
    <w:rsid w:val="1D824BF0"/>
    <w:rsid w:val="1D9A536B"/>
    <w:rsid w:val="1DB433DE"/>
    <w:rsid w:val="1DD16FE3"/>
    <w:rsid w:val="1DDF3402"/>
    <w:rsid w:val="1DEE6077"/>
    <w:rsid w:val="1DF754AC"/>
    <w:rsid w:val="1E0105F2"/>
    <w:rsid w:val="1E042A20"/>
    <w:rsid w:val="1E0B420B"/>
    <w:rsid w:val="1E277B9D"/>
    <w:rsid w:val="1E3B7181"/>
    <w:rsid w:val="1E4A39E4"/>
    <w:rsid w:val="1E4B79F9"/>
    <w:rsid w:val="1E5B512B"/>
    <w:rsid w:val="1E5C3D9F"/>
    <w:rsid w:val="1E5D1B2E"/>
    <w:rsid w:val="1E7F261A"/>
    <w:rsid w:val="1E9B71C4"/>
    <w:rsid w:val="1EBA22C4"/>
    <w:rsid w:val="1ECB287F"/>
    <w:rsid w:val="1ED3534B"/>
    <w:rsid w:val="1EDA478E"/>
    <w:rsid w:val="1EE64A59"/>
    <w:rsid w:val="1EF71537"/>
    <w:rsid w:val="1F375F76"/>
    <w:rsid w:val="1F3A3F84"/>
    <w:rsid w:val="1F3B6C7E"/>
    <w:rsid w:val="1F4D1CAB"/>
    <w:rsid w:val="1F624707"/>
    <w:rsid w:val="1F637958"/>
    <w:rsid w:val="1F704891"/>
    <w:rsid w:val="1F940883"/>
    <w:rsid w:val="1F967825"/>
    <w:rsid w:val="1FA3475D"/>
    <w:rsid w:val="1FAD42BF"/>
    <w:rsid w:val="1FB46FD8"/>
    <w:rsid w:val="1FB60379"/>
    <w:rsid w:val="1FBE3FF8"/>
    <w:rsid w:val="1FDF4550"/>
    <w:rsid w:val="202738B1"/>
    <w:rsid w:val="202C036D"/>
    <w:rsid w:val="20374403"/>
    <w:rsid w:val="20426214"/>
    <w:rsid w:val="205638BA"/>
    <w:rsid w:val="20654810"/>
    <w:rsid w:val="2067221F"/>
    <w:rsid w:val="207B5C33"/>
    <w:rsid w:val="20837804"/>
    <w:rsid w:val="20892262"/>
    <w:rsid w:val="20921809"/>
    <w:rsid w:val="209F0212"/>
    <w:rsid w:val="20B21D71"/>
    <w:rsid w:val="20B32BAC"/>
    <w:rsid w:val="20B5626C"/>
    <w:rsid w:val="20BC350C"/>
    <w:rsid w:val="20C15A95"/>
    <w:rsid w:val="20C7732C"/>
    <w:rsid w:val="20D424F1"/>
    <w:rsid w:val="20E34901"/>
    <w:rsid w:val="20E60A0B"/>
    <w:rsid w:val="20F91BA2"/>
    <w:rsid w:val="212474B4"/>
    <w:rsid w:val="21332172"/>
    <w:rsid w:val="21684BD9"/>
    <w:rsid w:val="21817D4A"/>
    <w:rsid w:val="21CC7134"/>
    <w:rsid w:val="21E4684D"/>
    <w:rsid w:val="220E6C78"/>
    <w:rsid w:val="224B1B28"/>
    <w:rsid w:val="226B13AC"/>
    <w:rsid w:val="227E2386"/>
    <w:rsid w:val="22B735BA"/>
    <w:rsid w:val="22BF2AAF"/>
    <w:rsid w:val="22DB6DED"/>
    <w:rsid w:val="22E27535"/>
    <w:rsid w:val="22E973BF"/>
    <w:rsid w:val="22F1290F"/>
    <w:rsid w:val="230F072F"/>
    <w:rsid w:val="232C440D"/>
    <w:rsid w:val="232F57E8"/>
    <w:rsid w:val="23346418"/>
    <w:rsid w:val="233A5F62"/>
    <w:rsid w:val="23664E25"/>
    <w:rsid w:val="236E1CC3"/>
    <w:rsid w:val="2372224F"/>
    <w:rsid w:val="23747B4D"/>
    <w:rsid w:val="239641A2"/>
    <w:rsid w:val="239A5321"/>
    <w:rsid w:val="239E5523"/>
    <w:rsid w:val="239F1225"/>
    <w:rsid w:val="23A350AB"/>
    <w:rsid w:val="23BD35D7"/>
    <w:rsid w:val="23C56311"/>
    <w:rsid w:val="23C60A39"/>
    <w:rsid w:val="23C701E2"/>
    <w:rsid w:val="23DB3721"/>
    <w:rsid w:val="23DB7A50"/>
    <w:rsid w:val="23E9601C"/>
    <w:rsid w:val="23EB3C33"/>
    <w:rsid w:val="23FE379B"/>
    <w:rsid w:val="24102F0B"/>
    <w:rsid w:val="24341CA8"/>
    <w:rsid w:val="244A6E07"/>
    <w:rsid w:val="24583D70"/>
    <w:rsid w:val="24666026"/>
    <w:rsid w:val="246E3236"/>
    <w:rsid w:val="249D29D1"/>
    <w:rsid w:val="24B55F91"/>
    <w:rsid w:val="24C604E6"/>
    <w:rsid w:val="24D20FF9"/>
    <w:rsid w:val="24E20CF6"/>
    <w:rsid w:val="24E63C4F"/>
    <w:rsid w:val="24F938F4"/>
    <w:rsid w:val="25035884"/>
    <w:rsid w:val="253276F1"/>
    <w:rsid w:val="253A2884"/>
    <w:rsid w:val="25751F6E"/>
    <w:rsid w:val="25816ACF"/>
    <w:rsid w:val="258F1886"/>
    <w:rsid w:val="25B36D6E"/>
    <w:rsid w:val="25B53012"/>
    <w:rsid w:val="25DE181C"/>
    <w:rsid w:val="25EC0E8F"/>
    <w:rsid w:val="2601458D"/>
    <w:rsid w:val="26051704"/>
    <w:rsid w:val="26177E28"/>
    <w:rsid w:val="262830E6"/>
    <w:rsid w:val="262A16F4"/>
    <w:rsid w:val="2631258C"/>
    <w:rsid w:val="2653042D"/>
    <w:rsid w:val="26540923"/>
    <w:rsid w:val="26584E79"/>
    <w:rsid w:val="26617F36"/>
    <w:rsid w:val="26806B1F"/>
    <w:rsid w:val="26A050B9"/>
    <w:rsid w:val="26B72623"/>
    <w:rsid w:val="26C53B3E"/>
    <w:rsid w:val="26CB0117"/>
    <w:rsid w:val="26D3254A"/>
    <w:rsid w:val="26E37987"/>
    <w:rsid w:val="26E40BC9"/>
    <w:rsid w:val="272017C3"/>
    <w:rsid w:val="272F1F6A"/>
    <w:rsid w:val="274641DB"/>
    <w:rsid w:val="27656941"/>
    <w:rsid w:val="276D4EDF"/>
    <w:rsid w:val="277132EB"/>
    <w:rsid w:val="277E6541"/>
    <w:rsid w:val="280E38E1"/>
    <w:rsid w:val="282224B3"/>
    <w:rsid w:val="28241777"/>
    <w:rsid w:val="284B06C8"/>
    <w:rsid w:val="28562011"/>
    <w:rsid w:val="285D4C4A"/>
    <w:rsid w:val="2888232E"/>
    <w:rsid w:val="289867C7"/>
    <w:rsid w:val="289C1689"/>
    <w:rsid w:val="28A54732"/>
    <w:rsid w:val="28AE0075"/>
    <w:rsid w:val="28B752DD"/>
    <w:rsid w:val="28C27216"/>
    <w:rsid w:val="28C5358F"/>
    <w:rsid w:val="28C6025A"/>
    <w:rsid w:val="28E84002"/>
    <w:rsid w:val="28F4629F"/>
    <w:rsid w:val="290A196E"/>
    <w:rsid w:val="29130023"/>
    <w:rsid w:val="292909F3"/>
    <w:rsid w:val="29446C8F"/>
    <w:rsid w:val="294F7925"/>
    <w:rsid w:val="29565E4C"/>
    <w:rsid w:val="29586AE9"/>
    <w:rsid w:val="295C1508"/>
    <w:rsid w:val="29646D9D"/>
    <w:rsid w:val="296C4C86"/>
    <w:rsid w:val="29714B54"/>
    <w:rsid w:val="2971751F"/>
    <w:rsid w:val="297C0386"/>
    <w:rsid w:val="298A3A47"/>
    <w:rsid w:val="29EA39BA"/>
    <w:rsid w:val="2A12508A"/>
    <w:rsid w:val="2A1960CE"/>
    <w:rsid w:val="2A210F45"/>
    <w:rsid w:val="2A222E49"/>
    <w:rsid w:val="2A284A8B"/>
    <w:rsid w:val="2A3921C7"/>
    <w:rsid w:val="2A495697"/>
    <w:rsid w:val="2A4B6AB7"/>
    <w:rsid w:val="2A9C2F6C"/>
    <w:rsid w:val="2AA32C78"/>
    <w:rsid w:val="2AAD7FF0"/>
    <w:rsid w:val="2ACE6A61"/>
    <w:rsid w:val="2ADE5D1A"/>
    <w:rsid w:val="2AEE5978"/>
    <w:rsid w:val="2AFB1B6B"/>
    <w:rsid w:val="2AFC2C61"/>
    <w:rsid w:val="2B0E41FD"/>
    <w:rsid w:val="2B2A64FC"/>
    <w:rsid w:val="2B4D0F9B"/>
    <w:rsid w:val="2B614DEE"/>
    <w:rsid w:val="2B6A2A0F"/>
    <w:rsid w:val="2B810714"/>
    <w:rsid w:val="2B8A3CF0"/>
    <w:rsid w:val="2BA574CB"/>
    <w:rsid w:val="2BAB3C30"/>
    <w:rsid w:val="2BB30465"/>
    <w:rsid w:val="2BD56B86"/>
    <w:rsid w:val="2BD87314"/>
    <w:rsid w:val="2BDD4F94"/>
    <w:rsid w:val="2BE053EA"/>
    <w:rsid w:val="2BE32D29"/>
    <w:rsid w:val="2BF02344"/>
    <w:rsid w:val="2BFB2CDD"/>
    <w:rsid w:val="2BFC6147"/>
    <w:rsid w:val="2C1031B5"/>
    <w:rsid w:val="2C153D83"/>
    <w:rsid w:val="2C2D57F3"/>
    <w:rsid w:val="2C330651"/>
    <w:rsid w:val="2C54093B"/>
    <w:rsid w:val="2C6E4C61"/>
    <w:rsid w:val="2C7211DD"/>
    <w:rsid w:val="2C9752E5"/>
    <w:rsid w:val="2CBE216F"/>
    <w:rsid w:val="2CBE469F"/>
    <w:rsid w:val="2CCE3B44"/>
    <w:rsid w:val="2CE104BA"/>
    <w:rsid w:val="2CE54DCF"/>
    <w:rsid w:val="2CEC5E40"/>
    <w:rsid w:val="2CED2AFA"/>
    <w:rsid w:val="2CF2314A"/>
    <w:rsid w:val="2CF65F36"/>
    <w:rsid w:val="2CFC5604"/>
    <w:rsid w:val="2D2069B7"/>
    <w:rsid w:val="2D210E93"/>
    <w:rsid w:val="2D4A656B"/>
    <w:rsid w:val="2D54173C"/>
    <w:rsid w:val="2D666D4D"/>
    <w:rsid w:val="2D783C6D"/>
    <w:rsid w:val="2D91356F"/>
    <w:rsid w:val="2D9A154E"/>
    <w:rsid w:val="2DAC70AF"/>
    <w:rsid w:val="2DBA4F58"/>
    <w:rsid w:val="2E0E1E1C"/>
    <w:rsid w:val="2E18641B"/>
    <w:rsid w:val="2E3378F7"/>
    <w:rsid w:val="2E496385"/>
    <w:rsid w:val="2E4C173C"/>
    <w:rsid w:val="2E5E2545"/>
    <w:rsid w:val="2E627104"/>
    <w:rsid w:val="2E6C3D78"/>
    <w:rsid w:val="2E815114"/>
    <w:rsid w:val="2E8636FD"/>
    <w:rsid w:val="2EB2341A"/>
    <w:rsid w:val="2ECC1E72"/>
    <w:rsid w:val="2ECD2F28"/>
    <w:rsid w:val="2ECF3779"/>
    <w:rsid w:val="2EEB55F2"/>
    <w:rsid w:val="2EEE7B94"/>
    <w:rsid w:val="2EF5097F"/>
    <w:rsid w:val="2F0D5413"/>
    <w:rsid w:val="2F1348C2"/>
    <w:rsid w:val="2F3A7754"/>
    <w:rsid w:val="2F3D50C9"/>
    <w:rsid w:val="2F6227DB"/>
    <w:rsid w:val="2F712F6D"/>
    <w:rsid w:val="2F82576D"/>
    <w:rsid w:val="2FC673F5"/>
    <w:rsid w:val="2FCC6B14"/>
    <w:rsid w:val="2FE732FC"/>
    <w:rsid w:val="2FED6ED2"/>
    <w:rsid w:val="3016338A"/>
    <w:rsid w:val="3023014D"/>
    <w:rsid w:val="302B6545"/>
    <w:rsid w:val="30326D67"/>
    <w:rsid w:val="30444B41"/>
    <w:rsid w:val="305C38E8"/>
    <w:rsid w:val="305F5EDB"/>
    <w:rsid w:val="30D46BA9"/>
    <w:rsid w:val="30E35608"/>
    <w:rsid w:val="31187F60"/>
    <w:rsid w:val="31285238"/>
    <w:rsid w:val="31461573"/>
    <w:rsid w:val="31481BE5"/>
    <w:rsid w:val="31595EBC"/>
    <w:rsid w:val="316C3740"/>
    <w:rsid w:val="316C62BA"/>
    <w:rsid w:val="31825600"/>
    <w:rsid w:val="31FD3BE1"/>
    <w:rsid w:val="3201222B"/>
    <w:rsid w:val="323667A2"/>
    <w:rsid w:val="32413C72"/>
    <w:rsid w:val="32530349"/>
    <w:rsid w:val="3260667C"/>
    <w:rsid w:val="32821FF2"/>
    <w:rsid w:val="32CF09F0"/>
    <w:rsid w:val="32CF7F09"/>
    <w:rsid w:val="32E71801"/>
    <w:rsid w:val="32E82524"/>
    <w:rsid w:val="331E7334"/>
    <w:rsid w:val="33330910"/>
    <w:rsid w:val="333C1C3E"/>
    <w:rsid w:val="333C686E"/>
    <w:rsid w:val="33406F92"/>
    <w:rsid w:val="334E7D83"/>
    <w:rsid w:val="33A85808"/>
    <w:rsid w:val="33BD4CE3"/>
    <w:rsid w:val="33CC6306"/>
    <w:rsid w:val="33D42671"/>
    <w:rsid w:val="33D848D6"/>
    <w:rsid w:val="33DF6B04"/>
    <w:rsid w:val="343654ED"/>
    <w:rsid w:val="34374C1C"/>
    <w:rsid w:val="34482013"/>
    <w:rsid w:val="3451513D"/>
    <w:rsid w:val="34564B87"/>
    <w:rsid w:val="34581B8D"/>
    <w:rsid w:val="34637F70"/>
    <w:rsid w:val="34757FC4"/>
    <w:rsid w:val="34955962"/>
    <w:rsid w:val="34A931E1"/>
    <w:rsid w:val="34AD21C9"/>
    <w:rsid w:val="34BB157F"/>
    <w:rsid w:val="34C87A61"/>
    <w:rsid w:val="34E53DF3"/>
    <w:rsid w:val="35072AE5"/>
    <w:rsid w:val="35077F64"/>
    <w:rsid w:val="351712B6"/>
    <w:rsid w:val="353954A0"/>
    <w:rsid w:val="355E1257"/>
    <w:rsid w:val="35633A7B"/>
    <w:rsid w:val="35640F1C"/>
    <w:rsid w:val="35664026"/>
    <w:rsid w:val="35891C9A"/>
    <w:rsid w:val="358B73E6"/>
    <w:rsid w:val="3596250E"/>
    <w:rsid w:val="3597483E"/>
    <w:rsid w:val="359B74B2"/>
    <w:rsid w:val="35B76544"/>
    <w:rsid w:val="35C67225"/>
    <w:rsid w:val="35CA0BCD"/>
    <w:rsid w:val="35CA5473"/>
    <w:rsid w:val="35D47F19"/>
    <w:rsid w:val="35E63436"/>
    <w:rsid w:val="35FD3F2D"/>
    <w:rsid w:val="36141851"/>
    <w:rsid w:val="361447BD"/>
    <w:rsid w:val="363E240C"/>
    <w:rsid w:val="364823A9"/>
    <w:rsid w:val="364A4742"/>
    <w:rsid w:val="364C4EC8"/>
    <w:rsid w:val="365F3637"/>
    <w:rsid w:val="36630781"/>
    <w:rsid w:val="366C5322"/>
    <w:rsid w:val="367D457C"/>
    <w:rsid w:val="367F1996"/>
    <w:rsid w:val="368C4861"/>
    <w:rsid w:val="36940C3D"/>
    <w:rsid w:val="369D7E96"/>
    <w:rsid w:val="36A160DC"/>
    <w:rsid w:val="36C96797"/>
    <w:rsid w:val="36D4341D"/>
    <w:rsid w:val="36D755E5"/>
    <w:rsid w:val="36E33DD2"/>
    <w:rsid w:val="370007CF"/>
    <w:rsid w:val="37092A4F"/>
    <w:rsid w:val="37135221"/>
    <w:rsid w:val="371A0316"/>
    <w:rsid w:val="37223DE1"/>
    <w:rsid w:val="373833BF"/>
    <w:rsid w:val="374D49A1"/>
    <w:rsid w:val="375A69F9"/>
    <w:rsid w:val="37775D8B"/>
    <w:rsid w:val="378626CE"/>
    <w:rsid w:val="379C7942"/>
    <w:rsid w:val="37AC6A47"/>
    <w:rsid w:val="37AF518A"/>
    <w:rsid w:val="37B273F9"/>
    <w:rsid w:val="37B27A6C"/>
    <w:rsid w:val="37B85777"/>
    <w:rsid w:val="37C30708"/>
    <w:rsid w:val="37CF1F6A"/>
    <w:rsid w:val="37EA09DC"/>
    <w:rsid w:val="381F28AA"/>
    <w:rsid w:val="38215193"/>
    <w:rsid w:val="38364E64"/>
    <w:rsid w:val="38520E0E"/>
    <w:rsid w:val="387129DA"/>
    <w:rsid w:val="388A063F"/>
    <w:rsid w:val="388E4F7A"/>
    <w:rsid w:val="38A354AB"/>
    <w:rsid w:val="38AE640C"/>
    <w:rsid w:val="38B949D8"/>
    <w:rsid w:val="38FB7F57"/>
    <w:rsid w:val="39003B1F"/>
    <w:rsid w:val="39393738"/>
    <w:rsid w:val="395F1CE0"/>
    <w:rsid w:val="39632AB1"/>
    <w:rsid w:val="39652E7F"/>
    <w:rsid w:val="398B5229"/>
    <w:rsid w:val="39AF7F73"/>
    <w:rsid w:val="39B71FE7"/>
    <w:rsid w:val="39BC4CCE"/>
    <w:rsid w:val="39C61D74"/>
    <w:rsid w:val="39F01D5D"/>
    <w:rsid w:val="39F74F2E"/>
    <w:rsid w:val="3A0044DC"/>
    <w:rsid w:val="3A4B0390"/>
    <w:rsid w:val="3A540FBE"/>
    <w:rsid w:val="3A6862DE"/>
    <w:rsid w:val="3A7B2BEB"/>
    <w:rsid w:val="3A7E0E7E"/>
    <w:rsid w:val="3A8F6602"/>
    <w:rsid w:val="3AB9647C"/>
    <w:rsid w:val="3AE63FAA"/>
    <w:rsid w:val="3B036B9E"/>
    <w:rsid w:val="3B283FAF"/>
    <w:rsid w:val="3B5C0C3E"/>
    <w:rsid w:val="3BA135FF"/>
    <w:rsid w:val="3BAD213A"/>
    <w:rsid w:val="3BBE26AC"/>
    <w:rsid w:val="3BC9280A"/>
    <w:rsid w:val="3BEF4CC9"/>
    <w:rsid w:val="3C096DE3"/>
    <w:rsid w:val="3C4068C3"/>
    <w:rsid w:val="3C820B7D"/>
    <w:rsid w:val="3C914146"/>
    <w:rsid w:val="3CE12ED4"/>
    <w:rsid w:val="3CF347BA"/>
    <w:rsid w:val="3CFF09CB"/>
    <w:rsid w:val="3D1731C3"/>
    <w:rsid w:val="3D19216A"/>
    <w:rsid w:val="3D2F18EB"/>
    <w:rsid w:val="3D3B2DF6"/>
    <w:rsid w:val="3D49026B"/>
    <w:rsid w:val="3D5D0A11"/>
    <w:rsid w:val="3D6A3CA9"/>
    <w:rsid w:val="3D6F7A75"/>
    <w:rsid w:val="3D813AEA"/>
    <w:rsid w:val="3D915714"/>
    <w:rsid w:val="3DB611FE"/>
    <w:rsid w:val="3DBE6224"/>
    <w:rsid w:val="3DD4571E"/>
    <w:rsid w:val="3DDA7555"/>
    <w:rsid w:val="3E0214C3"/>
    <w:rsid w:val="3E0E117C"/>
    <w:rsid w:val="3E0F0346"/>
    <w:rsid w:val="3E0F51C4"/>
    <w:rsid w:val="3E1A0E7B"/>
    <w:rsid w:val="3E1C10D5"/>
    <w:rsid w:val="3E1C2CCB"/>
    <w:rsid w:val="3E2101BB"/>
    <w:rsid w:val="3E2F7164"/>
    <w:rsid w:val="3E3320F2"/>
    <w:rsid w:val="3E422922"/>
    <w:rsid w:val="3E6842C3"/>
    <w:rsid w:val="3E8C2AD1"/>
    <w:rsid w:val="3EAF79F4"/>
    <w:rsid w:val="3ED00F77"/>
    <w:rsid w:val="3EEF6981"/>
    <w:rsid w:val="3EF85D7B"/>
    <w:rsid w:val="3F0763C3"/>
    <w:rsid w:val="3F2344D0"/>
    <w:rsid w:val="3F2E4930"/>
    <w:rsid w:val="3F42388A"/>
    <w:rsid w:val="3F46208C"/>
    <w:rsid w:val="3F491EEF"/>
    <w:rsid w:val="3F4C193A"/>
    <w:rsid w:val="3F895187"/>
    <w:rsid w:val="3F9A3F7B"/>
    <w:rsid w:val="3F9E70B6"/>
    <w:rsid w:val="3FAB560F"/>
    <w:rsid w:val="3FDD5B6D"/>
    <w:rsid w:val="400E12DA"/>
    <w:rsid w:val="401C7BCE"/>
    <w:rsid w:val="40316EE6"/>
    <w:rsid w:val="40362289"/>
    <w:rsid w:val="4055185E"/>
    <w:rsid w:val="40575585"/>
    <w:rsid w:val="40597F63"/>
    <w:rsid w:val="407E77BF"/>
    <w:rsid w:val="4081158A"/>
    <w:rsid w:val="408D5F6B"/>
    <w:rsid w:val="408F2DE0"/>
    <w:rsid w:val="40AA70CB"/>
    <w:rsid w:val="40B53FAD"/>
    <w:rsid w:val="40CB32BE"/>
    <w:rsid w:val="40D61132"/>
    <w:rsid w:val="40E608AE"/>
    <w:rsid w:val="412668FE"/>
    <w:rsid w:val="41644522"/>
    <w:rsid w:val="416849C6"/>
    <w:rsid w:val="41D87D7D"/>
    <w:rsid w:val="41D9218C"/>
    <w:rsid w:val="41E35E47"/>
    <w:rsid w:val="41F6090B"/>
    <w:rsid w:val="41FB1D89"/>
    <w:rsid w:val="420E1FEF"/>
    <w:rsid w:val="421336C1"/>
    <w:rsid w:val="421F7C3B"/>
    <w:rsid w:val="422B037F"/>
    <w:rsid w:val="422D159D"/>
    <w:rsid w:val="42420BBB"/>
    <w:rsid w:val="42446634"/>
    <w:rsid w:val="4245288D"/>
    <w:rsid w:val="424601E2"/>
    <w:rsid w:val="42573100"/>
    <w:rsid w:val="429A105D"/>
    <w:rsid w:val="42A167A6"/>
    <w:rsid w:val="42B464A6"/>
    <w:rsid w:val="42BD1C93"/>
    <w:rsid w:val="42C3331C"/>
    <w:rsid w:val="42E237C2"/>
    <w:rsid w:val="42F2208B"/>
    <w:rsid w:val="43034E36"/>
    <w:rsid w:val="43200914"/>
    <w:rsid w:val="433102BE"/>
    <w:rsid w:val="433934D1"/>
    <w:rsid w:val="43397139"/>
    <w:rsid w:val="43542A5F"/>
    <w:rsid w:val="435B0C3C"/>
    <w:rsid w:val="435D2760"/>
    <w:rsid w:val="43783074"/>
    <w:rsid w:val="437C6F99"/>
    <w:rsid w:val="439B42D4"/>
    <w:rsid w:val="43A94C00"/>
    <w:rsid w:val="43D539C8"/>
    <w:rsid w:val="43D85A1D"/>
    <w:rsid w:val="43F76125"/>
    <w:rsid w:val="43FB62A8"/>
    <w:rsid w:val="44261B28"/>
    <w:rsid w:val="44287EB3"/>
    <w:rsid w:val="446F7CAF"/>
    <w:rsid w:val="44807E14"/>
    <w:rsid w:val="449C51DA"/>
    <w:rsid w:val="44D76277"/>
    <w:rsid w:val="450E5424"/>
    <w:rsid w:val="45406F5C"/>
    <w:rsid w:val="4547712C"/>
    <w:rsid w:val="456F0A54"/>
    <w:rsid w:val="45912065"/>
    <w:rsid w:val="45952117"/>
    <w:rsid w:val="45B87775"/>
    <w:rsid w:val="45C56EDA"/>
    <w:rsid w:val="45CC2C3D"/>
    <w:rsid w:val="45D43BED"/>
    <w:rsid w:val="45EC0552"/>
    <w:rsid w:val="45F81DB6"/>
    <w:rsid w:val="45FD55BF"/>
    <w:rsid w:val="46122352"/>
    <w:rsid w:val="46207F3A"/>
    <w:rsid w:val="462B63E5"/>
    <w:rsid w:val="462D1F0E"/>
    <w:rsid w:val="463A5C26"/>
    <w:rsid w:val="464E5C4F"/>
    <w:rsid w:val="4667020E"/>
    <w:rsid w:val="46690AC2"/>
    <w:rsid w:val="4672719F"/>
    <w:rsid w:val="467A5AF4"/>
    <w:rsid w:val="46812B8C"/>
    <w:rsid w:val="468D2A16"/>
    <w:rsid w:val="46932817"/>
    <w:rsid w:val="469A0DD7"/>
    <w:rsid w:val="46A86587"/>
    <w:rsid w:val="46B32502"/>
    <w:rsid w:val="46BF0D82"/>
    <w:rsid w:val="46BF17F4"/>
    <w:rsid w:val="46F17258"/>
    <w:rsid w:val="472337BB"/>
    <w:rsid w:val="474151D0"/>
    <w:rsid w:val="4745281D"/>
    <w:rsid w:val="47492C5B"/>
    <w:rsid w:val="47A83FF0"/>
    <w:rsid w:val="47B9688E"/>
    <w:rsid w:val="47BB58C6"/>
    <w:rsid w:val="47C03F4B"/>
    <w:rsid w:val="47EA0BBB"/>
    <w:rsid w:val="47FA5F55"/>
    <w:rsid w:val="481D171D"/>
    <w:rsid w:val="484419EA"/>
    <w:rsid w:val="48482BA2"/>
    <w:rsid w:val="48496596"/>
    <w:rsid w:val="48497673"/>
    <w:rsid w:val="487D1DBA"/>
    <w:rsid w:val="48857518"/>
    <w:rsid w:val="488B39D9"/>
    <w:rsid w:val="48931C2A"/>
    <w:rsid w:val="48CB67BE"/>
    <w:rsid w:val="48D95A72"/>
    <w:rsid w:val="48FB395E"/>
    <w:rsid w:val="490039F2"/>
    <w:rsid w:val="49066A86"/>
    <w:rsid w:val="490960B8"/>
    <w:rsid w:val="49136DE5"/>
    <w:rsid w:val="49176DF4"/>
    <w:rsid w:val="49205F21"/>
    <w:rsid w:val="49367DDB"/>
    <w:rsid w:val="496C434F"/>
    <w:rsid w:val="49B72ADD"/>
    <w:rsid w:val="49BB05CC"/>
    <w:rsid w:val="49E63D13"/>
    <w:rsid w:val="49EE5E12"/>
    <w:rsid w:val="49F4182A"/>
    <w:rsid w:val="4A046C80"/>
    <w:rsid w:val="4A263EBC"/>
    <w:rsid w:val="4A2A1B94"/>
    <w:rsid w:val="4A4C783C"/>
    <w:rsid w:val="4A5C503F"/>
    <w:rsid w:val="4A616C17"/>
    <w:rsid w:val="4A6A7333"/>
    <w:rsid w:val="4A715DE4"/>
    <w:rsid w:val="4A793860"/>
    <w:rsid w:val="4A811260"/>
    <w:rsid w:val="4A833509"/>
    <w:rsid w:val="4A8414D1"/>
    <w:rsid w:val="4ADE5AD9"/>
    <w:rsid w:val="4AF75036"/>
    <w:rsid w:val="4AFF4210"/>
    <w:rsid w:val="4B162CB0"/>
    <w:rsid w:val="4B464B92"/>
    <w:rsid w:val="4B752B95"/>
    <w:rsid w:val="4B8F4044"/>
    <w:rsid w:val="4B9F1AFF"/>
    <w:rsid w:val="4BB562C1"/>
    <w:rsid w:val="4BD20B6A"/>
    <w:rsid w:val="4BF33600"/>
    <w:rsid w:val="4C036ED8"/>
    <w:rsid w:val="4C0451A9"/>
    <w:rsid w:val="4C0B3778"/>
    <w:rsid w:val="4C1053E4"/>
    <w:rsid w:val="4C2C68EB"/>
    <w:rsid w:val="4C4424A2"/>
    <w:rsid w:val="4C477F5F"/>
    <w:rsid w:val="4C661DE5"/>
    <w:rsid w:val="4C6F5A6E"/>
    <w:rsid w:val="4C787DC7"/>
    <w:rsid w:val="4C816627"/>
    <w:rsid w:val="4C8A062B"/>
    <w:rsid w:val="4C9D2E29"/>
    <w:rsid w:val="4CA47360"/>
    <w:rsid w:val="4CC06612"/>
    <w:rsid w:val="4CDA031B"/>
    <w:rsid w:val="4CDD58D7"/>
    <w:rsid w:val="4D0B67DB"/>
    <w:rsid w:val="4D3A1BBC"/>
    <w:rsid w:val="4D415F4C"/>
    <w:rsid w:val="4D47388E"/>
    <w:rsid w:val="4D4E6C89"/>
    <w:rsid w:val="4D573E80"/>
    <w:rsid w:val="4D621035"/>
    <w:rsid w:val="4D651BF2"/>
    <w:rsid w:val="4D6702CB"/>
    <w:rsid w:val="4D9119C7"/>
    <w:rsid w:val="4DC50E2D"/>
    <w:rsid w:val="4DD62058"/>
    <w:rsid w:val="4DE76E74"/>
    <w:rsid w:val="4DE80ABE"/>
    <w:rsid w:val="4DFC1EF5"/>
    <w:rsid w:val="4E13522F"/>
    <w:rsid w:val="4E1E1016"/>
    <w:rsid w:val="4E5D474D"/>
    <w:rsid w:val="4E634033"/>
    <w:rsid w:val="4E6707FE"/>
    <w:rsid w:val="4E69564D"/>
    <w:rsid w:val="4E7F4BFE"/>
    <w:rsid w:val="4E9A1380"/>
    <w:rsid w:val="4EC14F85"/>
    <w:rsid w:val="4ED57698"/>
    <w:rsid w:val="4F0A7ACE"/>
    <w:rsid w:val="4F1E7890"/>
    <w:rsid w:val="4F2256C3"/>
    <w:rsid w:val="4F487DD3"/>
    <w:rsid w:val="4F6F038B"/>
    <w:rsid w:val="4F73362E"/>
    <w:rsid w:val="4F734F7A"/>
    <w:rsid w:val="4FD66E5B"/>
    <w:rsid w:val="4FEA02D8"/>
    <w:rsid w:val="4FFF344E"/>
    <w:rsid w:val="501A5748"/>
    <w:rsid w:val="5025666E"/>
    <w:rsid w:val="50293E68"/>
    <w:rsid w:val="50447B1B"/>
    <w:rsid w:val="50643A8B"/>
    <w:rsid w:val="50702C23"/>
    <w:rsid w:val="5078248D"/>
    <w:rsid w:val="50CA06D5"/>
    <w:rsid w:val="50DF022F"/>
    <w:rsid w:val="50E152A1"/>
    <w:rsid w:val="51107A6E"/>
    <w:rsid w:val="51162E3E"/>
    <w:rsid w:val="511E731C"/>
    <w:rsid w:val="51215F20"/>
    <w:rsid w:val="512E2BF3"/>
    <w:rsid w:val="51344726"/>
    <w:rsid w:val="51350D08"/>
    <w:rsid w:val="513D0F4F"/>
    <w:rsid w:val="51453DB4"/>
    <w:rsid w:val="514D61D8"/>
    <w:rsid w:val="5159388D"/>
    <w:rsid w:val="51674B75"/>
    <w:rsid w:val="51684B05"/>
    <w:rsid w:val="51934556"/>
    <w:rsid w:val="51C90D9E"/>
    <w:rsid w:val="51E06352"/>
    <w:rsid w:val="51FD32C5"/>
    <w:rsid w:val="521065FB"/>
    <w:rsid w:val="5211490D"/>
    <w:rsid w:val="5218272B"/>
    <w:rsid w:val="52612951"/>
    <w:rsid w:val="52863DD2"/>
    <w:rsid w:val="52B579AA"/>
    <w:rsid w:val="52F0458D"/>
    <w:rsid w:val="5302310B"/>
    <w:rsid w:val="531E21A5"/>
    <w:rsid w:val="531F027C"/>
    <w:rsid w:val="5347731B"/>
    <w:rsid w:val="534E0FFD"/>
    <w:rsid w:val="53582288"/>
    <w:rsid w:val="53861DE7"/>
    <w:rsid w:val="538953EC"/>
    <w:rsid w:val="53903BAB"/>
    <w:rsid w:val="53A40290"/>
    <w:rsid w:val="53A61F99"/>
    <w:rsid w:val="53AC34F8"/>
    <w:rsid w:val="53BD03A6"/>
    <w:rsid w:val="53C21ACB"/>
    <w:rsid w:val="53EB4CBE"/>
    <w:rsid w:val="542F3E25"/>
    <w:rsid w:val="545060CA"/>
    <w:rsid w:val="54564AC0"/>
    <w:rsid w:val="5458489C"/>
    <w:rsid w:val="5464017E"/>
    <w:rsid w:val="54652B02"/>
    <w:rsid w:val="54683808"/>
    <w:rsid w:val="54A32873"/>
    <w:rsid w:val="54C70F97"/>
    <w:rsid w:val="54C76E83"/>
    <w:rsid w:val="54D62892"/>
    <w:rsid w:val="54DC27AD"/>
    <w:rsid w:val="54E2068C"/>
    <w:rsid w:val="54F127DE"/>
    <w:rsid w:val="54F77971"/>
    <w:rsid w:val="55180C2D"/>
    <w:rsid w:val="551D1975"/>
    <w:rsid w:val="553B4A5E"/>
    <w:rsid w:val="55427836"/>
    <w:rsid w:val="55530F2F"/>
    <w:rsid w:val="555A1CAD"/>
    <w:rsid w:val="55743FB1"/>
    <w:rsid w:val="55780AA2"/>
    <w:rsid w:val="55A309FE"/>
    <w:rsid w:val="55BE7B17"/>
    <w:rsid w:val="55CD41F8"/>
    <w:rsid w:val="55DE5C44"/>
    <w:rsid w:val="5618725B"/>
    <w:rsid w:val="564358CE"/>
    <w:rsid w:val="5649736E"/>
    <w:rsid w:val="567171AA"/>
    <w:rsid w:val="569A2085"/>
    <w:rsid w:val="569C3F22"/>
    <w:rsid w:val="56E406A1"/>
    <w:rsid w:val="56ED17E2"/>
    <w:rsid w:val="56F47C7D"/>
    <w:rsid w:val="56F566B4"/>
    <w:rsid w:val="571B482D"/>
    <w:rsid w:val="572440E1"/>
    <w:rsid w:val="57733965"/>
    <w:rsid w:val="578F6CCD"/>
    <w:rsid w:val="57A55826"/>
    <w:rsid w:val="57A625DE"/>
    <w:rsid w:val="57BC4662"/>
    <w:rsid w:val="57C47C72"/>
    <w:rsid w:val="57CB2164"/>
    <w:rsid w:val="57CF6726"/>
    <w:rsid w:val="57D356BD"/>
    <w:rsid w:val="58200C55"/>
    <w:rsid w:val="584C227F"/>
    <w:rsid w:val="58543A4A"/>
    <w:rsid w:val="586777C9"/>
    <w:rsid w:val="58777023"/>
    <w:rsid w:val="58841593"/>
    <w:rsid w:val="58B32F7A"/>
    <w:rsid w:val="58D07711"/>
    <w:rsid w:val="58DB29B1"/>
    <w:rsid w:val="58E46F41"/>
    <w:rsid w:val="590003AB"/>
    <w:rsid w:val="590A13AA"/>
    <w:rsid w:val="593013DA"/>
    <w:rsid w:val="593D594E"/>
    <w:rsid w:val="59401F47"/>
    <w:rsid w:val="59D5190E"/>
    <w:rsid w:val="59E53CFF"/>
    <w:rsid w:val="59E543E9"/>
    <w:rsid w:val="59EE2B3F"/>
    <w:rsid w:val="59EE2B9E"/>
    <w:rsid w:val="59FB5DCD"/>
    <w:rsid w:val="59FC78AD"/>
    <w:rsid w:val="5A0B4F8D"/>
    <w:rsid w:val="5A1623E4"/>
    <w:rsid w:val="5A2D29E1"/>
    <w:rsid w:val="5A35680C"/>
    <w:rsid w:val="5A440C40"/>
    <w:rsid w:val="5A447D1D"/>
    <w:rsid w:val="5A63088C"/>
    <w:rsid w:val="5A7B0054"/>
    <w:rsid w:val="5A824139"/>
    <w:rsid w:val="5ABA72D2"/>
    <w:rsid w:val="5AC64406"/>
    <w:rsid w:val="5AC900FB"/>
    <w:rsid w:val="5ACA23BA"/>
    <w:rsid w:val="5AD73F0A"/>
    <w:rsid w:val="5ADA330B"/>
    <w:rsid w:val="5AE13368"/>
    <w:rsid w:val="5B062B40"/>
    <w:rsid w:val="5B087672"/>
    <w:rsid w:val="5B1668D6"/>
    <w:rsid w:val="5B5E0798"/>
    <w:rsid w:val="5B607FC7"/>
    <w:rsid w:val="5B74768A"/>
    <w:rsid w:val="5B7B562E"/>
    <w:rsid w:val="5B850BD4"/>
    <w:rsid w:val="5BA11F56"/>
    <w:rsid w:val="5BDB0C37"/>
    <w:rsid w:val="5C086ED3"/>
    <w:rsid w:val="5C224B78"/>
    <w:rsid w:val="5C28141E"/>
    <w:rsid w:val="5C58385C"/>
    <w:rsid w:val="5C5D47F3"/>
    <w:rsid w:val="5C6062F1"/>
    <w:rsid w:val="5C695322"/>
    <w:rsid w:val="5C707BE1"/>
    <w:rsid w:val="5C9A6CE5"/>
    <w:rsid w:val="5CB21ED6"/>
    <w:rsid w:val="5CBF158B"/>
    <w:rsid w:val="5CCC6405"/>
    <w:rsid w:val="5CD91D7E"/>
    <w:rsid w:val="5CFB4B0E"/>
    <w:rsid w:val="5D0E298D"/>
    <w:rsid w:val="5D155F5C"/>
    <w:rsid w:val="5D2D01E1"/>
    <w:rsid w:val="5D310349"/>
    <w:rsid w:val="5D4C3F7D"/>
    <w:rsid w:val="5D5D1942"/>
    <w:rsid w:val="5D771053"/>
    <w:rsid w:val="5D83622A"/>
    <w:rsid w:val="5D8803DF"/>
    <w:rsid w:val="5DA91EBF"/>
    <w:rsid w:val="5DD54FEE"/>
    <w:rsid w:val="5DDB01C0"/>
    <w:rsid w:val="5DE94ADF"/>
    <w:rsid w:val="5E11109F"/>
    <w:rsid w:val="5E16770E"/>
    <w:rsid w:val="5E4D6FFF"/>
    <w:rsid w:val="5E8D0F55"/>
    <w:rsid w:val="5E905655"/>
    <w:rsid w:val="5EA77798"/>
    <w:rsid w:val="5ECC3929"/>
    <w:rsid w:val="5ED0131F"/>
    <w:rsid w:val="5EDF38DE"/>
    <w:rsid w:val="5F003554"/>
    <w:rsid w:val="5F3420DE"/>
    <w:rsid w:val="5F4304F3"/>
    <w:rsid w:val="5F52377A"/>
    <w:rsid w:val="5F563764"/>
    <w:rsid w:val="5F5B084D"/>
    <w:rsid w:val="5F642F6E"/>
    <w:rsid w:val="5F731C0F"/>
    <w:rsid w:val="5F8442E2"/>
    <w:rsid w:val="5F934BE9"/>
    <w:rsid w:val="5FA2170A"/>
    <w:rsid w:val="5FCD1AFC"/>
    <w:rsid w:val="5FD80943"/>
    <w:rsid w:val="5FD904BD"/>
    <w:rsid w:val="5FFE049B"/>
    <w:rsid w:val="60352B8B"/>
    <w:rsid w:val="606A6467"/>
    <w:rsid w:val="607314BC"/>
    <w:rsid w:val="60921D00"/>
    <w:rsid w:val="609274EE"/>
    <w:rsid w:val="60A7628A"/>
    <w:rsid w:val="60ED3451"/>
    <w:rsid w:val="60F86D9A"/>
    <w:rsid w:val="6115175A"/>
    <w:rsid w:val="61546197"/>
    <w:rsid w:val="61546615"/>
    <w:rsid w:val="6164647D"/>
    <w:rsid w:val="616842A8"/>
    <w:rsid w:val="618B0449"/>
    <w:rsid w:val="619D3CD8"/>
    <w:rsid w:val="61AA37A6"/>
    <w:rsid w:val="61B017BB"/>
    <w:rsid w:val="61BC410D"/>
    <w:rsid w:val="61BE6F00"/>
    <w:rsid w:val="61C078E7"/>
    <w:rsid w:val="61DA5F9F"/>
    <w:rsid w:val="61DE5D3D"/>
    <w:rsid w:val="61EE69E5"/>
    <w:rsid w:val="61FC431A"/>
    <w:rsid w:val="62273EC8"/>
    <w:rsid w:val="62406164"/>
    <w:rsid w:val="624A0ECB"/>
    <w:rsid w:val="62530C18"/>
    <w:rsid w:val="62590565"/>
    <w:rsid w:val="62625B15"/>
    <w:rsid w:val="626D781A"/>
    <w:rsid w:val="627D0545"/>
    <w:rsid w:val="628E12B0"/>
    <w:rsid w:val="62991F41"/>
    <w:rsid w:val="62B977FD"/>
    <w:rsid w:val="62CB6C58"/>
    <w:rsid w:val="62F02425"/>
    <w:rsid w:val="63034C4A"/>
    <w:rsid w:val="63540E0F"/>
    <w:rsid w:val="63612EC7"/>
    <w:rsid w:val="6381454D"/>
    <w:rsid w:val="63930570"/>
    <w:rsid w:val="6397481A"/>
    <w:rsid w:val="63A12B02"/>
    <w:rsid w:val="63A87734"/>
    <w:rsid w:val="63AB511A"/>
    <w:rsid w:val="63C06DF5"/>
    <w:rsid w:val="63C656B8"/>
    <w:rsid w:val="63DD2A36"/>
    <w:rsid w:val="64064EE5"/>
    <w:rsid w:val="640C72D6"/>
    <w:rsid w:val="641135DF"/>
    <w:rsid w:val="64131B1D"/>
    <w:rsid w:val="641C459E"/>
    <w:rsid w:val="6422421E"/>
    <w:rsid w:val="64347357"/>
    <w:rsid w:val="644B5944"/>
    <w:rsid w:val="647C3650"/>
    <w:rsid w:val="647D616A"/>
    <w:rsid w:val="64824AB8"/>
    <w:rsid w:val="6496699C"/>
    <w:rsid w:val="649672E0"/>
    <w:rsid w:val="64A927A0"/>
    <w:rsid w:val="64B10275"/>
    <w:rsid w:val="64BC5D3C"/>
    <w:rsid w:val="64C62DAD"/>
    <w:rsid w:val="64EC1A5C"/>
    <w:rsid w:val="64FC1ED3"/>
    <w:rsid w:val="65290615"/>
    <w:rsid w:val="65432E6F"/>
    <w:rsid w:val="6549465F"/>
    <w:rsid w:val="655373C0"/>
    <w:rsid w:val="655C7DC8"/>
    <w:rsid w:val="65682824"/>
    <w:rsid w:val="65747142"/>
    <w:rsid w:val="65773F4D"/>
    <w:rsid w:val="65792AD8"/>
    <w:rsid w:val="65891548"/>
    <w:rsid w:val="658F1D68"/>
    <w:rsid w:val="659B210B"/>
    <w:rsid w:val="65AB2E5F"/>
    <w:rsid w:val="65BF2B52"/>
    <w:rsid w:val="65C337CF"/>
    <w:rsid w:val="65C84DE6"/>
    <w:rsid w:val="65D835DB"/>
    <w:rsid w:val="65E7035F"/>
    <w:rsid w:val="662044A0"/>
    <w:rsid w:val="66295467"/>
    <w:rsid w:val="66772DFC"/>
    <w:rsid w:val="668B27F9"/>
    <w:rsid w:val="669B7073"/>
    <w:rsid w:val="66A367FF"/>
    <w:rsid w:val="66AB069D"/>
    <w:rsid w:val="66CF6C74"/>
    <w:rsid w:val="66E94BCB"/>
    <w:rsid w:val="66EA21C9"/>
    <w:rsid w:val="66F12299"/>
    <w:rsid w:val="67172D94"/>
    <w:rsid w:val="67244B49"/>
    <w:rsid w:val="67307581"/>
    <w:rsid w:val="6743565F"/>
    <w:rsid w:val="674A6165"/>
    <w:rsid w:val="675B2D51"/>
    <w:rsid w:val="677F4F66"/>
    <w:rsid w:val="67851AD9"/>
    <w:rsid w:val="67896D54"/>
    <w:rsid w:val="67937BA1"/>
    <w:rsid w:val="679C107D"/>
    <w:rsid w:val="679E3D07"/>
    <w:rsid w:val="679F010C"/>
    <w:rsid w:val="67BA6D1B"/>
    <w:rsid w:val="67C51207"/>
    <w:rsid w:val="67C74C0C"/>
    <w:rsid w:val="67CF6380"/>
    <w:rsid w:val="67D60E41"/>
    <w:rsid w:val="68031402"/>
    <w:rsid w:val="68295BB1"/>
    <w:rsid w:val="68416868"/>
    <w:rsid w:val="684507C9"/>
    <w:rsid w:val="68667021"/>
    <w:rsid w:val="68694773"/>
    <w:rsid w:val="68733672"/>
    <w:rsid w:val="6877145A"/>
    <w:rsid w:val="68913F9F"/>
    <w:rsid w:val="68AE5EC9"/>
    <w:rsid w:val="68B148DC"/>
    <w:rsid w:val="68D3339F"/>
    <w:rsid w:val="68ED3FBA"/>
    <w:rsid w:val="68EE4E49"/>
    <w:rsid w:val="690C1844"/>
    <w:rsid w:val="69120B5D"/>
    <w:rsid w:val="691F31DC"/>
    <w:rsid w:val="6923342A"/>
    <w:rsid w:val="6934557D"/>
    <w:rsid w:val="69391030"/>
    <w:rsid w:val="69586EFA"/>
    <w:rsid w:val="695D1CCE"/>
    <w:rsid w:val="695E4721"/>
    <w:rsid w:val="695F4A08"/>
    <w:rsid w:val="696105B5"/>
    <w:rsid w:val="698A326D"/>
    <w:rsid w:val="699964FE"/>
    <w:rsid w:val="69B43D4B"/>
    <w:rsid w:val="69BD20A0"/>
    <w:rsid w:val="6A0E0F9B"/>
    <w:rsid w:val="6A185562"/>
    <w:rsid w:val="6A245E03"/>
    <w:rsid w:val="6A320212"/>
    <w:rsid w:val="6A321B7E"/>
    <w:rsid w:val="6A3A00DA"/>
    <w:rsid w:val="6A43180F"/>
    <w:rsid w:val="6A5C442C"/>
    <w:rsid w:val="6A6E0296"/>
    <w:rsid w:val="6A830918"/>
    <w:rsid w:val="6A90081B"/>
    <w:rsid w:val="6AF34F25"/>
    <w:rsid w:val="6B117FFD"/>
    <w:rsid w:val="6B1A6B35"/>
    <w:rsid w:val="6B474762"/>
    <w:rsid w:val="6B4B43C5"/>
    <w:rsid w:val="6B4E65F3"/>
    <w:rsid w:val="6B653196"/>
    <w:rsid w:val="6B7D5F16"/>
    <w:rsid w:val="6BA5417D"/>
    <w:rsid w:val="6BB061C5"/>
    <w:rsid w:val="6BBD22DA"/>
    <w:rsid w:val="6BC81DC5"/>
    <w:rsid w:val="6BDC4453"/>
    <w:rsid w:val="6BE91C24"/>
    <w:rsid w:val="6C03732D"/>
    <w:rsid w:val="6C044DC4"/>
    <w:rsid w:val="6C13684A"/>
    <w:rsid w:val="6C1806F3"/>
    <w:rsid w:val="6C2C0EE2"/>
    <w:rsid w:val="6C310A58"/>
    <w:rsid w:val="6C6409E1"/>
    <w:rsid w:val="6C7658FF"/>
    <w:rsid w:val="6C7A0DA1"/>
    <w:rsid w:val="6C7E320B"/>
    <w:rsid w:val="6CAA36BA"/>
    <w:rsid w:val="6CBA3A50"/>
    <w:rsid w:val="6CBB488F"/>
    <w:rsid w:val="6CD07663"/>
    <w:rsid w:val="6CD100F8"/>
    <w:rsid w:val="6CED4A77"/>
    <w:rsid w:val="6D006B4E"/>
    <w:rsid w:val="6D312769"/>
    <w:rsid w:val="6D3221C2"/>
    <w:rsid w:val="6D4572C3"/>
    <w:rsid w:val="6D473640"/>
    <w:rsid w:val="6D637641"/>
    <w:rsid w:val="6D643477"/>
    <w:rsid w:val="6D797E84"/>
    <w:rsid w:val="6D7A19CB"/>
    <w:rsid w:val="6D7E75B1"/>
    <w:rsid w:val="6D8B3AC1"/>
    <w:rsid w:val="6D9C4E34"/>
    <w:rsid w:val="6D9D4948"/>
    <w:rsid w:val="6DB54408"/>
    <w:rsid w:val="6DB70506"/>
    <w:rsid w:val="6E03032C"/>
    <w:rsid w:val="6E5008EF"/>
    <w:rsid w:val="6E5D25DA"/>
    <w:rsid w:val="6E750D79"/>
    <w:rsid w:val="6E8475A8"/>
    <w:rsid w:val="6E8810A4"/>
    <w:rsid w:val="6E90615D"/>
    <w:rsid w:val="6E931D19"/>
    <w:rsid w:val="6EA72BB9"/>
    <w:rsid w:val="6EAE18A2"/>
    <w:rsid w:val="6EBD2EC6"/>
    <w:rsid w:val="6EC27806"/>
    <w:rsid w:val="6ECB6D71"/>
    <w:rsid w:val="6ECF0282"/>
    <w:rsid w:val="6EDD5371"/>
    <w:rsid w:val="6EF67D74"/>
    <w:rsid w:val="6EF94210"/>
    <w:rsid w:val="6F0838B3"/>
    <w:rsid w:val="6F2A0DF2"/>
    <w:rsid w:val="6F474747"/>
    <w:rsid w:val="6F5C6516"/>
    <w:rsid w:val="6F5E3840"/>
    <w:rsid w:val="6F6A4C19"/>
    <w:rsid w:val="6F6B6E15"/>
    <w:rsid w:val="6F771354"/>
    <w:rsid w:val="6F781E7E"/>
    <w:rsid w:val="6F7A4B73"/>
    <w:rsid w:val="6F7F6412"/>
    <w:rsid w:val="6F8610C3"/>
    <w:rsid w:val="6F865AA7"/>
    <w:rsid w:val="6F895A64"/>
    <w:rsid w:val="6F8A6C31"/>
    <w:rsid w:val="6FAE1544"/>
    <w:rsid w:val="6FB07CD1"/>
    <w:rsid w:val="6FBD544F"/>
    <w:rsid w:val="6FD82993"/>
    <w:rsid w:val="6FE438EB"/>
    <w:rsid w:val="6FF71F8D"/>
    <w:rsid w:val="6FFD7B80"/>
    <w:rsid w:val="700C3B06"/>
    <w:rsid w:val="701A3603"/>
    <w:rsid w:val="703B08C2"/>
    <w:rsid w:val="703E2917"/>
    <w:rsid w:val="704D10FC"/>
    <w:rsid w:val="705F1011"/>
    <w:rsid w:val="707A10B0"/>
    <w:rsid w:val="70834E8A"/>
    <w:rsid w:val="70836F35"/>
    <w:rsid w:val="709B45AC"/>
    <w:rsid w:val="70A31FAC"/>
    <w:rsid w:val="70CC55DA"/>
    <w:rsid w:val="70D33BDF"/>
    <w:rsid w:val="70FC28AB"/>
    <w:rsid w:val="70FC37B4"/>
    <w:rsid w:val="712B7773"/>
    <w:rsid w:val="712C7894"/>
    <w:rsid w:val="71331F13"/>
    <w:rsid w:val="7140674B"/>
    <w:rsid w:val="71690AFD"/>
    <w:rsid w:val="71915DA5"/>
    <w:rsid w:val="71D930A0"/>
    <w:rsid w:val="71F62D25"/>
    <w:rsid w:val="72214D72"/>
    <w:rsid w:val="72221272"/>
    <w:rsid w:val="72386443"/>
    <w:rsid w:val="725C7FE2"/>
    <w:rsid w:val="726D2E4B"/>
    <w:rsid w:val="727C0823"/>
    <w:rsid w:val="72991AF5"/>
    <w:rsid w:val="72B677F0"/>
    <w:rsid w:val="72E158BF"/>
    <w:rsid w:val="72EB487D"/>
    <w:rsid w:val="72F33330"/>
    <w:rsid w:val="731457D6"/>
    <w:rsid w:val="7322396C"/>
    <w:rsid w:val="738529F1"/>
    <w:rsid w:val="7398681B"/>
    <w:rsid w:val="73AA5185"/>
    <w:rsid w:val="73DD3076"/>
    <w:rsid w:val="740B6AEA"/>
    <w:rsid w:val="741736EA"/>
    <w:rsid w:val="742F1959"/>
    <w:rsid w:val="743C0B79"/>
    <w:rsid w:val="744B6577"/>
    <w:rsid w:val="74872B0B"/>
    <w:rsid w:val="748D3177"/>
    <w:rsid w:val="748F226A"/>
    <w:rsid w:val="74964F23"/>
    <w:rsid w:val="749E3D41"/>
    <w:rsid w:val="74A9318F"/>
    <w:rsid w:val="74C45262"/>
    <w:rsid w:val="74D36A97"/>
    <w:rsid w:val="74E35FDF"/>
    <w:rsid w:val="74EE1E2E"/>
    <w:rsid w:val="753C025F"/>
    <w:rsid w:val="754E0E47"/>
    <w:rsid w:val="75522E60"/>
    <w:rsid w:val="75531BF8"/>
    <w:rsid w:val="756B17C2"/>
    <w:rsid w:val="75762E31"/>
    <w:rsid w:val="75777652"/>
    <w:rsid w:val="757B2EC5"/>
    <w:rsid w:val="75991785"/>
    <w:rsid w:val="75A13BB8"/>
    <w:rsid w:val="75A210ED"/>
    <w:rsid w:val="75C65BCB"/>
    <w:rsid w:val="75E87805"/>
    <w:rsid w:val="75EB4902"/>
    <w:rsid w:val="76023BA6"/>
    <w:rsid w:val="7612515E"/>
    <w:rsid w:val="76161699"/>
    <w:rsid w:val="76253F30"/>
    <w:rsid w:val="762A5C8C"/>
    <w:rsid w:val="76520442"/>
    <w:rsid w:val="765F7440"/>
    <w:rsid w:val="76752728"/>
    <w:rsid w:val="76772EE1"/>
    <w:rsid w:val="767B686F"/>
    <w:rsid w:val="76851F19"/>
    <w:rsid w:val="769E1EB9"/>
    <w:rsid w:val="76C93208"/>
    <w:rsid w:val="76E42085"/>
    <w:rsid w:val="7704303E"/>
    <w:rsid w:val="771936CC"/>
    <w:rsid w:val="77391171"/>
    <w:rsid w:val="773C6D18"/>
    <w:rsid w:val="773D4114"/>
    <w:rsid w:val="774F6601"/>
    <w:rsid w:val="778D22EF"/>
    <w:rsid w:val="77933E27"/>
    <w:rsid w:val="779A33A9"/>
    <w:rsid w:val="77AA79AC"/>
    <w:rsid w:val="77AB0BCA"/>
    <w:rsid w:val="77BE7EA3"/>
    <w:rsid w:val="780412F0"/>
    <w:rsid w:val="780E4119"/>
    <w:rsid w:val="781A3657"/>
    <w:rsid w:val="783247C6"/>
    <w:rsid w:val="78AD2AE5"/>
    <w:rsid w:val="78B83F15"/>
    <w:rsid w:val="78C17E87"/>
    <w:rsid w:val="78DA0647"/>
    <w:rsid w:val="78FD0321"/>
    <w:rsid w:val="790F7D44"/>
    <w:rsid w:val="79354A2B"/>
    <w:rsid w:val="793C1B71"/>
    <w:rsid w:val="79491F38"/>
    <w:rsid w:val="79710F8C"/>
    <w:rsid w:val="79A575BB"/>
    <w:rsid w:val="79D63F13"/>
    <w:rsid w:val="79E417E2"/>
    <w:rsid w:val="7A187965"/>
    <w:rsid w:val="7A23361D"/>
    <w:rsid w:val="7A9E6D88"/>
    <w:rsid w:val="7ACA6714"/>
    <w:rsid w:val="7AF93D61"/>
    <w:rsid w:val="7B183708"/>
    <w:rsid w:val="7B1D4B13"/>
    <w:rsid w:val="7B420515"/>
    <w:rsid w:val="7B4D2AC7"/>
    <w:rsid w:val="7B6C676F"/>
    <w:rsid w:val="7B983C5A"/>
    <w:rsid w:val="7BBA58E2"/>
    <w:rsid w:val="7BBC3644"/>
    <w:rsid w:val="7BC107CC"/>
    <w:rsid w:val="7BEE6A3E"/>
    <w:rsid w:val="7BF960E9"/>
    <w:rsid w:val="7C06000D"/>
    <w:rsid w:val="7C0E135F"/>
    <w:rsid w:val="7C227B05"/>
    <w:rsid w:val="7C311561"/>
    <w:rsid w:val="7C5D6084"/>
    <w:rsid w:val="7C6F2B30"/>
    <w:rsid w:val="7C9F1EF7"/>
    <w:rsid w:val="7CA46A4E"/>
    <w:rsid w:val="7CAF6FC2"/>
    <w:rsid w:val="7CB94183"/>
    <w:rsid w:val="7CC7331B"/>
    <w:rsid w:val="7CE33A44"/>
    <w:rsid w:val="7CF30484"/>
    <w:rsid w:val="7D01125E"/>
    <w:rsid w:val="7D1128AA"/>
    <w:rsid w:val="7D3D1466"/>
    <w:rsid w:val="7D6C74F2"/>
    <w:rsid w:val="7D856E83"/>
    <w:rsid w:val="7DAB3CC7"/>
    <w:rsid w:val="7DAB76E4"/>
    <w:rsid w:val="7DC70840"/>
    <w:rsid w:val="7DD1250A"/>
    <w:rsid w:val="7DD43C64"/>
    <w:rsid w:val="7DEF22E3"/>
    <w:rsid w:val="7E0D5C79"/>
    <w:rsid w:val="7E17493E"/>
    <w:rsid w:val="7E304D65"/>
    <w:rsid w:val="7E312396"/>
    <w:rsid w:val="7E4871DC"/>
    <w:rsid w:val="7E5A0038"/>
    <w:rsid w:val="7E893256"/>
    <w:rsid w:val="7E941D65"/>
    <w:rsid w:val="7E9E705E"/>
    <w:rsid w:val="7E9F04C6"/>
    <w:rsid w:val="7EBC0E01"/>
    <w:rsid w:val="7EC6495F"/>
    <w:rsid w:val="7EF971E3"/>
    <w:rsid w:val="7EFA2C0C"/>
    <w:rsid w:val="7F04079C"/>
    <w:rsid w:val="7F13097A"/>
    <w:rsid w:val="7F476B6C"/>
    <w:rsid w:val="7F583BE3"/>
    <w:rsid w:val="7F6164BB"/>
    <w:rsid w:val="7F642DA3"/>
    <w:rsid w:val="7F71719B"/>
    <w:rsid w:val="7F791E43"/>
    <w:rsid w:val="7F7C6EE0"/>
    <w:rsid w:val="7F8C2C66"/>
    <w:rsid w:val="7F952832"/>
    <w:rsid w:val="7FA66100"/>
    <w:rsid w:val="7FAD6AB3"/>
    <w:rsid w:val="7FD11846"/>
    <w:rsid w:val="7FD2139C"/>
    <w:rsid w:val="7FD54A5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qFormat/>
    <w:uiPriority w:val="0"/>
    <w:pPr>
      <w:ind w:firstLine="480" w:firstLineChars="200"/>
    </w:pPr>
    <w:rPr>
      <w:rFonts w:ascii="宋体" w:hAnsi="宋体"/>
      <w:bCs/>
      <w:sz w:val="24"/>
    </w:rPr>
  </w:style>
  <w:style w:type="paragraph" w:styleId="3">
    <w:name w:val="Body Text Indent"/>
    <w:basedOn w:val="1"/>
    <w:unhideWhenUsed/>
    <w:qFormat/>
    <w:uiPriority w:val="99"/>
    <w:pPr>
      <w:spacing w:after="120"/>
      <w:ind w:left="420" w:leftChars="200"/>
    </w:pPr>
  </w:style>
  <w:style w:type="paragraph" w:styleId="4">
    <w:name w:val="annotation text"/>
    <w:basedOn w:val="1"/>
    <w:qFormat/>
    <w:uiPriority w:val="0"/>
    <w:pPr>
      <w:jc w:val="left"/>
    </w:pPr>
  </w:style>
  <w:style w:type="paragraph" w:styleId="5">
    <w:name w:val="Balloon Text"/>
    <w:basedOn w:val="1"/>
    <w:link w:val="18"/>
    <w:qFormat/>
    <w:uiPriority w:val="0"/>
    <w:rPr>
      <w:rFonts w:ascii="Times New Roman" w:hAnsi="Times New Roman" w:cs="Times New Roman"/>
      <w:sz w:val="18"/>
      <w:szCs w:val="18"/>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qFormat/>
    <w:uiPriority w:val="99"/>
    <w:pPr>
      <w:snapToGrid w:val="0"/>
      <w:jc w:val="left"/>
    </w:pPr>
    <w:rPr>
      <w:rFonts w:ascii="Calibri" w:hAnsi="Calibri" w:eastAsia="宋体" w:cs="Times New Roman"/>
      <w:sz w:val="18"/>
      <w:szCs w:val="18"/>
    </w:rPr>
  </w:style>
  <w:style w:type="paragraph" w:styleId="9">
    <w:name w:val="Normal (Web)"/>
    <w:basedOn w:val="1"/>
    <w:unhideWhenUsed/>
    <w:qFormat/>
    <w:uiPriority w:val="99"/>
    <w:pPr>
      <w:spacing w:before="100" w:beforeAutospacing="1" w:after="100" w:afterAutospacing="1"/>
    </w:pPr>
    <w:rPr>
      <w:rFonts w:ascii="宋体" w:hAnsi="宋体" w:eastAsia="宋体" w:cs="宋体"/>
      <w:sz w:val="24"/>
      <w:szCs w:val="24"/>
    </w:rPr>
  </w:style>
  <w:style w:type="character" w:styleId="12">
    <w:name w:val="page number"/>
    <w:basedOn w:val="11"/>
    <w:qFormat/>
    <w:uiPriority w:val="0"/>
  </w:style>
  <w:style w:type="character" w:styleId="13">
    <w:name w:val="annotation reference"/>
    <w:basedOn w:val="11"/>
    <w:qFormat/>
    <w:uiPriority w:val="0"/>
    <w:rPr>
      <w:sz w:val="21"/>
      <w:szCs w:val="21"/>
    </w:rPr>
  </w:style>
  <w:style w:type="character" w:styleId="14">
    <w:name w:val="footnote reference"/>
    <w:basedOn w:val="11"/>
    <w:qFormat/>
    <w:uiPriority w:val="99"/>
    <w:rPr>
      <w:vertAlign w:val="superscript"/>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6">
    <w:name w:val="List Paragraph"/>
    <w:basedOn w:val="1"/>
    <w:qFormat/>
    <w:uiPriority w:val="34"/>
    <w:pPr>
      <w:ind w:left="720"/>
      <w:contextualSpacing/>
    </w:pPr>
  </w:style>
  <w:style w:type="character" w:customStyle="1" w:styleId="17">
    <w:name w:val="font11"/>
    <w:basedOn w:val="11"/>
    <w:qFormat/>
    <w:uiPriority w:val="0"/>
    <w:rPr>
      <w:rFonts w:hint="eastAsia" w:ascii="宋体" w:hAnsi="宋体" w:eastAsia="宋体" w:cs="宋体"/>
      <w:color w:val="000000"/>
      <w:sz w:val="24"/>
      <w:szCs w:val="24"/>
      <w:u w:val="none"/>
    </w:rPr>
  </w:style>
  <w:style w:type="character" w:customStyle="1" w:styleId="18">
    <w:name w:val="批注框文本 字符"/>
    <w:basedOn w:val="11"/>
    <w:link w:val="5"/>
    <w:qFormat/>
    <w:uiPriority w:val="0"/>
    <w:rPr>
      <w:rFonts w:eastAsiaTheme="minorEastAsia"/>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神州网信技术有限公司</Company>
  <Pages>16</Pages>
  <Words>7126</Words>
  <Characters>1098</Characters>
  <Lines>9</Lines>
  <Paragraphs>16</Paragraphs>
  <TotalTime>17</TotalTime>
  <ScaleCrop>false</ScaleCrop>
  <LinksUpToDate>false</LinksUpToDate>
  <CharactersWithSpaces>8208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2021-10-08T12:30:00Z</dcterms:created>
  <dc:creator>zsw</dc:creator>
  <cp:lastModifiedBy>PC</cp:lastModifiedBy>
  <dcterms:modified xsi:type="dcterms:W3CDTF">2021-10-13T02:57:10Z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47A1687058FA44DC935A1AB9177EE3E8</vt:lpwstr>
  </property>
</Properties>
</file>