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DC4D60" w:rsidRDefault="005525BF" w:rsidP="00BE566C">
      <w:pPr>
        <w:tabs>
          <w:tab w:val="left" w:pos="6480"/>
          <w:tab w:val="left" w:pos="7920"/>
        </w:tabs>
        <w:spacing w:line="240" w:lineRule="exact"/>
        <w:rPr>
          <w:rFonts w:ascii="黑体" w:eastAsia="黑体" w:hAnsi="黑体" w:cs="黑体" w:hint="eastAsia"/>
          <w:color w:val="000000"/>
          <w:sz w:val="32"/>
          <w:lang w:val="en"/>
        </w:rPr>
      </w:pPr>
      <w:r w:rsidRPr="00DC4D60">
        <w:rPr>
          <w:rFonts w:ascii="黑体" w:eastAsia="黑体" w:hAnsi="黑体" w:cs="黑体" w:hint="eastAsia"/>
          <w:color w:val="000000"/>
          <w:sz w:val="32"/>
          <w:lang w:val="en"/>
        </w:rPr>
        <w:t>附</w:t>
      </w:r>
      <w:r w:rsidRPr="00DC4D60">
        <w:rPr>
          <w:rFonts w:ascii="黑体" w:eastAsia="黑体" w:hAnsi="黑体" w:cs="黑体" w:hint="eastAsia"/>
          <w:color w:val="000000"/>
          <w:sz w:val="32"/>
          <w:lang w:val="en"/>
        </w:rPr>
        <w:t>件</w:t>
      </w:r>
    </w:p>
    <w:p w:rsidR="00000000" w:rsidRPr="00DC4D60" w:rsidRDefault="005525BF" w:rsidP="00DC4D60">
      <w:pPr>
        <w:spacing w:line="560" w:lineRule="exact"/>
        <w:jc w:val="center"/>
        <w:rPr>
          <w:rFonts w:ascii="黑体" w:eastAsia="黑体" w:hAnsi="黑体" w:cs="黑体" w:hint="eastAsia"/>
          <w:color w:val="000000"/>
          <w:sz w:val="32"/>
          <w:lang w:val="en"/>
        </w:rPr>
      </w:pPr>
    </w:p>
    <w:p w:rsidR="00000000" w:rsidRPr="00DC4D60" w:rsidRDefault="005525BF" w:rsidP="00DC4D60">
      <w:pPr>
        <w:spacing w:line="560" w:lineRule="exact"/>
        <w:jc w:val="center"/>
        <w:rPr>
          <w:rFonts w:ascii="方正小标宋简体" w:eastAsia="方正小标宋简体" w:hint="eastAsia"/>
          <w:sz w:val="44"/>
          <w:szCs w:val="44"/>
        </w:rPr>
      </w:pPr>
      <w:r w:rsidRPr="00DC4D60">
        <w:rPr>
          <w:rFonts w:ascii="方正小标宋简体" w:eastAsia="方正小标宋简体" w:hint="eastAsia"/>
          <w:sz w:val="44"/>
          <w:szCs w:val="44"/>
        </w:rPr>
        <w:t>神经和心血管手术器械</w:t>
      </w:r>
      <w:r w:rsidRPr="00DC4D60">
        <w:rPr>
          <w:rFonts w:ascii="方正小标宋简体" w:eastAsia="方正小标宋简体" w:hint="eastAsia"/>
          <w:sz w:val="44"/>
          <w:szCs w:val="44"/>
        </w:rPr>
        <w:t>-</w:t>
      </w:r>
      <w:r w:rsidRPr="00DC4D60">
        <w:rPr>
          <w:rFonts w:ascii="方正小标宋简体" w:eastAsia="方正小标宋简体" w:hint="eastAsia"/>
          <w:sz w:val="44"/>
          <w:szCs w:val="44"/>
        </w:rPr>
        <w:t>刀</w:t>
      </w:r>
      <w:r w:rsidRPr="00DC4D60">
        <w:rPr>
          <w:rFonts w:ascii="方正小标宋简体" w:eastAsia="方正小标宋简体" w:hint="eastAsia"/>
          <w:sz w:val="44"/>
          <w:szCs w:val="44"/>
        </w:rPr>
        <w:t>、剪及针</w:t>
      </w:r>
    </w:p>
    <w:p w:rsidR="00000000" w:rsidRPr="00DC4D60" w:rsidRDefault="005525BF" w:rsidP="00DC4D60">
      <w:pPr>
        <w:spacing w:line="560" w:lineRule="exact"/>
        <w:jc w:val="center"/>
        <w:rPr>
          <w:rFonts w:ascii="方正小标宋简体" w:eastAsia="方正小标宋简体"/>
          <w:sz w:val="44"/>
          <w:szCs w:val="44"/>
        </w:rPr>
      </w:pPr>
      <w:r w:rsidRPr="00DC4D60">
        <w:rPr>
          <w:rFonts w:ascii="方正小标宋简体" w:eastAsia="方正小标宋简体" w:hint="eastAsia"/>
          <w:sz w:val="44"/>
          <w:szCs w:val="44"/>
        </w:rPr>
        <w:t>注册审查指导原则</w:t>
      </w:r>
    </w:p>
    <w:p w:rsidR="00000000" w:rsidRPr="00DC4D60" w:rsidRDefault="005525BF" w:rsidP="00DC4D60">
      <w:pPr>
        <w:spacing w:line="560" w:lineRule="exact"/>
        <w:jc w:val="center"/>
        <w:rPr>
          <w:rFonts w:eastAsia="方正小标宋简体"/>
          <w:sz w:val="44"/>
          <w:szCs w:val="44"/>
        </w:rPr>
      </w:pP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本指导原则旨在帮助和指导注册申请人对神经和心血管手术器械（包括刀、剪和针）注册申报资料进行准备，以满足技术审评的基本要求。同时有助于审评人员理解和掌握该类产品原理、结构、性能、预期用途等内容，把握技术审评工作基本要求和尺度，对产品安全性、有效性作出系统评价。</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本指导原则是对神经和心血管手术器械</w:t>
      </w:r>
      <w:r w:rsidRPr="00DC4D60">
        <w:rPr>
          <w:rFonts w:eastAsia="仿宋_GB2312"/>
          <w:sz w:val="32"/>
          <w:szCs w:val="32"/>
        </w:rPr>
        <w:t>-</w:t>
      </w:r>
      <w:r w:rsidRPr="00DC4D60">
        <w:rPr>
          <w:rFonts w:eastAsia="仿宋_GB2312"/>
          <w:sz w:val="32"/>
          <w:szCs w:val="32"/>
        </w:rPr>
        <w:t>刀、剪及针注册申报资料的一般要求，注册申请人需依据具体产品的特性对注册申报资料的内容进行充实和细化。注册申请人还需依据具体产品的特性确定其中具体内容是否适用，若不适用，需具体阐述其理由及</w:t>
      </w:r>
      <w:r w:rsidRPr="00DC4D60">
        <w:rPr>
          <w:rFonts w:eastAsia="仿宋_GB2312"/>
          <w:sz w:val="32"/>
          <w:szCs w:val="32"/>
        </w:rPr>
        <w:t>相应的科学依据。</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本指导原则是对注册申请人和审查人员的指导性文件，但不包括注册审批所涉及的行政事项，亦不作为法规强制执行，如果有符合相关法规要求的其他方法，也可以采用，但是需要提供详细的研究资料和验证资料。应在遵循相关法规的前提下使用本指导原则。</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本指导原则是在现行法规和标准体系以及当前认知水平下制定的，随着法规和标准不断完善，以及科学技术的不断发展，本指导原则相关内容也将进行适时的调整。</w:t>
      </w:r>
    </w:p>
    <w:p w:rsidR="00000000" w:rsidRPr="00DC4D60" w:rsidRDefault="005525BF" w:rsidP="00DC4D60">
      <w:pPr>
        <w:spacing w:line="560" w:lineRule="exact"/>
        <w:ind w:firstLineChars="200" w:firstLine="640"/>
        <w:rPr>
          <w:rFonts w:eastAsia="黑体"/>
          <w:sz w:val="32"/>
          <w:szCs w:val="32"/>
        </w:rPr>
      </w:pPr>
      <w:r w:rsidRPr="00DC4D60">
        <w:rPr>
          <w:rFonts w:eastAsia="黑体" w:hint="eastAsia"/>
          <w:sz w:val="32"/>
          <w:szCs w:val="32"/>
        </w:rPr>
        <w:lastRenderedPageBreak/>
        <w:t>一、适用范围</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本指导原则适用于第二类神经和心血管无源手术器械中的手术刀、手术剪及手术针。</w:t>
      </w:r>
    </w:p>
    <w:p w:rsidR="00000000" w:rsidRPr="00DC4D60" w:rsidRDefault="005525BF" w:rsidP="00DC4D60">
      <w:pPr>
        <w:adjustRightInd w:val="0"/>
        <w:spacing w:line="560" w:lineRule="exact"/>
        <w:ind w:firstLineChars="200" w:firstLine="640"/>
        <w:rPr>
          <w:rFonts w:eastAsia="黑体"/>
          <w:sz w:val="32"/>
          <w:szCs w:val="32"/>
        </w:rPr>
      </w:pPr>
      <w:r w:rsidRPr="00DC4D60">
        <w:rPr>
          <w:rFonts w:eastAsia="黑体" w:hint="eastAsia"/>
          <w:sz w:val="32"/>
          <w:szCs w:val="32"/>
        </w:rPr>
        <w:t>二、注册审查要点</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注册申报资</w:t>
      </w:r>
      <w:r w:rsidRPr="00DC4D60">
        <w:rPr>
          <w:rFonts w:eastAsia="仿宋_GB2312" w:hint="eastAsia"/>
          <w:sz w:val="32"/>
          <w:szCs w:val="32"/>
        </w:rPr>
        <w:t>料应符合《关于公布医疗器械注册申报资料要求和批准证明文件格式的公告》中对注册申报资料的要求，同时需符合以下要求：</w:t>
      </w:r>
    </w:p>
    <w:p w:rsidR="00000000" w:rsidRPr="00DC4D60" w:rsidRDefault="005525BF" w:rsidP="00DC4D60">
      <w:pPr>
        <w:spacing w:line="560" w:lineRule="exact"/>
        <w:ind w:firstLineChars="200" w:firstLine="640"/>
        <w:rPr>
          <w:rFonts w:eastAsia="楷体_GB2312"/>
          <w:color w:val="000000"/>
          <w:sz w:val="32"/>
          <w:szCs w:val="32"/>
        </w:rPr>
      </w:pPr>
      <w:r w:rsidRPr="00DC4D60">
        <w:rPr>
          <w:rFonts w:eastAsia="楷体_GB2312" w:hint="eastAsia"/>
          <w:color w:val="000000"/>
          <w:sz w:val="32"/>
          <w:szCs w:val="32"/>
        </w:rPr>
        <w:t>（一）监管信息</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1.</w:t>
      </w:r>
      <w:r w:rsidRPr="00DC4D60">
        <w:rPr>
          <w:rFonts w:eastAsia="仿宋_GB2312" w:hint="eastAsia"/>
          <w:sz w:val="32"/>
          <w:szCs w:val="32"/>
        </w:rPr>
        <w:t>产品名称及分类编码</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产品通用名称一般由</w:t>
      </w:r>
      <w:r w:rsidRPr="00DC4D60">
        <w:rPr>
          <w:rFonts w:eastAsia="仿宋_GB2312"/>
          <w:sz w:val="32"/>
          <w:szCs w:val="32"/>
        </w:rPr>
        <w:t>1</w:t>
      </w:r>
      <w:r w:rsidRPr="00DC4D60">
        <w:rPr>
          <w:rFonts w:eastAsia="仿宋_GB2312"/>
          <w:sz w:val="32"/>
          <w:szCs w:val="32"/>
        </w:rPr>
        <w:t>个核心词和不超过</w:t>
      </w:r>
      <w:r w:rsidRPr="00DC4D60">
        <w:rPr>
          <w:rFonts w:eastAsia="仿宋_GB2312"/>
          <w:sz w:val="32"/>
          <w:szCs w:val="32"/>
        </w:rPr>
        <w:t>3</w:t>
      </w:r>
      <w:r w:rsidRPr="00DC4D60">
        <w:rPr>
          <w:rFonts w:eastAsia="仿宋_GB2312"/>
          <w:sz w:val="32"/>
          <w:szCs w:val="32"/>
        </w:rPr>
        <w:t>个特征词组成。对于手术刀和手术剪，建议使用</w:t>
      </w:r>
      <w:r w:rsidRPr="00DC4D60">
        <w:rPr>
          <w:rFonts w:eastAsia="仿宋_GB2312"/>
          <w:sz w:val="32"/>
          <w:szCs w:val="32"/>
        </w:rPr>
        <w:t>“</w:t>
      </w:r>
      <w:r w:rsidRPr="00DC4D60">
        <w:rPr>
          <w:rFonts w:eastAsia="仿宋_GB2312"/>
          <w:sz w:val="32"/>
          <w:szCs w:val="32"/>
        </w:rPr>
        <w:t>刀</w:t>
      </w:r>
      <w:r w:rsidRPr="00DC4D60">
        <w:rPr>
          <w:rFonts w:eastAsia="仿宋_GB2312"/>
          <w:sz w:val="32"/>
          <w:szCs w:val="32"/>
        </w:rPr>
        <w:t>”</w:t>
      </w:r>
      <w:r w:rsidRPr="00DC4D60">
        <w:rPr>
          <w:rFonts w:eastAsia="仿宋_GB2312" w:hint="eastAsia"/>
          <w:sz w:val="32"/>
          <w:szCs w:val="32"/>
        </w:rPr>
        <w:t>、“剪”作为核心词，以“一次性使用”、具体使用部位等作为特征词命名，如胸骨刀、脑膜刀、冠状动脉剪、脑膜剪等；对于针，可以“探针”</w:t>
      </w:r>
      <w:r w:rsidRPr="00DC4D60">
        <w:rPr>
          <w:rFonts w:eastAsia="仿宋_GB2312"/>
          <w:sz w:val="32"/>
          <w:szCs w:val="32"/>
        </w:rPr>
        <w:t>/“</w:t>
      </w:r>
      <w:r w:rsidRPr="00DC4D60">
        <w:rPr>
          <w:rFonts w:eastAsia="仿宋_GB2312"/>
          <w:sz w:val="32"/>
          <w:szCs w:val="32"/>
        </w:rPr>
        <w:t>排气针</w:t>
      </w:r>
      <w:r w:rsidRPr="00DC4D60">
        <w:rPr>
          <w:rFonts w:eastAsia="仿宋_GB2312"/>
          <w:sz w:val="32"/>
          <w:szCs w:val="32"/>
        </w:rPr>
        <w:t>”</w:t>
      </w:r>
      <w:r w:rsidRPr="00DC4D60">
        <w:rPr>
          <w:rFonts w:eastAsia="仿宋_GB2312"/>
          <w:sz w:val="32"/>
          <w:szCs w:val="32"/>
        </w:rPr>
        <w:t>作为核心词，以</w:t>
      </w:r>
      <w:r w:rsidRPr="00DC4D60">
        <w:rPr>
          <w:rFonts w:eastAsia="仿宋_GB2312"/>
          <w:sz w:val="32"/>
          <w:szCs w:val="32"/>
        </w:rPr>
        <w:t>“</w:t>
      </w:r>
      <w:r w:rsidRPr="00DC4D60">
        <w:rPr>
          <w:rFonts w:eastAsia="仿宋_GB2312"/>
          <w:sz w:val="32"/>
          <w:szCs w:val="32"/>
        </w:rPr>
        <w:t>一次性使用</w:t>
      </w:r>
      <w:r w:rsidRPr="00DC4D60">
        <w:rPr>
          <w:rFonts w:eastAsia="仿宋_GB2312"/>
          <w:sz w:val="32"/>
          <w:szCs w:val="32"/>
        </w:rPr>
        <w:t>”</w:t>
      </w:r>
      <w:r w:rsidRPr="00DC4D60">
        <w:rPr>
          <w:rFonts w:eastAsia="仿宋_GB2312"/>
          <w:sz w:val="32"/>
          <w:szCs w:val="32"/>
        </w:rPr>
        <w:t>、具体使用部位等作为特征词命名，如脑用探针、主动脉排气针等；对于以器械包申报的产品，可以</w:t>
      </w:r>
      <w:r w:rsidRPr="00DC4D60">
        <w:rPr>
          <w:rFonts w:eastAsia="仿宋_GB2312"/>
          <w:sz w:val="32"/>
          <w:szCs w:val="32"/>
        </w:rPr>
        <w:t>“</w:t>
      </w:r>
      <w:r w:rsidRPr="00DC4D60">
        <w:rPr>
          <w:rFonts w:eastAsia="仿宋_GB2312"/>
          <w:sz w:val="32"/>
          <w:szCs w:val="32"/>
        </w:rPr>
        <w:t>手术器械</w:t>
      </w:r>
      <w:r w:rsidRPr="00DC4D60">
        <w:rPr>
          <w:rFonts w:eastAsia="仿宋_GB2312"/>
          <w:sz w:val="32"/>
          <w:szCs w:val="32"/>
        </w:rPr>
        <w:t>”</w:t>
      </w:r>
      <w:r w:rsidRPr="00DC4D60">
        <w:rPr>
          <w:rFonts w:eastAsia="仿宋_GB2312"/>
          <w:sz w:val="32"/>
          <w:szCs w:val="32"/>
        </w:rPr>
        <w:t>为核</w:t>
      </w:r>
      <w:r w:rsidRPr="00DC4D60">
        <w:rPr>
          <w:rFonts w:eastAsia="仿宋_GB2312"/>
          <w:sz w:val="32"/>
          <w:szCs w:val="32"/>
        </w:rPr>
        <w:t>心词，适用部位等作为特征词命名，如颅脑神经外科手术器械、胸腔心血管外科手术器械。产品名称需符合《医疗器械通用名称命名规则》</w:t>
      </w:r>
      <w:r w:rsidRPr="00DC4D60">
        <w:rPr>
          <w:rFonts w:eastAsia="仿宋_GB2312"/>
          <w:sz w:val="32"/>
          <w:szCs w:val="32"/>
        </w:rPr>
        <w:t>《神经和心血管手术器械通用名称命名指导原则》等相关文件的规定。</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2.</w:t>
      </w:r>
      <w:r w:rsidRPr="00DC4D60">
        <w:rPr>
          <w:rFonts w:eastAsia="仿宋_GB2312" w:hint="eastAsia"/>
          <w:sz w:val="32"/>
          <w:szCs w:val="32"/>
        </w:rPr>
        <w:t>注册单元划分</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注册单元划分需符合《医疗器械注册与备案管理办法》</w:t>
      </w:r>
      <w:r w:rsidRPr="00DC4D60">
        <w:rPr>
          <w:rFonts w:eastAsia="仿宋_GB2312" w:hint="eastAsia"/>
          <w:sz w:val="32"/>
          <w:szCs w:val="32"/>
        </w:rPr>
        <w:t>《医疗器械注册单元划分指导原则》的要求。根据该类手术器械的适用范围，建议神经外科用手术器械与心血管手术器械划分为不同</w:t>
      </w:r>
      <w:r w:rsidRPr="00DC4D60">
        <w:rPr>
          <w:rFonts w:eastAsia="仿宋_GB2312" w:hint="eastAsia"/>
          <w:sz w:val="32"/>
          <w:szCs w:val="32"/>
        </w:rPr>
        <w:lastRenderedPageBreak/>
        <w:t>的注册单元，对于相同适用范围的同类手术用器械可划分为同一注册单元。</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产品在《医疗器械分类目录》中管理类别为Ⅱ类，其中刀的分类编码为</w:t>
      </w:r>
      <w:r w:rsidRPr="00DC4D60">
        <w:rPr>
          <w:rFonts w:eastAsia="仿宋_GB2312"/>
          <w:sz w:val="32"/>
          <w:szCs w:val="32"/>
        </w:rPr>
        <w:t>03-01</w:t>
      </w:r>
      <w:r w:rsidRPr="00DC4D60">
        <w:rPr>
          <w:rFonts w:eastAsia="仿宋_GB2312"/>
          <w:sz w:val="32"/>
          <w:szCs w:val="32"/>
        </w:rPr>
        <w:t>-01</w:t>
      </w:r>
      <w:r w:rsidRPr="00DC4D60">
        <w:rPr>
          <w:rFonts w:eastAsia="仿宋_GB2312" w:hint="eastAsia"/>
          <w:sz w:val="32"/>
          <w:szCs w:val="32"/>
        </w:rPr>
        <w:t>，剪的分类编码为</w:t>
      </w:r>
      <w:r w:rsidRPr="00DC4D60">
        <w:rPr>
          <w:rFonts w:eastAsia="仿宋_GB2312"/>
          <w:sz w:val="32"/>
          <w:szCs w:val="32"/>
        </w:rPr>
        <w:t>03-02-01</w:t>
      </w:r>
      <w:r w:rsidRPr="00DC4D60">
        <w:rPr>
          <w:rFonts w:eastAsia="仿宋_GB2312" w:hint="eastAsia"/>
          <w:sz w:val="32"/>
          <w:szCs w:val="32"/>
        </w:rPr>
        <w:t>，针包含手术针和排气针，分类编码分别为</w:t>
      </w:r>
      <w:r w:rsidRPr="00DC4D60">
        <w:rPr>
          <w:rFonts w:eastAsia="仿宋_GB2312"/>
          <w:sz w:val="32"/>
          <w:szCs w:val="32"/>
        </w:rPr>
        <w:t>03-06-01</w:t>
      </w:r>
      <w:r w:rsidRPr="00DC4D60">
        <w:rPr>
          <w:rFonts w:eastAsia="仿宋_GB2312" w:hint="eastAsia"/>
          <w:sz w:val="32"/>
          <w:szCs w:val="32"/>
        </w:rPr>
        <w:t>和</w:t>
      </w:r>
      <w:r w:rsidRPr="00DC4D60">
        <w:rPr>
          <w:rFonts w:eastAsia="仿宋_GB2312"/>
          <w:sz w:val="32"/>
          <w:szCs w:val="32"/>
        </w:rPr>
        <w:t>03-06-02</w:t>
      </w:r>
      <w:r w:rsidRPr="00DC4D60">
        <w:rPr>
          <w:rFonts w:eastAsia="仿宋_GB2312" w:hint="eastAsia"/>
          <w:sz w:val="32"/>
          <w:szCs w:val="32"/>
        </w:rPr>
        <w:t>。</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3.</w:t>
      </w:r>
      <w:r w:rsidRPr="00DC4D60">
        <w:rPr>
          <w:rFonts w:eastAsia="仿宋_GB2312" w:hint="eastAsia"/>
          <w:sz w:val="32"/>
          <w:szCs w:val="32"/>
        </w:rPr>
        <w:t>型号规格</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说明产品的型号规格及其划分依据。建议以列表的形式明确所有的型号规格，并写明各型号规格所有结构组成及配置，明确主要参数信息。</w:t>
      </w:r>
    </w:p>
    <w:p w:rsidR="00000000" w:rsidRPr="00DC4D60" w:rsidRDefault="005525BF" w:rsidP="00DC4D60">
      <w:pPr>
        <w:spacing w:line="560" w:lineRule="exact"/>
        <w:ind w:firstLineChars="200" w:firstLine="640"/>
        <w:rPr>
          <w:rFonts w:eastAsia="楷体_GB2312"/>
          <w:color w:val="000000"/>
          <w:sz w:val="32"/>
          <w:szCs w:val="32"/>
        </w:rPr>
      </w:pPr>
      <w:r w:rsidRPr="00DC4D60">
        <w:rPr>
          <w:rFonts w:eastAsia="楷体_GB2312" w:hint="eastAsia"/>
          <w:color w:val="000000"/>
          <w:sz w:val="32"/>
          <w:szCs w:val="32"/>
        </w:rPr>
        <w:t>（二）综述资料</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1.</w:t>
      </w:r>
      <w:r w:rsidRPr="00DC4D60">
        <w:rPr>
          <w:rFonts w:eastAsia="仿宋_GB2312"/>
          <w:sz w:val="32"/>
          <w:szCs w:val="32"/>
        </w:rPr>
        <w:t>产品描述</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产品描述应全面、详细，需至少包括申报产品工作原理、原材料、结构组成及相应图示、使用方法等。</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2.</w:t>
      </w:r>
      <w:r w:rsidRPr="00DC4D60">
        <w:rPr>
          <w:rFonts w:eastAsia="仿宋_GB2312"/>
          <w:sz w:val="32"/>
          <w:szCs w:val="32"/>
        </w:rPr>
        <w:t>包装说明</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提供有关产品的包装信息。对于无菌包装的器械，需说明与灭菌方法相适应的最初包装的信息。建议提供产品初包装结构示意图或照片。</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3</w:t>
      </w:r>
      <w:r w:rsidRPr="00DC4D60">
        <w:rPr>
          <w:rFonts w:eastAsia="仿宋_GB2312"/>
          <w:sz w:val="32"/>
          <w:szCs w:val="32"/>
        </w:rPr>
        <w:t>.</w:t>
      </w:r>
      <w:r w:rsidRPr="00DC4D60">
        <w:rPr>
          <w:rFonts w:eastAsia="仿宋_GB2312"/>
          <w:sz w:val="32"/>
          <w:szCs w:val="32"/>
        </w:rPr>
        <w:t>适用范围和禁忌证</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w:t>
      </w:r>
      <w:r w:rsidRPr="00DC4D60">
        <w:rPr>
          <w:rFonts w:eastAsia="仿宋_GB2312"/>
          <w:sz w:val="32"/>
          <w:szCs w:val="32"/>
        </w:rPr>
        <w:t>1</w:t>
      </w:r>
      <w:r w:rsidRPr="00DC4D60">
        <w:rPr>
          <w:rFonts w:eastAsia="仿宋_GB2312"/>
          <w:sz w:val="32"/>
          <w:szCs w:val="32"/>
        </w:rPr>
        <w:t>）适用范围：说明产品是一次性使用还是重复使用。</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w:t>
      </w:r>
      <w:r w:rsidRPr="00DC4D60">
        <w:rPr>
          <w:rFonts w:eastAsia="仿宋_GB2312"/>
          <w:sz w:val="32"/>
          <w:szCs w:val="32"/>
        </w:rPr>
        <w:t>2</w:t>
      </w:r>
      <w:r w:rsidRPr="00DC4D60">
        <w:rPr>
          <w:rFonts w:eastAsia="仿宋_GB2312" w:hint="eastAsia"/>
          <w:sz w:val="32"/>
          <w:szCs w:val="32"/>
        </w:rPr>
        <w:t>）禁忌证（如适用）：需考虑对材料过敏的情形。</w:t>
      </w:r>
    </w:p>
    <w:p w:rsidR="00000000" w:rsidRPr="00DC4D60" w:rsidRDefault="005525BF" w:rsidP="00DC4D60">
      <w:pPr>
        <w:spacing w:line="560" w:lineRule="exact"/>
        <w:ind w:firstLineChars="200" w:firstLine="640"/>
        <w:rPr>
          <w:rFonts w:eastAsia="楷体_GB2312"/>
          <w:color w:val="000000"/>
          <w:sz w:val="32"/>
          <w:szCs w:val="32"/>
        </w:rPr>
      </w:pPr>
      <w:r w:rsidRPr="00DC4D60">
        <w:rPr>
          <w:rFonts w:eastAsia="楷体_GB2312" w:hint="eastAsia"/>
          <w:color w:val="000000"/>
          <w:sz w:val="32"/>
          <w:szCs w:val="32"/>
        </w:rPr>
        <w:t>（三）非临床资料</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1.</w:t>
      </w:r>
      <w:r w:rsidRPr="00DC4D60">
        <w:rPr>
          <w:rFonts w:eastAsia="仿宋_GB2312" w:hint="eastAsia"/>
          <w:sz w:val="32"/>
          <w:szCs w:val="32"/>
        </w:rPr>
        <w:t>产品技术要求</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产品技术要求的制定应符合《医疗器械产品技术要求编写指</w:t>
      </w:r>
      <w:r w:rsidRPr="00DC4D60">
        <w:rPr>
          <w:rFonts w:eastAsia="仿宋_GB2312" w:hint="eastAsia"/>
          <w:sz w:val="32"/>
          <w:szCs w:val="32"/>
        </w:rPr>
        <w:lastRenderedPageBreak/>
        <w:t>南》的要求。注册申请人需根据产品的技术特征和临床使用情况来确定产品的性能指标和检验方法。对注册申请人宣称的产品的所有技术参数和功能，若适宜，均需在产品技术要求中予以规定。产品技术要求中的试验方法均需为已经过验证的方法。若对标准中的试验方法有所修改，需明确修改的内容和原因，并在研究资料中提供验证资料。对</w:t>
      </w:r>
      <w:r w:rsidRPr="00DC4D60">
        <w:rPr>
          <w:rFonts w:eastAsia="仿宋_GB2312" w:hint="eastAsia"/>
          <w:sz w:val="32"/>
          <w:szCs w:val="32"/>
        </w:rPr>
        <w:t>于相关行业标注、国家标准中不适用的要求条款，需说明不适用的原因和依据。</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w:t>
      </w:r>
      <w:r w:rsidRPr="00DC4D60">
        <w:rPr>
          <w:rFonts w:eastAsia="仿宋_GB2312"/>
          <w:sz w:val="32"/>
          <w:szCs w:val="32"/>
        </w:rPr>
        <w:t>1</w:t>
      </w:r>
      <w:r w:rsidRPr="00DC4D60">
        <w:rPr>
          <w:rFonts w:eastAsia="仿宋_GB2312"/>
          <w:sz w:val="32"/>
          <w:szCs w:val="32"/>
        </w:rPr>
        <w:t>）产品型号</w:t>
      </w:r>
      <w:r w:rsidRPr="00DC4D60">
        <w:rPr>
          <w:rFonts w:eastAsia="仿宋_GB2312"/>
          <w:sz w:val="32"/>
          <w:szCs w:val="32"/>
        </w:rPr>
        <w:t>/</w:t>
      </w:r>
      <w:r w:rsidRPr="00DC4D60">
        <w:rPr>
          <w:rFonts w:eastAsia="仿宋_GB2312"/>
          <w:sz w:val="32"/>
          <w:szCs w:val="32"/>
        </w:rPr>
        <w:t>规格及其划分的说明</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列表说明产品的型号、规格，明确产品的型号、规格的划分说明，鉴于该类器械型号、规格较多，建议在附录中以列表的形式提供，列表中需明确具体组件的种类和数量。</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w:t>
      </w:r>
      <w:r w:rsidRPr="00DC4D60">
        <w:rPr>
          <w:rFonts w:eastAsia="仿宋_GB2312"/>
          <w:sz w:val="32"/>
          <w:szCs w:val="32"/>
        </w:rPr>
        <w:t>2</w:t>
      </w:r>
      <w:r w:rsidRPr="00DC4D60">
        <w:rPr>
          <w:rFonts w:eastAsia="仿宋_GB2312"/>
          <w:sz w:val="32"/>
          <w:szCs w:val="32"/>
        </w:rPr>
        <w:t>）性能指标</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产品性能研究项目中，对于可进行客观判定的成品的功能性、安全性指标，需将其列入产品技术要求。可包括但不限于以下性能：外观、尺寸、硬度、表面粗糙度、耐腐蚀性能、连接牢固度（适用于有连接部件的产品）、使用性能（可客观判断的性能，如刀片刃口锋利</w:t>
      </w:r>
      <w:r w:rsidRPr="00DC4D60">
        <w:rPr>
          <w:rFonts w:eastAsia="仿宋_GB2312" w:hint="eastAsia"/>
          <w:sz w:val="32"/>
          <w:szCs w:val="32"/>
        </w:rPr>
        <w:t>度、手术剪的剪切性能等）、环氧乙烷残留量（适用于环氧乙烷灭菌的产品）、无菌</w:t>
      </w:r>
      <w:r w:rsidRPr="00DC4D60">
        <w:rPr>
          <w:rFonts w:eastAsia="仿宋_GB2312"/>
          <w:sz w:val="32"/>
          <w:szCs w:val="32"/>
        </w:rPr>
        <w:t>(</w:t>
      </w:r>
      <w:r w:rsidRPr="00DC4D60">
        <w:rPr>
          <w:rFonts w:eastAsia="仿宋_GB2312"/>
          <w:sz w:val="32"/>
          <w:szCs w:val="32"/>
        </w:rPr>
        <w:t>适用于灭菌状态交付的产品</w:t>
      </w:r>
      <w:r w:rsidRPr="00DC4D60">
        <w:rPr>
          <w:rFonts w:eastAsia="仿宋_GB2312"/>
          <w:sz w:val="32"/>
          <w:szCs w:val="32"/>
        </w:rPr>
        <w:t>)</w:t>
      </w:r>
      <w:r w:rsidRPr="00DC4D60">
        <w:rPr>
          <w:rFonts w:eastAsia="仿宋_GB2312"/>
          <w:sz w:val="32"/>
          <w:szCs w:val="32"/>
        </w:rPr>
        <w:t>。</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w:t>
      </w:r>
      <w:r w:rsidRPr="00DC4D60">
        <w:rPr>
          <w:rFonts w:eastAsia="仿宋_GB2312"/>
          <w:sz w:val="32"/>
          <w:szCs w:val="32"/>
        </w:rPr>
        <w:t>3</w:t>
      </w:r>
      <w:r w:rsidRPr="00DC4D60">
        <w:rPr>
          <w:rFonts w:eastAsia="仿宋_GB2312"/>
          <w:sz w:val="32"/>
          <w:szCs w:val="32"/>
        </w:rPr>
        <w:t>）检验方法</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产品的检验方法需根据性能指标设定，检验方法需优先采用公认的或已颁布的标准检验方法；自建检验方法需提供相应的方法学依据和理论基础，同时保证检验方法具有可操作性和可重现</w:t>
      </w:r>
      <w:r w:rsidRPr="00DC4D60">
        <w:rPr>
          <w:rFonts w:eastAsia="仿宋_GB2312" w:hint="eastAsia"/>
          <w:sz w:val="32"/>
          <w:szCs w:val="32"/>
        </w:rPr>
        <w:lastRenderedPageBreak/>
        <w:t>性，必要时可附相应图示进行说明，文本较大的可以附录形式提供。</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w:t>
      </w:r>
      <w:r w:rsidRPr="00DC4D60">
        <w:rPr>
          <w:rFonts w:eastAsia="仿宋_GB2312"/>
          <w:sz w:val="32"/>
          <w:szCs w:val="32"/>
        </w:rPr>
        <w:t>4</w:t>
      </w:r>
      <w:r w:rsidRPr="00DC4D60">
        <w:rPr>
          <w:rFonts w:eastAsia="仿宋_GB2312"/>
          <w:sz w:val="32"/>
          <w:szCs w:val="32"/>
        </w:rPr>
        <w:t>）附录</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建议注册申请人以资料性附录形式提供产品的结构图示及制造材料信息。</w:t>
      </w:r>
    </w:p>
    <w:p w:rsidR="00000000" w:rsidRPr="00DC4D60" w:rsidRDefault="005525BF" w:rsidP="00DC4D60">
      <w:pPr>
        <w:numPr>
          <w:ilvl w:val="0"/>
          <w:numId w:val="2"/>
        </w:numPr>
        <w:tabs>
          <w:tab w:val="left" w:pos="0"/>
        </w:tabs>
        <w:spacing w:line="560" w:lineRule="exact"/>
        <w:ind w:firstLineChars="200" w:firstLine="640"/>
        <w:rPr>
          <w:rFonts w:eastAsia="仿宋_GB2312"/>
          <w:sz w:val="32"/>
          <w:szCs w:val="32"/>
        </w:rPr>
      </w:pPr>
      <w:r w:rsidRPr="00DC4D60">
        <w:rPr>
          <w:rFonts w:eastAsia="仿宋_GB2312" w:hint="eastAsia"/>
          <w:sz w:val="32"/>
          <w:szCs w:val="32"/>
        </w:rPr>
        <w:t>产品检验报告</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产品检验报告中选取的型号规格需能代表本注册单元内其它产品的安全性和有效性</w:t>
      </w:r>
      <w:r w:rsidRPr="00DC4D60">
        <w:rPr>
          <w:rFonts w:eastAsia="仿宋_GB2312" w:hint="eastAsia"/>
          <w:sz w:val="32"/>
          <w:szCs w:val="32"/>
        </w:rPr>
        <w:t>，当申报产品包括多个型号规格，需选择一个典型的型号规格进行全性能检测，对未能覆盖的型号进行补充性检测，并对所选典型性型号规格的理由进行详细说明，综合考虑产品的原材料、结构组成、包装方式、灭菌方式、不同规格的生产工艺和预期用途等因素。</w:t>
      </w:r>
    </w:p>
    <w:p w:rsidR="00000000" w:rsidRPr="00DC4D60" w:rsidRDefault="005525BF" w:rsidP="00DC4D60">
      <w:pPr>
        <w:numPr>
          <w:ilvl w:val="0"/>
          <w:numId w:val="2"/>
        </w:numPr>
        <w:tabs>
          <w:tab w:val="left" w:pos="0"/>
        </w:tabs>
        <w:spacing w:line="560" w:lineRule="exact"/>
        <w:ind w:firstLineChars="200" w:firstLine="640"/>
        <w:rPr>
          <w:rFonts w:eastAsia="仿宋_GB2312"/>
          <w:sz w:val="32"/>
          <w:szCs w:val="32"/>
        </w:rPr>
      </w:pPr>
      <w:r w:rsidRPr="00DC4D60">
        <w:rPr>
          <w:rFonts w:eastAsia="仿宋_GB2312" w:hint="eastAsia"/>
          <w:sz w:val="32"/>
          <w:szCs w:val="32"/>
        </w:rPr>
        <w:t>产品性能研究资料</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需对申报产品的代表性样品进行功能性、安全性指标研究。需提交性能指标的确定依据，所采用的标准或方法、采用的原因及理论基础。对于自建方法，注册申请人还需提供相应的依据或方法学验证资料。对于神经和心血管手术器械中的刀、剪、针，建议开展的性能验证项目可参考如下：</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w:t>
      </w:r>
      <w:r w:rsidRPr="00DC4D60">
        <w:rPr>
          <w:rFonts w:eastAsia="仿宋_GB2312"/>
          <w:sz w:val="32"/>
          <w:szCs w:val="32"/>
        </w:rPr>
        <w:t>1</w:t>
      </w:r>
      <w:r w:rsidRPr="00DC4D60">
        <w:rPr>
          <w:rFonts w:eastAsia="仿宋_GB2312"/>
          <w:sz w:val="32"/>
          <w:szCs w:val="32"/>
        </w:rPr>
        <w:t>）硬度</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w:t>
      </w:r>
      <w:r w:rsidRPr="00DC4D60">
        <w:rPr>
          <w:rFonts w:eastAsia="仿宋_GB2312"/>
          <w:sz w:val="32"/>
          <w:szCs w:val="32"/>
        </w:rPr>
        <w:t>2</w:t>
      </w:r>
      <w:r w:rsidRPr="00DC4D60">
        <w:rPr>
          <w:rFonts w:eastAsia="仿宋_GB2312"/>
          <w:sz w:val="32"/>
          <w:szCs w:val="32"/>
        </w:rPr>
        <w:t>）表面粗糙度</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w:t>
      </w:r>
      <w:r w:rsidRPr="00DC4D60">
        <w:rPr>
          <w:rFonts w:eastAsia="仿宋_GB2312"/>
          <w:sz w:val="32"/>
          <w:szCs w:val="32"/>
        </w:rPr>
        <w:t>3</w:t>
      </w:r>
      <w:r w:rsidRPr="00DC4D60">
        <w:rPr>
          <w:rFonts w:eastAsia="仿宋_GB2312"/>
          <w:sz w:val="32"/>
          <w:szCs w:val="32"/>
        </w:rPr>
        <w:t>）耐腐蚀性能</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w:t>
      </w:r>
      <w:r w:rsidRPr="00DC4D60">
        <w:rPr>
          <w:rFonts w:eastAsia="仿宋_GB2312"/>
          <w:sz w:val="32"/>
          <w:szCs w:val="32"/>
        </w:rPr>
        <w:t>4</w:t>
      </w:r>
      <w:r w:rsidRPr="00DC4D60">
        <w:rPr>
          <w:rFonts w:eastAsia="仿宋_GB2312"/>
          <w:sz w:val="32"/>
          <w:szCs w:val="32"/>
        </w:rPr>
        <w:t>）连接牢固度（适用于有连接部件的产品，针体与针柄、刀片与刀柄等）</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lastRenderedPageBreak/>
        <w:t>（</w:t>
      </w:r>
      <w:r w:rsidRPr="00DC4D60">
        <w:rPr>
          <w:rFonts w:eastAsia="仿宋_GB2312"/>
          <w:sz w:val="32"/>
          <w:szCs w:val="32"/>
        </w:rPr>
        <w:t>5</w:t>
      </w:r>
      <w:r w:rsidRPr="00DC4D60">
        <w:rPr>
          <w:rFonts w:eastAsia="仿宋_GB2312"/>
          <w:sz w:val="32"/>
          <w:szCs w:val="32"/>
        </w:rPr>
        <w:t>）使用性能（如刀片刃口锋利度、刀片与刀柄插卸轻松试验、刀片弹性、手术剪的剪切性能、手术针针管韧性等）</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w:t>
      </w:r>
      <w:r w:rsidRPr="00DC4D60">
        <w:rPr>
          <w:rFonts w:eastAsia="仿宋_GB2312"/>
          <w:sz w:val="32"/>
          <w:szCs w:val="32"/>
        </w:rPr>
        <w:t>6</w:t>
      </w:r>
      <w:r w:rsidRPr="00DC4D60">
        <w:rPr>
          <w:rFonts w:eastAsia="仿宋_GB2312"/>
          <w:sz w:val="32"/>
          <w:szCs w:val="32"/>
        </w:rPr>
        <w:t>）与人体接触材料的化学表征</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w:t>
      </w:r>
      <w:r w:rsidRPr="00DC4D60">
        <w:rPr>
          <w:rFonts w:eastAsia="仿宋_GB2312"/>
          <w:sz w:val="32"/>
          <w:szCs w:val="32"/>
        </w:rPr>
        <w:t>7</w:t>
      </w:r>
      <w:r w:rsidRPr="00DC4D60">
        <w:rPr>
          <w:rFonts w:eastAsia="仿宋_GB2312"/>
          <w:sz w:val="32"/>
          <w:szCs w:val="32"/>
        </w:rPr>
        <w:t>）环氧乙烷残留量（适用于环氧乙烷灭菌的产品）</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w:t>
      </w:r>
      <w:r w:rsidRPr="00DC4D60">
        <w:rPr>
          <w:rFonts w:eastAsia="仿宋_GB2312"/>
          <w:sz w:val="32"/>
          <w:szCs w:val="32"/>
        </w:rPr>
        <w:t>8</w:t>
      </w:r>
      <w:r w:rsidRPr="00DC4D60">
        <w:rPr>
          <w:rFonts w:eastAsia="仿宋_GB2312"/>
          <w:sz w:val="32"/>
          <w:szCs w:val="32"/>
        </w:rPr>
        <w:t>）无菌（适用于无菌交付的产品）</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w:t>
      </w:r>
      <w:r w:rsidRPr="00DC4D60">
        <w:rPr>
          <w:rFonts w:eastAsia="仿宋_GB2312"/>
          <w:sz w:val="32"/>
          <w:szCs w:val="32"/>
        </w:rPr>
        <w:t>9</w:t>
      </w:r>
      <w:r w:rsidRPr="00DC4D60">
        <w:rPr>
          <w:rFonts w:eastAsia="仿宋_GB2312"/>
          <w:sz w:val="32"/>
          <w:szCs w:val="32"/>
        </w:rPr>
        <w:t>）细菌内毒素（适用于无菌交付的产品）</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注册申请人需根据产品设计输入要求进一步确认验证项目的充分性，如产品宣称有特定设计，注册申请人还需根据产品设计特点设定相应的研究项目。</w:t>
      </w:r>
      <w:r w:rsidRPr="00DC4D60">
        <w:rPr>
          <w:rFonts w:eastAsia="仿宋_GB2312" w:hint="eastAsia"/>
          <w:sz w:val="32"/>
          <w:szCs w:val="32"/>
        </w:rPr>
        <w:t>如产品经表面处理，需提供相关工艺及其对产品性能影响的研究资料。</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4.</w:t>
      </w:r>
      <w:r w:rsidRPr="00DC4D60">
        <w:rPr>
          <w:rFonts w:eastAsia="仿宋_GB2312" w:hint="eastAsia"/>
          <w:sz w:val="32"/>
          <w:szCs w:val="32"/>
        </w:rPr>
        <w:t>生物学特性研究</w:t>
      </w:r>
    </w:p>
    <w:p w:rsidR="00000000" w:rsidRPr="00DC4D60" w:rsidRDefault="005525BF" w:rsidP="00DC4D60">
      <w:pPr>
        <w:spacing w:line="560" w:lineRule="exact"/>
        <w:ind w:firstLineChars="200" w:firstLine="640"/>
        <w:rPr>
          <w:rFonts w:eastAsia="等线"/>
          <w:szCs w:val="22"/>
        </w:rPr>
      </w:pPr>
      <w:r w:rsidRPr="00DC4D60">
        <w:rPr>
          <w:rFonts w:eastAsia="仿宋_GB2312" w:hint="eastAsia"/>
          <w:sz w:val="32"/>
          <w:szCs w:val="32"/>
        </w:rPr>
        <w:t>需对成品中与患者直接或间接接触的部件，按照</w:t>
      </w:r>
      <w:r w:rsidRPr="00DC4D60">
        <w:rPr>
          <w:rFonts w:eastAsia="仿宋_GB2312"/>
          <w:sz w:val="32"/>
          <w:szCs w:val="32"/>
        </w:rPr>
        <w:t>GB/T 16886</w:t>
      </w:r>
      <w:r w:rsidRPr="00DC4D60">
        <w:rPr>
          <w:rFonts w:eastAsia="仿宋_GB2312" w:hint="eastAsia"/>
          <w:sz w:val="32"/>
          <w:szCs w:val="32"/>
        </w:rPr>
        <w:t>《医疗器械生物学评价》系列标准进行生物学评价。若成品中与患者直接或间接接触的材料经验证符合科植入物用金属材料标准（如</w:t>
      </w:r>
      <w:r w:rsidRPr="00DC4D60">
        <w:rPr>
          <w:rFonts w:eastAsia="仿宋_GB2312"/>
          <w:sz w:val="32"/>
          <w:szCs w:val="32"/>
        </w:rPr>
        <w:t>GB 4234.1</w:t>
      </w:r>
      <w:r w:rsidRPr="00DC4D60">
        <w:rPr>
          <w:rFonts w:eastAsia="仿宋_GB2312"/>
          <w:sz w:val="32"/>
          <w:szCs w:val="32"/>
        </w:rPr>
        <w:t>《外科植入物</w:t>
      </w:r>
      <w:r w:rsidRPr="00DC4D60">
        <w:rPr>
          <w:rFonts w:eastAsia="仿宋_GB2312"/>
          <w:sz w:val="32"/>
          <w:szCs w:val="32"/>
        </w:rPr>
        <w:t xml:space="preserve"> </w:t>
      </w:r>
      <w:r w:rsidRPr="00DC4D60">
        <w:rPr>
          <w:rFonts w:eastAsia="仿宋_GB2312"/>
          <w:sz w:val="32"/>
          <w:szCs w:val="32"/>
        </w:rPr>
        <w:t>金属材料</w:t>
      </w:r>
      <w:r w:rsidRPr="00DC4D60">
        <w:rPr>
          <w:rFonts w:eastAsia="仿宋_GB2312"/>
          <w:sz w:val="32"/>
          <w:szCs w:val="32"/>
        </w:rPr>
        <w:t xml:space="preserve"> </w:t>
      </w:r>
      <w:r w:rsidRPr="00DC4D60">
        <w:rPr>
          <w:rFonts w:eastAsia="仿宋_GB2312"/>
          <w:sz w:val="32"/>
          <w:szCs w:val="32"/>
        </w:rPr>
        <w:t>第</w:t>
      </w:r>
      <w:r w:rsidRPr="00DC4D60">
        <w:rPr>
          <w:rFonts w:eastAsia="仿宋_GB2312"/>
          <w:sz w:val="32"/>
          <w:szCs w:val="32"/>
        </w:rPr>
        <w:t>1</w:t>
      </w:r>
      <w:r w:rsidRPr="00DC4D60">
        <w:rPr>
          <w:rFonts w:eastAsia="仿宋_GB2312"/>
          <w:sz w:val="32"/>
          <w:szCs w:val="32"/>
        </w:rPr>
        <w:t>部分：锻造不锈钢》）或外科器械用材料标准（如</w:t>
      </w:r>
      <w:r w:rsidRPr="00DC4D60">
        <w:rPr>
          <w:rFonts w:eastAsia="仿宋_GB2312"/>
          <w:sz w:val="32"/>
          <w:szCs w:val="32"/>
        </w:rPr>
        <w:t>YY/T 0294.1</w:t>
      </w:r>
      <w:r w:rsidRPr="00DC4D60">
        <w:rPr>
          <w:rFonts w:eastAsia="仿宋_GB2312"/>
          <w:sz w:val="32"/>
          <w:szCs w:val="32"/>
        </w:rPr>
        <w:t>《外科器械</w:t>
      </w:r>
      <w:r w:rsidRPr="00DC4D60">
        <w:rPr>
          <w:rFonts w:eastAsia="仿宋_GB2312"/>
          <w:sz w:val="32"/>
          <w:szCs w:val="32"/>
        </w:rPr>
        <w:t xml:space="preserve">  </w:t>
      </w:r>
      <w:r w:rsidRPr="00DC4D60">
        <w:rPr>
          <w:rFonts w:eastAsia="仿宋_GB2312"/>
          <w:sz w:val="32"/>
          <w:szCs w:val="32"/>
        </w:rPr>
        <w:t>金属材料</w:t>
      </w:r>
      <w:r w:rsidRPr="00DC4D60">
        <w:rPr>
          <w:rFonts w:eastAsia="仿宋_GB2312"/>
          <w:sz w:val="32"/>
          <w:szCs w:val="32"/>
        </w:rPr>
        <w:t xml:space="preserve">  </w:t>
      </w:r>
      <w:r w:rsidRPr="00DC4D60">
        <w:rPr>
          <w:rFonts w:eastAsia="仿宋_GB2312"/>
          <w:sz w:val="32"/>
          <w:szCs w:val="32"/>
        </w:rPr>
        <w:t>第</w:t>
      </w:r>
      <w:r w:rsidRPr="00DC4D60">
        <w:rPr>
          <w:rFonts w:eastAsia="仿宋_GB2312"/>
          <w:sz w:val="32"/>
          <w:szCs w:val="32"/>
        </w:rPr>
        <w:t>1</w:t>
      </w:r>
      <w:r w:rsidRPr="00DC4D60">
        <w:rPr>
          <w:rFonts w:eastAsia="仿宋_GB2312"/>
          <w:sz w:val="32"/>
          <w:szCs w:val="32"/>
        </w:rPr>
        <w:t>部分：不锈钢》），以及相关产品标准中规定牌号（如</w:t>
      </w:r>
      <w:r w:rsidRPr="00DC4D60">
        <w:rPr>
          <w:rFonts w:eastAsia="仿宋_GB2312"/>
          <w:sz w:val="32"/>
          <w:szCs w:val="32"/>
        </w:rPr>
        <w:t>YY/T 0176-2006</w:t>
      </w:r>
      <w:r w:rsidRPr="00DC4D60">
        <w:rPr>
          <w:rFonts w:eastAsia="仿宋_GB2312"/>
          <w:sz w:val="32"/>
          <w:szCs w:val="32"/>
        </w:rPr>
        <w:t>《医用剪通用技术条件》中规定的</w:t>
      </w:r>
      <w:r w:rsidRPr="00DC4D60">
        <w:rPr>
          <w:rFonts w:eastAsia="仿宋_GB2312"/>
          <w:sz w:val="32"/>
          <w:szCs w:val="32"/>
        </w:rPr>
        <w:t>材料牌号），在提供材料化学成分验证资料的情况下</w:t>
      </w:r>
      <w:r w:rsidRPr="00DC4D60">
        <w:rPr>
          <w:rFonts w:eastAsia="仿宋_GB2312" w:hint="eastAsia"/>
          <w:sz w:val="32"/>
          <w:szCs w:val="32"/>
        </w:rPr>
        <w:t>可豁免生物学试验。</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5.</w:t>
      </w:r>
      <w:r w:rsidRPr="00DC4D60">
        <w:rPr>
          <w:rFonts w:eastAsia="仿宋_GB2312" w:hint="eastAsia"/>
          <w:sz w:val="32"/>
          <w:szCs w:val="32"/>
        </w:rPr>
        <w:t>清洗及灭菌研究</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需提供产品灭菌前或包装前清洗验证资料。</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若申报产品以灭菌状态交付，灭菌工艺研究资料需符合以下要求：</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lastRenderedPageBreak/>
        <w:t>（</w:t>
      </w:r>
      <w:r w:rsidRPr="00DC4D60">
        <w:rPr>
          <w:rFonts w:eastAsia="仿宋_GB2312"/>
          <w:sz w:val="32"/>
          <w:szCs w:val="32"/>
        </w:rPr>
        <w:t>1</w:t>
      </w:r>
      <w:r w:rsidRPr="00DC4D60">
        <w:rPr>
          <w:rFonts w:eastAsia="仿宋_GB2312"/>
          <w:sz w:val="32"/>
          <w:szCs w:val="32"/>
        </w:rPr>
        <w:t>）</w:t>
      </w:r>
      <w:r w:rsidRPr="00DC4D60">
        <w:rPr>
          <w:rFonts w:eastAsia="仿宋_GB2312" w:hint="eastAsia"/>
          <w:sz w:val="32"/>
          <w:szCs w:val="32"/>
        </w:rPr>
        <w:t>需</w:t>
      </w:r>
      <w:r w:rsidRPr="00DC4D60">
        <w:rPr>
          <w:rFonts w:eastAsia="仿宋_GB2312"/>
          <w:sz w:val="32"/>
          <w:szCs w:val="32"/>
        </w:rPr>
        <w:t>明确灭菌工艺（方法和参数）及其选择依据，并</w:t>
      </w:r>
      <w:r w:rsidRPr="00DC4D60">
        <w:rPr>
          <w:rFonts w:eastAsia="仿宋_GB2312" w:hint="eastAsia"/>
          <w:sz w:val="32"/>
          <w:szCs w:val="32"/>
        </w:rPr>
        <w:t>需对产品与灭菌过程的适应性、包装与灭菌过程的适应性进行确认</w:t>
      </w:r>
      <w:r w:rsidRPr="00DC4D60">
        <w:rPr>
          <w:rFonts w:eastAsia="仿宋_GB2312"/>
          <w:sz w:val="32"/>
          <w:szCs w:val="32"/>
        </w:rPr>
        <w:t>，同时提供选用的灭菌方法可以使产品达到的无菌保证水平（</w:t>
      </w:r>
      <w:r w:rsidRPr="00DC4D60">
        <w:rPr>
          <w:rFonts w:eastAsia="仿宋_GB2312"/>
          <w:sz w:val="32"/>
          <w:szCs w:val="32"/>
        </w:rPr>
        <w:t>SAL</w:t>
      </w:r>
      <w:r w:rsidRPr="00DC4D60">
        <w:rPr>
          <w:rFonts w:eastAsia="仿宋_GB2312"/>
          <w:sz w:val="32"/>
          <w:szCs w:val="32"/>
        </w:rPr>
        <w:t>）的灭菌确认报告，产品的无菌保证水平（</w:t>
      </w:r>
      <w:r w:rsidRPr="00DC4D60">
        <w:rPr>
          <w:rFonts w:eastAsia="仿宋_GB2312"/>
          <w:sz w:val="32"/>
          <w:szCs w:val="32"/>
        </w:rPr>
        <w:t>SAL</w:t>
      </w:r>
      <w:r w:rsidRPr="00DC4D60">
        <w:rPr>
          <w:rFonts w:eastAsia="仿宋_GB2312"/>
          <w:sz w:val="32"/>
          <w:szCs w:val="32"/>
        </w:rPr>
        <w:t>）</w:t>
      </w:r>
      <w:r w:rsidRPr="00DC4D60">
        <w:rPr>
          <w:rFonts w:eastAsia="仿宋_GB2312" w:hint="eastAsia"/>
          <w:sz w:val="32"/>
          <w:szCs w:val="32"/>
        </w:rPr>
        <w:t>需</w:t>
      </w:r>
      <w:r w:rsidRPr="00DC4D60">
        <w:rPr>
          <w:rFonts w:eastAsia="仿宋_GB2312"/>
          <w:sz w:val="32"/>
          <w:szCs w:val="32"/>
        </w:rPr>
        <w:t>不低于</w:t>
      </w:r>
      <w:r w:rsidRPr="00DC4D60">
        <w:rPr>
          <w:rFonts w:eastAsia="仿宋_GB2312"/>
          <w:sz w:val="32"/>
          <w:szCs w:val="32"/>
        </w:rPr>
        <w:t>1×10</w:t>
      </w:r>
      <w:r w:rsidRPr="00DC4D60">
        <w:rPr>
          <w:rFonts w:eastAsia="仿宋_GB2312"/>
          <w:sz w:val="32"/>
          <w:szCs w:val="32"/>
          <w:vertAlign w:val="superscript"/>
        </w:rPr>
        <w:t>－</w:t>
      </w:r>
      <w:r w:rsidRPr="00DC4D60">
        <w:rPr>
          <w:rFonts w:eastAsia="仿宋_GB2312"/>
          <w:sz w:val="32"/>
          <w:szCs w:val="32"/>
          <w:vertAlign w:val="superscript"/>
        </w:rPr>
        <w:t>6</w:t>
      </w:r>
      <w:r w:rsidRPr="00DC4D60">
        <w:rPr>
          <w:rFonts w:eastAsia="仿宋_GB2312"/>
          <w:sz w:val="32"/>
          <w:szCs w:val="32"/>
        </w:rPr>
        <w:t>。</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w:t>
      </w:r>
      <w:r w:rsidRPr="00DC4D60">
        <w:rPr>
          <w:rFonts w:eastAsia="仿宋_GB2312"/>
          <w:sz w:val="32"/>
          <w:szCs w:val="32"/>
        </w:rPr>
        <w:t>2</w:t>
      </w:r>
      <w:r w:rsidRPr="00DC4D60">
        <w:rPr>
          <w:rFonts w:eastAsia="仿宋_GB2312"/>
          <w:sz w:val="32"/>
          <w:szCs w:val="32"/>
        </w:rPr>
        <w:t>）残留毒性：若灭菌使用的方法容易出现残留，如环氧乙烷灭菌，需提供环氧乙烷及</w:t>
      </w:r>
      <w:r w:rsidRPr="00DC4D60">
        <w:rPr>
          <w:rFonts w:eastAsia="仿宋_GB2312"/>
          <w:sz w:val="32"/>
          <w:szCs w:val="32"/>
        </w:rPr>
        <w:t>2-</w:t>
      </w:r>
      <w:r w:rsidRPr="00DC4D60">
        <w:rPr>
          <w:rFonts w:eastAsia="仿宋_GB2312" w:hint="eastAsia"/>
          <w:sz w:val="32"/>
          <w:szCs w:val="32"/>
        </w:rPr>
        <w:t>氯乙醇</w:t>
      </w:r>
      <w:r w:rsidRPr="00DC4D60">
        <w:rPr>
          <w:rFonts w:eastAsia="仿宋_GB2312" w:hint="eastAsia"/>
          <w:sz w:val="32"/>
          <w:szCs w:val="32"/>
        </w:rPr>
        <w:t>的处理方法及残留量控制的验证资料及残留量控制限量的接受依据。</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w:t>
      </w:r>
      <w:r w:rsidRPr="00DC4D60">
        <w:rPr>
          <w:rFonts w:eastAsia="仿宋_GB2312"/>
          <w:sz w:val="32"/>
          <w:szCs w:val="32"/>
        </w:rPr>
        <w:t>3</w:t>
      </w:r>
      <w:r w:rsidRPr="00DC4D60">
        <w:rPr>
          <w:rFonts w:eastAsia="仿宋_GB2312"/>
          <w:sz w:val="32"/>
          <w:szCs w:val="32"/>
        </w:rPr>
        <w:t>）</w:t>
      </w:r>
      <w:r w:rsidRPr="00DC4D60">
        <w:rPr>
          <w:rFonts w:eastAsia="仿宋_GB2312"/>
          <w:sz w:val="32"/>
          <w:szCs w:val="32"/>
        </w:rPr>
        <w:t>若产品为辐照灭菌，</w:t>
      </w:r>
      <w:r w:rsidRPr="00DC4D60">
        <w:rPr>
          <w:rFonts w:eastAsia="仿宋_GB2312" w:hint="eastAsia"/>
          <w:sz w:val="32"/>
          <w:szCs w:val="32"/>
        </w:rPr>
        <w:t>需</w:t>
      </w:r>
      <w:r w:rsidRPr="00DC4D60">
        <w:rPr>
          <w:rFonts w:eastAsia="仿宋_GB2312"/>
          <w:sz w:val="32"/>
          <w:szCs w:val="32"/>
        </w:rPr>
        <w:t>参照</w:t>
      </w:r>
      <w:r w:rsidRPr="00DC4D60">
        <w:rPr>
          <w:rFonts w:eastAsia="仿宋_GB2312"/>
          <w:sz w:val="32"/>
          <w:szCs w:val="32"/>
        </w:rPr>
        <w:t>GB18280</w:t>
      </w:r>
      <w:r w:rsidRPr="00DC4D60">
        <w:rPr>
          <w:rFonts w:eastAsia="仿宋_GB2312"/>
          <w:sz w:val="32"/>
          <w:szCs w:val="32"/>
        </w:rPr>
        <w:t>《医疗保健产品灭菌</w:t>
      </w:r>
      <w:r w:rsidRPr="00DC4D60">
        <w:rPr>
          <w:rFonts w:eastAsia="仿宋_GB2312"/>
          <w:sz w:val="32"/>
          <w:szCs w:val="32"/>
        </w:rPr>
        <w:t xml:space="preserve"> </w:t>
      </w:r>
      <w:r w:rsidRPr="00DC4D60">
        <w:rPr>
          <w:rFonts w:eastAsia="仿宋_GB2312"/>
          <w:sz w:val="32"/>
          <w:szCs w:val="32"/>
        </w:rPr>
        <w:t>辐射》系列标准，提交灭菌研究资料，至少包括：灭菌剂量确认报告、辐照场剂量分布报告、包装与灭菌方法适宜性报告。</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若申报产品采用非无菌交付，由终端用户灭菌，需明确推荐的灭菌工艺（方法和参数）及推荐的灭菌方法确定依据，提交灭菌过程对产品性能影响的相关验证资料，并对灭菌效果进行确认，并提交相关资料，</w:t>
      </w:r>
      <w:r w:rsidRPr="00DC4D60">
        <w:rPr>
          <w:rFonts w:eastAsia="仿宋_GB2312"/>
          <w:sz w:val="32"/>
          <w:szCs w:val="32"/>
        </w:rPr>
        <w:t>产品的无菌保证水平（</w:t>
      </w:r>
      <w:r w:rsidRPr="00DC4D60">
        <w:rPr>
          <w:rFonts w:eastAsia="仿宋_GB2312"/>
          <w:sz w:val="32"/>
          <w:szCs w:val="32"/>
        </w:rPr>
        <w:t>SAL</w:t>
      </w:r>
      <w:r w:rsidRPr="00DC4D60">
        <w:rPr>
          <w:rFonts w:eastAsia="仿宋_GB2312"/>
          <w:sz w:val="32"/>
          <w:szCs w:val="32"/>
        </w:rPr>
        <w:t>）</w:t>
      </w:r>
      <w:r w:rsidRPr="00DC4D60">
        <w:rPr>
          <w:rFonts w:eastAsia="仿宋_GB2312" w:hint="eastAsia"/>
          <w:sz w:val="32"/>
          <w:szCs w:val="32"/>
        </w:rPr>
        <w:t>需</w:t>
      </w:r>
      <w:r w:rsidRPr="00DC4D60">
        <w:rPr>
          <w:rFonts w:eastAsia="仿宋_GB2312"/>
          <w:sz w:val="32"/>
          <w:szCs w:val="32"/>
        </w:rPr>
        <w:t>不低于</w:t>
      </w:r>
      <w:r w:rsidRPr="00DC4D60">
        <w:rPr>
          <w:rFonts w:eastAsia="仿宋_GB2312"/>
          <w:sz w:val="32"/>
          <w:szCs w:val="32"/>
        </w:rPr>
        <w:t>1×10</w:t>
      </w:r>
      <w:r w:rsidRPr="00DC4D60">
        <w:rPr>
          <w:rFonts w:eastAsia="仿宋_GB2312"/>
          <w:sz w:val="32"/>
          <w:szCs w:val="32"/>
          <w:vertAlign w:val="superscript"/>
        </w:rPr>
        <w:t>－</w:t>
      </w:r>
      <w:r w:rsidRPr="00DC4D60">
        <w:rPr>
          <w:rFonts w:eastAsia="仿宋_GB2312"/>
          <w:sz w:val="32"/>
          <w:szCs w:val="32"/>
          <w:vertAlign w:val="superscript"/>
        </w:rPr>
        <w:t>6</w:t>
      </w:r>
      <w:r w:rsidRPr="00DC4D60">
        <w:rPr>
          <w:rFonts w:eastAsia="仿宋_GB2312" w:hint="eastAsia"/>
          <w:sz w:val="32"/>
          <w:szCs w:val="32"/>
        </w:rPr>
        <w:t>；对可耐受两次或多次灭菌的产品，需提供产品相关</w:t>
      </w:r>
      <w:r w:rsidRPr="00DC4D60">
        <w:rPr>
          <w:rFonts w:eastAsia="仿宋_GB2312" w:hint="eastAsia"/>
          <w:sz w:val="32"/>
          <w:szCs w:val="32"/>
        </w:rPr>
        <w:t>推荐的灭菌方法耐受性的研究资料。</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5.</w:t>
      </w:r>
      <w:r w:rsidRPr="00DC4D60">
        <w:rPr>
          <w:rFonts w:eastAsia="仿宋_GB2312" w:hint="eastAsia"/>
          <w:sz w:val="32"/>
          <w:szCs w:val="32"/>
        </w:rPr>
        <w:t>稳定性研究</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产品货架有效期的注册申报资料可参照《无源植入性医疗器械货架有效期注册申报资料指导原则</w:t>
      </w:r>
      <w:r w:rsidRPr="00DC4D60">
        <w:rPr>
          <w:rFonts w:eastAsia="仿宋_GB2312" w:hint="eastAsia"/>
          <w:sz w:val="32"/>
          <w:szCs w:val="32"/>
        </w:rPr>
        <w:t>》</w:t>
      </w:r>
      <w:r w:rsidRPr="00DC4D60">
        <w:rPr>
          <w:rFonts w:eastAsia="仿宋_GB2312"/>
          <w:sz w:val="32"/>
          <w:szCs w:val="32"/>
        </w:rPr>
        <w:t>，</w:t>
      </w:r>
      <w:r w:rsidRPr="00DC4D60">
        <w:rPr>
          <w:rFonts w:eastAsia="仿宋_GB2312" w:hint="eastAsia"/>
          <w:sz w:val="32"/>
          <w:szCs w:val="32"/>
        </w:rPr>
        <w:t>对于由金属材料制成的刀、剪、针等器械，因其材料性能较为稳定，故对于无菌提供的产品，货架有效期主要取决于初包装无菌屏障性能的保持，而对于非无菌提供的产品，货架有效期主要考虑产品在储存期的氧化</w:t>
      </w:r>
      <w:r w:rsidRPr="00DC4D60">
        <w:rPr>
          <w:rFonts w:eastAsia="仿宋_GB2312" w:hint="eastAsia"/>
          <w:sz w:val="32"/>
          <w:szCs w:val="32"/>
        </w:rPr>
        <w:lastRenderedPageBreak/>
        <w:t>腐蚀情况</w:t>
      </w:r>
      <w:r w:rsidRPr="00DC4D60">
        <w:rPr>
          <w:rFonts w:eastAsia="仿宋_GB2312"/>
          <w:sz w:val="32"/>
          <w:szCs w:val="32"/>
        </w:rPr>
        <w:t>。</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该类器械多为可重复使用的器械，因此注册申请人需考虑重复使用造成的风险，提供相关的风险控制资料。若产品在其说明书中规定了使用次数，则需提供相关资料证明在其规定的使用次数内，在正</w:t>
      </w:r>
      <w:r w:rsidRPr="00DC4D60">
        <w:rPr>
          <w:rFonts w:eastAsia="仿宋_GB2312" w:hint="eastAsia"/>
          <w:sz w:val="32"/>
          <w:szCs w:val="32"/>
        </w:rPr>
        <w:t>常使用、维护情况下，产品的性能功能满足使用要求。</w:t>
      </w:r>
    </w:p>
    <w:p w:rsidR="00000000" w:rsidRPr="00DC4D60" w:rsidRDefault="005525BF" w:rsidP="00DC4D60">
      <w:pPr>
        <w:spacing w:line="560" w:lineRule="exact"/>
        <w:ind w:firstLineChars="200" w:firstLine="640"/>
        <w:rPr>
          <w:rFonts w:ascii="楷体_GB2312" w:eastAsia="楷体_GB2312" w:hAnsi="楷体_GB2312" w:cs="楷体_GB2312" w:hint="eastAsia"/>
          <w:sz w:val="32"/>
          <w:szCs w:val="32"/>
        </w:rPr>
      </w:pPr>
      <w:r w:rsidRPr="00DC4D60">
        <w:rPr>
          <w:rFonts w:ascii="楷体_GB2312" w:eastAsia="楷体_GB2312" w:hAnsi="楷体_GB2312" w:cs="楷体_GB2312" w:hint="eastAsia"/>
          <w:sz w:val="32"/>
          <w:szCs w:val="32"/>
        </w:rPr>
        <w:t>（四）临床评价资料</w:t>
      </w:r>
    </w:p>
    <w:p w:rsidR="00000000" w:rsidRPr="00DC4D60" w:rsidRDefault="005525BF" w:rsidP="00DC4D60">
      <w:pPr>
        <w:tabs>
          <w:tab w:val="left" w:pos="312"/>
        </w:tabs>
        <w:spacing w:line="560" w:lineRule="exact"/>
        <w:ind w:firstLineChars="200" w:firstLine="640"/>
        <w:rPr>
          <w:rFonts w:eastAsia="仿宋_GB2312"/>
          <w:color w:val="000000"/>
          <w:sz w:val="32"/>
          <w:szCs w:val="32"/>
        </w:rPr>
      </w:pPr>
      <w:r w:rsidRPr="00DC4D60">
        <w:rPr>
          <w:rFonts w:eastAsia="仿宋_GB2312" w:hint="eastAsia"/>
          <w:color w:val="000000"/>
          <w:sz w:val="32"/>
          <w:szCs w:val="32"/>
        </w:rPr>
        <w:t>该产品</w:t>
      </w:r>
      <w:r w:rsidRPr="00DC4D60">
        <w:rPr>
          <w:rFonts w:eastAsia="仿宋_GB2312"/>
          <w:color w:val="000000"/>
          <w:sz w:val="32"/>
          <w:szCs w:val="32"/>
        </w:rPr>
        <w:t>列入《</w:t>
      </w:r>
      <w:r w:rsidRPr="00DC4D60">
        <w:rPr>
          <w:rFonts w:eastAsia="仿宋_GB2312" w:hint="eastAsia"/>
          <w:color w:val="000000"/>
          <w:sz w:val="32"/>
          <w:szCs w:val="32"/>
        </w:rPr>
        <w:t>免于临床评价医疗器械目录</w:t>
      </w:r>
      <w:r w:rsidRPr="00DC4D60">
        <w:rPr>
          <w:rFonts w:eastAsia="仿宋_GB2312"/>
          <w:color w:val="000000"/>
          <w:sz w:val="32"/>
          <w:szCs w:val="32"/>
        </w:rPr>
        <w:t>》</w:t>
      </w:r>
      <w:r w:rsidRPr="00DC4D60">
        <w:rPr>
          <w:rFonts w:eastAsia="仿宋_GB2312" w:hint="eastAsia"/>
          <w:color w:val="000000"/>
          <w:sz w:val="32"/>
          <w:szCs w:val="32"/>
        </w:rPr>
        <w:t>，注册申请人</w:t>
      </w:r>
      <w:r w:rsidRPr="00DC4D60">
        <w:rPr>
          <w:rFonts w:eastAsia="仿宋_GB2312"/>
          <w:color w:val="000000"/>
          <w:sz w:val="32"/>
          <w:szCs w:val="32"/>
        </w:rPr>
        <w:t>无需提交</w:t>
      </w:r>
      <w:r w:rsidRPr="00DC4D60">
        <w:rPr>
          <w:rFonts w:eastAsia="仿宋_GB2312" w:hint="eastAsia"/>
          <w:color w:val="000000"/>
          <w:sz w:val="32"/>
          <w:szCs w:val="32"/>
        </w:rPr>
        <w:t>临床</w:t>
      </w:r>
      <w:r w:rsidRPr="00DC4D60">
        <w:rPr>
          <w:rFonts w:eastAsia="仿宋_GB2312"/>
          <w:color w:val="000000"/>
          <w:sz w:val="32"/>
          <w:szCs w:val="32"/>
        </w:rPr>
        <w:t>评价资料。</w:t>
      </w:r>
    </w:p>
    <w:p w:rsidR="00000000" w:rsidRPr="00DC4D60" w:rsidRDefault="005525BF" w:rsidP="00DC4D60">
      <w:pPr>
        <w:spacing w:line="560" w:lineRule="exact"/>
        <w:ind w:firstLineChars="200" w:firstLine="640"/>
        <w:rPr>
          <w:rFonts w:ascii="楷体_GB2312" w:eastAsia="楷体_GB2312" w:hAnsi="楷体_GB2312" w:cs="楷体_GB2312" w:hint="eastAsia"/>
          <w:sz w:val="32"/>
          <w:szCs w:val="21"/>
        </w:rPr>
      </w:pPr>
      <w:r w:rsidRPr="00DC4D60">
        <w:rPr>
          <w:rFonts w:ascii="楷体_GB2312" w:eastAsia="楷体_GB2312" w:hAnsi="楷体_GB2312" w:cs="楷体_GB2312" w:hint="eastAsia"/>
          <w:sz w:val="32"/>
          <w:szCs w:val="32"/>
        </w:rPr>
        <w:t>（五）产品说明书和标签样稿</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产品说明书、标签样稿内容应符合《医疗器械说明书和标签管理规定》以及相关产品标准的要求。说明书中关于产品性能特征的描述不应超出研究资料及产品技术要求，不应含有未经验证的夸大宣传的相关描述。储存和运输条件应根据产品的具体情况确定，如防止潮湿等。储存</w:t>
      </w:r>
      <w:r w:rsidRPr="00DC4D60">
        <w:rPr>
          <w:rFonts w:eastAsia="仿宋_GB2312"/>
          <w:sz w:val="32"/>
          <w:szCs w:val="32"/>
        </w:rPr>
        <w:t>/</w:t>
      </w:r>
      <w:r w:rsidRPr="00DC4D60">
        <w:rPr>
          <w:rFonts w:eastAsia="仿宋_GB2312"/>
          <w:sz w:val="32"/>
          <w:szCs w:val="32"/>
        </w:rPr>
        <w:t>运输条件不应超出研究资料中验证的范围。还需满足以下要求：</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1.</w:t>
      </w:r>
      <w:r w:rsidRPr="00DC4D60">
        <w:rPr>
          <w:rFonts w:eastAsia="仿宋_GB2312" w:hint="eastAsia"/>
          <w:sz w:val="32"/>
          <w:szCs w:val="32"/>
        </w:rPr>
        <w:t>对于非无菌交付的产品，需明确推荐</w:t>
      </w:r>
      <w:r w:rsidRPr="00DC4D60">
        <w:rPr>
          <w:rFonts w:eastAsia="仿宋_GB2312" w:hint="eastAsia"/>
          <w:sz w:val="32"/>
          <w:szCs w:val="32"/>
        </w:rPr>
        <w:t>的使用前清洗和灭菌方式；</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2.</w:t>
      </w:r>
      <w:r w:rsidRPr="00DC4D60">
        <w:rPr>
          <w:rFonts w:eastAsia="仿宋_GB2312" w:hint="eastAsia"/>
          <w:sz w:val="32"/>
          <w:szCs w:val="32"/>
        </w:rPr>
        <w:t>对于可重复使用的产品，需明确产品重复使用前的清洗及灭菌方法。对于规定了重复使用次数的，其使用次数不应超出研究资料的验证范围。</w:t>
      </w:r>
    </w:p>
    <w:p w:rsidR="00000000" w:rsidRPr="00DC4D60" w:rsidRDefault="005525BF" w:rsidP="00DC4D60">
      <w:pPr>
        <w:spacing w:line="560" w:lineRule="exact"/>
        <w:ind w:firstLineChars="200" w:firstLine="640"/>
        <w:rPr>
          <w:rFonts w:eastAsia="黑体"/>
          <w:sz w:val="32"/>
          <w:szCs w:val="32"/>
        </w:rPr>
      </w:pPr>
      <w:r w:rsidRPr="00DC4D60">
        <w:rPr>
          <w:rFonts w:eastAsia="黑体" w:hint="eastAsia"/>
          <w:sz w:val="32"/>
          <w:szCs w:val="32"/>
        </w:rPr>
        <w:t>三、参考资料</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hint="eastAsia"/>
          <w:sz w:val="32"/>
          <w:szCs w:val="32"/>
        </w:rPr>
        <w:t>[</w:t>
      </w:r>
      <w:r w:rsidRPr="00DC4D60">
        <w:rPr>
          <w:rFonts w:eastAsia="仿宋_GB2312"/>
          <w:sz w:val="32"/>
          <w:szCs w:val="32"/>
        </w:rPr>
        <w:t>1]</w:t>
      </w:r>
      <w:r w:rsidRPr="00DC4D60">
        <w:rPr>
          <w:rFonts w:eastAsia="仿宋_GB2312"/>
          <w:sz w:val="32"/>
          <w:szCs w:val="32"/>
        </w:rPr>
        <w:t>《医疗器械监督管理条例》（中华人民共和国国务院令第</w:t>
      </w:r>
      <w:r w:rsidRPr="00DC4D60">
        <w:rPr>
          <w:rFonts w:eastAsia="仿宋_GB2312"/>
          <w:sz w:val="32"/>
          <w:szCs w:val="32"/>
        </w:rPr>
        <w:t>739</w:t>
      </w:r>
      <w:r w:rsidRPr="00DC4D60">
        <w:rPr>
          <w:rFonts w:eastAsia="仿宋_GB2312"/>
          <w:sz w:val="32"/>
          <w:szCs w:val="32"/>
        </w:rPr>
        <w:t>号）</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lastRenderedPageBreak/>
        <w:t>[2]</w:t>
      </w:r>
      <w:r w:rsidRPr="00DC4D60">
        <w:rPr>
          <w:rFonts w:eastAsia="仿宋_GB2312"/>
          <w:sz w:val="32"/>
          <w:szCs w:val="32"/>
        </w:rPr>
        <w:t>《医疗器械注册</w:t>
      </w:r>
      <w:r w:rsidRPr="00DC4D60">
        <w:rPr>
          <w:rFonts w:eastAsia="仿宋_GB2312" w:hint="eastAsia"/>
          <w:sz w:val="32"/>
          <w:szCs w:val="32"/>
        </w:rPr>
        <w:t>与备案</w:t>
      </w:r>
      <w:r w:rsidRPr="00DC4D60">
        <w:rPr>
          <w:rFonts w:eastAsia="仿宋_GB2312"/>
          <w:sz w:val="32"/>
          <w:szCs w:val="32"/>
        </w:rPr>
        <w:t>管理办法》（国家</w:t>
      </w:r>
      <w:r w:rsidRPr="00DC4D60">
        <w:rPr>
          <w:rFonts w:eastAsia="仿宋_GB2312" w:hint="eastAsia"/>
          <w:sz w:val="32"/>
          <w:szCs w:val="32"/>
        </w:rPr>
        <w:t>市场</w:t>
      </w:r>
      <w:r w:rsidRPr="00DC4D60">
        <w:rPr>
          <w:rFonts w:eastAsia="仿宋_GB2312"/>
          <w:sz w:val="32"/>
          <w:szCs w:val="32"/>
        </w:rPr>
        <w:t>监督管理总局令第</w:t>
      </w:r>
      <w:r w:rsidRPr="00DC4D60">
        <w:rPr>
          <w:rFonts w:eastAsia="仿宋_GB2312"/>
          <w:sz w:val="32"/>
          <w:szCs w:val="32"/>
        </w:rPr>
        <w:t>47</w:t>
      </w:r>
      <w:r w:rsidRPr="00DC4D60">
        <w:rPr>
          <w:rFonts w:eastAsia="仿宋_GB2312"/>
          <w:sz w:val="32"/>
          <w:szCs w:val="32"/>
        </w:rPr>
        <w:t>号）</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[3]</w:t>
      </w:r>
      <w:r w:rsidRPr="00DC4D60">
        <w:rPr>
          <w:rFonts w:eastAsia="仿宋_GB2312"/>
          <w:sz w:val="32"/>
          <w:szCs w:val="32"/>
        </w:rPr>
        <w:t>《医疗器械说明书和标签管理规定》（</w:t>
      </w:r>
      <w:r w:rsidRPr="00DC4D60">
        <w:rPr>
          <w:rFonts w:eastAsia="仿宋_GB2312" w:hint="eastAsia"/>
          <w:sz w:val="32"/>
          <w:szCs w:val="32"/>
        </w:rPr>
        <w:t>原</w:t>
      </w:r>
      <w:r w:rsidRPr="00DC4D60">
        <w:rPr>
          <w:rFonts w:eastAsia="仿宋_GB2312"/>
          <w:sz w:val="32"/>
          <w:szCs w:val="32"/>
        </w:rPr>
        <w:t>国家食品药品监督管理总局令第</w:t>
      </w:r>
      <w:r w:rsidRPr="00DC4D60">
        <w:rPr>
          <w:rFonts w:eastAsia="仿宋_GB2312"/>
          <w:sz w:val="32"/>
          <w:szCs w:val="32"/>
        </w:rPr>
        <w:t>6</w:t>
      </w:r>
      <w:r w:rsidRPr="00DC4D60">
        <w:rPr>
          <w:rFonts w:eastAsia="仿宋_GB2312"/>
          <w:sz w:val="32"/>
          <w:szCs w:val="32"/>
        </w:rPr>
        <w:t>号）</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[4]</w:t>
      </w:r>
      <w:r w:rsidRPr="00DC4D60">
        <w:rPr>
          <w:rFonts w:eastAsia="仿宋_GB2312"/>
          <w:sz w:val="32"/>
          <w:szCs w:val="32"/>
        </w:rPr>
        <w:t>《医疗器械通用名称命名规则》（</w:t>
      </w:r>
      <w:r w:rsidRPr="00DC4D60">
        <w:rPr>
          <w:rFonts w:eastAsia="仿宋_GB2312" w:hint="eastAsia"/>
          <w:sz w:val="32"/>
          <w:szCs w:val="32"/>
        </w:rPr>
        <w:t>原</w:t>
      </w:r>
      <w:r w:rsidRPr="00DC4D60">
        <w:rPr>
          <w:rFonts w:eastAsia="仿宋_GB2312"/>
          <w:sz w:val="32"/>
          <w:szCs w:val="32"/>
        </w:rPr>
        <w:t>国家食品药品监督管理总局令第</w:t>
      </w:r>
      <w:r w:rsidRPr="00DC4D60">
        <w:rPr>
          <w:rFonts w:eastAsia="仿宋_GB2312"/>
          <w:sz w:val="32"/>
          <w:szCs w:val="32"/>
        </w:rPr>
        <w:t>19</w:t>
      </w:r>
      <w:r w:rsidRPr="00DC4D60">
        <w:rPr>
          <w:rFonts w:eastAsia="仿宋_GB2312"/>
          <w:sz w:val="32"/>
          <w:szCs w:val="32"/>
        </w:rPr>
        <w:t>号）</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[5]</w:t>
      </w:r>
      <w:r w:rsidRPr="00DC4D60">
        <w:rPr>
          <w:rFonts w:eastAsia="仿宋_GB2312" w:hint="eastAsia"/>
          <w:sz w:val="32"/>
          <w:szCs w:val="32"/>
        </w:rPr>
        <w:t>《神经和心血管手术器械通用名称命名指导原则</w:t>
      </w:r>
      <w:r w:rsidRPr="00DC4D60">
        <w:rPr>
          <w:rFonts w:eastAsia="仿宋_GB2312" w:hint="eastAsia"/>
          <w:sz w:val="32"/>
          <w:szCs w:val="32"/>
        </w:rPr>
        <w:t>》（国家药品监督管理局公告</w:t>
      </w:r>
      <w:r w:rsidRPr="00DC4D60">
        <w:rPr>
          <w:rFonts w:eastAsia="仿宋_GB2312"/>
          <w:sz w:val="32"/>
          <w:szCs w:val="32"/>
        </w:rPr>
        <w:t>2021</w:t>
      </w:r>
      <w:r w:rsidRPr="00DC4D60">
        <w:rPr>
          <w:rFonts w:eastAsia="仿宋_GB2312" w:hint="eastAsia"/>
          <w:sz w:val="32"/>
          <w:szCs w:val="32"/>
        </w:rPr>
        <w:t>年第</w:t>
      </w:r>
      <w:r w:rsidRPr="00DC4D60">
        <w:rPr>
          <w:rFonts w:eastAsia="仿宋_GB2312"/>
          <w:sz w:val="32"/>
          <w:szCs w:val="32"/>
        </w:rPr>
        <w:t>62</w:t>
      </w:r>
      <w:r w:rsidRPr="00DC4D60">
        <w:rPr>
          <w:rFonts w:eastAsia="仿宋_GB2312" w:hint="eastAsia"/>
          <w:sz w:val="32"/>
          <w:szCs w:val="32"/>
        </w:rPr>
        <w:t>号）</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[6]</w:t>
      </w:r>
      <w:r w:rsidRPr="00DC4D60">
        <w:rPr>
          <w:rFonts w:eastAsia="仿宋_GB2312"/>
          <w:sz w:val="32"/>
          <w:szCs w:val="32"/>
        </w:rPr>
        <w:t>《医疗器械分类目录》（</w:t>
      </w:r>
      <w:r w:rsidRPr="00DC4D60">
        <w:rPr>
          <w:rFonts w:eastAsia="仿宋_GB2312" w:hint="eastAsia"/>
          <w:sz w:val="32"/>
          <w:szCs w:val="32"/>
        </w:rPr>
        <w:t>原</w:t>
      </w:r>
      <w:r w:rsidRPr="00DC4D60">
        <w:rPr>
          <w:rFonts w:eastAsia="仿宋_GB2312"/>
          <w:sz w:val="32"/>
          <w:szCs w:val="32"/>
        </w:rPr>
        <w:t>国家食品药品监督管理总局公告</w:t>
      </w:r>
      <w:r w:rsidRPr="00DC4D60">
        <w:rPr>
          <w:rFonts w:eastAsia="仿宋_GB2312"/>
          <w:sz w:val="32"/>
          <w:szCs w:val="32"/>
        </w:rPr>
        <w:t>2017</w:t>
      </w:r>
      <w:r w:rsidRPr="00DC4D60">
        <w:rPr>
          <w:rFonts w:eastAsia="仿宋_GB2312"/>
          <w:sz w:val="32"/>
          <w:szCs w:val="32"/>
        </w:rPr>
        <w:t>年第</w:t>
      </w:r>
      <w:r w:rsidRPr="00DC4D60">
        <w:rPr>
          <w:rFonts w:eastAsia="仿宋_GB2312"/>
          <w:sz w:val="32"/>
          <w:szCs w:val="32"/>
        </w:rPr>
        <w:t>104</w:t>
      </w:r>
      <w:r w:rsidRPr="00DC4D60">
        <w:rPr>
          <w:rFonts w:eastAsia="仿宋_GB2312"/>
          <w:sz w:val="32"/>
          <w:szCs w:val="32"/>
        </w:rPr>
        <w:t>号）</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[7]</w:t>
      </w:r>
      <w:r w:rsidRPr="00DC4D60">
        <w:rPr>
          <w:rFonts w:eastAsia="仿宋_GB2312"/>
          <w:sz w:val="32"/>
          <w:szCs w:val="32"/>
        </w:rPr>
        <w:t>《医疗器械注册单元划分指导原则》（</w:t>
      </w:r>
      <w:r w:rsidRPr="00DC4D60">
        <w:rPr>
          <w:rFonts w:eastAsia="仿宋_GB2312" w:hint="eastAsia"/>
          <w:sz w:val="32"/>
          <w:szCs w:val="32"/>
        </w:rPr>
        <w:t>原</w:t>
      </w:r>
      <w:r w:rsidRPr="00DC4D60">
        <w:rPr>
          <w:rFonts w:eastAsia="仿宋_GB2312"/>
          <w:sz w:val="32"/>
          <w:szCs w:val="32"/>
        </w:rPr>
        <w:t>国家食品药品监督管理总局公告</w:t>
      </w:r>
      <w:r w:rsidRPr="00DC4D60">
        <w:rPr>
          <w:rFonts w:eastAsia="仿宋_GB2312"/>
          <w:sz w:val="32"/>
          <w:szCs w:val="32"/>
        </w:rPr>
        <w:t>2017</w:t>
      </w:r>
      <w:r w:rsidRPr="00DC4D60">
        <w:rPr>
          <w:rFonts w:eastAsia="仿宋_GB2312"/>
          <w:sz w:val="32"/>
          <w:szCs w:val="32"/>
        </w:rPr>
        <w:t>年第</w:t>
      </w:r>
      <w:r w:rsidRPr="00DC4D60">
        <w:rPr>
          <w:rFonts w:eastAsia="仿宋_GB2312"/>
          <w:sz w:val="32"/>
          <w:szCs w:val="32"/>
        </w:rPr>
        <w:t>187</w:t>
      </w:r>
      <w:r w:rsidRPr="00DC4D60">
        <w:rPr>
          <w:rFonts w:eastAsia="仿宋_GB2312"/>
          <w:sz w:val="32"/>
          <w:szCs w:val="32"/>
        </w:rPr>
        <w:t>号）</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[8]YY 0174-2019</w:t>
      </w:r>
      <w:r w:rsidRPr="00DC4D60">
        <w:rPr>
          <w:rFonts w:eastAsia="仿宋_GB2312" w:hint="eastAsia"/>
          <w:sz w:val="32"/>
          <w:szCs w:val="32"/>
        </w:rPr>
        <w:t>，手术刀片</w:t>
      </w:r>
      <w:r w:rsidRPr="00DC4D60">
        <w:rPr>
          <w:rFonts w:eastAsia="仿宋_GB2312"/>
          <w:sz w:val="32"/>
          <w:szCs w:val="32"/>
        </w:rPr>
        <w:t>[S]</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[9]YY 0175-2005</w:t>
      </w:r>
      <w:r w:rsidRPr="00DC4D60">
        <w:rPr>
          <w:rFonts w:eastAsia="仿宋_GB2312" w:hint="eastAsia"/>
          <w:sz w:val="32"/>
          <w:szCs w:val="32"/>
        </w:rPr>
        <w:t>，</w:t>
      </w:r>
      <w:r w:rsidRPr="00DC4D60">
        <w:rPr>
          <w:rFonts w:eastAsia="仿宋_GB2312"/>
          <w:sz w:val="32"/>
          <w:szCs w:val="32"/>
        </w:rPr>
        <w:t>手术刀柄</w:t>
      </w:r>
      <w:r w:rsidRPr="00DC4D60">
        <w:rPr>
          <w:rFonts w:eastAsia="仿宋_GB2312"/>
          <w:sz w:val="32"/>
          <w:szCs w:val="32"/>
        </w:rPr>
        <w:t>[S]</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[10]YY/T 0454-2008</w:t>
      </w:r>
      <w:r w:rsidRPr="00DC4D60">
        <w:rPr>
          <w:rFonts w:eastAsia="仿宋_GB2312" w:hint="eastAsia"/>
          <w:sz w:val="32"/>
          <w:szCs w:val="32"/>
        </w:rPr>
        <w:t>，</w:t>
      </w:r>
      <w:r w:rsidRPr="00DC4D60">
        <w:rPr>
          <w:rFonts w:eastAsia="仿宋_GB2312"/>
          <w:sz w:val="32"/>
          <w:szCs w:val="32"/>
        </w:rPr>
        <w:t>无菌塑柄手术刀</w:t>
      </w:r>
      <w:r w:rsidRPr="00DC4D60">
        <w:rPr>
          <w:rFonts w:eastAsia="仿宋_GB2312"/>
          <w:sz w:val="32"/>
          <w:szCs w:val="32"/>
        </w:rPr>
        <w:t>[S]</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[11]GB 8662-2006</w:t>
      </w:r>
      <w:r w:rsidRPr="00DC4D60">
        <w:rPr>
          <w:rFonts w:eastAsia="仿宋_GB2312" w:hint="eastAsia"/>
          <w:sz w:val="32"/>
          <w:szCs w:val="32"/>
        </w:rPr>
        <w:t>，</w:t>
      </w:r>
      <w:r w:rsidRPr="00DC4D60">
        <w:rPr>
          <w:rFonts w:eastAsia="仿宋_GB2312"/>
          <w:sz w:val="32"/>
          <w:szCs w:val="32"/>
        </w:rPr>
        <w:t>手术刀片与手术刀柄的配合尺寸</w:t>
      </w:r>
      <w:r w:rsidRPr="00DC4D60">
        <w:rPr>
          <w:rFonts w:eastAsia="仿宋_GB2312"/>
          <w:sz w:val="32"/>
          <w:szCs w:val="32"/>
        </w:rPr>
        <w:t>[S]</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[12]YY/T 0176-2006</w:t>
      </w:r>
      <w:r w:rsidRPr="00DC4D60">
        <w:rPr>
          <w:rFonts w:eastAsia="仿宋_GB2312" w:hint="eastAsia"/>
          <w:sz w:val="32"/>
          <w:szCs w:val="32"/>
        </w:rPr>
        <w:t>，</w:t>
      </w:r>
      <w:r w:rsidRPr="00DC4D60">
        <w:rPr>
          <w:rFonts w:eastAsia="仿宋_GB2312"/>
          <w:sz w:val="32"/>
          <w:szCs w:val="32"/>
        </w:rPr>
        <w:t>医用剪通用技术条件</w:t>
      </w:r>
      <w:r w:rsidRPr="00DC4D60">
        <w:rPr>
          <w:rFonts w:eastAsia="仿宋_GB2312"/>
          <w:sz w:val="32"/>
          <w:szCs w:val="32"/>
        </w:rPr>
        <w:t>[S]</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[13]YY/T 0596-2006</w:t>
      </w:r>
      <w:r w:rsidRPr="00DC4D60">
        <w:rPr>
          <w:rFonts w:eastAsia="仿宋_GB2312" w:hint="eastAsia"/>
          <w:sz w:val="32"/>
          <w:szCs w:val="32"/>
        </w:rPr>
        <w:t>，</w:t>
      </w:r>
      <w:r w:rsidRPr="00DC4D60">
        <w:rPr>
          <w:rFonts w:eastAsia="仿宋_GB2312"/>
          <w:sz w:val="32"/>
          <w:szCs w:val="32"/>
        </w:rPr>
        <w:t>医用剪</w:t>
      </w:r>
      <w:r w:rsidRPr="00DC4D60">
        <w:rPr>
          <w:rFonts w:eastAsia="仿宋_GB2312"/>
          <w:sz w:val="32"/>
          <w:szCs w:val="32"/>
        </w:rPr>
        <w:t>[S]</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[14]YY/T 0294.1-2016</w:t>
      </w:r>
      <w:r w:rsidRPr="00DC4D60">
        <w:rPr>
          <w:rFonts w:eastAsia="仿宋_GB2312" w:hint="eastAsia"/>
          <w:sz w:val="32"/>
          <w:szCs w:val="32"/>
        </w:rPr>
        <w:t>，</w:t>
      </w:r>
      <w:r w:rsidRPr="00DC4D60">
        <w:rPr>
          <w:rFonts w:eastAsia="仿宋_GB2312"/>
          <w:sz w:val="32"/>
          <w:szCs w:val="32"/>
        </w:rPr>
        <w:t>外科器械</w:t>
      </w:r>
      <w:r w:rsidRPr="00DC4D60">
        <w:rPr>
          <w:rFonts w:eastAsia="仿宋_GB2312"/>
          <w:sz w:val="32"/>
          <w:szCs w:val="32"/>
        </w:rPr>
        <w:t xml:space="preserve">  </w:t>
      </w:r>
      <w:r w:rsidRPr="00DC4D60">
        <w:rPr>
          <w:rFonts w:eastAsia="仿宋_GB2312"/>
          <w:sz w:val="32"/>
          <w:szCs w:val="32"/>
        </w:rPr>
        <w:t>金属材料</w:t>
      </w:r>
      <w:r w:rsidRPr="00DC4D60">
        <w:rPr>
          <w:rFonts w:eastAsia="仿宋_GB2312"/>
          <w:sz w:val="32"/>
          <w:szCs w:val="32"/>
        </w:rPr>
        <w:t xml:space="preserve">  </w:t>
      </w:r>
      <w:r w:rsidRPr="00DC4D60">
        <w:rPr>
          <w:rFonts w:eastAsia="仿宋_GB2312"/>
          <w:sz w:val="32"/>
          <w:szCs w:val="32"/>
        </w:rPr>
        <w:t>第</w:t>
      </w:r>
      <w:r w:rsidRPr="00DC4D60">
        <w:rPr>
          <w:rFonts w:eastAsia="仿宋_GB2312"/>
          <w:sz w:val="32"/>
          <w:szCs w:val="32"/>
        </w:rPr>
        <w:t>1</w:t>
      </w:r>
      <w:r w:rsidRPr="00DC4D60">
        <w:rPr>
          <w:rFonts w:eastAsia="仿宋_GB2312"/>
          <w:sz w:val="32"/>
          <w:szCs w:val="32"/>
        </w:rPr>
        <w:t>部分：不锈钢</w:t>
      </w:r>
      <w:r w:rsidRPr="00DC4D60">
        <w:rPr>
          <w:rFonts w:eastAsia="仿宋_GB2312"/>
          <w:sz w:val="32"/>
          <w:szCs w:val="32"/>
        </w:rPr>
        <w:t>[S]</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[15]GB/T 4340.1-2009</w:t>
      </w:r>
      <w:r w:rsidRPr="00DC4D60">
        <w:rPr>
          <w:rFonts w:eastAsia="仿宋_GB2312" w:hint="eastAsia"/>
          <w:sz w:val="32"/>
          <w:szCs w:val="32"/>
        </w:rPr>
        <w:t>，</w:t>
      </w:r>
      <w:r w:rsidRPr="00DC4D60">
        <w:rPr>
          <w:rFonts w:eastAsia="仿宋_GB2312"/>
          <w:sz w:val="32"/>
          <w:szCs w:val="32"/>
        </w:rPr>
        <w:t>金属维氏硬度试验方法</w:t>
      </w:r>
      <w:r w:rsidRPr="00DC4D60">
        <w:rPr>
          <w:rFonts w:eastAsia="仿宋_GB2312"/>
          <w:sz w:val="32"/>
          <w:szCs w:val="32"/>
        </w:rPr>
        <w:t xml:space="preserve"> </w:t>
      </w:r>
      <w:r w:rsidRPr="00DC4D60">
        <w:rPr>
          <w:rFonts w:eastAsia="仿宋_GB2312"/>
          <w:sz w:val="32"/>
          <w:szCs w:val="32"/>
        </w:rPr>
        <w:t>第一部分</w:t>
      </w:r>
      <w:r w:rsidRPr="00DC4D60">
        <w:rPr>
          <w:rFonts w:eastAsia="仿宋_GB2312"/>
          <w:sz w:val="32"/>
          <w:szCs w:val="32"/>
        </w:rPr>
        <w:t>:</w:t>
      </w:r>
      <w:r w:rsidRPr="00DC4D60">
        <w:rPr>
          <w:rFonts w:eastAsia="仿宋_GB2312"/>
          <w:sz w:val="32"/>
          <w:szCs w:val="32"/>
        </w:rPr>
        <w:t>试验方法</w:t>
      </w:r>
      <w:r w:rsidRPr="00DC4D60">
        <w:rPr>
          <w:rFonts w:eastAsia="仿宋_GB2312"/>
          <w:sz w:val="32"/>
          <w:szCs w:val="32"/>
        </w:rPr>
        <w:t>[S]</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[16]GB 4234.1-2017</w:t>
      </w:r>
      <w:r w:rsidRPr="00DC4D60">
        <w:rPr>
          <w:rFonts w:eastAsia="仿宋_GB2312" w:hint="eastAsia"/>
          <w:sz w:val="32"/>
          <w:szCs w:val="32"/>
        </w:rPr>
        <w:t>，</w:t>
      </w:r>
      <w:r w:rsidRPr="00DC4D60">
        <w:rPr>
          <w:rFonts w:eastAsia="仿宋_GB2312"/>
          <w:sz w:val="32"/>
          <w:szCs w:val="32"/>
        </w:rPr>
        <w:t>外科植入物</w:t>
      </w:r>
      <w:r w:rsidRPr="00DC4D60">
        <w:rPr>
          <w:rFonts w:eastAsia="仿宋_GB2312"/>
          <w:sz w:val="32"/>
          <w:szCs w:val="32"/>
        </w:rPr>
        <w:t xml:space="preserve"> </w:t>
      </w:r>
      <w:r w:rsidRPr="00DC4D60">
        <w:rPr>
          <w:rFonts w:eastAsia="仿宋_GB2312"/>
          <w:sz w:val="32"/>
          <w:szCs w:val="32"/>
        </w:rPr>
        <w:t>金属材料</w:t>
      </w:r>
      <w:r w:rsidRPr="00DC4D60">
        <w:rPr>
          <w:rFonts w:eastAsia="仿宋_GB2312"/>
          <w:sz w:val="32"/>
          <w:szCs w:val="32"/>
        </w:rPr>
        <w:t xml:space="preserve"> </w:t>
      </w:r>
      <w:r w:rsidRPr="00DC4D60">
        <w:rPr>
          <w:rFonts w:eastAsia="仿宋_GB2312"/>
          <w:sz w:val="32"/>
          <w:szCs w:val="32"/>
        </w:rPr>
        <w:t>第</w:t>
      </w:r>
      <w:r w:rsidRPr="00DC4D60">
        <w:rPr>
          <w:rFonts w:eastAsia="仿宋_GB2312"/>
          <w:sz w:val="32"/>
          <w:szCs w:val="32"/>
        </w:rPr>
        <w:t>1</w:t>
      </w:r>
      <w:r w:rsidRPr="00DC4D60">
        <w:rPr>
          <w:rFonts w:eastAsia="仿宋_GB2312"/>
          <w:sz w:val="32"/>
          <w:szCs w:val="32"/>
        </w:rPr>
        <w:t>部分：锻</w:t>
      </w:r>
      <w:r w:rsidRPr="00DC4D60">
        <w:rPr>
          <w:rFonts w:eastAsia="仿宋_GB2312"/>
          <w:sz w:val="32"/>
          <w:szCs w:val="32"/>
        </w:rPr>
        <w:lastRenderedPageBreak/>
        <w:t>造不锈钢</w:t>
      </w:r>
      <w:r w:rsidRPr="00DC4D60">
        <w:rPr>
          <w:rFonts w:eastAsia="仿宋_GB2312"/>
          <w:sz w:val="32"/>
          <w:szCs w:val="32"/>
        </w:rPr>
        <w:t>[S]</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[17]GB/T 16886</w:t>
      </w:r>
      <w:r w:rsidRPr="00DC4D60">
        <w:rPr>
          <w:rFonts w:eastAsia="仿宋_GB2312" w:hint="eastAsia"/>
          <w:sz w:val="32"/>
          <w:szCs w:val="32"/>
        </w:rPr>
        <w:t>，</w:t>
      </w:r>
      <w:r w:rsidRPr="00DC4D60">
        <w:rPr>
          <w:rFonts w:eastAsia="仿宋_GB2312"/>
          <w:sz w:val="32"/>
          <w:szCs w:val="32"/>
        </w:rPr>
        <w:t>医疗器械生物学评价系列标准</w:t>
      </w:r>
      <w:r w:rsidRPr="00DC4D60">
        <w:rPr>
          <w:rFonts w:eastAsia="仿宋_GB2312"/>
          <w:sz w:val="32"/>
          <w:szCs w:val="32"/>
        </w:rPr>
        <w:t>[S]</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[18]GB18279</w:t>
      </w:r>
      <w:r w:rsidRPr="00DC4D60">
        <w:rPr>
          <w:rFonts w:eastAsia="仿宋_GB2312" w:hint="eastAsia"/>
          <w:sz w:val="32"/>
          <w:szCs w:val="32"/>
        </w:rPr>
        <w:t>，</w:t>
      </w:r>
      <w:r w:rsidRPr="00DC4D60">
        <w:rPr>
          <w:rFonts w:eastAsia="仿宋_GB2312"/>
          <w:sz w:val="32"/>
          <w:szCs w:val="32"/>
        </w:rPr>
        <w:t>医疗保健产品灭菌</w:t>
      </w:r>
      <w:r w:rsidRPr="00DC4D60">
        <w:rPr>
          <w:rFonts w:eastAsia="仿宋_GB2312"/>
          <w:sz w:val="32"/>
          <w:szCs w:val="32"/>
        </w:rPr>
        <w:t xml:space="preserve"> </w:t>
      </w:r>
      <w:r w:rsidRPr="00DC4D60">
        <w:rPr>
          <w:rFonts w:eastAsia="仿宋_GB2312"/>
          <w:sz w:val="32"/>
          <w:szCs w:val="32"/>
        </w:rPr>
        <w:t>环氧乙烷系列标准</w:t>
      </w:r>
      <w:r w:rsidRPr="00DC4D60">
        <w:rPr>
          <w:rFonts w:eastAsia="仿宋_GB2312"/>
          <w:sz w:val="32"/>
          <w:szCs w:val="32"/>
        </w:rPr>
        <w:t>[S]</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[19]YY/T 0681.1-2009</w:t>
      </w:r>
      <w:r w:rsidRPr="00DC4D60">
        <w:rPr>
          <w:rFonts w:eastAsia="仿宋_GB2312" w:hint="eastAsia"/>
          <w:sz w:val="32"/>
          <w:szCs w:val="32"/>
        </w:rPr>
        <w:t>，</w:t>
      </w:r>
      <w:r w:rsidRPr="00DC4D60">
        <w:rPr>
          <w:rFonts w:eastAsia="仿宋_GB2312"/>
          <w:sz w:val="32"/>
          <w:szCs w:val="32"/>
        </w:rPr>
        <w:t>无菌医疗器械包装试</w:t>
      </w:r>
      <w:r w:rsidRPr="00DC4D60">
        <w:rPr>
          <w:rFonts w:eastAsia="仿宋_GB2312"/>
          <w:sz w:val="32"/>
          <w:szCs w:val="32"/>
        </w:rPr>
        <w:t>验方法第</w:t>
      </w:r>
      <w:r w:rsidRPr="00DC4D60">
        <w:rPr>
          <w:rFonts w:eastAsia="仿宋_GB2312"/>
          <w:sz w:val="32"/>
          <w:szCs w:val="32"/>
        </w:rPr>
        <w:t>1</w:t>
      </w:r>
      <w:r w:rsidRPr="00DC4D60">
        <w:rPr>
          <w:rFonts w:eastAsia="仿宋_GB2312"/>
          <w:sz w:val="32"/>
          <w:szCs w:val="32"/>
        </w:rPr>
        <w:t>部分：加速老化试验指南</w:t>
      </w:r>
      <w:r w:rsidRPr="00DC4D60">
        <w:rPr>
          <w:rFonts w:eastAsia="仿宋_GB2312"/>
          <w:sz w:val="32"/>
          <w:szCs w:val="32"/>
        </w:rPr>
        <w:t>[S]</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[20]YY/T 0316-2016</w:t>
      </w:r>
      <w:r w:rsidRPr="00DC4D60">
        <w:rPr>
          <w:rFonts w:eastAsia="仿宋_GB2312" w:hint="eastAsia"/>
          <w:sz w:val="32"/>
          <w:szCs w:val="32"/>
        </w:rPr>
        <w:t>，</w:t>
      </w:r>
      <w:r w:rsidRPr="00DC4D60">
        <w:rPr>
          <w:rFonts w:eastAsia="仿宋_GB2312"/>
          <w:sz w:val="32"/>
          <w:szCs w:val="32"/>
        </w:rPr>
        <w:t>医疗器械</w:t>
      </w:r>
      <w:r w:rsidRPr="00DC4D60">
        <w:rPr>
          <w:rFonts w:eastAsia="仿宋_GB2312"/>
          <w:sz w:val="32"/>
          <w:szCs w:val="32"/>
        </w:rPr>
        <w:t xml:space="preserve"> </w:t>
      </w:r>
      <w:r w:rsidRPr="00DC4D60">
        <w:rPr>
          <w:rFonts w:eastAsia="仿宋_GB2312"/>
          <w:sz w:val="32"/>
          <w:szCs w:val="32"/>
        </w:rPr>
        <w:t>风险管理对医疗器械的应用</w:t>
      </w:r>
      <w:r w:rsidRPr="00DC4D60">
        <w:rPr>
          <w:rFonts w:eastAsia="仿宋_GB2312"/>
          <w:sz w:val="32"/>
          <w:szCs w:val="32"/>
        </w:rPr>
        <w:t>[S]</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[21]</w:t>
      </w:r>
      <w:r w:rsidRPr="00DC4D60">
        <w:rPr>
          <w:rFonts w:eastAsia="仿宋_GB2312" w:hint="eastAsia"/>
          <w:sz w:val="32"/>
          <w:szCs w:val="32"/>
        </w:rPr>
        <w:t>《国家药监局关于发布免于临床评价医疗器械目录的通告》（国家药品监督管理局通告</w:t>
      </w:r>
      <w:r w:rsidRPr="00DC4D60">
        <w:rPr>
          <w:rFonts w:eastAsia="仿宋_GB2312"/>
          <w:sz w:val="32"/>
          <w:szCs w:val="32"/>
        </w:rPr>
        <w:t>2021</w:t>
      </w:r>
      <w:r w:rsidRPr="00DC4D60">
        <w:rPr>
          <w:rFonts w:eastAsia="仿宋_GB2312"/>
          <w:sz w:val="32"/>
          <w:szCs w:val="32"/>
        </w:rPr>
        <w:t>年第</w:t>
      </w:r>
      <w:r w:rsidRPr="00DC4D60">
        <w:rPr>
          <w:rFonts w:eastAsia="仿宋_GB2312"/>
          <w:sz w:val="32"/>
          <w:szCs w:val="32"/>
        </w:rPr>
        <w:t>71</w:t>
      </w:r>
      <w:r w:rsidRPr="00DC4D60">
        <w:rPr>
          <w:rFonts w:eastAsia="仿宋_GB2312"/>
          <w:sz w:val="32"/>
          <w:szCs w:val="32"/>
        </w:rPr>
        <w:t>号）</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[22]</w:t>
      </w:r>
      <w:r w:rsidRPr="00DC4D60">
        <w:rPr>
          <w:rFonts w:eastAsia="仿宋_GB2312" w:hint="eastAsia"/>
          <w:sz w:val="32"/>
          <w:szCs w:val="32"/>
        </w:rPr>
        <w:t>《关于公布医疗器械注册申报资料要求和批准证明文件格式的公告》（国家药品监督管理局公告</w:t>
      </w:r>
      <w:r w:rsidRPr="00DC4D60">
        <w:rPr>
          <w:rFonts w:eastAsia="仿宋_GB2312"/>
          <w:sz w:val="32"/>
          <w:szCs w:val="32"/>
        </w:rPr>
        <w:t>2021</w:t>
      </w:r>
      <w:r w:rsidRPr="00DC4D60">
        <w:rPr>
          <w:rFonts w:eastAsia="仿宋_GB2312" w:hint="eastAsia"/>
          <w:sz w:val="32"/>
          <w:szCs w:val="32"/>
        </w:rPr>
        <w:t>年第</w:t>
      </w:r>
      <w:r w:rsidRPr="00DC4D60">
        <w:rPr>
          <w:rFonts w:eastAsia="仿宋_GB2312"/>
          <w:sz w:val="32"/>
          <w:szCs w:val="32"/>
        </w:rPr>
        <w:t>121</w:t>
      </w:r>
      <w:r w:rsidRPr="00DC4D60">
        <w:rPr>
          <w:rFonts w:eastAsia="仿宋_GB2312" w:hint="eastAsia"/>
          <w:sz w:val="32"/>
          <w:szCs w:val="32"/>
        </w:rPr>
        <w:t>号）</w:t>
      </w:r>
    </w:p>
    <w:p w:rsidR="00000000" w:rsidRPr="00DC4D60" w:rsidRDefault="005525BF" w:rsidP="00DC4D60">
      <w:pPr>
        <w:spacing w:line="560" w:lineRule="exact"/>
        <w:ind w:firstLineChars="200" w:firstLine="640"/>
        <w:rPr>
          <w:rFonts w:eastAsia="仿宋_GB2312"/>
          <w:sz w:val="32"/>
          <w:szCs w:val="32"/>
        </w:rPr>
      </w:pPr>
      <w:r w:rsidRPr="00DC4D60">
        <w:rPr>
          <w:rFonts w:eastAsia="仿宋_GB2312"/>
          <w:sz w:val="32"/>
          <w:szCs w:val="32"/>
        </w:rPr>
        <w:t>[23]</w:t>
      </w:r>
      <w:r w:rsidRPr="00DC4D60">
        <w:rPr>
          <w:rFonts w:eastAsia="仿宋_GB2312" w:hint="eastAsia"/>
          <w:sz w:val="32"/>
          <w:szCs w:val="32"/>
        </w:rPr>
        <w:t>《医疗器械产品技术要求编写指导原则》（原国家食品药品监督管理总局通告</w:t>
      </w:r>
      <w:r w:rsidRPr="00DC4D60">
        <w:rPr>
          <w:rFonts w:eastAsia="仿宋_GB2312"/>
          <w:sz w:val="32"/>
          <w:szCs w:val="32"/>
        </w:rPr>
        <w:t>2014</w:t>
      </w:r>
      <w:r w:rsidRPr="00DC4D60">
        <w:rPr>
          <w:rFonts w:eastAsia="仿宋_GB2312" w:hint="eastAsia"/>
          <w:sz w:val="32"/>
          <w:szCs w:val="32"/>
        </w:rPr>
        <w:t>年第</w:t>
      </w:r>
      <w:r w:rsidRPr="00DC4D60">
        <w:rPr>
          <w:rFonts w:eastAsia="仿宋_GB2312"/>
          <w:sz w:val="32"/>
          <w:szCs w:val="32"/>
        </w:rPr>
        <w:t>9</w:t>
      </w:r>
      <w:r w:rsidRPr="00DC4D60">
        <w:rPr>
          <w:rFonts w:eastAsia="仿宋_GB2312"/>
          <w:sz w:val="32"/>
          <w:szCs w:val="32"/>
        </w:rPr>
        <w:t>号）</w:t>
      </w:r>
    </w:p>
    <w:p w:rsidR="00000000" w:rsidRPr="00DC4D60" w:rsidRDefault="005525BF" w:rsidP="00DC4D60">
      <w:pPr>
        <w:spacing w:line="560" w:lineRule="exact"/>
        <w:ind w:firstLineChars="200" w:firstLine="640"/>
        <w:rPr>
          <w:rFonts w:eastAsia="黑体"/>
          <w:sz w:val="32"/>
          <w:szCs w:val="32"/>
        </w:rPr>
      </w:pPr>
      <w:bookmarkStart w:id="0" w:name="_Toc363650886"/>
      <w:bookmarkStart w:id="1" w:name="_Toc431215865"/>
      <w:bookmarkStart w:id="2" w:name="_Toc431215416"/>
      <w:r w:rsidRPr="00DC4D60">
        <w:rPr>
          <w:rFonts w:eastAsia="黑体" w:hint="eastAsia"/>
          <w:sz w:val="32"/>
          <w:szCs w:val="32"/>
        </w:rPr>
        <w:t>四、</w:t>
      </w:r>
      <w:r w:rsidRPr="00DC4D60">
        <w:rPr>
          <w:rFonts w:eastAsia="黑体"/>
          <w:sz w:val="32"/>
          <w:szCs w:val="32"/>
        </w:rPr>
        <w:t>起草单位</w:t>
      </w:r>
      <w:bookmarkEnd w:id="0"/>
      <w:bookmarkEnd w:id="1"/>
      <w:bookmarkEnd w:id="2"/>
    </w:p>
    <w:p w:rsidR="00000000" w:rsidRPr="00DC4D60" w:rsidRDefault="005525BF" w:rsidP="00DC4D60">
      <w:pPr>
        <w:spacing w:line="560" w:lineRule="exact"/>
        <w:ind w:firstLineChars="200" w:firstLine="640"/>
        <w:rPr>
          <w:rFonts w:eastAsia="方正仿宋简体"/>
          <w:sz w:val="28"/>
          <w:szCs w:val="28"/>
        </w:rPr>
      </w:pPr>
      <w:r w:rsidRPr="00DC4D60">
        <w:rPr>
          <w:rFonts w:eastAsia="仿宋_GB2312"/>
          <w:color w:val="000000"/>
          <w:sz w:val="32"/>
          <w:szCs w:val="32"/>
        </w:rPr>
        <w:t>国家药品监督管理局医疗器械技术审评中心。</w:t>
      </w:r>
    </w:p>
    <w:p w:rsidR="00000000" w:rsidRDefault="005525BF"/>
    <w:p w:rsidR="005525BF" w:rsidRDefault="005525BF" w:rsidP="00BE566C">
      <w:pPr>
        <w:rPr>
          <w:rFonts w:ascii="方正仿宋简体" w:eastAsia="方正仿宋简体" w:hAnsi="仿宋" w:hint="eastAsia"/>
          <w:sz w:val="28"/>
          <w:szCs w:val="28"/>
        </w:rPr>
      </w:pPr>
      <w:bookmarkStart w:id="3" w:name="_GoBack"/>
      <w:bookmarkEnd w:id="3"/>
    </w:p>
    <w:sectPr w:rsidR="005525BF">
      <w:footerReference w:type="even" r:id="rId7"/>
      <w:footerReference w:type="default" r:id="rId8"/>
      <w:pgSz w:w="11906" w:h="16838"/>
      <w:pgMar w:top="1928" w:right="1531" w:bottom="1814" w:left="1531" w:header="851" w:footer="1361"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5BF" w:rsidRDefault="005525BF">
      <w:r>
        <w:separator/>
      </w:r>
    </w:p>
  </w:endnote>
  <w:endnote w:type="continuationSeparator" w:id="0">
    <w:p w:rsidR="005525BF" w:rsidRDefault="00552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等线">
    <w:panose1 w:val="02010600030101010101"/>
    <w:charset w:val="86"/>
    <w:family w:val="auto"/>
    <w:pitch w:val="variable"/>
    <w:sig w:usb0="A00002BF" w:usb1="38CF7CFA" w:usb2="00000016" w:usb3="00000000" w:csb0="0004000F" w:csb1="00000000"/>
  </w:font>
  <w:font w:name="方正仿宋简体">
    <w:altName w:val="Arial Unicode MS"/>
    <w:charset w:val="86"/>
    <w:family w:val="script"/>
    <w:pitch w:val="default"/>
    <w:sig w:usb0="00000000"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525BF">
    <w:pPr>
      <w:pStyle w:val="a5"/>
      <w:framePr w:wrap="around" w:vAnchor="text" w:hAnchor="margin" w:xAlign="outside" w:y="1"/>
      <w:rPr>
        <w:rStyle w:val="a7"/>
        <w:sz w:val="28"/>
        <w:szCs w:val="28"/>
      </w:rPr>
    </w:pPr>
    <w:r>
      <w:rPr>
        <w:rStyle w:val="a7"/>
        <w:rFonts w:hint="eastAsia"/>
        <w:color w:val="FFFFFF"/>
        <w:sz w:val="28"/>
        <w:szCs w:val="28"/>
      </w:rPr>
      <w:t>—</w:t>
    </w:r>
    <w:r>
      <w:rPr>
        <w:rStyle w:val="a7"/>
        <w:rFonts w:hint="eastAsia"/>
        <w:sz w:val="28"/>
        <w:szCs w:val="28"/>
      </w:rPr>
      <w:t>—</w:t>
    </w:r>
    <w:r>
      <w:rPr>
        <w:rStyle w:val="a7"/>
        <w:rFonts w:hint="eastAsia"/>
        <w:sz w:val="28"/>
        <w:szCs w:val="28"/>
      </w:rPr>
      <w:t xml:space="preserve"> </w:t>
    </w:r>
    <w:r>
      <w:rPr>
        <w:sz w:val="28"/>
        <w:szCs w:val="28"/>
      </w:rPr>
      <w:fldChar w:fldCharType="begin"/>
    </w:r>
    <w:r>
      <w:rPr>
        <w:rStyle w:val="a7"/>
        <w:sz w:val="28"/>
        <w:szCs w:val="28"/>
      </w:rPr>
      <w:instrText xml:space="preserve">PAGE  </w:instrText>
    </w:r>
    <w:r>
      <w:rPr>
        <w:sz w:val="28"/>
        <w:szCs w:val="28"/>
      </w:rPr>
      <w:fldChar w:fldCharType="separate"/>
    </w:r>
    <w:r>
      <w:rPr>
        <w:rStyle w:val="a7"/>
        <w:sz w:val="28"/>
        <w:szCs w:val="28"/>
        <w:lang w:val="en-US" w:eastAsia="zh-CN"/>
      </w:rPr>
      <w:t>2</w:t>
    </w:r>
    <w:r>
      <w:rPr>
        <w:sz w:val="28"/>
        <w:szCs w:val="28"/>
      </w:rPr>
      <w:fldChar w:fldCharType="end"/>
    </w:r>
    <w:r>
      <w:rPr>
        <w:rStyle w:val="a7"/>
        <w:rFonts w:hint="eastAsia"/>
        <w:sz w:val="28"/>
        <w:szCs w:val="28"/>
      </w:rPr>
      <w:t xml:space="preserve"> </w:t>
    </w:r>
    <w:r>
      <w:rPr>
        <w:rStyle w:val="a7"/>
        <w:rFonts w:hint="eastAsia"/>
        <w:sz w:val="28"/>
        <w:szCs w:val="28"/>
      </w:rPr>
      <w:t>—</w:t>
    </w:r>
    <w:r>
      <w:rPr>
        <w:rStyle w:val="a7"/>
        <w:rFonts w:hint="eastAsia"/>
        <w:sz w:val="28"/>
        <w:szCs w:val="28"/>
      </w:rPr>
      <w:t xml:space="preserve"> </w:t>
    </w:r>
  </w:p>
  <w:p w:rsidR="00000000" w:rsidRDefault="005525BF">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E566C">
    <w:pPr>
      <w:pStyle w:val="a5"/>
      <w:wordWrap w:val="0"/>
      <w:jc w:val="right"/>
    </w:pPr>
    <w:r>
      <w:rPr>
        <w:noProof/>
      </w:rPr>
      <mc:AlternateContent>
        <mc:Choice Requires="wps">
          <w:drawing>
            <wp:anchor distT="0" distB="0" distL="114300" distR="114300" simplePos="0" relativeHeight="251657728" behindDoc="0" locked="0" layoutInCell="1" allowOverlap="1">
              <wp:simplePos x="0" y="0"/>
              <wp:positionH relativeFrom="margin">
                <wp:align>outside</wp:align>
              </wp:positionH>
              <wp:positionV relativeFrom="paragraph">
                <wp:posOffset>0</wp:posOffset>
              </wp:positionV>
              <wp:extent cx="978535" cy="230505"/>
              <wp:effectExtent l="381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53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000000" w:rsidRDefault="005525BF">
                          <w:pPr>
                            <w:pStyle w:val="a5"/>
                            <w:wordWrap w:val="0"/>
                            <w:jc w:val="right"/>
                          </w:pPr>
                          <w:r w:rsidRPr="00DC4D60">
                            <w:rPr>
                              <w:rFonts w:hint="eastAsia"/>
                              <w:color w:val="FFFFFF"/>
                              <w:sz w:val="28"/>
                              <w:szCs w:val="28"/>
                            </w:rPr>
                            <w:t>—</w:t>
                          </w:r>
                          <w:r>
                            <w:rPr>
                              <w:rFonts w:hint="eastAsia"/>
                              <w:sz w:val="28"/>
                              <w:szCs w:val="28"/>
                            </w:rPr>
                            <w:t>—</w:t>
                          </w:r>
                          <w:r>
                            <w:rPr>
                              <w:rFonts w:hint="eastAsia"/>
                              <w:sz w:val="28"/>
                              <w:szCs w:val="28"/>
                            </w:rPr>
                            <w:t xml:space="preserve"> </w:t>
                          </w:r>
                          <w:r>
                            <w:rPr>
                              <w:sz w:val="28"/>
                              <w:szCs w:val="28"/>
                            </w:rPr>
                            <w:fldChar w:fldCharType="begin"/>
                          </w:r>
                          <w:r>
                            <w:rPr>
                              <w:sz w:val="28"/>
                              <w:szCs w:val="28"/>
                            </w:rPr>
                            <w:instrText>PAGE   \* MERG</w:instrText>
                          </w:r>
                          <w:r>
                            <w:rPr>
                              <w:sz w:val="28"/>
                              <w:szCs w:val="28"/>
                            </w:rPr>
                            <w:instrText>EFORMAT</w:instrText>
                          </w:r>
                          <w:r>
                            <w:rPr>
                              <w:sz w:val="28"/>
                              <w:szCs w:val="28"/>
                            </w:rPr>
                            <w:fldChar w:fldCharType="separate"/>
                          </w:r>
                          <w:r w:rsidR="00BE566C" w:rsidRPr="00BE566C">
                            <w:rPr>
                              <w:noProof/>
                              <w:sz w:val="28"/>
                              <w:szCs w:val="28"/>
                              <w:lang w:val="zh-CN"/>
                            </w:rPr>
                            <w:t>10</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25.85pt;margin-top:0;width:77.05pt;height:18.15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" filled="f" stroked="f">
              <v:textbox style="mso-fit-shape-to-text:t" inset="0,0,0,0">
                <w:txbxContent>
                  <w:p w:rsidR="00000000" w:rsidRDefault="005525BF">
                    <w:pPr>
                      <w:pStyle w:val="a5"/>
                      <w:wordWrap w:val="0"/>
                      <w:jc w:val="right"/>
                    </w:pPr>
                    <w:r w:rsidRPr="00DC4D60">
                      <w:rPr>
                        <w:rFonts w:hint="eastAsia"/>
                        <w:color w:val="FFFFFF"/>
                        <w:sz w:val="28"/>
                        <w:szCs w:val="28"/>
                      </w:rPr>
                      <w:t>—</w:t>
                    </w:r>
                    <w:r>
                      <w:rPr>
                        <w:rFonts w:hint="eastAsia"/>
                        <w:sz w:val="28"/>
                        <w:szCs w:val="28"/>
                      </w:rPr>
                      <w:t>—</w:t>
                    </w:r>
                    <w:r>
                      <w:rPr>
                        <w:rFonts w:hint="eastAsia"/>
                        <w:sz w:val="28"/>
                        <w:szCs w:val="28"/>
                      </w:rPr>
                      <w:t xml:space="preserve"> </w:t>
                    </w:r>
                    <w:r>
                      <w:rPr>
                        <w:sz w:val="28"/>
                        <w:szCs w:val="28"/>
                      </w:rPr>
                      <w:fldChar w:fldCharType="begin"/>
                    </w:r>
                    <w:r>
                      <w:rPr>
                        <w:sz w:val="28"/>
                        <w:szCs w:val="28"/>
                      </w:rPr>
                      <w:instrText>PAGE   \* MERG</w:instrText>
                    </w:r>
                    <w:r>
                      <w:rPr>
                        <w:sz w:val="28"/>
                        <w:szCs w:val="28"/>
                      </w:rPr>
                      <w:instrText>EFORMAT</w:instrText>
                    </w:r>
                    <w:r>
                      <w:rPr>
                        <w:sz w:val="28"/>
                        <w:szCs w:val="28"/>
                      </w:rPr>
                      <w:fldChar w:fldCharType="separate"/>
                    </w:r>
                    <w:r w:rsidR="00BE566C" w:rsidRPr="00BE566C">
                      <w:rPr>
                        <w:noProof/>
                        <w:sz w:val="28"/>
                        <w:szCs w:val="28"/>
                        <w:lang w:val="zh-CN"/>
                      </w:rPr>
                      <w:t>10</w:t>
                    </w:r>
                    <w:r>
                      <w:rPr>
                        <w:sz w:val="28"/>
                        <w:szCs w:val="28"/>
                      </w:rPr>
                      <w:fldChar w:fldCharType="end"/>
                    </w:r>
                    <w:r>
                      <w:rPr>
                        <w:rFonts w:hint="eastAsia"/>
                        <w:sz w:val="28"/>
                        <w:szCs w:val="28"/>
                      </w:rPr>
                      <w:t xml:space="preserve"> </w:t>
                    </w:r>
                    <w:r>
                      <w:rPr>
                        <w:rFonts w:hint="eastAsia"/>
                        <w:sz w:val="28"/>
                        <w:szCs w:val="28"/>
                      </w:rPr>
                      <w:t>—</w:t>
                    </w:r>
                    <w:r>
                      <w:rPr>
                        <w:rFonts w:hint="eastAsia"/>
                        <w:color w:val="FFFFFF"/>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5BF" w:rsidRDefault="005525BF">
      <w:r>
        <w:separator/>
      </w:r>
    </w:p>
  </w:footnote>
  <w:footnote w:type="continuationSeparator" w:id="0">
    <w:p w:rsidR="005525BF" w:rsidRDefault="005525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249C5CF"/>
    <w:multiLevelType w:val="singleLevel"/>
    <w:tmpl w:val="C249C5CF"/>
    <w:lvl w:ilvl="0">
      <w:start w:val="2"/>
      <w:numFmt w:val="decimal"/>
      <w:suff w:val="space"/>
      <w:lvlText w:val="%1."/>
      <w:lvlJc w:val="left"/>
    </w:lvl>
  </w:abstractNum>
  <w:abstractNum w:abstractNumId="1" w15:restartNumberingAfterBreak="0">
    <w:nsid w:val="2FFFCE30"/>
    <w:multiLevelType w:val="singleLevel"/>
    <w:tmpl w:val="2FFFCE30"/>
    <w:lvl w:ilvl="0">
      <w:start w:val="2"/>
      <w:numFmt w:val="decimal"/>
      <w:suff w:val="nothing"/>
      <w:lvlText w:val="%1."/>
      <w:lvlJc w:val="left"/>
      <w:pPr>
        <w:tabs>
          <w:tab w:val="num" w:pos="0"/>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C8"/>
    <w:rsid w:val="000035AA"/>
    <w:rsid w:val="00016D27"/>
    <w:rsid w:val="00016E93"/>
    <w:rsid w:val="0002574F"/>
    <w:rsid w:val="00035514"/>
    <w:rsid w:val="00071507"/>
    <w:rsid w:val="000A2989"/>
    <w:rsid w:val="000B1917"/>
    <w:rsid w:val="000E0170"/>
    <w:rsid w:val="00101F08"/>
    <w:rsid w:val="00127D58"/>
    <w:rsid w:val="001550D7"/>
    <w:rsid w:val="00157D65"/>
    <w:rsid w:val="00186786"/>
    <w:rsid w:val="001C492C"/>
    <w:rsid w:val="001F3FB0"/>
    <w:rsid w:val="00204B69"/>
    <w:rsid w:val="00214F56"/>
    <w:rsid w:val="00247F9A"/>
    <w:rsid w:val="00277D15"/>
    <w:rsid w:val="002A510C"/>
    <w:rsid w:val="002A7F53"/>
    <w:rsid w:val="002B28D3"/>
    <w:rsid w:val="002B6FA2"/>
    <w:rsid w:val="002F2CC3"/>
    <w:rsid w:val="003330A7"/>
    <w:rsid w:val="0035031B"/>
    <w:rsid w:val="00351116"/>
    <w:rsid w:val="00352FFE"/>
    <w:rsid w:val="0036326B"/>
    <w:rsid w:val="00383F83"/>
    <w:rsid w:val="003B452F"/>
    <w:rsid w:val="003C2FA0"/>
    <w:rsid w:val="003C4A36"/>
    <w:rsid w:val="003D08E2"/>
    <w:rsid w:val="003E7CB8"/>
    <w:rsid w:val="00405AE4"/>
    <w:rsid w:val="004218DC"/>
    <w:rsid w:val="00453B18"/>
    <w:rsid w:val="004A48F4"/>
    <w:rsid w:val="004D7576"/>
    <w:rsid w:val="004F27D3"/>
    <w:rsid w:val="005410CE"/>
    <w:rsid w:val="005525BF"/>
    <w:rsid w:val="0056324D"/>
    <w:rsid w:val="00564625"/>
    <w:rsid w:val="0056661D"/>
    <w:rsid w:val="005876C3"/>
    <w:rsid w:val="00593C49"/>
    <w:rsid w:val="005B404F"/>
    <w:rsid w:val="005B7736"/>
    <w:rsid w:val="005D20CB"/>
    <w:rsid w:val="005D7D24"/>
    <w:rsid w:val="005E7595"/>
    <w:rsid w:val="005F4ADA"/>
    <w:rsid w:val="006052CA"/>
    <w:rsid w:val="00612531"/>
    <w:rsid w:val="006428CA"/>
    <w:rsid w:val="00653C7E"/>
    <w:rsid w:val="0067038A"/>
    <w:rsid w:val="00673EAB"/>
    <w:rsid w:val="00690209"/>
    <w:rsid w:val="006D3D5E"/>
    <w:rsid w:val="006E0E17"/>
    <w:rsid w:val="007140B7"/>
    <w:rsid w:val="00727597"/>
    <w:rsid w:val="00735046"/>
    <w:rsid w:val="00752A7E"/>
    <w:rsid w:val="00766F07"/>
    <w:rsid w:val="007B409A"/>
    <w:rsid w:val="007C1621"/>
    <w:rsid w:val="007C72C1"/>
    <w:rsid w:val="007F6C62"/>
    <w:rsid w:val="008044C1"/>
    <w:rsid w:val="0080591C"/>
    <w:rsid w:val="00840DEF"/>
    <w:rsid w:val="00845649"/>
    <w:rsid w:val="008457F1"/>
    <w:rsid w:val="00863C35"/>
    <w:rsid w:val="008857B8"/>
    <w:rsid w:val="008C461A"/>
    <w:rsid w:val="008C5ECE"/>
    <w:rsid w:val="008C74C4"/>
    <w:rsid w:val="008F6D31"/>
    <w:rsid w:val="00926229"/>
    <w:rsid w:val="00935FAF"/>
    <w:rsid w:val="00944679"/>
    <w:rsid w:val="0097437D"/>
    <w:rsid w:val="009869EE"/>
    <w:rsid w:val="00991BF3"/>
    <w:rsid w:val="009A1829"/>
    <w:rsid w:val="009A2DB4"/>
    <w:rsid w:val="009D7C65"/>
    <w:rsid w:val="00A03AD8"/>
    <w:rsid w:val="00A24E9C"/>
    <w:rsid w:val="00A254E3"/>
    <w:rsid w:val="00A30AB5"/>
    <w:rsid w:val="00A351E7"/>
    <w:rsid w:val="00A62362"/>
    <w:rsid w:val="00A646C6"/>
    <w:rsid w:val="00A65BFC"/>
    <w:rsid w:val="00A8280B"/>
    <w:rsid w:val="00A82CA2"/>
    <w:rsid w:val="00AC2D33"/>
    <w:rsid w:val="00B10065"/>
    <w:rsid w:val="00B11072"/>
    <w:rsid w:val="00B25838"/>
    <w:rsid w:val="00B60176"/>
    <w:rsid w:val="00B84EF7"/>
    <w:rsid w:val="00BA00D5"/>
    <w:rsid w:val="00BA1FC7"/>
    <w:rsid w:val="00BE16F8"/>
    <w:rsid w:val="00BE566C"/>
    <w:rsid w:val="00C05371"/>
    <w:rsid w:val="00C1570A"/>
    <w:rsid w:val="00C57201"/>
    <w:rsid w:val="00C578A0"/>
    <w:rsid w:val="00C92BC0"/>
    <w:rsid w:val="00CA2B21"/>
    <w:rsid w:val="00CC6505"/>
    <w:rsid w:val="00CE7A0B"/>
    <w:rsid w:val="00D03FFD"/>
    <w:rsid w:val="00D0628A"/>
    <w:rsid w:val="00D1236C"/>
    <w:rsid w:val="00D53A64"/>
    <w:rsid w:val="00D61B72"/>
    <w:rsid w:val="00D818AE"/>
    <w:rsid w:val="00DC42BB"/>
    <w:rsid w:val="00DC4D60"/>
    <w:rsid w:val="00DD5C43"/>
    <w:rsid w:val="00DF1936"/>
    <w:rsid w:val="00E05A99"/>
    <w:rsid w:val="00E41A1A"/>
    <w:rsid w:val="00E73776"/>
    <w:rsid w:val="00ED2031"/>
    <w:rsid w:val="00EE37FE"/>
    <w:rsid w:val="00F33350"/>
    <w:rsid w:val="00F64776"/>
    <w:rsid w:val="00F6624B"/>
    <w:rsid w:val="00F8685B"/>
    <w:rsid w:val="00FA60C8"/>
    <w:rsid w:val="00FD22E5"/>
    <w:rsid w:val="00FD443E"/>
    <w:rsid w:val="00FD754D"/>
    <w:rsid w:val="00FF6452"/>
    <w:rsid w:val="06E4493B"/>
    <w:rsid w:val="12681CD2"/>
    <w:rsid w:val="1616507C"/>
    <w:rsid w:val="3319238A"/>
    <w:rsid w:val="45386969"/>
    <w:rsid w:val="45492E01"/>
    <w:rsid w:val="466F7F34"/>
    <w:rsid w:val="4CEF43C5"/>
    <w:rsid w:val="5CDF79BC"/>
    <w:rsid w:val="5F8C32F3"/>
    <w:rsid w:val="5FD6B26A"/>
    <w:rsid w:val="6777040B"/>
    <w:rsid w:val="6DDA6A39"/>
    <w:rsid w:val="723FC97A"/>
    <w:rsid w:val="758F27DE"/>
    <w:rsid w:val="77FFCCF1"/>
    <w:rsid w:val="7FFA7091"/>
    <w:rsid w:val="BFF93D16"/>
    <w:rsid w:val="CCFD4BC9"/>
    <w:rsid w:val="D6EDD6C2"/>
    <w:rsid w:val="EDEF7D99"/>
    <w:rsid w:val="EDFFE97C"/>
    <w:rsid w:val="EFF9D22A"/>
    <w:rsid w:val="EFFD16EF"/>
    <w:rsid w:val="F72CE0A0"/>
    <w:rsid w:val="FF95CCAE"/>
    <w:rsid w:val="FFBEF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7BB116B-B552-43A3-871B-65037340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a4">
    <w:name w:val="Balloon Text"/>
    <w:basedOn w:val="a"/>
    <w:semiHidden/>
    <w:rPr>
      <w:sz w:val="18"/>
      <w:szCs w:val="18"/>
    </w:rPr>
  </w:style>
  <w:style w:type="paragraph" w:styleId="a5">
    <w:name w:val="footer"/>
    <w:basedOn w:val="a"/>
    <w:link w:val="Char"/>
    <w:uiPriority w:val="99"/>
    <w:pPr>
      <w:tabs>
        <w:tab w:val="center" w:pos="4153"/>
        <w:tab w:val="right" w:pos="8306"/>
      </w:tabs>
      <w:snapToGrid w:val="0"/>
      <w:jc w:val="left"/>
    </w:pPr>
    <w:rPr>
      <w:sz w:val="18"/>
      <w:szCs w:val="18"/>
    </w:rPr>
  </w:style>
  <w:style w:type="character" w:customStyle="1" w:styleId="Char">
    <w:name w:val="页脚 Char"/>
    <w:link w:val="a5"/>
    <w:uiPriority w:val="99"/>
    <w:rPr>
      <w:kern w:val="2"/>
      <w:sz w:val="18"/>
      <w:szCs w:val="18"/>
    </w:rPr>
  </w:style>
  <w:style w:type="paragraph" w:styleId="a6">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Pr>
      <w:kern w:val="2"/>
      <w:sz w:val="18"/>
      <w:szCs w:val="18"/>
    </w:rPr>
  </w:style>
  <w:style w:type="character" w:styleId="a7">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726</Words>
  <Characters>4144</Characters>
  <Application>Microsoft Office Word</Application>
  <DocSecurity>0</DocSecurity>
  <Lines>34</Lines>
  <Paragraphs>9</Paragraphs>
  <ScaleCrop>false</ScaleCrop>
  <Company>Xtzj.Com</Company>
  <LinksUpToDate>false</LinksUpToDate>
  <CharactersWithSpaces>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（局发文式样）</dc:title>
  <dc:subject/>
  <dc:creator>Xtzj.User</dc:creator>
  <cp:keywords/>
  <cp:lastModifiedBy>pc</cp:lastModifiedBy>
  <cp:revision>2</cp:revision>
  <cp:lastPrinted>2021-11-30T14:11:00Z</cp:lastPrinted>
  <dcterms:created xsi:type="dcterms:W3CDTF">2021-12-01T01:13:00Z</dcterms:created>
  <dcterms:modified xsi:type="dcterms:W3CDTF">2021-12-01T01:13:00Z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ies>
</file>