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11951" w:rsidP="00FE4C2D">
      <w:pPr>
        <w:tabs>
          <w:tab w:val="left" w:pos="6480"/>
          <w:tab w:val="left" w:pos="7920"/>
        </w:tabs>
        <w:spacing w:line="240" w:lineRule="exact"/>
        <w:rPr>
          <w:rFonts w:ascii="黑体" w:eastAsia="黑体" w:hAnsi="黑体"/>
          <w:sz w:val="32"/>
          <w:szCs w:val="32"/>
          <w:lang w:val="en"/>
        </w:rPr>
      </w:pPr>
      <w:r>
        <w:rPr>
          <w:rFonts w:ascii="黑体" w:eastAsia="黑体" w:hAnsi="黑体" w:hint="eastAsia"/>
          <w:sz w:val="32"/>
          <w:szCs w:val="32"/>
        </w:rPr>
        <w:t>附</w:t>
      </w:r>
      <w:r>
        <w:rPr>
          <w:rFonts w:ascii="黑体" w:eastAsia="黑体" w:hAnsi="黑体" w:hint="eastAsia"/>
          <w:sz w:val="32"/>
          <w:szCs w:val="32"/>
        </w:rPr>
        <w:t>件</w:t>
      </w:r>
      <w:r>
        <w:rPr>
          <w:rFonts w:ascii="黑体" w:eastAsia="黑体" w:hAnsi="黑体"/>
          <w:sz w:val="32"/>
          <w:szCs w:val="32"/>
          <w:lang w:val="en"/>
        </w:rPr>
        <w:t>1</w:t>
      </w:r>
    </w:p>
    <w:p w:rsidR="00000000" w:rsidRDefault="00711951" w:rsidP="00293109">
      <w:pPr>
        <w:spacing w:line="590" w:lineRule="exact"/>
        <w:jc w:val="center"/>
      </w:pPr>
    </w:p>
    <w:p w:rsidR="00000000" w:rsidRDefault="00711951" w:rsidP="00293109">
      <w:pPr>
        <w:spacing w:line="590" w:lineRule="exact"/>
        <w:jc w:val="center"/>
        <w:rPr>
          <w:rFonts w:ascii="方正小标宋简体" w:eastAsia="方正小标宋简体" w:hAnsi="方正小标宋简体" w:cs="方正小标宋简体" w:hint="eastAsia"/>
          <w:sz w:val="44"/>
          <w:szCs w:val="44"/>
        </w:rPr>
      </w:pPr>
      <w:r>
        <w:rPr>
          <w:rFonts w:ascii="方正小标宋简体" w:eastAsia="方正小标宋简体" w:hAnsi="方正小标宋简体" w:cs="方正小标宋简体" w:hint="eastAsia"/>
          <w:sz w:val="44"/>
          <w:szCs w:val="44"/>
        </w:rPr>
        <w:t>抗肿瘤药物的非原研伴随诊断试剂</w:t>
      </w:r>
    </w:p>
    <w:p w:rsidR="00000000" w:rsidRDefault="00711951" w:rsidP="00293109">
      <w:pPr>
        <w:spacing w:line="590" w:lineRule="exact"/>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hint="eastAsia"/>
          <w:sz w:val="44"/>
          <w:szCs w:val="44"/>
        </w:rPr>
        <w:t>临床试验注册审查指导原则</w:t>
      </w:r>
    </w:p>
    <w:p w:rsidR="00000000" w:rsidRDefault="00711951" w:rsidP="00293109">
      <w:pPr>
        <w:spacing w:line="590" w:lineRule="exact"/>
        <w:jc w:val="center"/>
        <w:rPr>
          <w:rFonts w:ascii="仿宋_GB2312" w:eastAsia="仿宋_GB2312" w:hAnsi="Calibri"/>
          <w:sz w:val="32"/>
          <w:szCs w:val="32"/>
        </w:rPr>
      </w:pPr>
    </w:p>
    <w:p w:rsidR="00000000" w:rsidRDefault="00711951" w:rsidP="00293109">
      <w:pPr>
        <w:spacing w:line="590" w:lineRule="exact"/>
        <w:ind w:firstLineChars="200" w:firstLine="640"/>
        <w:rPr>
          <w:rFonts w:eastAsia="黑体"/>
          <w:sz w:val="32"/>
          <w:szCs w:val="32"/>
        </w:rPr>
      </w:pPr>
      <w:r>
        <w:rPr>
          <w:rFonts w:eastAsia="黑体" w:hint="eastAsia"/>
          <w:sz w:val="32"/>
          <w:szCs w:val="32"/>
        </w:rPr>
        <w:t>一、前言</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抗肿瘤药物的伴随诊断试剂对采集自肿瘤患者的样本进行检测，其结果可以为患者使用抗肿瘤药物的安全性和有效性提供重要的信息，包括：确定最有可能从药物中受益的患者，确定该药物相关严重不良反应风险较大的患者，确定已经过充分研究具备安全性和有效性的人群亚组等。用于治疗药物监测的产品、药物代谢酶基因多态性检测的产品，不属于本指导原则所述</w:t>
      </w:r>
      <w:r>
        <w:rPr>
          <w:rFonts w:eastAsia="仿宋_GB2312" w:hint="eastAsia"/>
          <w:sz w:val="32"/>
          <w:szCs w:val="32"/>
        </w:rPr>
        <w:t>的伴随诊断试剂范畴。</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近年来，随着精准医学的发展，肿瘤精准治疗药物及伴随诊断试剂在临床广泛应用</w:t>
      </w:r>
      <w:r>
        <w:rPr>
          <w:rFonts w:eastAsia="仿宋_GB2312" w:hint="eastAsia"/>
          <w:sz w:val="32"/>
          <w:szCs w:val="32"/>
        </w:rPr>
        <w:t>,</w:t>
      </w:r>
      <w:r>
        <w:rPr>
          <w:rFonts w:eastAsia="仿宋_GB2312" w:hint="eastAsia"/>
          <w:sz w:val="32"/>
          <w:szCs w:val="32"/>
        </w:rPr>
        <w:t>相关产业蓬勃发展。目前，伴随诊断试剂的注册申报逐年增多且情况较为复杂，在产品开发形式上，部分产品与抗肿瘤药物共同开发，部分产品则在抗肿瘤药物上市后进行开发。在我国，针对同一个抗肿瘤药物开发多个伴随诊断试剂的现状尤为突出，本指导原则旨在充分考虑我国国情的前提下，为申请人开展伴随诊断试剂临床研究提供</w:t>
      </w:r>
      <w:r>
        <w:rPr>
          <w:rFonts w:eastAsia="仿宋_GB2312"/>
          <w:sz w:val="32"/>
          <w:szCs w:val="32"/>
        </w:rPr>
        <w:t>指导</w:t>
      </w:r>
      <w:r>
        <w:rPr>
          <w:rFonts w:eastAsia="仿宋_GB2312" w:hint="eastAsia"/>
          <w:sz w:val="32"/>
          <w:szCs w:val="32"/>
        </w:rPr>
        <w:t>。</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本指导原则是针对非原研伴随诊断试剂临床研究的一般要求，申请人应依据产品的具体特性确定其中内容是否适用。该文</w:t>
      </w:r>
      <w:r>
        <w:rPr>
          <w:rFonts w:eastAsia="仿宋_GB2312" w:hint="eastAsia"/>
          <w:sz w:val="32"/>
          <w:szCs w:val="32"/>
        </w:rPr>
        <w:lastRenderedPageBreak/>
        <w:t>件为供</w:t>
      </w:r>
      <w:r>
        <w:rPr>
          <w:rFonts w:eastAsia="仿宋_GB2312" w:hint="eastAsia"/>
          <w:sz w:val="32"/>
          <w:szCs w:val="32"/>
        </w:rPr>
        <w:t>申请人和审查人员使用的指导性文件，不涉及注册审批等行政事项，亦不作为法规强制执行，如有能够满足法规要求的其他方法，也可以采用，但应提供详细的研究资料。本指导原则是在现行法规、标准体系及当前认知水平下制定的，随着法规、标准的不断完善和科学技术的不断发展，本文件相关内容也将适时进行调整。</w:t>
      </w:r>
    </w:p>
    <w:p w:rsidR="00000000" w:rsidRDefault="00711951" w:rsidP="00293109">
      <w:pPr>
        <w:spacing w:line="590" w:lineRule="exact"/>
        <w:ind w:firstLineChars="200" w:firstLine="640"/>
        <w:rPr>
          <w:rFonts w:eastAsia="黑体"/>
          <w:sz w:val="32"/>
          <w:szCs w:val="32"/>
        </w:rPr>
      </w:pPr>
      <w:r>
        <w:rPr>
          <w:rFonts w:eastAsia="黑体" w:hint="eastAsia"/>
          <w:sz w:val="32"/>
          <w:szCs w:val="32"/>
        </w:rPr>
        <w:t>二、适用范围</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基于伴随诊断试剂及抗肿瘤药物的特点，相关抗肿瘤药物在进行药物临床试验时需采用伴随诊断试剂或临床试验分析方法（</w:t>
      </w:r>
      <w:r>
        <w:rPr>
          <w:rFonts w:eastAsia="仿宋_GB2312" w:hint="eastAsia"/>
          <w:sz w:val="32"/>
          <w:szCs w:val="32"/>
        </w:rPr>
        <w:t>Clinical Trial Assay,</w:t>
      </w:r>
      <w:r>
        <w:rPr>
          <w:rFonts w:eastAsia="仿宋_GB2312" w:hint="eastAsia"/>
          <w:sz w:val="32"/>
          <w:szCs w:val="32"/>
        </w:rPr>
        <w:t>以下简称“</w:t>
      </w:r>
      <w:r>
        <w:rPr>
          <w:rFonts w:eastAsia="仿宋_GB2312" w:hint="eastAsia"/>
          <w:sz w:val="32"/>
          <w:szCs w:val="32"/>
        </w:rPr>
        <w:t>CTA</w:t>
      </w:r>
      <w:r>
        <w:rPr>
          <w:rFonts w:eastAsia="仿宋_GB2312" w:hint="eastAsia"/>
          <w:sz w:val="32"/>
          <w:szCs w:val="32"/>
        </w:rPr>
        <w:t>”）进行受试者筛选或已入组人群的分层分析。抗肿</w:t>
      </w:r>
      <w:r>
        <w:rPr>
          <w:rFonts w:eastAsia="仿宋_GB2312" w:hint="eastAsia"/>
          <w:sz w:val="32"/>
          <w:szCs w:val="32"/>
        </w:rPr>
        <w:t>瘤药物在中国境内上市时，其关键临床试验中采用的伴随诊断试剂或与关键临床试验中所采用的</w:t>
      </w:r>
      <w:r>
        <w:rPr>
          <w:rFonts w:eastAsia="仿宋_GB2312" w:hint="eastAsia"/>
          <w:sz w:val="32"/>
          <w:szCs w:val="32"/>
        </w:rPr>
        <w:t>CTA</w:t>
      </w:r>
      <w:r>
        <w:rPr>
          <w:rFonts w:eastAsia="仿宋_GB2312" w:hint="eastAsia"/>
          <w:sz w:val="32"/>
          <w:szCs w:val="32"/>
        </w:rPr>
        <w:t>通过桥接试验证明与</w:t>
      </w:r>
      <w:r>
        <w:rPr>
          <w:rFonts w:eastAsia="仿宋_GB2312" w:hint="eastAsia"/>
          <w:sz w:val="32"/>
          <w:szCs w:val="32"/>
        </w:rPr>
        <w:t>CTA</w:t>
      </w:r>
      <w:r>
        <w:rPr>
          <w:rFonts w:eastAsia="仿宋_GB2312" w:hint="eastAsia"/>
          <w:sz w:val="32"/>
          <w:szCs w:val="32"/>
        </w:rPr>
        <w:t>等效的伴随诊断试剂，称为“原研伴随诊断试剂”。</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本指导原则所阐述的非原研伴随诊断试剂，是指抗肿瘤药物上市后，体外诊断试剂生产企业为配合已上市的抗肿瘤药物而申报的伴随诊断试剂（以下简称“申报产品”）。抗肿瘤药物已上市是指该药物针对伴随诊断试剂所申报的适应证在境内已被批准。申报产品如同时满足以下条件可适用本指导原则：一是，申报产品在产品设计开发阶段已明确其伴随的抗肿瘤药物，此抗肿瘤药物应为已上市的一</w:t>
      </w:r>
      <w:r>
        <w:rPr>
          <w:rFonts w:eastAsia="仿宋_GB2312" w:hint="eastAsia"/>
          <w:sz w:val="32"/>
          <w:szCs w:val="32"/>
        </w:rPr>
        <w:t>个或几个明确的药物，伴随药物的名称体现在产品说明书中；二是，申报产品所检测的生物标志物（如基因检</w:t>
      </w:r>
      <w:r>
        <w:rPr>
          <w:rFonts w:eastAsia="仿宋_GB2312" w:hint="eastAsia"/>
          <w:sz w:val="32"/>
          <w:szCs w:val="32"/>
        </w:rPr>
        <w:lastRenderedPageBreak/>
        <w:t>测产品所检测的基因及突变位点）及依据生物标志物对适用人群的状态划分应与原研伴随诊断试剂具有一致性；三是</w:t>
      </w:r>
      <w:r>
        <w:rPr>
          <w:rFonts w:eastAsia="仿宋_GB2312"/>
          <w:sz w:val="32"/>
          <w:szCs w:val="32"/>
        </w:rPr>
        <w:t>，</w:t>
      </w:r>
      <w:r>
        <w:rPr>
          <w:rFonts w:eastAsia="仿宋_GB2312" w:hint="eastAsia"/>
          <w:sz w:val="32"/>
          <w:szCs w:val="32"/>
        </w:rPr>
        <w:t>申报产品适用的人群及样本类型应与原研伴随诊断试剂一致；四是，申报产品分析性能应与原研伴随诊断试剂具有可比性。</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申报产品如与原研伴随诊断试剂相比存在差异，如：检测更多的标志物</w:t>
      </w:r>
      <w:r>
        <w:rPr>
          <w:rFonts w:eastAsia="仿宋_GB2312" w:hint="eastAsia"/>
          <w:sz w:val="32"/>
          <w:szCs w:val="32"/>
        </w:rPr>
        <w:t>/</w:t>
      </w:r>
      <w:r>
        <w:rPr>
          <w:rFonts w:eastAsia="仿宋_GB2312" w:hint="eastAsia"/>
          <w:sz w:val="32"/>
          <w:szCs w:val="32"/>
        </w:rPr>
        <w:t>突变位点、适用更多的样本类型、具有更高的分析灵敏度等，导致用药人群的选择与原研伴随诊断试剂具有显著差异，则针对申报产品与原研伴随诊断试剂具</w:t>
      </w:r>
      <w:r>
        <w:rPr>
          <w:rFonts w:eastAsia="仿宋_GB2312" w:hint="eastAsia"/>
          <w:sz w:val="32"/>
          <w:szCs w:val="32"/>
        </w:rPr>
        <w:t>有可比性的研究可参考本指导原则；针对申报产品与原研伴随诊断试剂存在的差异，应提供充分的临床证据证明差异对指导相关药物临床应用的影响，必要时应提供与抗肿瘤药物共同开发的临床试验、桥接试验等证明其伴随诊断的临床意义。</w:t>
      </w:r>
      <w:r>
        <w:rPr>
          <w:rFonts w:eastAsia="仿宋_GB2312" w:hint="eastAsia"/>
          <w:sz w:val="32"/>
          <w:szCs w:val="32"/>
        </w:rPr>
        <w:t xml:space="preserve"> </w:t>
      </w:r>
    </w:p>
    <w:p w:rsidR="00000000" w:rsidRDefault="00711951" w:rsidP="00293109">
      <w:pPr>
        <w:spacing w:line="590" w:lineRule="exact"/>
        <w:ind w:firstLineChars="200" w:firstLine="640"/>
        <w:rPr>
          <w:rFonts w:eastAsia="黑体"/>
          <w:sz w:val="32"/>
          <w:szCs w:val="32"/>
        </w:rPr>
      </w:pPr>
      <w:r>
        <w:rPr>
          <w:rFonts w:eastAsia="黑体" w:hint="eastAsia"/>
          <w:sz w:val="32"/>
          <w:szCs w:val="32"/>
        </w:rPr>
        <w:t>三、临床试验要求</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伴随诊断试剂临床试验目的主要包含两个方面，一方面为确认试剂临床性能，另一方面为确认伴随诊断用途。根据伴随诊断试剂设计</w:t>
      </w:r>
      <w:r>
        <w:rPr>
          <w:rFonts w:eastAsia="仿宋_GB2312"/>
          <w:sz w:val="32"/>
          <w:szCs w:val="32"/>
        </w:rPr>
        <w:t>开发的</w:t>
      </w:r>
      <w:r>
        <w:rPr>
          <w:rFonts w:eastAsia="仿宋_GB2312" w:hint="eastAsia"/>
          <w:sz w:val="32"/>
          <w:szCs w:val="32"/>
        </w:rPr>
        <w:t>特点，确认其伴随诊断用途的临床研究可分为如下几种情况：</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（一）如为原研伴随诊断试剂，可提交该产品作为伴随诊断试剂参与的药物临床试验资料作为确认伴随诊断用途的</w:t>
      </w:r>
      <w:r>
        <w:rPr>
          <w:rFonts w:eastAsia="仿宋_GB2312" w:hint="eastAsia"/>
          <w:sz w:val="32"/>
          <w:szCs w:val="32"/>
        </w:rPr>
        <w:t>临床试验资料，或提交</w:t>
      </w:r>
      <w:r>
        <w:rPr>
          <w:rFonts w:eastAsia="仿宋_GB2312"/>
          <w:sz w:val="32"/>
          <w:szCs w:val="32"/>
        </w:rPr>
        <w:t>与药物临床试验中所使用的</w:t>
      </w:r>
      <w:r>
        <w:rPr>
          <w:rFonts w:eastAsia="仿宋_GB2312" w:hint="eastAsia"/>
          <w:sz w:val="32"/>
          <w:szCs w:val="32"/>
        </w:rPr>
        <w:t>CTA</w:t>
      </w:r>
      <w:r>
        <w:rPr>
          <w:rFonts w:eastAsia="仿宋_GB2312" w:hint="eastAsia"/>
          <w:sz w:val="32"/>
          <w:szCs w:val="32"/>
        </w:rPr>
        <w:t>进行</w:t>
      </w:r>
      <w:r>
        <w:rPr>
          <w:rFonts w:eastAsia="仿宋_GB2312"/>
          <w:sz w:val="32"/>
          <w:szCs w:val="32"/>
        </w:rPr>
        <w:t>桥接试验的临床试验资料</w:t>
      </w:r>
      <w:r>
        <w:rPr>
          <w:rFonts w:eastAsia="仿宋_GB2312" w:hint="eastAsia"/>
          <w:sz w:val="32"/>
          <w:szCs w:val="32"/>
        </w:rPr>
        <w:t>。具体可参考与抗肿瘤药物同步研发的原研伴随诊断试剂临床试验的相关要求</w:t>
      </w:r>
      <w:r>
        <w:rPr>
          <w:rFonts w:eastAsia="仿宋_GB2312"/>
          <w:sz w:val="32"/>
          <w:szCs w:val="32"/>
        </w:rPr>
        <w:t>。</w:t>
      </w:r>
    </w:p>
    <w:p w:rsidR="00000000" w:rsidRDefault="00711951" w:rsidP="00293109">
      <w:pPr>
        <w:spacing w:line="590" w:lineRule="exact"/>
        <w:ind w:firstLineChars="200" w:firstLine="640"/>
        <w:rPr>
          <w:rFonts w:eastAsia="仿宋_GB2312"/>
          <w:color w:val="000000"/>
          <w:sz w:val="32"/>
          <w:szCs w:val="32"/>
        </w:rPr>
      </w:pPr>
      <w:r>
        <w:rPr>
          <w:rFonts w:eastAsia="仿宋_GB2312" w:hint="eastAsia"/>
          <w:sz w:val="32"/>
          <w:szCs w:val="32"/>
        </w:rPr>
        <w:lastRenderedPageBreak/>
        <w:t>（二）申报产品如为非原研</w:t>
      </w:r>
      <w:r>
        <w:rPr>
          <w:rFonts w:eastAsia="仿宋_GB2312"/>
          <w:sz w:val="32"/>
          <w:szCs w:val="32"/>
        </w:rPr>
        <w:t>伴随诊断试剂</w:t>
      </w:r>
      <w:r>
        <w:rPr>
          <w:rFonts w:eastAsia="仿宋_GB2312" w:hint="eastAsia"/>
          <w:sz w:val="32"/>
          <w:szCs w:val="32"/>
        </w:rPr>
        <w:t>，其</w:t>
      </w:r>
      <w:r>
        <w:rPr>
          <w:rFonts w:eastAsia="仿宋_GB2312"/>
          <w:sz w:val="32"/>
          <w:szCs w:val="32"/>
        </w:rPr>
        <w:t>伴随诊断</w:t>
      </w:r>
      <w:r>
        <w:rPr>
          <w:rFonts w:eastAsia="仿宋_GB2312" w:hint="eastAsia"/>
          <w:sz w:val="32"/>
          <w:szCs w:val="32"/>
        </w:rPr>
        <w:t>用途可根据具体情形采用下列适用的方式之一进行研究：</w:t>
      </w:r>
      <w:r>
        <w:rPr>
          <w:rFonts w:eastAsia="仿宋_GB2312" w:hint="eastAsia"/>
          <w:color w:val="000000"/>
          <w:sz w:val="32"/>
          <w:szCs w:val="32"/>
        </w:rPr>
        <w:t>与原研伴随诊断试剂进行一致性比对、桥接试验、已上市抗肿瘤药物疗效的观察性研究。</w:t>
      </w:r>
    </w:p>
    <w:p w:rsidR="00000000" w:rsidRDefault="00711951" w:rsidP="00293109">
      <w:pPr>
        <w:spacing w:line="590" w:lineRule="exact"/>
        <w:ind w:firstLineChars="200" w:firstLine="640"/>
        <w:rPr>
          <w:rFonts w:eastAsia="仿宋_GB2312"/>
          <w:color w:val="000000"/>
          <w:sz w:val="32"/>
          <w:szCs w:val="32"/>
        </w:rPr>
      </w:pPr>
      <w:r>
        <w:rPr>
          <w:rFonts w:eastAsia="仿宋_GB2312" w:hint="eastAsia"/>
          <w:color w:val="000000"/>
          <w:sz w:val="32"/>
          <w:szCs w:val="32"/>
        </w:rPr>
        <w:t>针对所伴随的抗肿瘤药物已上市多年、临床应用广泛、意义明确、判读易于标准化的伴随诊断试剂，如申报产品的性能与原研伴随诊断试剂具有较好的可比性，则申报产品伴随诊断用途的确认可采取与原研伴随诊</w:t>
      </w:r>
      <w:r>
        <w:rPr>
          <w:rFonts w:eastAsia="仿宋_GB2312" w:hint="eastAsia"/>
          <w:color w:val="000000"/>
          <w:sz w:val="32"/>
          <w:szCs w:val="32"/>
        </w:rPr>
        <w:t>断试剂进行一致性比对的方式，此类生物标志物清单见附录</w:t>
      </w:r>
      <w:r>
        <w:rPr>
          <w:rFonts w:eastAsia="仿宋_GB2312" w:hint="eastAsia"/>
          <w:color w:val="000000"/>
          <w:sz w:val="32"/>
          <w:szCs w:val="32"/>
        </w:rPr>
        <w:t>1</w:t>
      </w:r>
      <w:r>
        <w:rPr>
          <w:rFonts w:eastAsia="仿宋_GB2312" w:hint="eastAsia"/>
          <w:color w:val="000000"/>
          <w:sz w:val="32"/>
          <w:szCs w:val="32"/>
        </w:rPr>
        <w:t>。申请人拟开发的未包含在附录</w:t>
      </w:r>
      <w:r>
        <w:rPr>
          <w:rFonts w:eastAsia="仿宋_GB2312" w:hint="eastAsia"/>
          <w:color w:val="000000"/>
          <w:sz w:val="32"/>
          <w:szCs w:val="32"/>
        </w:rPr>
        <w:t>1</w:t>
      </w:r>
      <w:r>
        <w:rPr>
          <w:rFonts w:eastAsia="仿宋_GB2312" w:hint="eastAsia"/>
          <w:color w:val="000000"/>
          <w:sz w:val="32"/>
          <w:szCs w:val="32"/>
        </w:rPr>
        <w:t>中的生物标志物，如有需要可与监管部门充分沟通后确定其伴随诊断临床意义。</w:t>
      </w:r>
    </w:p>
    <w:p w:rsidR="00000000" w:rsidRDefault="00711951" w:rsidP="00293109">
      <w:pPr>
        <w:spacing w:line="590" w:lineRule="exact"/>
        <w:ind w:firstLineChars="200" w:firstLine="640"/>
        <w:rPr>
          <w:rFonts w:eastAsia="仿宋_GB2312"/>
          <w:color w:val="000000"/>
          <w:sz w:val="32"/>
          <w:szCs w:val="32"/>
        </w:rPr>
      </w:pPr>
      <w:r>
        <w:rPr>
          <w:rFonts w:eastAsia="仿宋_GB2312" w:hint="eastAsia"/>
          <w:sz w:val="32"/>
          <w:szCs w:val="32"/>
        </w:rPr>
        <w:t>申报产品所检测的生物标志物中存在针对抗肿瘤药物疗效负性选择的生物标志物。例如</w:t>
      </w:r>
      <w:r>
        <w:rPr>
          <w:rFonts w:eastAsia="仿宋_GB2312" w:hint="eastAsia"/>
          <w:sz w:val="32"/>
          <w:szCs w:val="32"/>
        </w:rPr>
        <w:t>RAS</w:t>
      </w:r>
      <w:r>
        <w:rPr>
          <w:rFonts w:eastAsia="仿宋_GB2312" w:hint="eastAsia"/>
          <w:sz w:val="32"/>
          <w:szCs w:val="32"/>
        </w:rPr>
        <w:t>基因，已批准的西妥昔单抗说明书中明确载明，该药物不用于</w:t>
      </w:r>
      <w:r>
        <w:rPr>
          <w:rFonts w:eastAsia="仿宋_GB2312" w:hint="eastAsia"/>
          <w:sz w:val="32"/>
          <w:szCs w:val="32"/>
        </w:rPr>
        <w:t>RA</w:t>
      </w:r>
      <w:r>
        <w:rPr>
          <w:rFonts w:eastAsia="仿宋_GB2312" w:hint="eastAsia"/>
          <w:color w:val="000000"/>
          <w:sz w:val="32"/>
          <w:szCs w:val="32"/>
        </w:rPr>
        <w:t>S</w:t>
      </w:r>
      <w:r>
        <w:rPr>
          <w:rFonts w:eastAsia="仿宋_GB2312" w:hint="eastAsia"/>
          <w:color w:val="000000"/>
          <w:sz w:val="32"/>
          <w:szCs w:val="32"/>
        </w:rPr>
        <w:t>基因的突变的结直肠癌患者。针对此类生物标志物，申报产品伴随诊断用途的确认可采取与原研伴随诊断试剂或</w:t>
      </w:r>
      <w:r>
        <w:rPr>
          <w:rFonts w:eastAsia="仿宋_GB2312" w:hint="eastAsia"/>
          <w:color w:val="000000"/>
          <w:sz w:val="32"/>
          <w:szCs w:val="32"/>
        </w:rPr>
        <w:t>CTA</w:t>
      </w:r>
      <w:r>
        <w:rPr>
          <w:rFonts w:eastAsia="仿宋_GB2312" w:hint="eastAsia"/>
          <w:color w:val="000000"/>
          <w:sz w:val="32"/>
          <w:szCs w:val="32"/>
        </w:rPr>
        <w:t>进行一致性比对的方式，临床试验应重点关注二者的一致性。</w:t>
      </w:r>
    </w:p>
    <w:p w:rsidR="00000000" w:rsidRDefault="00711951" w:rsidP="00293109">
      <w:pPr>
        <w:numPr>
          <w:ilvl w:val="0"/>
          <w:numId w:val="1"/>
        </w:numPr>
        <w:spacing w:line="590" w:lineRule="exact"/>
        <w:ind w:firstLineChars="200" w:firstLine="640"/>
        <w:rPr>
          <w:rFonts w:eastAsia="黑体"/>
          <w:sz w:val="32"/>
          <w:szCs w:val="32"/>
        </w:rPr>
      </w:pPr>
      <w:r>
        <w:rPr>
          <w:rFonts w:eastAsia="黑体" w:hint="eastAsia"/>
          <w:sz w:val="32"/>
          <w:szCs w:val="32"/>
        </w:rPr>
        <w:t>临床试验设计</w:t>
      </w:r>
    </w:p>
    <w:p w:rsidR="00000000" w:rsidRDefault="00711951" w:rsidP="00293109">
      <w:pPr>
        <w:spacing w:line="590" w:lineRule="exact"/>
        <w:ind w:firstLineChars="200" w:firstLine="640"/>
        <w:contextualSpacing/>
        <w:rPr>
          <w:rFonts w:eastAsia="楷体_GB2312"/>
          <w:kern w:val="0"/>
          <w:sz w:val="32"/>
          <w:szCs w:val="32"/>
        </w:rPr>
      </w:pPr>
      <w:r>
        <w:rPr>
          <w:rFonts w:eastAsia="楷体_GB2312" w:hint="eastAsia"/>
          <w:kern w:val="0"/>
          <w:sz w:val="32"/>
          <w:szCs w:val="32"/>
        </w:rPr>
        <w:t>（一）临床性能研究</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申报产品在开展相关伴</w:t>
      </w:r>
      <w:r>
        <w:rPr>
          <w:rFonts w:eastAsia="仿宋_GB2312" w:hint="eastAsia"/>
          <w:sz w:val="32"/>
          <w:szCs w:val="32"/>
        </w:rPr>
        <w:t>随诊断临床预期用途研究的同时，应对产品的临床性能进行研究。建议申请人按照《体外诊断试剂临</w:t>
      </w:r>
      <w:r w:rsidRPr="00293109">
        <w:rPr>
          <w:rFonts w:eastAsia="仿宋_GB2312" w:hint="eastAsia"/>
          <w:spacing w:val="-6"/>
          <w:sz w:val="32"/>
          <w:szCs w:val="32"/>
        </w:rPr>
        <w:t>床试验技术指导原则》的要求，开展临床试验以确认产品临床性能。</w:t>
      </w:r>
    </w:p>
    <w:p w:rsidR="00000000" w:rsidRDefault="00711951" w:rsidP="00293109">
      <w:pPr>
        <w:spacing w:line="590" w:lineRule="exact"/>
        <w:ind w:firstLineChars="200" w:firstLine="640"/>
        <w:rPr>
          <w:rFonts w:eastAsia="仿宋_GB2312"/>
          <w:color w:val="000000"/>
          <w:sz w:val="32"/>
          <w:szCs w:val="32"/>
        </w:rPr>
      </w:pPr>
      <w:r>
        <w:rPr>
          <w:rFonts w:eastAsia="仿宋_GB2312" w:hint="eastAsia"/>
          <w:color w:val="000000"/>
          <w:sz w:val="32"/>
          <w:szCs w:val="32"/>
        </w:rPr>
        <w:lastRenderedPageBreak/>
        <w:t>1.</w:t>
      </w:r>
      <w:r>
        <w:rPr>
          <w:rFonts w:eastAsia="仿宋_GB2312" w:hint="eastAsia"/>
          <w:color w:val="000000"/>
          <w:sz w:val="32"/>
          <w:szCs w:val="32"/>
        </w:rPr>
        <w:t>临床试验机构</w:t>
      </w:r>
    </w:p>
    <w:p w:rsidR="00000000" w:rsidRDefault="00711951" w:rsidP="00293109">
      <w:pPr>
        <w:spacing w:line="590" w:lineRule="exact"/>
        <w:ind w:firstLineChars="200" w:firstLine="640"/>
        <w:contextualSpacing/>
        <w:rPr>
          <w:rFonts w:eastAsia="仿宋_GB2312"/>
          <w:color w:val="000000"/>
          <w:sz w:val="32"/>
          <w:szCs w:val="32"/>
        </w:rPr>
      </w:pPr>
      <w:r>
        <w:rPr>
          <w:rFonts w:eastAsia="仿宋_GB2312" w:hint="eastAsia"/>
          <w:color w:val="000000"/>
          <w:sz w:val="32"/>
          <w:szCs w:val="32"/>
        </w:rPr>
        <w:t>建议申请人选择不少于</w:t>
      </w:r>
      <w:r>
        <w:rPr>
          <w:rFonts w:eastAsia="仿宋_GB2312" w:hint="eastAsia"/>
          <w:color w:val="000000"/>
          <w:sz w:val="32"/>
          <w:szCs w:val="32"/>
        </w:rPr>
        <w:t>3</w:t>
      </w:r>
      <w:r>
        <w:rPr>
          <w:rFonts w:eastAsia="仿宋_GB2312" w:hint="eastAsia"/>
          <w:color w:val="000000"/>
          <w:sz w:val="32"/>
          <w:szCs w:val="32"/>
        </w:rPr>
        <w:t>家经医疗器械临床试验机构备案的临床机构开展临床试验。临床试验机构应具有病理诊断、分子生物学等检测的优势，实验操作人员应有足够的时间熟悉检测系统的各环节（仪器、试剂、质控及操作程序等），熟悉评价方案。临床试验整个过程均应处于有效的质量控制下，最大限度保证试验数据的准确性及可重复性。</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2.</w:t>
      </w:r>
      <w:r>
        <w:rPr>
          <w:rFonts w:eastAsia="仿宋_GB2312" w:hint="eastAsia"/>
          <w:sz w:val="32"/>
          <w:szCs w:val="32"/>
        </w:rPr>
        <w:t>入组人群</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入组人群应能够代表产品目标</w:t>
      </w:r>
      <w:r>
        <w:rPr>
          <w:rFonts w:eastAsia="仿宋_GB2312" w:hint="eastAsia"/>
          <w:sz w:val="32"/>
          <w:szCs w:val="32"/>
        </w:rPr>
        <w:t>人群的各种特征，而不应仅入组部分典型病例。在合理控制偏倚的前提下，亦可入组既往留存</w:t>
      </w:r>
      <w:r>
        <w:rPr>
          <w:rFonts w:eastAsia="仿宋_GB2312"/>
          <w:sz w:val="32"/>
          <w:szCs w:val="32"/>
        </w:rPr>
        <w:t>的</w:t>
      </w:r>
      <w:r>
        <w:rPr>
          <w:rFonts w:eastAsia="仿宋_GB2312" w:hint="eastAsia"/>
          <w:sz w:val="32"/>
          <w:szCs w:val="32"/>
        </w:rPr>
        <w:t>病例样本。入组的既往病例，其样本保存条件应满足申报产品及对比方法的要求。临床试验入组人群应为产品预期用途中明确的肿瘤患者，样本类型应为产品适用的样本类型。如有必要，临床试验过程中还应评估组织样本中肿瘤细胞的比例等。各生物标志物突变亚组病例的入组情况应依据产品设计特点确定，如基于</w:t>
      </w:r>
      <w:r>
        <w:rPr>
          <w:rFonts w:eastAsia="仿宋_GB2312" w:hint="eastAsia"/>
          <w:sz w:val="32"/>
          <w:szCs w:val="32"/>
        </w:rPr>
        <w:t>PCR</w:t>
      </w:r>
      <w:r>
        <w:rPr>
          <w:rFonts w:eastAsia="仿宋_GB2312" w:hint="eastAsia"/>
          <w:sz w:val="32"/>
          <w:szCs w:val="32"/>
        </w:rPr>
        <w:t>技术对基因突变进行检测的产品，各突变基因位点均应入组一定数量的病例。临床试验应确保病例入组的合理性。</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3</w:t>
      </w:r>
      <w:r>
        <w:rPr>
          <w:rFonts w:eastAsia="仿宋_GB2312"/>
          <w:sz w:val="32"/>
          <w:szCs w:val="32"/>
        </w:rPr>
        <w:t>.</w:t>
      </w:r>
      <w:r>
        <w:rPr>
          <w:rFonts w:eastAsia="仿宋_GB2312" w:hint="eastAsia"/>
          <w:sz w:val="32"/>
          <w:szCs w:val="32"/>
        </w:rPr>
        <w:t>对比方法的选择</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针对基因检测产品，推荐</w:t>
      </w:r>
      <w:r>
        <w:rPr>
          <w:rFonts w:eastAsia="仿宋_GB2312" w:hint="eastAsia"/>
          <w:sz w:val="32"/>
          <w:szCs w:val="32"/>
        </w:rPr>
        <w:t>采用参考方法或已上市同类产品进行对比以评估申报产品临床性能，参考方法可为一代测序、技术成熟的二代测序或临床公认的基因检测技术。参考方法的检测可在临床试验机构完成也可委托具有资质的第三方机构完成。委托</w:t>
      </w:r>
      <w:r>
        <w:rPr>
          <w:rFonts w:eastAsia="仿宋_GB2312" w:hint="eastAsia"/>
          <w:sz w:val="32"/>
          <w:szCs w:val="32"/>
        </w:rPr>
        <w:lastRenderedPageBreak/>
        <w:t>第三方机构进行参考方法检测的，应提供临床试验机构与第三方机构的委托协议。同时应提供参考方法的详细资料，如：方法原理、所需试剂及仪器、参考方法的性能验证、参考方法质控、典型的实验图谱及数据等。上述资料应由临床试验机构签章确认。</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对于临床上尚无参考方法或已上市同类产品的生物标志物，如蛋白水平的生物标志物检测等，在充分</w:t>
      </w:r>
      <w:r>
        <w:rPr>
          <w:rFonts w:eastAsia="仿宋_GB2312" w:hint="eastAsia"/>
          <w:sz w:val="32"/>
          <w:szCs w:val="32"/>
        </w:rPr>
        <w:t>考虑检测结果具有可比性的前提下，临床试验对比方法亦可采用临床试验机构日常检测所用的实验室检测方法（如免疫组化法）。</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4</w:t>
      </w:r>
      <w:r>
        <w:rPr>
          <w:rFonts w:eastAsia="仿宋_GB2312"/>
          <w:sz w:val="32"/>
          <w:szCs w:val="32"/>
        </w:rPr>
        <w:t>.</w:t>
      </w:r>
      <w:r>
        <w:rPr>
          <w:rFonts w:eastAsia="仿宋_GB2312" w:hint="eastAsia"/>
          <w:sz w:val="32"/>
          <w:szCs w:val="32"/>
        </w:rPr>
        <w:t>临床评价指标</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此部分临床试验的评价指标主要包括申报产品与对比方法相比的阳性符合率、阴性符合率、总符合率、</w:t>
      </w:r>
      <w:r>
        <w:rPr>
          <w:rFonts w:eastAsia="仿宋_GB2312" w:hint="eastAsia"/>
          <w:sz w:val="32"/>
          <w:szCs w:val="32"/>
        </w:rPr>
        <w:t>Kappa</w:t>
      </w:r>
      <w:r>
        <w:rPr>
          <w:rFonts w:eastAsia="仿宋_GB2312" w:hint="eastAsia"/>
          <w:sz w:val="32"/>
          <w:szCs w:val="32"/>
        </w:rPr>
        <w:t>值等，并计算各符合率相应的</w:t>
      </w:r>
      <w:r>
        <w:rPr>
          <w:rFonts w:eastAsia="仿宋_GB2312" w:hint="eastAsia"/>
          <w:sz w:val="32"/>
          <w:szCs w:val="32"/>
        </w:rPr>
        <w:t>95%</w:t>
      </w:r>
      <w:r>
        <w:rPr>
          <w:rFonts w:eastAsia="仿宋_GB2312" w:hint="eastAsia"/>
          <w:sz w:val="32"/>
          <w:szCs w:val="32"/>
        </w:rPr>
        <w:t>置信区间。</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5</w:t>
      </w:r>
      <w:r>
        <w:rPr>
          <w:rFonts w:eastAsia="仿宋_GB2312"/>
          <w:sz w:val="32"/>
          <w:szCs w:val="32"/>
        </w:rPr>
        <w:t>.</w:t>
      </w:r>
      <w:r>
        <w:rPr>
          <w:rFonts w:eastAsia="仿宋_GB2312" w:hint="eastAsia"/>
          <w:sz w:val="32"/>
          <w:szCs w:val="32"/>
        </w:rPr>
        <w:t>临床试验样本量估算</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临床试验样本量应满足统计学要求，可采用适当的统计学方法进行估算。该类产品临床试验重点评估申报产品与对比方法的符合率，故建议采用单组目标值法样本量公式估算最低样本量。样本量估算过程中，评价指标（阴</w:t>
      </w:r>
      <w:r>
        <w:rPr>
          <w:rFonts w:eastAsia="仿宋_GB2312" w:hint="eastAsia"/>
          <w:sz w:val="32"/>
          <w:szCs w:val="32"/>
        </w:rPr>
        <w:t>/</w:t>
      </w:r>
      <w:r>
        <w:rPr>
          <w:rFonts w:eastAsia="仿宋_GB2312" w:hint="eastAsia"/>
          <w:sz w:val="32"/>
          <w:szCs w:val="32"/>
        </w:rPr>
        <w:t>阳性符合率）的</w:t>
      </w:r>
      <w:r>
        <w:rPr>
          <w:rFonts w:eastAsia="仿宋_GB2312" w:hint="eastAsia"/>
          <w:sz w:val="32"/>
          <w:szCs w:val="32"/>
        </w:rPr>
        <w:t>临床可接受标准（</w:t>
      </w:r>
      <w:r>
        <w:rPr>
          <w:rFonts w:eastAsia="仿宋_GB2312" w:hint="eastAsia"/>
          <w:sz w:val="32"/>
          <w:szCs w:val="32"/>
        </w:rPr>
        <w:t>P</w:t>
      </w:r>
      <w:r>
        <w:rPr>
          <w:rFonts w:eastAsia="仿宋_GB2312" w:hint="eastAsia"/>
          <w:sz w:val="32"/>
          <w:szCs w:val="32"/>
          <w:vertAlign w:val="subscript"/>
        </w:rPr>
        <w:t>0</w:t>
      </w:r>
      <w:r>
        <w:rPr>
          <w:rFonts w:eastAsia="仿宋_GB2312" w:hint="eastAsia"/>
          <w:sz w:val="32"/>
          <w:szCs w:val="32"/>
        </w:rPr>
        <w:t>）应满足临床需求。</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样本量估算过程中需要考虑临床试验中样本的剔除率，一般而言，样本剔除率不应高于</w:t>
      </w:r>
      <w:r>
        <w:rPr>
          <w:rFonts w:eastAsia="仿宋_GB2312" w:hint="eastAsia"/>
          <w:sz w:val="32"/>
          <w:szCs w:val="32"/>
        </w:rPr>
        <w:t>10%</w:t>
      </w:r>
      <w:r>
        <w:rPr>
          <w:rFonts w:eastAsia="仿宋_GB2312" w:hint="eastAsia"/>
          <w:sz w:val="32"/>
          <w:szCs w:val="32"/>
        </w:rPr>
        <w:t>。</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临床试验样本量除需满足上述统计学估算的最低样本量要求外，还应保证入组病例覆盖受试者的各种特征。如临床试验研</w:t>
      </w:r>
      <w:r>
        <w:rPr>
          <w:rFonts w:eastAsia="仿宋_GB2312" w:hint="eastAsia"/>
          <w:sz w:val="32"/>
          <w:szCs w:val="32"/>
        </w:rPr>
        <w:lastRenderedPageBreak/>
        <w:t>究有更合理的样本量估算方式，在说明其合理性后亦可采用。</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6</w:t>
      </w:r>
      <w:r>
        <w:rPr>
          <w:rFonts w:eastAsia="仿宋_GB2312"/>
          <w:sz w:val="32"/>
          <w:szCs w:val="32"/>
        </w:rPr>
        <w:t>.</w:t>
      </w:r>
      <w:r>
        <w:rPr>
          <w:rFonts w:eastAsia="仿宋_GB2312" w:hint="eastAsia"/>
          <w:sz w:val="32"/>
          <w:szCs w:val="32"/>
        </w:rPr>
        <w:t>统计分析</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统计分析一般以四格表的形式总结两种分析方法的检测结果，并据此计算阳性符合率、阴性符合率、总符合率、</w:t>
      </w:r>
      <w:r>
        <w:rPr>
          <w:rFonts w:eastAsia="仿宋_GB2312" w:hint="eastAsia"/>
          <w:sz w:val="32"/>
          <w:szCs w:val="32"/>
        </w:rPr>
        <w:t>Kappa</w:t>
      </w:r>
      <w:r>
        <w:rPr>
          <w:rFonts w:eastAsia="仿宋_GB2312" w:hint="eastAsia"/>
          <w:sz w:val="32"/>
          <w:szCs w:val="32"/>
        </w:rPr>
        <w:t>值等指标及其</w:t>
      </w:r>
      <w:r>
        <w:rPr>
          <w:rFonts w:eastAsia="仿宋_GB2312" w:hint="eastAsia"/>
          <w:sz w:val="32"/>
          <w:szCs w:val="32"/>
        </w:rPr>
        <w:t>95%</w:t>
      </w:r>
      <w:r>
        <w:rPr>
          <w:rFonts w:eastAsia="仿宋_GB2312" w:hint="eastAsia"/>
          <w:sz w:val="32"/>
          <w:szCs w:val="32"/>
        </w:rPr>
        <w:t>置信区间。除此之外，还应同时进行假设检验评价两种分析方法的一致性。</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对于检测标志物覆</w:t>
      </w:r>
      <w:r>
        <w:rPr>
          <w:rFonts w:eastAsia="仿宋_GB2312" w:hint="eastAsia"/>
          <w:sz w:val="32"/>
          <w:szCs w:val="32"/>
        </w:rPr>
        <w:t>盖多个标志物</w:t>
      </w:r>
      <w:r>
        <w:rPr>
          <w:rFonts w:eastAsia="仿宋_GB2312" w:hint="eastAsia"/>
          <w:sz w:val="32"/>
          <w:szCs w:val="32"/>
        </w:rPr>
        <w:t>/</w:t>
      </w:r>
      <w:r>
        <w:rPr>
          <w:rFonts w:eastAsia="仿宋_GB2312" w:hint="eastAsia"/>
          <w:sz w:val="32"/>
          <w:szCs w:val="32"/>
        </w:rPr>
        <w:t>突变位点的产品，如基于</w:t>
      </w:r>
      <w:r>
        <w:rPr>
          <w:rFonts w:eastAsia="仿宋_GB2312" w:hint="eastAsia"/>
          <w:sz w:val="32"/>
          <w:szCs w:val="32"/>
        </w:rPr>
        <w:t>PCR</w:t>
      </w:r>
      <w:r>
        <w:rPr>
          <w:rFonts w:eastAsia="仿宋_GB2312" w:hint="eastAsia"/>
          <w:sz w:val="32"/>
          <w:szCs w:val="32"/>
        </w:rPr>
        <w:t>技术对基因突变进行检测的产品，检测范围包括多个突变基因位点，临床试验统计分析应在整体统计分析的基础上，针对各突变基因位点单独进行统计分析。</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临床试验还应对入组人群的人口学及临床特征进行基线分析，包括年龄、性别、肿瘤类型、分期、其他疾病相关信息等，重点分析受试者病理组织样本肿瘤细胞所占比例情况，覆盖所有生物标志物亚组情况，分析对比方法阳性判断值附近样本收集情况。受试者总体特征应满足评价申报产品与对比方法一致性的要求。</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7</w:t>
      </w:r>
      <w:r>
        <w:rPr>
          <w:rFonts w:eastAsia="仿宋_GB2312"/>
          <w:sz w:val="32"/>
          <w:szCs w:val="32"/>
        </w:rPr>
        <w:t>.</w:t>
      </w:r>
      <w:r>
        <w:rPr>
          <w:rFonts w:eastAsia="仿宋_GB2312" w:hint="eastAsia"/>
          <w:sz w:val="32"/>
          <w:szCs w:val="32"/>
        </w:rPr>
        <w:t>偏倚的控制</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临床试验方案的设计、实施及结果分析</w:t>
      </w:r>
      <w:r>
        <w:rPr>
          <w:rFonts w:eastAsia="仿宋_GB2312" w:hint="eastAsia"/>
          <w:sz w:val="32"/>
          <w:szCs w:val="32"/>
        </w:rPr>
        <w:t>时，应充分考虑偏倚的控制，临床试验实施过程中应注意同步盲法的要求。</w:t>
      </w:r>
    </w:p>
    <w:p w:rsidR="00000000" w:rsidRDefault="00711951" w:rsidP="00293109">
      <w:pPr>
        <w:spacing w:line="590" w:lineRule="exact"/>
        <w:ind w:firstLineChars="200" w:firstLine="640"/>
        <w:contextualSpacing/>
        <w:rPr>
          <w:rFonts w:eastAsia="楷体_GB2312"/>
          <w:kern w:val="0"/>
          <w:sz w:val="32"/>
          <w:szCs w:val="32"/>
        </w:rPr>
      </w:pPr>
      <w:r>
        <w:rPr>
          <w:rFonts w:eastAsia="楷体_GB2312" w:hint="eastAsia"/>
          <w:kern w:val="0"/>
          <w:sz w:val="32"/>
          <w:szCs w:val="32"/>
        </w:rPr>
        <w:t>（二）伴随诊断用途的确认</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申报产品在进行伴随诊断用途研究之前，应对申报产品伴随的抗肿瘤药物及原研伴随诊断试剂进行充分研究，建议将产品拟</w:t>
      </w:r>
      <w:r>
        <w:rPr>
          <w:rFonts w:eastAsia="仿宋_GB2312" w:hint="eastAsia"/>
          <w:sz w:val="32"/>
          <w:szCs w:val="32"/>
        </w:rPr>
        <w:lastRenderedPageBreak/>
        <w:t>伴随的抗肿瘤药物说明书（中国境内上市版）、原研伴随诊断试剂说明书及抗肿瘤药物相关临床试验文献（如有）作为产品临床试验报告附件。</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1.</w:t>
      </w:r>
      <w:r>
        <w:rPr>
          <w:rFonts w:eastAsia="仿宋_GB2312" w:hint="eastAsia"/>
          <w:sz w:val="32"/>
          <w:szCs w:val="32"/>
        </w:rPr>
        <w:t>一致性比对研究</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针对应用广泛、临床意义明确、判读易于标准化的伴随诊断试剂，临床试验可采用申报产品与原研伴随诊断试剂或</w:t>
      </w:r>
      <w:r>
        <w:rPr>
          <w:rFonts w:eastAsia="仿宋_GB2312" w:hint="eastAsia"/>
          <w:sz w:val="32"/>
          <w:szCs w:val="32"/>
        </w:rPr>
        <w:t>CTA</w:t>
      </w:r>
      <w:r>
        <w:rPr>
          <w:rFonts w:eastAsia="仿宋_GB2312" w:hint="eastAsia"/>
          <w:sz w:val="32"/>
          <w:szCs w:val="32"/>
        </w:rPr>
        <w:t>进行比较研究的方法，评价两者检测结果的一致性。</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1.1</w:t>
      </w:r>
      <w:r>
        <w:rPr>
          <w:rFonts w:eastAsia="仿宋_GB2312" w:hint="eastAsia"/>
          <w:sz w:val="32"/>
          <w:szCs w:val="32"/>
        </w:rPr>
        <w:t>对</w:t>
      </w:r>
      <w:r>
        <w:rPr>
          <w:rFonts w:eastAsia="仿宋_GB2312" w:hint="eastAsia"/>
          <w:sz w:val="32"/>
          <w:szCs w:val="32"/>
        </w:rPr>
        <w:t>比方法</w:t>
      </w:r>
    </w:p>
    <w:p w:rsidR="00000000" w:rsidRDefault="00711951" w:rsidP="00293109">
      <w:pPr>
        <w:spacing w:line="590" w:lineRule="exact"/>
        <w:ind w:firstLineChars="200" w:firstLine="640"/>
        <w:rPr>
          <w:rFonts w:eastAsia="仿宋_GB2312"/>
          <w:strike/>
          <w:sz w:val="32"/>
          <w:szCs w:val="32"/>
        </w:rPr>
      </w:pPr>
      <w:r>
        <w:rPr>
          <w:rFonts w:eastAsia="仿宋_GB2312" w:hint="eastAsia"/>
          <w:sz w:val="32"/>
          <w:szCs w:val="32"/>
        </w:rPr>
        <w:t>因该类产品往往存在诸多已上市同类产品，为了避免统计学上依次传递现象，对比试剂应选择原研伴随诊断试剂。对比试剂在预期用途、适用人群、样本类型、检测性能等方面应与申报产品具有较好的可比性。</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针对既往抗肿瘤药物临床试验过程中仅采用了</w:t>
      </w:r>
      <w:r>
        <w:rPr>
          <w:rFonts w:eastAsia="仿宋_GB2312" w:hint="eastAsia"/>
          <w:sz w:val="32"/>
          <w:szCs w:val="32"/>
        </w:rPr>
        <w:t>CTA</w:t>
      </w:r>
      <w:r>
        <w:rPr>
          <w:rFonts w:eastAsia="仿宋_GB2312" w:hint="eastAsia"/>
          <w:sz w:val="32"/>
          <w:szCs w:val="32"/>
        </w:rPr>
        <w:t>，药物无商品化的体外诊断试剂作为其伴随诊断试剂，且桥接试验、抗肿瘤药物疗效的观察性研究不可行的情况下，申报产品在临床研究过程中，可采用</w:t>
      </w:r>
      <w:r>
        <w:rPr>
          <w:rFonts w:eastAsia="仿宋_GB2312" w:hint="eastAsia"/>
          <w:sz w:val="32"/>
          <w:szCs w:val="32"/>
        </w:rPr>
        <w:t>CTA</w:t>
      </w:r>
      <w:r>
        <w:rPr>
          <w:rFonts w:eastAsia="仿宋_GB2312" w:hint="eastAsia"/>
          <w:sz w:val="32"/>
          <w:szCs w:val="32"/>
        </w:rPr>
        <w:t>作为其对比方法。如</w:t>
      </w:r>
      <w:r>
        <w:rPr>
          <w:rFonts w:eastAsia="仿宋_GB2312" w:hint="eastAsia"/>
          <w:sz w:val="32"/>
          <w:szCs w:val="32"/>
        </w:rPr>
        <w:t>CTA</w:t>
      </w:r>
      <w:r>
        <w:rPr>
          <w:rFonts w:eastAsia="仿宋_GB2312" w:hint="eastAsia"/>
          <w:sz w:val="32"/>
          <w:szCs w:val="32"/>
        </w:rPr>
        <w:t>因时间、机构等因素不能直接使用，必要时研究者可重建</w:t>
      </w:r>
      <w:r>
        <w:rPr>
          <w:rFonts w:eastAsia="仿宋_GB2312" w:hint="eastAsia"/>
          <w:sz w:val="32"/>
          <w:szCs w:val="32"/>
        </w:rPr>
        <w:t>CTA</w:t>
      </w:r>
      <w:r>
        <w:rPr>
          <w:rFonts w:eastAsia="仿宋_GB2312" w:hint="eastAsia"/>
          <w:sz w:val="32"/>
          <w:szCs w:val="32"/>
        </w:rPr>
        <w:t>方法。重建方法的原理、所检测的标志物、性能要求（包括</w:t>
      </w:r>
      <w:r>
        <w:rPr>
          <w:rFonts w:eastAsia="仿宋_GB2312" w:hint="eastAsia"/>
          <w:sz w:val="32"/>
          <w:szCs w:val="32"/>
        </w:rPr>
        <w:t>分析性能与临床性能）应与药物临床试验过程中使用的</w:t>
      </w:r>
      <w:r>
        <w:rPr>
          <w:rFonts w:eastAsia="仿宋_GB2312" w:hint="eastAsia"/>
          <w:sz w:val="32"/>
          <w:szCs w:val="32"/>
        </w:rPr>
        <w:t>CTA</w:t>
      </w:r>
      <w:r>
        <w:rPr>
          <w:rFonts w:eastAsia="仿宋_GB2312" w:hint="eastAsia"/>
          <w:sz w:val="32"/>
          <w:szCs w:val="32"/>
        </w:rPr>
        <w:t>一致，并提供相应证据。对于药物临床试验过程中使用的</w:t>
      </w:r>
      <w:r>
        <w:rPr>
          <w:rFonts w:eastAsia="仿宋_GB2312" w:hint="eastAsia"/>
          <w:sz w:val="32"/>
          <w:szCs w:val="32"/>
        </w:rPr>
        <w:t>CTA</w:t>
      </w:r>
      <w:r>
        <w:rPr>
          <w:rFonts w:eastAsia="仿宋_GB2312" w:hint="eastAsia"/>
          <w:sz w:val="32"/>
          <w:szCs w:val="32"/>
        </w:rPr>
        <w:t>相关信息及性能应提供相应支持性资料。如申报产品采用此种方法确认其伴随诊断的预期用途，相关申报企业及研究者应与技术审评部门充分沟通。</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lastRenderedPageBreak/>
        <w:t>基于产品自身设计及对比试剂的选择，如该部分临床研究能够证明申报产品针对所有生物标志物突变亚组人群临床样本检测的性能，此部分研究可与临床性能研究相结合。</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1.2</w:t>
      </w:r>
      <w:r>
        <w:rPr>
          <w:rFonts w:eastAsia="仿宋_GB2312" w:hint="eastAsia"/>
          <w:sz w:val="32"/>
          <w:szCs w:val="32"/>
        </w:rPr>
        <w:t>入组人群</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临床试验方案中应根据申报产品的预期用途、目标人群和检测要求等合理确定临床试验受试者的选择要求和样本收集</w:t>
      </w:r>
      <w:r>
        <w:rPr>
          <w:rFonts w:eastAsia="仿宋_GB2312" w:hint="eastAsia"/>
          <w:sz w:val="32"/>
          <w:szCs w:val="32"/>
        </w:rPr>
        <w:t>方法，包括：受试者入组</w:t>
      </w:r>
      <w:r>
        <w:rPr>
          <w:rFonts w:eastAsia="仿宋_GB2312" w:hint="eastAsia"/>
          <w:sz w:val="32"/>
          <w:szCs w:val="32"/>
        </w:rPr>
        <w:t>/</w:t>
      </w:r>
      <w:r>
        <w:rPr>
          <w:rFonts w:eastAsia="仿宋_GB2312" w:hint="eastAsia"/>
          <w:sz w:val="32"/>
          <w:szCs w:val="32"/>
        </w:rPr>
        <w:t>排除标准、是否</w:t>
      </w:r>
      <w:r>
        <w:rPr>
          <w:rFonts w:eastAsia="仿宋_GB2312"/>
          <w:sz w:val="32"/>
          <w:szCs w:val="32"/>
        </w:rPr>
        <w:t>入组既往留存的病例样本等</w:t>
      </w:r>
      <w:r>
        <w:rPr>
          <w:rFonts w:eastAsia="仿宋_GB2312" w:hint="eastAsia"/>
          <w:sz w:val="32"/>
          <w:szCs w:val="32"/>
        </w:rPr>
        <w:t>。入组人群应能够代表产品目标人群的各种特征，应尽可能考虑肿瘤类型、分期、前期治疗方案等方面与伴随诊断试剂适用人群的一致性，各生物标志物突变亚组病例的入组情况应符合临床诊疗实践。</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在此部分比较研究中，对于入组人群是否使用了相关抗肿瘤药物及所用的抗肿瘤药物是否与申报产品拟伴随的药物一致不做要求。临床试验过程中药物临床疗效不被统计分析，因此申报产品所选择人群的抗肿瘤药物疗效也不会被评价。相应的，对申报产品预期使用人群的药效也不能通过比对研究结果直接评估</w:t>
      </w:r>
      <w:r>
        <w:rPr>
          <w:rFonts w:eastAsia="仿宋_GB2312" w:hint="eastAsia"/>
          <w:sz w:val="32"/>
          <w:szCs w:val="32"/>
        </w:rPr>
        <w:t>，临床试验仅确认申报产品与原研伴随诊断试剂在共同的适用人群划分上是否一致。</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1.3</w:t>
      </w:r>
      <w:r>
        <w:rPr>
          <w:rFonts w:eastAsia="仿宋_GB2312" w:hint="eastAsia"/>
          <w:sz w:val="32"/>
          <w:szCs w:val="32"/>
        </w:rPr>
        <w:t>评价方法</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临床试验中有多种方法可进行申报产品与原研伴随诊断试剂的比较研究，以下介绍其中两种方法：</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1.3.1</w:t>
      </w:r>
      <w:r>
        <w:rPr>
          <w:rFonts w:eastAsia="仿宋_GB2312" w:hint="eastAsia"/>
          <w:sz w:val="32"/>
          <w:szCs w:val="32"/>
        </w:rPr>
        <w:t>与原研伴随诊断试剂的一致性研究</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lastRenderedPageBreak/>
        <w:t>采用该方法进行临床试验时，其临床试验机构的选择、临床评价指标、样本量、统计分析、偏倚控制等可参考本章第</w:t>
      </w:r>
      <w:r>
        <w:rPr>
          <w:rFonts w:eastAsia="仿宋_GB2312" w:hint="eastAsia"/>
          <w:sz w:val="32"/>
          <w:szCs w:val="32"/>
        </w:rPr>
        <w:t>1</w:t>
      </w:r>
      <w:r>
        <w:rPr>
          <w:rFonts w:eastAsia="仿宋_GB2312" w:hint="eastAsia"/>
          <w:sz w:val="32"/>
          <w:szCs w:val="32"/>
        </w:rPr>
        <w:t>部分临床性能研究相关内容。</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临床试验人口学分析中应增加临床特征分析，包括种族、肿瘤类型、分期、突变状态、疾病复发类型、其他疾病相关信息等，以充分评估申报产品与原研伴随诊断试剂筛选用药人群</w:t>
      </w:r>
      <w:r>
        <w:rPr>
          <w:rFonts w:eastAsia="仿宋_GB2312" w:hint="eastAsia"/>
          <w:sz w:val="32"/>
          <w:szCs w:val="32"/>
        </w:rPr>
        <w:t>的一致性。在产品临床试验设计时，应制定更为严格的临床可接受标准。</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1.3.2</w:t>
      </w:r>
      <w:r>
        <w:rPr>
          <w:rFonts w:eastAsia="仿宋_GB2312" w:hint="eastAsia"/>
          <w:sz w:val="32"/>
          <w:szCs w:val="32"/>
        </w:rPr>
        <w:t>与原研伴随诊断试剂的外部等效性研究</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申请人亦可综合考虑申报产品与原研伴随诊断试剂之间性能的差异，选择其他合理的临床试验设计，如申报产品与原研伴随诊断试剂的外部等效性研究。应用该方法时，应注意在统计分析过程中非劣效性界值的确定应能够满足临床需求，并提供非劣效界值的确定依据。</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该种方法所需样本量应采用合理的统计学模型进行估算，样本量应能够满足申报产品和原研伴随诊断试剂检测结果之间的符合率非劣效于两次原研伴随诊断试剂检测结果之间的符合率的</w:t>
      </w:r>
      <w:r>
        <w:rPr>
          <w:rFonts w:eastAsia="仿宋_GB2312" w:hint="eastAsia"/>
          <w:sz w:val="32"/>
          <w:szCs w:val="32"/>
        </w:rPr>
        <w:t>要求。</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2.</w:t>
      </w:r>
      <w:r>
        <w:rPr>
          <w:rFonts w:eastAsia="仿宋_GB2312" w:hint="eastAsia"/>
          <w:sz w:val="32"/>
          <w:szCs w:val="32"/>
        </w:rPr>
        <w:t>桥接试验</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在伴随诊断试剂开发过程和临床试验过程中，如其伴随的抗肿瘤药物已经完成了临床研究，则可以通过桥接试验的设计，证明申报产品的安全有效性。桥接试验使用申报产品对已经完成的药物临床试验过程中入组患者的剩余样本进行检测，评估申报产</w:t>
      </w:r>
      <w:r>
        <w:rPr>
          <w:rFonts w:eastAsia="仿宋_GB2312" w:hint="eastAsia"/>
          <w:sz w:val="32"/>
          <w:szCs w:val="32"/>
        </w:rPr>
        <w:lastRenderedPageBreak/>
        <w:t>品与原研伴随诊断试剂或</w:t>
      </w:r>
      <w:r>
        <w:rPr>
          <w:rFonts w:eastAsia="仿宋_GB2312" w:hint="eastAsia"/>
          <w:sz w:val="32"/>
          <w:szCs w:val="32"/>
        </w:rPr>
        <w:t>CTA</w:t>
      </w:r>
      <w:r>
        <w:rPr>
          <w:rFonts w:eastAsia="仿宋_GB2312" w:hint="eastAsia"/>
          <w:sz w:val="32"/>
          <w:szCs w:val="32"/>
        </w:rPr>
        <w:t>的一致性，进而评估申报产品所确定的受试者的治疗效果。</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2.1</w:t>
      </w:r>
      <w:r>
        <w:rPr>
          <w:rFonts w:eastAsia="仿宋_GB2312" w:hint="eastAsia"/>
          <w:sz w:val="32"/>
          <w:szCs w:val="32"/>
        </w:rPr>
        <w:t>背景信息</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桥接试验的基础是已完成的抗肿瘤药物临床试验，在设计桥接试验之前应充分了解相关药物的临床试验情况，并在临床试验资料中对药物临床试验情况进行描述，包括但不限于以下内容：药物临床</w:t>
      </w:r>
      <w:r>
        <w:rPr>
          <w:rFonts w:eastAsia="仿宋_GB2312" w:hint="eastAsia"/>
          <w:sz w:val="32"/>
          <w:szCs w:val="32"/>
        </w:rPr>
        <w:t>试验的名称、编号（如有）；临床试验设计类型；受试者入排标准与入组情况；临床试验病例数量；入组病例的人口学及临床特征基线分析；入组病例生物标志物状态；主要疗效评价指标及临床试验终点选择；临床试验统计分析概述；临床试验结论。</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2.2</w:t>
      </w:r>
      <w:r>
        <w:rPr>
          <w:rFonts w:eastAsia="仿宋_GB2312" w:hint="eastAsia"/>
          <w:sz w:val="32"/>
          <w:szCs w:val="32"/>
        </w:rPr>
        <w:t>研究目的</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桥接试验的研究目的主要是证明申报产品的临床性能及临床意义。该研究主要包括两方面：一是，申报产品与原研伴随诊断试剂或</w:t>
      </w:r>
      <w:r>
        <w:rPr>
          <w:rFonts w:eastAsia="仿宋_GB2312" w:hint="eastAsia"/>
          <w:sz w:val="32"/>
          <w:szCs w:val="32"/>
        </w:rPr>
        <w:t>CTA</w:t>
      </w:r>
      <w:r>
        <w:rPr>
          <w:rFonts w:eastAsia="仿宋_GB2312" w:hint="eastAsia"/>
          <w:sz w:val="32"/>
          <w:szCs w:val="32"/>
        </w:rPr>
        <w:t>检测结果的一致性；二是，申报产品选择的人群与原研伴随诊断试剂或</w:t>
      </w:r>
      <w:r>
        <w:rPr>
          <w:rFonts w:eastAsia="仿宋_GB2312" w:hint="eastAsia"/>
          <w:sz w:val="32"/>
          <w:szCs w:val="32"/>
        </w:rPr>
        <w:t>CTA</w:t>
      </w:r>
      <w:r>
        <w:rPr>
          <w:rFonts w:eastAsia="仿宋_GB2312" w:hint="eastAsia"/>
          <w:sz w:val="32"/>
          <w:szCs w:val="32"/>
        </w:rPr>
        <w:t>选择的人群在药物疗效或其他评价指标之间的等效性。</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2.3</w:t>
      </w:r>
      <w:r>
        <w:rPr>
          <w:rFonts w:eastAsia="仿宋_GB2312" w:hint="eastAsia"/>
          <w:sz w:val="32"/>
          <w:szCs w:val="32"/>
        </w:rPr>
        <w:t>临床试验机构</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开展桥接试验的</w:t>
      </w:r>
      <w:r>
        <w:rPr>
          <w:rFonts w:eastAsia="仿宋_GB2312" w:hint="eastAsia"/>
          <w:sz w:val="32"/>
          <w:szCs w:val="32"/>
        </w:rPr>
        <w:t>临床试验机构应为参与药物临床试验的机构，且经医疗器械临床试验机构备案。临床试验过程中药物临床试验剩余样本、原研伴随诊断试剂检测结果及相关病例的药效学数据的获取应合理、合法。</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lastRenderedPageBreak/>
        <w:t>2.4</w:t>
      </w:r>
      <w:r>
        <w:rPr>
          <w:rFonts w:eastAsia="仿宋_GB2312" w:hint="eastAsia"/>
          <w:sz w:val="32"/>
          <w:szCs w:val="32"/>
        </w:rPr>
        <w:t>研究人群</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桥接试验的病例为来自所伴随的抗肿瘤药物的某一个或几个临床试验，研究者应明确在上述临床试验入组病例中能够进行桥接试验的病例的入选标准及排除标准。入排标准的设定应重点关注受试者是否留存有足够的、符合要求的样本供申报产品检测。如药物临床试验中可用于桥接试验的样本量不足，尤其是药物临床试验中的阴性病例不足，可入组部分非药物临床</w:t>
      </w:r>
      <w:r>
        <w:rPr>
          <w:rFonts w:eastAsia="仿宋_GB2312" w:hint="eastAsia"/>
          <w:sz w:val="32"/>
          <w:szCs w:val="32"/>
        </w:rPr>
        <w:t>试验的病例样本，用于评估申报产品与原研伴随诊断试剂或</w:t>
      </w:r>
      <w:r>
        <w:rPr>
          <w:rFonts w:eastAsia="仿宋_GB2312" w:hint="eastAsia"/>
          <w:sz w:val="32"/>
          <w:szCs w:val="32"/>
        </w:rPr>
        <w:t>CTA</w:t>
      </w:r>
      <w:r>
        <w:rPr>
          <w:rFonts w:eastAsia="仿宋_GB2312" w:hint="eastAsia"/>
          <w:sz w:val="32"/>
          <w:szCs w:val="32"/>
        </w:rPr>
        <w:t>的临床性能。该部分补充病例的入排标准应严格设定，应为申报产品的适用人群。</w:t>
      </w:r>
      <w:r>
        <w:rPr>
          <w:rFonts w:eastAsia="仿宋_GB2312" w:hint="eastAsia"/>
          <w:sz w:val="32"/>
          <w:szCs w:val="32"/>
        </w:rPr>
        <w:t xml:space="preserve"> </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2.5</w:t>
      </w:r>
      <w:r>
        <w:rPr>
          <w:rFonts w:eastAsia="仿宋_GB2312" w:hint="eastAsia"/>
          <w:sz w:val="32"/>
          <w:szCs w:val="32"/>
        </w:rPr>
        <w:t>病例数量</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桥接试验的病例来源应为支持抗肿瘤药物上市的关键临床试验或附条件</w:t>
      </w:r>
      <w:r>
        <w:rPr>
          <w:rFonts w:eastAsia="仿宋_GB2312"/>
          <w:sz w:val="32"/>
          <w:szCs w:val="32"/>
        </w:rPr>
        <w:t>批准上市的药物</w:t>
      </w:r>
      <w:r>
        <w:rPr>
          <w:rFonts w:eastAsia="仿宋_GB2312" w:hint="eastAsia"/>
          <w:sz w:val="32"/>
          <w:szCs w:val="32"/>
        </w:rPr>
        <w:t>按照药品</w:t>
      </w:r>
      <w:r>
        <w:rPr>
          <w:rFonts w:eastAsia="仿宋_GB2312"/>
          <w:sz w:val="32"/>
          <w:szCs w:val="32"/>
        </w:rPr>
        <w:t>注册证书中所附的特定条件开展的上市后确证性试验</w:t>
      </w:r>
      <w:r>
        <w:rPr>
          <w:rFonts w:eastAsia="仿宋_GB2312" w:hint="eastAsia"/>
          <w:sz w:val="32"/>
          <w:szCs w:val="32"/>
        </w:rPr>
        <w:t>，应尽可能纳入药物临床试验中的所有病例。建议提供病例筛选流程图，以明确所有入组病例的来源。病例数量应能够满足评价申报产品与原研伴随诊断试剂或</w:t>
      </w:r>
      <w:r>
        <w:rPr>
          <w:rFonts w:eastAsia="仿宋_GB2312" w:hint="eastAsia"/>
          <w:sz w:val="32"/>
          <w:szCs w:val="32"/>
        </w:rPr>
        <w:t>CTA</w:t>
      </w:r>
      <w:r>
        <w:rPr>
          <w:rFonts w:eastAsia="仿宋_GB2312" w:hint="eastAsia"/>
          <w:sz w:val="32"/>
          <w:szCs w:val="32"/>
        </w:rPr>
        <w:t>一致性的要求及申报产品选择人群疗效评价的统计要求。</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2.6</w:t>
      </w:r>
      <w:r>
        <w:rPr>
          <w:rFonts w:eastAsia="仿宋_GB2312" w:hint="eastAsia"/>
          <w:sz w:val="32"/>
          <w:szCs w:val="32"/>
        </w:rPr>
        <w:t>统计分析</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桥接试验的统计分</w:t>
      </w:r>
      <w:r>
        <w:rPr>
          <w:rFonts w:eastAsia="仿宋_GB2312" w:hint="eastAsia"/>
          <w:sz w:val="32"/>
          <w:szCs w:val="32"/>
        </w:rPr>
        <w:t>析主要分为三个方面：受试者人口学及临床特征基线分析、申报产品与原研伴随诊断试剂或</w:t>
      </w:r>
      <w:r>
        <w:rPr>
          <w:rFonts w:eastAsia="仿宋_GB2312" w:hint="eastAsia"/>
          <w:sz w:val="32"/>
          <w:szCs w:val="32"/>
        </w:rPr>
        <w:t>CTA</w:t>
      </w:r>
      <w:r>
        <w:rPr>
          <w:rFonts w:eastAsia="仿宋_GB2312" w:hint="eastAsia"/>
          <w:sz w:val="32"/>
          <w:szCs w:val="32"/>
        </w:rPr>
        <w:t>的一致性分析、药物疗效分析。</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 xml:space="preserve">2.6.1 </w:t>
      </w:r>
      <w:r>
        <w:rPr>
          <w:rFonts w:eastAsia="仿宋_GB2312" w:hint="eastAsia"/>
          <w:sz w:val="32"/>
          <w:szCs w:val="32"/>
        </w:rPr>
        <w:t>受试者人口学及临床特征分析</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lastRenderedPageBreak/>
        <w:t>临床试验统计分析过程中应对临床研究中人群基本特征进行分析，如年龄、性别、种族、疾病状态、检测标志物状态、疾病复发类型、其他疾病相关信息等。桥接试验所入组的病例的人口学及基线临床特征应与药物临床试验中入组病例基本一致。如桥接试验中入组了其他临床试验的病例或非药物临床试验的病例，需注意分析额外入组病例的人口学及临床特征，应与整体临床试验一致。</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2.6.2</w:t>
      </w:r>
      <w:r>
        <w:rPr>
          <w:rFonts w:eastAsia="仿宋_GB2312" w:hint="eastAsia"/>
          <w:sz w:val="32"/>
          <w:szCs w:val="32"/>
        </w:rPr>
        <w:t>一致</w:t>
      </w:r>
      <w:r>
        <w:rPr>
          <w:rFonts w:eastAsia="仿宋_GB2312" w:hint="eastAsia"/>
          <w:sz w:val="32"/>
          <w:szCs w:val="32"/>
        </w:rPr>
        <w:t>性分析</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一致性分析为评价申报产品检测标志物状态与原研伴随诊断试剂或</w:t>
      </w:r>
      <w:r>
        <w:rPr>
          <w:rFonts w:eastAsia="仿宋_GB2312" w:hint="eastAsia"/>
          <w:sz w:val="32"/>
          <w:szCs w:val="32"/>
        </w:rPr>
        <w:t>CTA</w:t>
      </w:r>
      <w:r>
        <w:rPr>
          <w:rFonts w:eastAsia="仿宋_GB2312" w:hint="eastAsia"/>
          <w:sz w:val="32"/>
          <w:szCs w:val="32"/>
        </w:rPr>
        <w:t>检测标志物状态的一致性的回顾性研究，如临床试验入组了非药物临床试验的病例，则针对此部分病例分析为申报产品与原研伴随诊断试剂或</w:t>
      </w:r>
      <w:r>
        <w:rPr>
          <w:rFonts w:eastAsia="仿宋_GB2312" w:hint="eastAsia"/>
          <w:sz w:val="32"/>
          <w:szCs w:val="32"/>
        </w:rPr>
        <w:t>CTA</w:t>
      </w:r>
      <w:r>
        <w:rPr>
          <w:rFonts w:eastAsia="仿宋_GB2312" w:hint="eastAsia"/>
          <w:sz w:val="32"/>
          <w:szCs w:val="32"/>
        </w:rPr>
        <w:t>检测的同步一致性研究。一致性分析建议采用四格表分析的方法，分别评估申报产品与原研伴随诊断试剂或</w:t>
      </w:r>
      <w:r>
        <w:rPr>
          <w:rFonts w:eastAsia="仿宋_GB2312" w:hint="eastAsia"/>
          <w:sz w:val="32"/>
          <w:szCs w:val="32"/>
        </w:rPr>
        <w:t>CTA</w:t>
      </w:r>
      <w:r>
        <w:rPr>
          <w:rFonts w:eastAsia="仿宋_GB2312" w:hint="eastAsia"/>
          <w:sz w:val="32"/>
          <w:szCs w:val="32"/>
        </w:rPr>
        <w:t>的阳性符合率、阴性符合率、总符合率及相应的</w:t>
      </w:r>
      <w:r>
        <w:rPr>
          <w:rFonts w:eastAsia="仿宋_GB2312" w:hint="eastAsia"/>
          <w:sz w:val="32"/>
          <w:szCs w:val="32"/>
        </w:rPr>
        <w:t>95%</w:t>
      </w:r>
      <w:r>
        <w:rPr>
          <w:rFonts w:eastAsia="仿宋_GB2312" w:hint="eastAsia"/>
          <w:sz w:val="32"/>
          <w:szCs w:val="32"/>
        </w:rPr>
        <w:t>置信区间。如临床试验涉及不同的数据集如：全数据集、符合方案集等，建议每一数据集分别进行分析。申报产品与原研伴随诊断试剂或</w:t>
      </w:r>
      <w:r>
        <w:rPr>
          <w:rFonts w:eastAsia="仿宋_GB2312" w:hint="eastAsia"/>
          <w:sz w:val="32"/>
          <w:szCs w:val="32"/>
        </w:rPr>
        <w:t>CTA</w:t>
      </w:r>
      <w:r>
        <w:rPr>
          <w:rFonts w:eastAsia="仿宋_GB2312" w:hint="eastAsia"/>
          <w:sz w:val="32"/>
          <w:szCs w:val="32"/>
        </w:rPr>
        <w:t>的符合率应能够满足临床需求。</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2.6</w:t>
      </w:r>
      <w:r>
        <w:rPr>
          <w:rFonts w:eastAsia="仿宋_GB2312" w:hint="eastAsia"/>
          <w:sz w:val="32"/>
          <w:szCs w:val="32"/>
        </w:rPr>
        <w:t xml:space="preserve">.3 </w:t>
      </w:r>
      <w:r>
        <w:rPr>
          <w:rFonts w:eastAsia="仿宋_GB2312" w:hint="eastAsia"/>
          <w:sz w:val="32"/>
          <w:szCs w:val="32"/>
        </w:rPr>
        <w:t>抗肿瘤药物疗效分析</w:t>
      </w:r>
    </w:p>
    <w:p w:rsidR="00000000" w:rsidRDefault="00711951" w:rsidP="00293109">
      <w:pPr>
        <w:tabs>
          <w:tab w:val="left" w:pos="1366"/>
        </w:tabs>
        <w:spacing w:line="590" w:lineRule="exact"/>
        <w:ind w:firstLineChars="200" w:firstLine="640"/>
        <w:rPr>
          <w:rFonts w:eastAsia="仿宋_GB2312"/>
          <w:sz w:val="32"/>
          <w:szCs w:val="32"/>
        </w:rPr>
      </w:pPr>
      <w:r>
        <w:rPr>
          <w:rFonts w:eastAsia="仿宋_GB2312" w:hint="eastAsia"/>
          <w:sz w:val="32"/>
          <w:szCs w:val="32"/>
        </w:rPr>
        <w:t>桥接试验疗效分析是证明申报产品伴随用途的重要证据，如临床试验条件允许，可将桥接试验过程中受试者分为不同的人群，如依据标志物状态划分为申报产品及原研试剂或</w:t>
      </w:r>
      <w:r>
        <w:rPr>
          <w:rFonts w:eastAsia="仿宋_GB2312" w:hint="eastAsia"/>
          <w:sz w:val="32"/>
          <w:szCs w:val="32"/>
        </w:rPr>
        <w:t>CTA</w:t>
      </w:r>
      <w:r>
        <w:rPr>
          <w:rFonts w:eastAsia="仿宋_GB2312" w:hint="eastAsia"/>
          <w:sz w:val="32"/>
          <w:szCs w:val="32"/>
        </w:rPr>
        <w:t>均为阳性的人群、申报产品阳性而原研试剂或</w:t>
      </w:r>
      <w:r>
        <w:rPr>
          <w:rFonts w:eastAsia="仿宋_GB2312" w:hint="eastAsia"/>
          <w:sz w:val="32"/>
          <w:szCs w:val="32"/>
        </w:rPr>
        <w:t>CTA</w:t>
      </w:r>
      <w:r>
        <w:rPr>
          <w:rFonts w:eastAsia="仿宋_GB2312" w:hint="eastAsia"/>
          <w:sz w:val="32"/>
          <w:szCs w:val="32"/>
        </w:rPr>
        <w:t>阴性的人群、申</w:t>
      </w:r>
      <w:r>
        <w:rPr>
          <w:rFonts w:eastAsia="仿宋_GB2312" w:hint="eastAsia"/>
          <w:sz w:val="32"/>
          <w:szCs w:val="32"/>
        </w:rPr>
        <w:lastRenderedPageBreak/>
        <w:t>报产品及原研试剂或</w:t>
      </w:r>
      <w:r>
        <w:rPr>
          <w:rFonts w:eastAsia="仿宋_GB2312" w:hint="eastAsia"/>
          <w:sz w:val="32"/>
          <w:szCs w:val="32"/>
        </w:rPr>
        <w:t>CTA</w:t>
      </w:r>
      <w:r>
        <w:rPr>
          <w:rFonts w:eastAsia="仿宋_GB2312" w:hint="eastAsia"/>
          <w:sz w:val="32"/>
          <w:szCs w:val="32"/>
        </w:rPr>
        <w:t>均为阴性的人群、申报产品阴性而原研试剂或</w:t>
      </w:r>
      <w:r>
        <w:rPr>
          <w:rFonts w:eastAsia="仿宋_GB2312" w:hint="eastAsia"/>
          <w:sz w:val="32"/>
          <w:szCs w:val="32"/>
        </w:rPr>
        <w:t>CTA</w:t>
      </w:r>
      <w:r>
        <w:rPr>
          <w:rFonts w:eastAsia="仿宋_GB2312" w:hint="eastAsia"/>
          <w:sz w:val="32"/>
          <w:szCs w:val="32"/>
        </w:rPr>
        <w:t>阳性的人群，所有人群中应明确主要关注的人群。主要针对申报产品所检测出的用药人群与原研试剂或</w:t>
      </w:r>
      <w:r>
        <w:rPr>
          <w:rFonts w:eastAsia="仿宋_GB2312" w:hint="eastAsia"/>
          <w:sz w:val="32"/>
          <w:szCs w:val="32"/>
        </w:rPr>
        <w:t>CTA</w:t>
      </w:r>
      <w:r>
        <w:rPr>
          <w:rFonts w:eastAsia="仿宋_GB2312" w:hint="eastAsia"/>
          <w:sz w:val="32"/>
          <w:szCs w:val="32"/>
        </w:rPr>
        <w:t>所检测出的用药人群进行药物疗效的比较分析。桥接试验评价指标应依据相关药物临床试验的评价终点确定，药效学</w:t>
      </w:r>
      <w:r>
        <w:rPr>
          <w:rFonts w:eastAsia="仿宋_GB2312" w:hint="eastAsia"/>
          <w:sz w:val="32"/>
          <w:szCs w:val="32"/>
        </w:rPr>
        <w:t>相关的主要评价指标、次要评价指标以及临床获益统计分析方法应与药物临床试验中的指标和统计分析方法保持一致。</w:t>
      </w:r>
    </w:p>
    <w:p w:rsidR="00000000" w:rsidRDefault="00711951" w:rsidP="00293109">
      <w:pPr>
        <w:tabs>
          <w:tab w:val="left" w:pos="1366"/>
        </w:tabs>
        <w:spacing w:line="590" w:lineRule="exact"/>
        <w:ind w:firstLineChars="200" w:firstLine="640"/>
        <w:rPr>
          <w:rFonts w:eastAsia="仿宋_GB2312"/>
          <w:sz w:val="32"/>
          <w:szCs w:val="32"/>
        </w:rPr>
      </w:pPr>
      <w:r>
        <w:rPr>
          <w:rFonts w:eastAsia="仿宋_GB2312" w:hint="eastAsia"/>
          <w:sz w:val="32"/>
          <w:szCs w:val="32"/>
        </w:rPr>
        <w:t>某些情况下，药物临床试验的样本因为客观原因不能全部获得，如药物临床试验样本未保留、缺少知情同意、样本量不够、样本质量低等原因，桥接试验应考虑此部分病例疗效数据缺失对产品评价产生的影响，应采用合理的统计学模型对缺失数据进行分析，如缺失的数据是随机缺失还是非随机缺失以及缺失数据与临床结局是否存在倾向性关系等，同时对缺失数据进行合理的插补。如药物临床试验采用富集方式入组病例，桥接试验中针对申报产品检测结果为阳</w:t>
      </w:r>
      <w:r>
        <w:rPr>
          <w:rFonts w:eastAsia="仿宋_GB2312" w:hint="eastAsia"/>
          <w:sz w:val="32"/>
          <w:szCs w:val="32"/>
        </w:rPr>
        <w:t>性、原研伴随诊断试剂或</w:t>
      </w:r>
      <w:r>
        <w:rPr>
          <w:rFonts w:eastAsia="仿宋_GB2312" w:hint="eastAsia"/>
          <w:sz w:val="32"/>
          <w:szCs w:val="32"/>
        </w:rPr>
        <w:t>CTA</w:t>
      </w:r>
      <w:r>
        <w:rPr>
          <w:rFonts w:eastAsia="仿宋_GB2312" w:hint="eastAsia"/>
          <w:sz w:val="32"/>
          <w:szCs w:val="32"/>
        </w:rPr>
        <w:t>检测结果为阴性的病例缺少药效学数据，应对此部分病例进行敏感性分析。</w:t>
      </w:r>
    </w:p>
    <w:p w:rsidR="00000000" w:rsidRDefault="00711951" w:rsidP="00293109">
      <w:pPr>
        <w:tabs>
          <w:tab w:val="left" w:pos="1366"/>
        </w:tabs>
        <w:spacing w:line="590" w:lineRule="exact"/>
        <w:ind w:firstLineChars="200" w:firstLine="640"/>
        <w:rPr>
          <w:rFonts w:eastAsia="仿宋_GB2312"/>
          <w:sz w:val="32"/>
          <w:szCs w:val="32"/>
        </w:rPr>
      </w:pPr>
      <w:r>
        <w:rPr>
          <w:rFonts w:eastAsia="仿宋_GB2312" w:hint="eastAsia"/>
          <w:sz w:val="32"/>
          <w:szCs w:val="32"/>
        </w:rPr>
        <w:t>药物疗效分析的结果应表明申报产品选择人群与原研伴随诊断试剂或</w:t>
      </w:r>
      <w:r>
        <w:rPr>
          <w:rFonts w:eastAsia="仿宋_GB2312" w:hint="eastAsia"/>
          <w:sz w:val="32"/>
          <w:szCs w:val="32"/>
        </w:rPr>
        <w:t>CTA</w:t>
      </w:r>
      <w:r>
        <w:rPr>
          <w:rFonts w:eastAsia="仿宋_GB2312" w:hint="eastAsia"/>
          <w:sz w:val="32"/>
          <w:szCs w:val="32"/>
        </w:rPr>
        <w:t>所选择的人群在药物疗效上不存在显著差异。</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2.7</w:t>
      </w:r>
      <w:r>
        <w:rPr>
          <w:rFonts w:eastAsia="仿宋_GB2312" w:hint="eastAsia"/>
          <w:sz w:val="32"/>
          <w:szCs w:val="32"/>
        </w:rPr>
        <w:t>偏倚的控制</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桥接试验在研究过程中应严格控制偏倚，病例样本类型、样本量、保存条件应满足申报产品要求，临床试验应严格按照申报产品及原研伴随诊断试剂（如涉及）说明书进行操作。如纳入了</w:t>
      </w:r>
      <w:r>
        <w:rPr>
          <w:rFonts w:eastAsia="仿宋_GB2312" w:hint="eastAsia"/>
          <w:sz w:val="32"/>
          <w:szCs w:val="32"/>
        </w:rPr>
        <w:lastRenderedPageBreak/>
        <w:t>非药物临床试验的病例，则该部分病例的入组标准应与药物临床试验保持一致。申报产品的检测应满足盲法的原则。</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3.</w:t>
      </w:r>
      <w:r>
        <w:rPr>
          <w:rFonts w:eastAsia="仿宋_GB2312" w:hint="eastAsia"/>
          <w:sz w:val="32"/>
          <w:szCs w:val="32"/>
        </w:rPr>
        <w:t>已上市抗肿瘤药物疗</w:t>
      </w:r>
      <w:r>
        <w:rPr>
          <w:rFonts w:eastAsia="仿宋_GB2312" w:hint="eastAsia"/>
          <w:sz w:val="32"/>
          <w:szCs w:val="32"/>
        </w:rPr>
        <w:t>效的观察性研究</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对于相关抗肿瘤药物和原研伴随诊断试剂已经上市但尚未广泛应用、检测原理、操作过程及结果判读较为复杂的产品，建议按照桥接试验路径。如桥接试验不可行，亦可在完成临床检测性能研究的基础上，在不少于</w:t>
      </w:r>
      <w:r>
        <w:rPr>
          <w:rFonts w:eastAsia="仿宋_GB2312" w:hint="eastAsia"/>
          <w:sz w:val="32"/>
          <w:szCs w:val="32"/>
        </w:rPr>
        <w:t>3</w:t>
      </w:r>
      <w:r>
        <w:rPr>
          <w:rFonts w:eastAsia="仿宋_GB2312" w:hint="eastAsia"/>
          <w:sz w:val="32"/>
          <w:szCs w:val="32"/>
        </w:rPr>
        <w:t>家临床试验机构进行已上市抗肿瘤药物疗效的观察性研究，证明其临床意义。该临床试验过程中申报产品的检测结果不能影响受试者正常的诊疗流程。</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 xml:space="preserve">3.1 </w:t>
      </w:r>
      <w:r>
        <w:rPr>
          <w:rFonts w:eastAsia="仿宋_GB2312" w:hint="eastAsia"/>
          <w:sz w:val="32"/>
          <w:szCs w:val="32"/>
        </w:rPr>
        <w:t>临床试验设计</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申报产品与原研伴随诊断试剂具有相同的临床预期用途，临床试验中以原研伴随诊断试剂的预期人群为入组人群，采用申报产品与原研伴随诊断试剂同时检测入组人群的人</w:t>
      </w:r>
      <w:r>
        <w:rPr>
          <w:rFonts w:eastAsia="仿宋_GB2312" w:hint="eastAsia"/>
          <w:sz w:val="32"/>
          <w:szCs w:val="32"/>
        </w:rPr>
        <w:t>体样本，以原研伴随诊断试剂检测结果为患者使用抗肿瘤药物提供指导，同时对使用该药物的患者进行跟踪随访，获得药物疗效。如既往病例的人口学特征、疾病基本特征、药效的评价指标和评价方法均满足临床试验方案的要求，亦可入组一定量的既往病例样本，但应注意尽量避免引入偏倚。疗效数据获得后，应分析原研伴随诊断试剂入组人群的药效数据；同时以申报产品生物标志物检测状态分组，观察不同人群的疗效。临床试验还应考察申报产品与原研伴随诊断试剂检测结果的一致性。此部分临床试验设计与平行对照设计存在区别。</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lastRenderedPageBreak/>
        <w:t xml:space="preserve">3.2 </w:t>
      </w:r>
      <w:r>
        <w:rPr>
          <w:rFonts w:eastAsia="仿宋_GB2312" w:hint="eastAsia"/>
          <w:sz w:val="32"/>
          <w:szCs w:val="32"/>
        </w:rPr>
        <w:t>入组人群</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临床试验入组人群</w:t>
      </w:r>
      <w:r>
        <w:rPr>
          <w:rFonts w:eastAsia="仿宋_GB2312" w:hint="eastAsia"/>
          <w:sz w:val="32"/>
          <w:szCs w:val="32"/>
        </w:rPr>
        <w:t>应为原研伴随诊断试剂适用人群，应明确病例的入选与排除标准，临床试验入组的人群应尽量接近申报产品临床应用真实情况。</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 xml:space="preserve">3.3 </w:t>
      </w:r>
      <w:r>
        <w:rPr>
          <w:rFonts w:eastAsia="仿宋_GB2312" w:hint="eastAsia"/>
          <w:sz w:val="32"/>
          <w:szCs w:val="32"/>
        </w:rPr>
        <w:t>样本量</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临床试验应基于临床试验目的及临床评价指标选择合理的统计学模型计算样本量，样本量应同时满足评价申报产品与原研伴随诊断试剂选择人群药物疗效评估的要求。临床评价目的包括申报产品与原研伴随诊断试剂筛选人群药效的等效或非劣效，基于此选择等效性研究或非劣效性研究模型。样本量的计算应基于主要疗效评价指标如客观缓解率（</w:t>
      </w:r>
      <w:r>
        <w:rPr>
          <w:rFonts w:eastAsia="仿宋_GB2312" w:hint="eastAsia"/>
          <w:sz w:val="32"/>
          <w:szCs w:val="32"/>
        </w:rPr>
        <w:t>ORR</w:t>
      </w:r>
      <w:r>
        <w:rPr>
          <w:rFonts w:eastAsia="仿宋_GB2312" w:hint="eastAsia"/>
          <w:sz w:val="32"/>
          <w:szCs w:val="32"/>
        </w:rPr>
        <w:t>）、无进展生存期（</w:t>
      </w:r>
      <w:r>
        <w:rPr>
          <w:rFonts w:eastAsia="仿宋_GB2312" w:hint="eastAsia"/>
          <w:sz w:val="32"/>
          <w:szCs w:val="32"/>
        </w:rPr>
        <w:t>PFS</w:t>
      </w:r>
      <w:r>
        <w:rPr>
          <w:rFonts w:eastAsia="仿宋_GB2312" w:hint="eastAsia"/>
          <w:sz w:val="32"/>
          <w:szCs w:val="32"/>
        </w:rPr>
        <w:t>）及总生存期（</w:t>
      </w:r>
      <w:r>
        <w:rPr>
          <w:rFonts w:eastAsia="仿宋_GB2312" w:hint="eastAsia"/>
          <w:sz w:val="32"/>
          <w:szCs w:val="32"/>
        </w:rPr>
        <w:t>OS</w:t>
      </w:r>
      <w:r>
        <w:rPr>
          <w:rFonts w:eastAsia="仿宋_GB2312" w:hint="eastAsia"/>
          <w:sz w:val="32"/>
          <w:szCs w:val="32"/>
        </w:rPr>
        <w:t>）等，入组样本量最低要求可参考</w:t>
      </w:r>
      <w:r>
        <w:rPr>
          <w:rFonts w:eastAsia="仿宋_GB2312" w:hint="eastAsia"/>
          <w:sz w:val="32"/>
          <w:szCs w:val="32"/>
        </w:rPr>
        <w:t>药物关键临床试验入组的病例数量。</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基于生物标志物的复杂性，申报产品与原研伴随诊断试剂的检测结果会存在差异，应纳入适当的样本量来满足能够更科学的评估申报产品与原研伴随诊断试剂选择用药人群所表现出的药效学差异的要求。</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 xml:space="preserve">3.4 </w:t>
      </w:r>
      <w:r>
        <w:rPr>
          <w:rFonts w:eastAsia="仿宋_GB2312" w:hint="eastAsia"/>
          <w:sz w:val="32"/>
          <w:szCs w:val="32"/>
        </w:rPr>
        <w:t>统计分析</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临床试验的统计分析主要分为三个方面：病例人口学及临床特征基线分析、申报产品与原研伴随诊断试剂的一致性分析、药物疗效分析。</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 xml:space="preserve">3.4.1 </w:t>
      </w:r>
      <w:r>
        <w:rPr>
          <w:rFonts w:eastAsia="仿宋_GB2312" w:hint="eastAsia"/>
          <w:sz w:val="32"/>
          <w:szCs w:val="32"/>
        </w:rPr>
        <w:t>病例人口学及临床特征分析</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lastRenderedPageBreak/>
        <w:t>临床试验统计分析应对入组人群基线临床特征进行分析，如年龄、性别、种族、疾病状态、突变状态、疾病复发类型、其他疾病相关信息</w:t>
      </w:r>
      <w:r>
        <w:rPr>
          <w:rFonts w:eastAsia="仿宋_GB2312" w:hint="eastAsia"/>
          <w:sz w:val="32"/>
          <w:szCs w:val="32"/>
        </w:rPr>
        <w:t>等。临床试验的病例的人口学及基线临床特征应与产品临床应用真实情况基本一致。</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3.4.2</w:t>
      </w:r>
      <w:r>
        <w:rPr>
          <w:rFonts w:eastAsia="仿宋_GB2312" w:hint="eastAsia"/>
          <w:sz w:val="32"/>
          <w:szCs w:val="32"/>
        </w:rPr>
        <w:t>一致性分析</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一致性分析为申报产品检测标志物状态与原研伴随诊断试剂检测标志物状态的一致性研究。一致性分析建议采用四格表分析的方法，分别评估申报产品与原研伴随诊断试剂的阳性符合率、阴性符合率、总符合率及相应的</w:t>
      </w:r>
      <w:r>
        <w:rPr>
          <w:rFonts w:eastAsia="仿宋_GB2312" w:hint="eastAsia"/>
          <w:sz w:val="32"/>
          <w:szCs w:val="32"/>
        </w:rPr>
        <w:t>95%</w:t>
      </w:r>
      <w:r>
        <w:rPr>
          <w:rFonts w:eastAsia="仿宋_GB2312" w:hint="eastAsia"/>
          <w:sz w:val="32"/>
          <w:szCs w:val="32"/>
        </w:rPr>
        <w:t>置信区间。临床性能应能够满足临床需求。</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 xml:space="preserve">3.4.3 </w:t>
      </w:r>
      <w:r>
        <w:rPr>
          <w:rFonts w:eastAsia="仿宋_GB2312" w:hint="eastAsia"/>
          <w:sz w:val="32"/>
          <w:szCs w:val="32"/>
        </w:rPr>
        <w:t>药物疗效分析</w:t>
      </w:r>
    </w:p>
    <w:p w:rsidR="00000000" w:rsidRDefault="00711951" w:rsidP="00293109">
      <w:pPr>
        <w:tabs>
          <w:tab w:val="left" w:pos="1366"/>
        </w:tabs>
        <w:spacing w:line="590" w:lineRule="exact"/>
        <w:ind w:firstLineChars="200" w:firstLine="640"/>
        <w:rPr>
          <w:rFonts w:eastAsia="仿宋_GB2312"/>
          <w:sz w:val="32"/>
          <w:szCs w:val="32"/>
        </w:rPr>
      </w:pPr>
      <w:r>
        <w:rPr>
          <w:rFonts w:eastAsia="仿宋_GB2312" w:hint="eastAsia"/>
          <w:sz w:val="32"/>
          <w:szCs w:val="32"/>
        </w:rPr>
        <w:t>药物疗效分析是证明申报产品临床效用的重要证据，如临床试验条件允许，可将试验过程中受试者分为不同的人群，如依据标志物状态划分申报产品及原研试剂均为阳性的</w:t>
      </w:r>
      <w:r>
        <w:rPr>
          <w:rFonts w:eastAsia="仿宋_GB2312" w:hint="eastAsia"/>
          <w:sz w:val="32"/>
          <w:szCs w:val="32"/>
        </w:rPr>
        <w:t>人群、申报产品阳性而原研试剂阴性的人群、申报产品及原研试剂均为阴性的人群、申报产品阴性而原研试剂阳性的人群，所有人群中应明确主要关注的人群。应分析原研伴随诊断试剂选择人群抗肿瘤药物疗效与申报产品筛选人群疗效的关系。评价指标应依据相关抗肿瘤药物的疗效指标确定，应设定主要评价指标和次要评价指标，按照可接受的临床评价指标作为评价终点，如客观缓解率（</w:t>
      </w:r>
      <w:r>
        <w:rPr>
          <w:rFonts w:eastAsia="仿宋_GB2312" w:hint="eastAsia"/>
          <w:sz w:val="32"/>
          <w:szCs w:val="32"/>
        </w:rPr>
        <w:t>ORR</w:t>
      </w:r>
      <w:r>
        <w:rPr>
          <w:rFonts w:eastAsia="仿宋_GB2312" w:hint="eastAsia"/>
          <w:sz w:val="32"/>
          <w:szCs w:val="32"/>
        </w:rPr>
        <w:t>）、无进展生存期（</w:t>
      </w:r>
      <w:r>
        <w:rPr>
          <w:rFonts w:eastAsia="仿宋_GB2312" w:hint="eastAsia"/>
          <w:sz w:val="32"/>
          <w:szCs w:val="32"/>
        </w:rPr>
        <w:t>PFS</w:t>
      </w:r>
      <w:r>
        <w:rPr>
          <w:rFonts w:eastAsia="仿宋_GB2312" w:hint="eastAsia"/>
          <w:sz w:val="32"/>
          <w:szCs w:val="32"/>
        </w:rPr>
        <w:t>）、完全缓解率（</w:t>
      </w:r>
      <w:r>
        <w:rPr>
          <w:rFonts w:eastAsia="仿宋_GB2312" w:hint="eastAsia"/>
          <w:sz w:val="32"/>
          <w:szCs w:val="32"/>
        </w:rPr>
        <w:t>CR</w:t>
      </w:r>
      <w:r>
        <w:rPr>
          <w:rFonts w:eastAsia="仿宋_GB2312" w:hint="eastAsia"/>
          <w:sz w:val="32"/>
          <w:szCs w:val="32"/>
        </w:rPr>
        <w:t>）、部分缓解率（</w:t>
      </w:r>
      <w:r>
        <w:rPr>
          <w:rFonts w:eastAsia="仿宋_GB2312" w:hint="eastAsia"/>
          <w:sz w:val="32"/>
          <w:szCs w:val="32"/>
        </w:rPr>
        <w:t>PR</w:t>
      </w:r>
      <w:r>
        <w:rPr>
          <w:rFonts w:eastAsia="仿宋_GB2312" w:hint="eastAsia"/>
          <w:sz w:val="32"/>
          <w:szCs w:val="32"/>
        </w:rPr>
        <w:t>）、缓解持续时间（</w:t>
      </w:r>
      <w:r>
        <w:rPr>
          <w:rFonts w:eastAsia="仿宋_GB2312" w:hint="eastAsia"/>
          <w:sz w:val="32"/>
          <w:szCs w:val="32"/>
        </w:rPr>
        <w:t>DoR</w:t>
      </w:r>
      <w:r>
        <w:rPr>
          <w:rFonts w:eastAsia="仿宋_GB2312" w:hint="eastAsia"/>
          <w:sz w:val="32"/>
          <w:szCs w:val="32"/>
        </w:rPr>
        <w:t>）、疾病控制率（</w:t>
      </w:r>
      <w:r>
        <w:rPr>
          <w:rFonts w:eastAsia="仿宋_GB2312" w:hint="eastAsia"/>
          <w:sz w:val="32"/>
          <w:szCs w:val="32"/>
        </w:rPr>
        <w:t>DCR</w:t>
      </w:r>
      <w:r>
        <w:rPr>
          <w:rFonts w:eastAsia="仿宋_GB2312" w:hint="eastAsia"/>
          <w:sz w:val="32"/>
          <w:szCs w:val="32"/>
        </w:rPr>
        <w:t>）、总生存期（</w:t>
      </w:r>
      <w:r>
        <w:rPr>
          <w:rFonts w:eastAsia="仿宋_GB2312" w:hint="eastAsia"/>
          <w:sz w:val="32"/>
          <w:szCs w:val="32"/>
        </w:rPr>
        <w:t>OS</w:t>
      </w:r>
      <w:r>
        <w:rPr>
          <w:rFonts w:eastAsia="仿宋_GB2312" w:hint="eastAsia"/>
          <w:sz w:val="32"/>
          <w:szCs w:val="32"/>
        </w:rPr>
        <w:t>）</w:t>
      </w:r>
      <w:r>
        <w:rPr>
          <w:rFonts w:eastAsia="仿宋_GB2312" w:hint="eastAsia"/>
          <w:sz w:val="32"/>
          <w:szCs w:val="32"/>
        </w:rPr>
        <w:lastRenderedPageBreak/>
        <w:t>等。针对两组不同的人群的临床获益</w:t>
      </w:r>
      <w:r>
        <w:rPr>
          <w:rFonts w:eastAsia="仿宋_GB2312" w:hint="eastAsia"/>
          <w:sz w:val="32"/>
          <w:szCs w:val="32"/>
        </w:rPr>
        <w:t>进行统计分析的方法可采用风险分析法等，如</w:t>
      </w:r>
      <w:r>
        <w:rPr>
          <w:rFonts w:eastAsia="仿宋_GB2312" w:hint="eastAsia"/>
          <w:sz w:val="32"/>
          <w:szCs w:val="32"/>
        </w:rPr>
        <w:t>Cox</w:t>
      </w:r>
      <w:r>
        <w:rPr>
          <w:rFonts w:eastAsia="仿宋_GB2312" w:hint="eastAsia"/>
          <w:sz w:val="32"/>
          <w:szCs w:val="32"/>
        </w:rPr>
        <w:t>比例风险模型、绘制</w:t>
      </w:r>
      <w:r>
        <w:rPr>
          <w:rFonts w:eastAsia="仿宋_GB2312" w:hint="eastAsia"/>
          <w:sz w:val="32"/>
          <w:szCs w:val="32"/>
        </w:rPr>
        <w:t>Kaplan-Meier</w:t>
      </w:r>
      <w:r>
        <w:rPr>
          <w:rFonts w:eastAsia="仿宋_GB2312" w:hint="eastAsia"/>
          <w:sz w:val="32"/>
          <w:szCs w:val="32"/>
        </w:rPr>
        <w:t>曲线等。</w:t>
      </w:r>
    </w:p>
    <w:p w:rsidR="00000000" w:rsidRDefault="00711951" w:rsidP="00293109">
      <w:pPr>
        <w:tabs>
          <w:tab w:val="left" w:pos="1366"/>
        </w:tabs>
        <w:spacing w:line="590" w:lineRule="exact"/>
        <w:ind w:firstLineChars="200" w:firstLine="640"/>
        <w:rPr>
          <w:rFonts w:eastAsia="仿宋_GB2312"/>
          <w:sz w:val="32"/>
          <w:szCs w:val="32"/>
        </w:rPr>
      </w:pPr>
      <w:r>
        <w:rPr>
          <w:rFonts w:eastAsia="仿宋_GB2312" w:hint="eastAsia"/>
          <w:sz w:val="32"/>
          <w:szCs w:val="32"/>
        </w:rPr>
        <w:t>药物疗效分析的结果应表明申报产品所选择人群与原研伴随诊断试剂选择的人群在药物疗效上不存在显著差异。</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 xml:space="preserve">3.5 </w:t>
      </w:r>
      <w:r>
        <w:rPr>
          <w:rFonts w:eastAsia="仿宋_GB2312" w:hint="eastAsia"/>
          <w:sz w:val="32"/>
          <w:szCs w:val="32"/>
        </w:rPr>
        <w:t>偏倚的控制</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临床试验在研究过程中应严格控制偏倚，病例样本类型、样本量、保存条件应满足考核试剂要求。临床试验过程应明确病例的入组形式（如连续入组等），应严格按照病例入排标准进行病例入组，任何人为选择病例而导致的申报产品与原研伴随诊断试剂的检测结果符合率过高或过低，均会引起临床试验的偏倚。临床试验应严格按照申</w:t>
      </w:r>
      <w:r>
        <w:rPr>
          <w:rFonts w:eastAsia="仿宋_GB2312" w:hint="eastAsia"/>
          <w:sz w:val="32"/>
          <w:szCs w:val="32"/>
        </w:rPr>
        <w:t>报产品及原研伴随诊断试剂说明书进行操作。临床试验过程应满足同步盲法的原则。</w:t>
      </w:r>
    </w:p>
    <w:p w:rsidR="00000000" w:rsidRDefault="00711951" w:rsidP="00293109">
      <w:pPr>
        <w:spacing w:line="590" w:lineRule="exact"/>
        <w:ind w:firstLineChars="200" w:firstLine="640"/>
        <w:rPr>
          <w:rFonts w:eastAsia="黑体"/>
          <w:sz w:val="32"/>
          <w:szCs w:val="32"/>
        </w:rPr>
      </w:pPr>
      <w:r>
        <w:rPr>
          <w:rFonts w:eastAsia="黑体" w:hint="eastAsia"/>
          <w:sz w:val="32"/>
          <w:szCs w:val="32"/>
        </w:rPr>
        <w:t>五、其他</w:t>
      </w:r>
    </w:p>
    <w:p w:rsidR="00000000" w:rsidRDefault="00711951" w:rsidP="00293109">
      <w:pPr>
        <w:spacing w:line="590" w:lineRule="exact"/>
        <w:ind w:firstLineChars="200" w:firstLine="640"/>
        <w:contextualSpacing/>
        <w:rPr>
          <w:rFonts w:eastAsia="楷体_GB2312"/>
          <w:kern w:val="0"/>
          <w:sz w:val="32"/>
          <w:szCs w:val="32"/>
        </w:rPr>
      </w:pPr>
      <w:r>
        <w:rPr>
          <w:rFonts w:eastAsia="楷体_GB2312" w:hint="eastAsia"/>
          <w:kern w:val="0"/>
          <w:sz w:val="32"/>
          <w:szCs w:val="32"/>
        </w:rPr>
        <w:t>（一）关于产品预期用途及局限性</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随着检测技术的进步，越来越多的新检测技术应用到伴随诊断相关生物标志物的检测中。在产品申报过程中，能够检测更多的生物标志物</w:t>
      </w:r>
      <w:r>
        <w:rPr>
          <w:rFonts w:eastAsia="仿宋_GB2312" w:hint="eastAsia"/>
          <w:sz w:val="32"/>
          <w:szCs w:val="32"/>
        </w:rPr>
        <w:t>/</w:t>
      </w:r>
      <w:r>
        <w:rPr>
          <w:rFonts w:eastAsia="仿宋_GB2312" w:hint="eastAsia"/>
          <w:sz w:val="32"/>
          <w:szCs w:val="32"/>
        </w:rPr>
        <w:t>突变位点，以及具有更高分析灵敏度的产品不断出现。此类产品的预期用途的确定应基于产品临床研究情况。</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针对可检测更多生物标志物</w:t>
      </w:r>
      <w:r>
        <w:rPr>
          <w:rFonts w:eastAsia="仿宋_GB2312" w:hint="eastAsia"/>
          <w:sz w:val="32"/>
          <w:szCs w:val="32"/>
        </w:rPr>
        <w:t>/</w:t>
      </w:r>
      <w:r>
        <w:rPr>
          <w:rFonts w:eastAsia="仿宋_GB2312" w:hint="eastAsia"/>
          <w:sz w:val="32"/>
          <w:szCs w:val="32"/>
        </w:rPr>
        <w:t>突变位点的产品，其说明书中应明确经确认伴随诊断用途的标志物</w:t>
      </w:r>
      <w:r>
        <w:rPr>
          <w:rFonts w:eastAsia="仿宋_GB2312" w:hint="eastAsia"/>
          <w:sz w:val="32"/>
          <w:szCs w:val="32"/>
        </w:rPr>
        <w:t>/</w:t>
      </w:r>
      <w:r>
        <w:rPr>
          <w:rFonts w:eastAsia="仿宋_GB2312" w:hint="eastAsia"/>
          <w:sz w:val="32"/>
          <w:szCs w:val="32"/>
        </w:rPr>
        <w:t>突变位点及对应的抗肿瘤药物，针对其余标志物</w:t>
      </w:r>
      <w:r>
        <w:rPr>
          <w:rFonts w:eastAsia="仿宋_GB2312" w:hint="eastAsia"/>
          <w:sz w:val="32"/>
          <w:szCs w:val="32"/>
        </w:rPr>
        <w:t>/</w:t>
      </w:r>
      <w:r>
        <w:rPr>
          <w:rFonts w:eastAsia="仿宋_GB2312" w:hint="eastAsia"/>
          <w:sz w:val="32"/>
          <w:szCs w:val="32"/>
        </w:rPr>
        <w:t>突变位点如进行了充分的临床性能研究，</w:t>
      </w:r>
      <w:r>
        <w:rPr>
          <w:rFonts w:eastAsia="仿宋_GB2312" w:hint="eastAsia"/>
          <w:sz w:val="32"/>
          <w:szCs w:val="32"/>
        </w:rPr>
        <w:lastRenderedPageBreak/>
        <w:t>且相关标</w:t>
      </w:r>
      <w:r>
        <w:rPr>
          <w:rFonts w:eastAsia="仿宋_GB2312" w:hint="eastAsia"/>
          <w:sz w:val="32"/>
          <w:szCs w:val="32"/>
        </w:rPr>
        <w:t>志物突变状态在相关的指南、专家共识等文献已明确具有诊断意义，可在说明书中明确该部分人群经过临床检测性能研究，但不用于指导相关抗肿瘤药物使用。如申报产品为人</w:t>
      </w:r>
      <w:r>
        <w:rPr>
          <w:rFonts w:eastAsia="仿宋_GB2312" w:hint="eastAsia"/>
          <w:sz w:val="32"/>
          <w:szCs w:val="32"/>
        </w:rPr>
        <w:t>EGFR</w:t>
      </w:r>
      <w:r>
        <w:rPr>
          <w:rFonts w:eastAsia="仿宋_GB2312" w:hint="eastAsia"/>
          <w:sz w:val="32"/>
          <w:szCs w:val="32"/>
        </w:rPr>
        <w:t>基因检测试剂盒，其申报的基因突变位点包括</w:t>
      </w:r>
      <w:r>
        <w:rPr>
          <w:rFonts w:eastAsia="仿宋_GB2312" w:hint="eastAsia"/>
          <w:sz w:val="32"/>
          <w:szCs w:val="32"/>
        </w:rPr>
        <w:t>19</w:t>
      </w:r>
      <w:r>
        <w:rPr>
          <w:rFonts w:eastAsia="仿宋_GB2312" w:hint="eastAsia"/>
          <w:sz w:val="32"/>
          <w:szCs w:val="32"/>
        </w:rPr>
        <w:t>号外显子缺失（</w:t>
      </w:r>
      <w:r>
        <w:rPr>
          <w:rFonts w:eastAsia="仿宋_GB2312" w:hint="eastAsia"/>
          <w:sz w:val="32"/>
          <w:szCs w:val="32"/>
        </w:rPr>
        <w:t>19del</w:t>
      </w:r>
      <w:r>
        <w:rPr>
          <w:rFonts w:eastAsia="仿宋_GB2312" w:hint="eastAsia"/>
          <w:sz w:val="32"/>
          <w:szCs w:val="32"/>
        </w:rPr>
        <w:t>）、</w:t>
      </w:r>
      <w:r>
        <w:rPr>
          <w:rFonts w:eastAsia="仿宋_GB2312" w:hint="eastAsia"/>
          <w:sz w:val="32"/>
          <w:szCs w:val="32"/>
        </w:rPr>
        <w:t>21</w:t>
      </w:r>
      <w:r>
        <w:rPr>
          <w:rFonts w:eastAsia="仿宋_GB2312" w:hint="eastAsia"/>
          <w:sz w:val="32"/>
          <w:szCs w:val="32"/>
        </w:rPr>
        <w:t>号外显子的</w:t>
      </w:r>
      <w:r>
        <w:rPr>
          <w:rFonts w:eastAsia="仿宋_GB2312" w:hint="eastAsia"/>
          <w:sz w:val="32"/>
          <w:szCs w:val="32"/>
        </w:rPr>
        <w:t>L858R</w:t>
      </w:r>
      <w:r>
        <w:rPr>
          <w:rFonts w:eastAsia="仿宋_GB2312" w:hint="eastAsia"/>
          <w:sz w:val="32"/>
          <w:szCs w:val="32"/>
        </w:rPr>
        <w:t>突变及</w:t>
      </w:r>
      <w:r>
        <w:rPr>
          <w:rFonts w:eastAsia="仿宋_GB2312" w:hint="eastAsia"/>
          <w:sz w:val="32"/>
          <w:szCs w:val="32"/>
        </w:rPr>
        <w:t>18</w:t>
      </w:r>
      <w:r>
        <w:rPr>
          <w:rFonts w:eastAsia="仿宋_GB2312" w:hint="eastAsia"/>
          <w:sz w:val="32"/>
          <w:szCs w:val="32"/>
        </w:rPr>
        <w:t>号外显子的</w:t>
      </w:r>
      <w:r>
        <w:rPr>
          <w:rFonts w:eastAsia="仿宋_GB2312" w:hint="eastAsia"/>
          <w:sz w:val="32"/>
          <w:szCs w:val="32"/>
        </w:rPr>
        <w:t>G719A</w:t>
      </w:r>
      <w:r>
        <w:rPr>
          <w:rFonts w:eastAsia="仿宋_GB2312" w:hint="eastAsia"/>
          <w:sz w:val="32"/>
          <w:szCs w:val="32"/>
        </w:rPr>
        <w:t>、</w:t>
      </w:r>
      <w:r>
        <w:rPr>
          <w:rFonts w:eastAsia="仿宋_GB2312" w:hint="eastAsia"/>
          <w:sz w:val="32"/>
          <w:szCs w:val="32"/>
        </w:rPr>
        <w:t>G719C</w:t>
      </w:r>
      <w:r>
        <w:rPr>
          <w:rFonts w:eastAsia="仿宋_GB2312" w:hint="eastAsia"/>
          <w:sz w:val="32"/>
          <w:szCs w:val="32"/>
        </w:rPr>
        <w:t>、</w:t>
      </w:r>
      <w:r>
        <w:rPr>
          <w:rFonts w:eastAsia="仿宋_GB2312" w:hint="eastAsia"/>
          <w:sz w:val="32"/>
          <w:szCs w:val="32"/>
        </w:rPr>
        <w:t>G719D</w:t>
      </w:r>
      <w:r>
        <w:rPr>
          <w:rFonts w:eastAsia="仿宋_GB2312" w:hint="eastAsia"/>
          <w:sz w:val="32"/>
          <w:szCs w:val="32"/>
        </w:rPr>
        <w:t>突变。其临床试验在完成所有检测位点性能确认的基础上，仅针对</w:t>
      </w:r>
      <w:r>
        <w:rPr>
          <w:rFonts w:eastAsia="仿宋_GB2312" w:hint="eastAsia"/>
          <w:sz w:val="32"/>
          <w:szCs w:val="32"/>
        </w:rPr>
        <w:t>19del</w:t>
      </w:r>
      <w:r>
        <w:rPr>
          <w:rFonts w:eastAsia="仿宋_GB2312" w:hint="eastAsia"/>
          <w:sz w:val="32"/>
          <w:szCs w:val="32"/>
        </w:rPr>
        <w:t>、</w:t>
      </w:r>
      <w:r>
        <w:rPr>
          <w:rFonts w:eastAsia="仿宋_GB2312" w:hint="eastAsia"/>
          <w:sz w:val="32"/>
          <w:szCs w:val="32"/>
        </w:rPr>
        <w:t>L858R</w:t>
      </w:r>
      <w:r>
        <w:rPr>
          <w:rFonts w:eastAsia="仿宋_GB2312" w:hint="eastAsia"/>
          <w:sz w:val="32"/>
          <w:szCs w:val="32"/>
        </w:rPr>
        <w:t>两个位点进行了伴随吉非替尼的研究。其说明书中应明确：</w:t>
      </w:r>
      <w:r>
        <w:rPr>
          <w:rFonts w:eastAsia="仿宋_GB2312" w:hint="eastAsia"/>
          <w:sz w:val="32"/>
          <w:szCs w:val="32"/>
        </w:rPr>
        <w:t>19del</w:t>
      </w:r>
      <w:r>
        <w:rPr>
          <w:rFonts w:eastAsia="仿宋_GB2312" w:hint="eastAsia"/>
          <w:sz w:val="32"/>
          <w:szCs w:val="32"/>
        </w:rPr>
        <w:t>、</w:t>
      </w:r>
      <w:r>
        <w:rPr>
          <w:rFonts w:eastAsia="仿宋_GB2312" w:hint="eastAsia"/>
          <w:sz w:val="32"/>
          <w:szCs w:val="32"/>
        </w:rPr>
        <w:t>L858R</w:t>
      </w:r>
      <w:r>
        <w:rPr>
          <w:rFonts w:eastAsia="仿宋_GB2312" w:hint="eastAsia"/>
          <w:sz w:val="32"/>
          <w:szCs w:val="32"/>
        </w:rPr>
        <w:t>突变可用于指导吉非替尼的用药，</w:t>
      </w:r>
      <w:r>
        <w:rPr>
          <w:rFonts w:eastAsia="仿宋_GB2312" w:hint="eastAsia"/>
          <w:sz w:val="32"/>
          <w:szCs w:val="32"/>
        </w:rPr>
        <w:t>G719A</w:t>
      </w:r>
      <w:r>
        <w:rPr>
          <w:rFonts w:eastAsia="仿宋_GB2312" w:hint="eastAsia"/>
          <w:sz w:val="32"/>
          <w:szCs w:val="32"/>
        </w:rPr>
        <w:t>、</w:t>
      </w:r>
      <w:r>
        <w:rPr>
          <w:rFonts w:eastAsia="仿宋_GB2312" w:hint="eastAsia"/>
          <w:sz w:val="32"/>
          <w:szCs w:val="32"/>
        </w:rPr>
        <w:t>G7</w:t>
      </w:r>
      <w:r>
        <w:rPr>
          <w:rFonts w:eastAsia="仿宋_GB2312" w:hint="eastAsia"/>
          <w:sz w:val="32"/>
          <w:szCs w:val="32"/>
        </w:rPr>
        <w:t>19C</w:t>
      </w:r>
      <w:r>
        <w:rPr>
          <w:rFonts w:eastAsia="仿宋_GB2312" w:hint="eastAsia"/>
          <w:sz w:val="32"/>
          <w:szCs w:val="32"/>
        </w:rPr>
        <w:t>、</w:t>
      </w:r>
      <w:r>
        <w:rPr>
          <w:rFonts w:eastAsia="仿宋_GB2312" w:hint="eastAsia"/>
          <w:sz w:val="32"/>
          <w:szCs w:val="32"/>
        </w:rPr>
        <w:t>G719D</w:t>
      </w:r>
      <w:r>
        <w:rPr>
          <w:rFonts w:eastAsia="仿宋_GB2312" w:hint="eastAsia"/>
          <w:sz w:val="32"/>
          <w:szCs w:val="32"/>
        </w:rPr>
        <w:t>突变仅进行了临床性能确认，不用于指导吉非替尼的用药。</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如申报产品分析灵敏度显著高于原研伴随诊断试剂，则申报产品应依据其伴随诊断用途，参考原研伴随诊断试剂阳性判断值确定合理的用于病例指导用药的阳性判断值，同时在伴随诊断用途的验证过程中采用与原研伴随诊断试剂一致的阳性判断值进行研究，从而证明二者临床应用的等效性。针对申报产品更高的灵敏度应提供相关的临床证据，如申请人未能提供相关证据，应在产品说明书中明确，低于产品用于病例指导用药的阳性判断值的检测结果不用于用药指导。</w:t>
      </w:r>
    </w:p>
    <w:p w:rsidR="00000000" w:rsidRDefault="00711951" w:rsidP="00293109">
      <w:pPr>
        <w:spacing w:line="590" w:lineRule="exact"/>
        <w:ind w:firstLineChars="200" w:firstLine="640"/>
        <w:contextualSpacing/>
        <w:rPr>
          <w:rFonts w:eastAsia="楷体_GB2312"/>
          <w:kern w:val="0"/>
          <w:sz w:val="32"/>
          <w:szCs w:val="32"/>
        </w:rPr>
      </w:pPr>
      <w:r>
        <w:rPr>
          <w:rFonts w:eastAsia="楷体_GB2312" w:hint="eastAsia"/>
          <w:kern w:val="0"/>
          <w:sz w:val="32"/>
          <w:szCs w:val="32"/>
        </w:rPr>
        <w:t>（二）关于变更</w:t>
      </w:r>
    </w:p>
    <w:p w:rsidR="00000000" w:rsidRDefault="00711951" w:rsidP="00293109">
      <w:pPr>
        <w:spacing w:line="590" w:lineRule="exact"/>
        <w:ind w:firstLineChars="200" w:firstLine="640"/>
        <w:rPr>
          <w:rFonts w:eastAsia="仿宋_GB2312"/>
          <w:sz w:val="32"/>
          <w:szCs w:val="32"/>
        </w:rPr>
      </w:pPr>
      <w:r>
        <w:rPr>
          <w:rFonts w:eastAsia="仿宋_GB2312"/>
          <w:sz w:val="32"/>
          <w:szCs w:val="32"/>
        </w:rPr>
        <w:t>1.</w:t>
      </w:r>
      <w:r>
        <w:rPr>
          <w:rFonts w:eastAsia="仿宋_GB2312" w:hint="eastAsia"/>
          <w:sz w:val="32"/>
          <w:szCs w:val="32"/>
        </w:rPr>
        <w:t>已上市</w:t>
      </w:r>
      <w:r>
        <w:rPr>
          <w:rFonts w:eastAsia="仿宋_GB2312" w:hint="eastAsia"/>
          <w:sz w:val="32"/>
          <w:szCs w:val="32"/>
        </w:rPr>
        <w:t>伴随诊断试剂如增加对已批准的同类抗肿瘤药物（如：均为酪氨酸激酶抑制剂类药物）的伴随用途，可根据具体情况选择以上合适的临床评价方式提交临床证据，具体临床试验</w:t>
      </w:r>
      <w:r>
        <w:rPr>
          <w:rFonts w:eastAsia="仿宋_GB2312" w:hint="eastAsia"/>
          <w:sz w:val="32"/>
          <w:szCs w:val="32"/>
        </w:rPr>
        <w:lastRenderedPageBreak/>
        <w:t>要求及适用情况参考上述章节。</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2.</w:t>
      </w:r>
      <w:r>
        <w:rPr>
          <w:rFonts w:eastAsia="仿宋_GB2312" w:hint="eastAsia"/>
          <w:sz w:val="32"/>
          <w:szCs w:val="32"/>
        </w:rPr>
        <w:t>当所伴随的抗肿瘤药物其适用人群等发生变化，若涉及伴随诊断试剂的部分，如阳性判断值的变化等，则伴随诊断试剂的注册人应申请变更注册，以保持与所伴随的抗肿瘤药物说明书一致。</w:t>
      </w:r>
    </w:p>
    <w:p w:rsidR="00000000" w:rsidRDefault="00711951" w:rsidP="00293109">
      <w:pPr>
        <w:spacing w:line="590" w:lineRule="exact"/>
        <w:ind w:firstLineChars="200" w:firstLine="640"/>
        <w:contextualSpacing/>
        <w:rPr>
          <w:rFonts w:eastAsia="楷体_GB2312"/>
          <w:kern w:val="0"/>
          <w:sz w:val="32"/>
          <w:szCs w:val="32"/>
        </w:rPr>
      </w:pPr>
      <w:r>
        <w:rPr>
          <w:rFonts w:eastAsia="楷体_GB2312" w:hint="eastAsia"/>
          <w:kern w:val="0"/>
          <w:sz w:val="32"/>
          <w:szCs w:val="32"/>
        </w:rPr>
        <w:t>（三）关于多基因检测伴随诊断试剂</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申报产品可能存在一个产品可检测多个基因突变，从而指导多个抗肿瘤药物使用的情况。尤其是越来越多的基于高通量测序技术的伴随诊断</w:t>
      </w:r>
      <w:r>
        <w:rPr>
          <w:rFonts w:eastAsia="仿宋_GB2312" w:hint="eastAsia"/>
          <w:sz w:val="32"/>
          <w:szCs w:val="32"/>
        </w:rPr>
        <w:t>试剂的开发，针对肿瘤多基因检测产品应明确</w:t>
      </w:r>
      <w:r>
        <w:rPr>
          <w:rFonts w:eastAsia="仿宋_GB2312"/>
          <w:sz w:val="32"/>
          <w:szCs w:val="32"/>
        </w:rPr>
        <w:t>其所</w:t>
      </w:r>
      <w:r>
        <w:rPr>
          <w:rFonts w:eastAsia="仿宋_GB2312" w:hint="eastAsia"/>
          <w:sz w:val="32"/>
          <w:szCs w:val="32"/>
        </w:rPr>
        <w:t>检测</w:t>
      </w:r>
      <w:r>
        <w:rPr>
          <w:rFonts w:eastAsia="仿宋_GB2312"/>
          <w:sz w:val="32"/>
          <w:szCs w:val="32"/>
        </w:rPr>
        <w:t>的</w:t>
      </w:r>
      <w:r>
        <w:rPr>
          <w:rFonts w:eastAsia="仿宋_GB2312" w:hint="eastAsia"/>
          <w:sz w:val="32"/>
          <w:szCs w:val="32"/>
        </w:rPr>
        <w:t>基因</w:t>
      </w:r>
      <w:r>
        <w:rPr>
          <w:rFonts w:eastAsia="仿宋_GB2312"/>
          <w:sz w:val="32"/>
          <w:szCs w:val="32"/>
        </w:rPr>
        <w:t>应有相同的临床预期使用人群，同时，</w:t>
      </w:r>
      <w:r>
        <w:rPr>
          <w:rFonts w:eastAsia="仿宋_GB2312" w:hint="eastAsia"/>
          <w:sz w:val="32"/>
          <w:szCs w:val="32"/>
        </w:rPr>
        <w:t>至少包括有明确伴随诊断意义的基因及突变位点，并且该类基因及位点均应选择以上合适评价路径提供伴随证据。针对其他基因</w:t>
      </w:r>
      <w:r>
        <w:rPr>
          <w:rFonts w:eastAsia="仿宋_GB2312"/>
          <w:sz w:val="32"/>
          <w:szCs w:val="32"/>
        </w:rPr>
        <w:t>及</w:t>
      </w:r>
      <w:r>
        <w:rPr>
          <w:rFonts w:eastAsia="仿宋_GB2312" w:hint="eastAsia"/>
          <w:sz w:val="32"/>
          <w:szCs w:val="32"/>
        </w:rPr>
        <w:t>突变位点，在临床评价过程中除进行临床性能研究外，还应明确将其纳入检测范围的依据，此依据包括境外已批准同类产品、境内外已开展的抗肿瘤药物与伴随诊断试剂共同开发的临床试验、相关诊疗指南等。说明书中应明确此类位点的检测不用于伴随诊断。</w:t>
      </w:r>
    </w:p>
    <w:p w:rsidR="00000000" w:rsidRDefault="00711951" w:rsidP="00293109">
      <w:pPr>
        <w:spacing w:line="590" w:lineRule="exact"/>
        <w:ind w:firstLineChars="200" w:firstLine="640"/>
        <w:contextualSpacing/>
        <w:rPr>
          <w:rFonts w:eastAsia="黑体"/>
          <w:sz w:val="32"/>
          <w:szCs w:val="32"/>
        </w:rPr>
      </w:pPr>
      <w:r>
        <w:rPr>
          <w:rFonts w:eastAsia="黑体" w:hint="eastAsia"/>
          <w:sz w:val="32"/>
          <w:szCs w:val="32"/>
        </w:rPr>
        <w:t>六</w:t>
      </w:r>
      <w:r>
        <w:rPr>
          <w:rFonts w:eastAsia="黑体"/>
          <w:sz w:val="32"/>
          <w:szCs w:val="32"/>
        </w:rPr>
        <w:t>、</w:t>
      </w:r>
      <w:r>
        <w:rPr>
          <w:rFonts w:eastAsia="黑体" w:hint="eastAsia"/>
          <w:sz w:val="32"/>
          <w:szCs w:val="32"/>
        </w:rPr>
        <w:t>参考文献：</w:t>
      </w:r>
    </w:p>
    <w:p w:rsidR="00000000" w:rsidRDefault="00711951" w:rsidP="00293109">
      <w:pPr>
        <w:spacing w:line="590" w:lineRule="exact"/>
        <w:ind w:firstLineChars="200" w:firstLine="640"/>
        <w:rPr>
          <w:rFonts w:eastAsia="仿宋_GB2312"/>
          <w:sz w:val="32"/>
          <w:szCs w:val="32"/>
        </w:rPr>
      </w:pPr>
      <w:r>
        <w:rPr>
          <w:rFonts w:eastAsia="仿宋_GB2312"/>
          <w:sz w:val="32"/>
          <w:szCs w:val="32"/>
        </w:rPr>
        <w:t>1</w:t>
      </w:r>
      <w:r>
        <w:rPr>
          <w:rFonts w:eastAsia="仿宋_GB2312" w:hint="eastAsia"/>
          <w:sz w:val="32"/>
          <w:szCs w:val="32"/>
        </w:rPr>
        <w:t>.</w:t>
      </w:r>
      <w:r>
        <w:rPr>
          <w:rFonts w:eastAsia="仿宋_GB2312" w:hint="eastAsia"/>
          <w:sz w:val="32"/>
          <w:szCs w:val="32"/>
        </w:rPr>
        <w:t>《抗肿瘤药物临床试验技术指导原则》（原国家食品药品监督管理局</w:t>
      </w:r>
      <w:r>
        <w:rPr>
          <w:rFonts w:eastAsia="仿宋_GB2312" w:hint="eastAsia"/>
          <w:sz w:val="32"/>
          <w:szCs w:val="32"/>
        </w:rPr>
        <w:t>公告</w:t>
      </w:r>
      <w:r>
        <w:rPr>
          <w:rFonts w:eastAsia="仿宋_GB2312" w:hint="eastAsia"/>
          <w:sz w:val="32"/>
          <w:szCs w:val="32"/>
        </w:rPr>
        <w:t>201</w:t>
      </w:r>
      <w:r>
        <w:rPr>
          <w:rFonts w:eastAsia="仿宋_GB2312"/>
          <w:sz w:val="32"/>
          <w:szCs w:val="32"/>
        </w:rPr>
        <w:t>2</w:t>
      </w:r>
      <w:r>
        <w:rPr>
          <w:rFonts w:eastAsia="仿宋_GB2312" w:hint="eastAsia"/>
          <w:sz w:val="32"/>
          <w:szCs w:val="32"/>
        </w:rPr>
        <w:t>年第</w:t>
      </w:r>
      <w:r>
        <w:rPr>
          <w:rFonts w:eastAsia="仿宋_GB2312" w:hint="eastAsia"/>
          <w:sz w:val="32"/>
          <w:szCs w:val="32"/>
        </w:rPr>
        <w:t>1</w:t>
      </w:r>
      <w:r>
        <w:rPr>
          <w:rFonts w:eastAsia="仿宋_GB2312"/>
          <w:sz w:val="32"/>
          <w:szCs w:val="32"/>
        </w:rPr>
        <w:t>22</w:t>
      </w:r>
      <w:r>
        <w:rPr>
          <w:rFonts w:eastAsia="仿宋_GB2312" w:hint="eastAsia"/>
          <w:sz w:val="32"/>
          <w:szCs w:val="32"/>
        </w:rPr>
        <w:t>号），</w:t>
      </w:r>
      <w:r>
        <w:rPr>
          <w:rFonts w:eastAsia="仿宋_GB2312" w:hint="eastAsia"/>
          <w:sz w:val="32"/>
          <w:szCs w:val="32"/>
        </w:rPr>
        <w:t>201</w:t>
      </w:r>
      <w:r>
        <w:rPr>
          <w:rFonts w:eastAsia="仿宋_GB2312"/>
          <w:sz w:val="32"/>
          <w:szCs w:val="32"/>
        </w:rPr>
        <w:t>2</w:t>
      </w:r>
      <w:r>
        <w:rPr>
          <w:rFonts w:eastAsia="仿宋_GB2312" w:hint="eastAsia"/>
          <w:sz w:val="32"/>
          <w:szCs w:val="32"/>
        </w:rPr>
        <w:t>年</w:t>
      </w:r>
      <w:r>
        <w:rPr>
          <w:rFonts w:eastAsia="仿宋_GB2312"/>
          <w:sz w:val="32"/>
          <w:szCs w:val="32"/>
        </w:rPr>
        <w:t>5</w:t>
      </w:r>
      <w:r>
        <w:rPr>
          <w:rFonts w:eastAsia="仿宋_GB2312" w:hint="eastAsia"/>
          <w:sz w:val="32"/>
          <w:szCs w:val="32"/>
        </w:rPr>
        <w:t>月</w:t>
      </w:r>
      <w:r>
        <w:rPr>
          <w:rFonts w:eastAsia="仿宋_GB2312" w:hint="eastAsia"/>
          <w:sz w:val="32"/>
          <w:szCs w:val="32"/>
        </w:rPr>
        <w:t>1</w:t>
      </w:r>
      <w:r>
        <w:rPr>
          <w:rFonts w:eastAsia="仿宋_GB2312"/>
          <w:sz w:val="32"/>
          <w:szCs w:val="32"/>
        </w:rPr>
        <w:t>5</w:t>
      </w:r>
      <w:r>
        <w:rPr>
          <w:rFonts w:eastAsia="仿宋_GB2312" w:hint="eastAsia"/>
          <w:sz w:val="32"/>
          <w:szCs w:val="32"/>
        </w:rPr>
        <w:t>日</w:t>
      </w:r>
      <w:r>
        <w:rPr>
          <w:rFonts w:eastAsia="仿宋_GB2312" w:hint="eastAsia"/>
          <w:sz w:val="32"/>
          <w:szCs w:val="32"/>
        </w:rPr>
        <w:t>.</w:t>
      </w:r>
    </w:p>
    <w:p w:rsidR="00000000" w:rsidRDefault="00711951" w:rsidP="00293109">
      <w:pPr>
        <w:spacing w:line="590" w:lineRule="exact"/>
        <w:ind w:firstLineChars="200" w:firstLine="640"/>
        <w:rPr>
          <w:rFonts w:eastAsia="仿宋_GB2312"/>
          <w:sz w:val="32"/>
          <w:szCs w:val="32"/>
        </w:rPr>
      </w:pPr>
      <w:r>
        <w:rPr>
          <w:rFonts w:eastAsia="仿宋_GB2312"/>
          <w:sz w:val="32"/>
          <w:szCs w:val="32"/>
        </w:rPr>
        <w:t>2</w:t>
      </w:r>
      <w:r>
        <w:rPr>
          <w:rFonts w:eastAsia="仿宋_GB2312" w:hint="eastAsia"/>
          <w:sz w:val="32"/>
          <w:szCs w:val="32"/>
        </w:rPr>
        <w:t>.</w:t>
      </w:r>
      <w:r>
        <w:rPr>
          <w:rFonts w:eastAsia="仿宋_GB2312" w:hint="eastAsia"/>
          <w:sz w:val="32"/>
          <w:szCs w:val="32"/>
        </w:rPr>
        <w:t>《</w:t>
      </w:r>
      <w:r>
        <w:rPr>
          <w:rFonts w:eastAsia="仿宋_GB2312"/>
          <w:sz w:val="32"/>
          <w:szCs w:val="32"/>
        </w:rPr>
        <w:t>In Vitro Companion Diagnostic Devices</w:t>
      </w:r>
      <w:r>
        <w:rPr>
          <w:rFonts w:eastAsia="仿宋_GB2312" w:hint="eastAsia"/>
          <w:sz w:val="32"/>
          <w:szCs w:val="32"/>
        </w:rPr>
        <w:t>，</w:t>
      </w:r>
      <w:r>
        <w:rPr>
          <w:rFonts w:eastAsia="仿宋_GB2312"/>
          <w:sz w:val="32"/>
          <w:szCs w:val="32"/>
        </w:rPr>
        <w:t>Guidance for Industry and Food and Drug Administration Staff</w:t>
      </w:r>
      <w:r>
        <w:rPr>
          <w:rFonts w:eastAsia="仿宋_GB2312" w:hint="eastAsia"/>
          <w:sz w:val="32"/>
          <w:szCs w:val="32"/>
        </w:rPr>
        <w:t>》</w:t>
      </w:r>
      <w:r>
        <w:rPr>
          <w:rFonts w:eastAsia="仿宋_GB2312" w:hint="eastAsia"/>
          <w:sz w:val="32"/>
          <w:szCs w:val="32"/>
        </w:rPr>
        <w:t>FDA</w:t>
      </w:r>
      <w:r>
        <w:rPr>
          <w:rFonts w:eastAsia="仿宋_GB2312"/>
          <w:sz w:val="32"/>
          <w:szCs w:val="32"/>
        </w:rPr>
        <w:t>，</w:t>
      </w:r>
      <w:r>
        <w:rPr>
          <w:rFonts w:eastAsia="仿宋_GB2312" w:hint="eastAsia"/>
          <w:sz w:val="32"/>
          <w:szCs w:val="32"/>
        </w:rPr>
        <w:t>201</w:t>
      </w:r>
      <w:r>
        <w:rPr>
          <w:rFonts w:eastAsia="仿宋_GB2312"/>
          <w:sz w:val="32"/>
          <w:szCs w:val="32"/>
        </w:rPr>
        <w:t>4</w:t>
      </w:r>
      <w:r>
        <w:rPr>
          <w:rFonts w:eastAsia="仿宋_GB2312" w:hint="eastAsia"/>
          <w:sz w:val="32"/>
          <w:szCs w:val="32"/>
        </w:rPr>
        <w:t>年</w:t>
      </w:r>
      <w:r>
        <w:rPr>
          <w:rFonts w:eastAsia="仿宋_GB2312"/>
          <w:sz w:val="32"/>
          <w:szCs w:val="32"/>
        </w:rPr>
        <w:t>8</w:t>
      </w:r>
      <w:r>
        <w:rPr>
          <w:rFonts w:eastAsia="仿宋_GB2312" w:hint="eastAsia"/>
          <w:sz w:val="32"/>
          <w:szCs w:val="32"/>
        </w:rPr>
        <w:t>月</w:t>
      </w:r>
      <w:r>
        <w:rPr>
          <w:rFonts w:eastAsia="仿宋_GB2312"/>
          <w:sz w:val="32"/>
          <w:szCs w:val="32"/>
        </w:rPr>
        <w:t>6</w:t>
      </w:r>
      <w:r>
        <w:rPr>
          <w:rFonts w:eastAsia="仿宋_GB2312" w:hint="eastAsia"/>
          <w:sz w:val="32"/>
          <w:szCs w:val="32"/>
        </w:rPr>
        <w:t>日</w:t>
      </w:r>
      <w:r>
        <w:rPr>
          <w:rFonts w:eastAsia="仿宋_GB2312" w:hint="eastAsia"/>
          <w:sz w:val="32"/>
          <w:szCs w:val="32"/>
        </w:rPr>
        <w:t>.</w:t>
      </w:r>
    </w:p>
    <w:p w:rsidR="00000000" w:rsidRDefault="00711951" w:rsidP="00293109">
      <w:pPr>
        <w:spacing w:line="590" w:lineRule="exact"/>
        <w:ind w:firstLineChars="200" w:firstLine="640"/>
        <w:rPr>
          <w:rFonts w:eastAsia="仿宋_GB2312"/>
          <w:sz w:val="32"/>
          <w:szCs w:val="32"/>
        </w:rPr>
      </w:pPr>
      <w:r>
        <w:rPr>
          <w:rFonts w:eastAsia="仿宋_GB2312"/>
          <w:sz w:val="32"/>
          <w:szCs w:val="32"/>
        </w:rPr>
        <w:lastRenderedPageBreak/>
        <w:t>3.</w:t>
      </w:r>
      <w:r>
        <w:rPr>
          <w:rFonts w:eastAsia="仿宋_GB2312" w:hint="eastAsia"/>
          <w:sz w:val="32"/>
          <w:szCs w:val="32"/>
        </w:rPr>
        <w:t>《</w:t>
      </w:r>
      <w:r>
        <w:rPr>
          <w:rFonts w:eastAsia="仿宋_GB2312" w:hint="eastAsia"/>
          <w:sz w:val="32"/>
          <w:szCs w:val="32"/>
        </w:rPr>
        <w:t>Principles for Codevelopment of an In Vitro Companion Diagnostic Device with a Therapeutic Product</w:t>
      </w:r>
      <w:r>
        <w:rPr>
          <w:rFonts w:eastAsia="仿宋_GB2312" w:hint="eastAsia"/>
          <w:sz w:val="32"/>
          <w:szCs w:val="32"/>
        </w:rPr>
        <w:t>，</w:t>
      </w:r>
      <w:r>
        <w:rPr>
          <w:rFonts w:eastAsia="仿宋_GB2312"/>
          <w:sz w:val="32"/>
          <w:szCs w:val="32"/>
        </w:rPr>
        <w:t>Draft Guida</w:t>
      </w:r>
      <w:r>
        <w:rPr>
          <w:rFonts w:eastAsia="仿宋_GB2312"/>
          <w:sz w:val="32"/>
          <w:szCs w:val="32"/>
        </w:rPr>
        <w:t>nce for Industry and Food and Drug Administration Staff</w:t>
      </w:r>
      <w:r>
        <w:rPr>
          <w:rFonts w:eastAsia="仿宋_GB2312" w:hint="eastAsia"/>
          <w:sz w:val="32"/>
          <w:szCs w:val="32"/>
        </w:rPr>
        <w:t>》</w:t>
      </w:r>
      <w:r>
        <w:rPr>
          <w:rFonts w:eastAsia="仿宋_GB2312" w:hint="eastAsia"/>
          <w:sz w:val="32"/>
          <w:szCs w:val="32"/>
        </w:rPr>
        <w:t>FDA</w:t>
      </w:r>
      <w:r>
        <w:rPr>
          <w:rFonts w:eastAsia="仿宋_GB2312" w:hint="eastAsia"/>
          <w:sz w:val="32"/>
          <w:szCs w:val="32"/>
        </w:rPr>
        <w:t>，</w:t>
      </w:r>
      <w:r>
        <w:rPr>
          <w:rFonts w:eastAsia="仿宋_GB2312" w:hint="eastAsia"/>
          <w:sz w:val="32"/>
          <w:szCs w:val="32"/>
        </w:rPr>
        <w:t>201</w:t>
      </w:r>
      <w:r>
        <w:rPr>
          <w:rFonts w:eastAsia="仿宋_GB2312"/>
          <w:sz w:val="32"/>
          <w:szCs w:val="32"/>
        </w:rPr>
        <w:t>6</w:t>
      </w:r>
      <w:r>
        <w:rPr>
          <w:rFonts w:eastAsia="仿宋_GB2312" w:hint="eastAsia"/>
          <w:sz w:val="32"/>
          <w:szCs w:val="32"/>
        </w:rPr>
        <w:t>年</w:t>
      </w:r>
      <w:r>
        <w:rPr>
          <w:rFonts w:eastAsia="仿宋_GB2312"/>
          <w:sz w:val="32"/>
          <w:szCs w:val="32"/>
        </w:rPr>
        <w:t>7</w:t>
      </w:r>
      <w:r>
        <w:rPr>
          <w:rFonts w:eastAsia="仿宋_GB2312" w:hint="eastAsia"/>
          <w:sz w:val="32"/>
          <w:szCs w:val="32"/>
        </w:rPr>
        <w:t>月</w:t>
      </w:r>
      <w:r>
        <w:rPr>
          <w:rFonts w:eastAsia="仿宋_GB2312"/>
          <w:sz w:val="32"/>
          <w:szCs w:val="32"/>
        </w:rPr>
        <w:t>15</w:t>
      </w:r>
      <w:r>
        <w:rPr>
          <w:rFonts w:eastAsia="仿宋_GB2312" w:hint="eastAsia"/>
          <w:sz w:val="32"/>
          <w:szCs w:val="32"/>
        </w:rPr>
        <w:t>日</w:t>
      </w:r>
      <w:r>
        <w:rPr>
          <w:rFonts w:eastAsia="仿宋_GB2312" w:hint="eastAsia"/>
          <w:sz w:val="32"/>
          <w:szCs w:val="32"/>
        </w:rPr>
        <w:t>.</w:t>
      </w:r>
    </w:p>
    <w:p w:rsidR="00000000" w:rsidRDefault="00711951" w:rsidP="00293109">
      <w:pPr>
        <w:spacing w:line="590" w:lineRule="exact"/>
        <w:ind w:firstLineChars="200" w:firstLine="640"/>
        <w:rPr>
          <w:rFonts w:eastAsia="仿宋_GB2312"/>
          <w:sz w:val="32"/>
          <w:szCs w:val="32"/>
        </w:rPr>
      </w:pPr>
      <w:r>
        <w:rPr>
          <w:rFonts w:eastAsia="仿宋_GB2312"/>
          <w:sz w:val="32"/>
          <w:szCs w:val="32"/>
        </w:rPr>
        <w:t>4.</w:t>
      </w:r>
      <w:r>
        <w:rPr>
          <w:rFonts w:eastAsia="仿宋_GB2312" w:hint="eastAsia"/>
          <w:sz w:val="32"/>
          <w:szCs w:val="32"/>
        </w:rPr>
        <w:t>《基因组生物标志物、药物基因组学、遗传药理学、基因组数据和样本编码分类的定义》（</w:t>
      </w:r>
      <w:r>
        <w:rPr>
          <w:rFonts w:eastAsia="仿宋_GB2312" w:hint="eastAsia"/>
          <w:sz w:val="32"/>
          <w:szCs w:val="32"/>
        </w:rPr>
        <w:t>ICH</w:t>
      </w:r>
      <w:r>
        <w:rPr>
          <w:rFonts w:eastAsia="仿宋_GB2312" w:hint="eastAsia"/>
          <w:sz w:val="32"/>
          <w:szCs w:val="32"/>
        </w:rPr>
        <w:t>指南</w:t>
      </w:r>
      <w:r>
        <w:rPr>
          <w:rFonts w:eastAsia="仿宋_GB2312"/>
          <w:sz w:val="32"/>
          <w:szCs w:val="32"/>
        </w:rPr>
        <w:t>E</w:t>
      </w:r>
      <w:r>
        <w:rPr>
          <w:rFonts w:eastAsia="仿宋_GB2312" w:hint="eastAsia"/>
          <w:sz w:val="32"/>
          <w:szCs w:val="32"/>
        </w:rPr>
        <w:t>15</w:t>
      </w:r>
      <w:r>
        <w:rPr>
          <w:rFonts w:eastAsia="仿宋_GB2312" w:hint="eastAsia"/>
          <w:sz w:val="32"/>
          <w:szCs w:val="32"/>
        </w:rPr>
        <w:t>）</w:t>
      </w:r>
    </w:p>
    <w:p w:rsidR="00000000" w:rsidRDefault="00711951" w:rsidP="00293109">
      <w:pPr>
        <w:spacing w:line="590" w:lineRule="exact"/>
        <w:ind w:firstLineChars="200" w:firstLine="640"/>
        <w:rPr>
          <w:rFonts w:eastAsia="仿宋_GB2312"/>
          <w:sz w:val="32"/>
          <w:szCs w:val="32"/>
        </w:rPr>
      </w:pPr>
      <w:r>
        <w:rPr>
          <w:rFonts w:eastAsia="仿宋_GB2312"/>
          <w:sz w:val="32"/>
          <w:szCs w:val="32"/>
        </w:rPr>
        <w:t>5.</w:t>
      </w:r>
      <w:r>
        <w:rPr>
          <w:rFonts w:eastAsia="仿宋_GB2312" w:hint="eastAsia"/>
          <w:sz w:val="32"/>
          <w:szCs w:val="32"/>
        </w:rPr>
        <w:t>《药物或生物技术产品开发相关的生物标记物：资格认定申请的背景资料、结构和格式》（</w:t>
      </w:r>
      <w:r>
        <w:rPr>
          <w:rFonts w:eastAsia="仿宋_GB2312" w:hint="eastAsia"/>
          <w:sz w:val="32"/>
          <w:szCs w:val="32"/>
        </w:rPr>
        <w:t>ICH</w:t>
      </w:r>
      <w:r>
        <w:rPr>
          <w:rFonts w:eastAsia="仿宋_GB2312" w:hint="eastAsia"/>
          <w:sz w:val="32"/>
          <w:szCs w:val="32"/>
        </w:rPr>
        <w:t>指南</w:t>
      </w:r>
      <w:r>
        <w:rPr>
          <w:rFonts w:eastAsia="仿宋_GB2312"/>
          <w:sz w:val="32"/>
          <w:szCs w:val="32"/>
        </w:rPr>
        <w:t>E</w:t>
      </w:r>
      <w:r>
        <w:rPr>
          <w:rFonts w:eastAsia="仿宋_GB2312" w:hint="eastAsia"/>
          <w:sz w:val="32"/>
          <w:szCs w:val="32"/>
        </w:rPr>
        <w:t>16</w:t>
      </w:r>
      <w:r>
        <w:rPr>
          <w:rFonts w:eastAsia="仿宋_GB2312" w:hint="eastAsia"/>
          <w:sz w:val="32"/>
          <w:szCs w:val="32"/>
        </w:rPr>
        <w:t>）</w:t>
      </w:r>
    </w:p>
    <w:p w:rsidR="00000000" w:rsidRDefault="00711951" w:rsidP="00293109">
      <w:pPr>
        <w:spacing w:line="590" w:lineRule="exact"/>
        <w:ind w:firstLineChars="200" w:firstLine="640"/>
        <w:rPr>
          <w:rFonts w:eastAsia="仿宋_GB2312"/>
          <w:sz w:val="32"/>
          <w:szCs w:val="32"/>
        </w:rPr>
      </w:pPr>
      <w:r>
        <w:rPr>
          <w:rFonts w:eastAsia="仿宋_GB2312"/>
          <w:sz w:val="32"/>
          <w:szCs w:val="32"/>
        </w:rPr>
        <w:t>6</w:t>
      </w:r>
      <w:r>
        <w:rPr>
          <w:rFonts w:eastAsia="仿宋_GB2312" w:hint="eastAsia"/>
          <w:sz w:val="32"/>
          <w:szCs w:val="32"/>
        </w:rPr>
        <w:t>.Meijuan Li. Statistical Consideration and Challenges in Bridging Study of Pers</w:t>
      </w:r>
      <w:r>
        <w:rPr>
          <w:rFonts w:eastAsia="仿宋_GB2312" w:hint="eastAsia"/>
          <w:sz w:val="32"/>
          <w:szCs w:val="32"/>
        </w:rPr>
        <w:t>onalized Medicine[J]. Journal of Biopharmaceutical Statistics,2015,25( 3) : 397-407</w:t>
      </w:r>
      <w:r>
        <w:rPr>
          <w:rFonts w:eastAsia="仿宋_GB2312" w:hint="eastAsia"/>
          <w:sz w:val="32"/>
          <w:szCs w:val="32"/>
        </w:rPr>
        <w:t>．</w:t>
      </w:r>
    </w:p>
    <w:p w:rsidR="00000000" w:rsidRDefault="00711951" w:rsidP="00293109">
      <w:pPr>
        <w:spacing w:line="590" w:lineRule="exact"/>
        <w:ind w:firstLineChars="200" w:firstLine="640"/>
        <w:rPr>
          <w:rFonts w:eastAsia="仿宋_GB2312"/>
          <w:sz w:val="32"/>
          <w:szCs w:val="32"/>
        </w:rPr>
      </w:pPr>
      <w:r>
        <w:rPr>
          <w:rFonts w:eastAsia="仿宋_GB2312"/>
          <w:sz w:val="32"/>
          <w:szCs w:val="32"/>
        </w:rPr>
        <w:t>7.</w:t>
      </w:r>
      <w:r>
        <w:rPr>
          <w:rFonts w:eastAsia="仿宋_GB2312" w:hint="eastAsia"/>
          <w:sz w:val="32"/>
          <w:szCs w:val="32"/>
        </w:rPr>
        <w:t>高宇</w:t>
      </w:r>
      <w:r>
        <w:rPr>
          <w:rFonts w:eastAsia="仿宋_GB2312" w:hint="eastAsia"/>
          <w:sz w:val="32"/>
          <w:szCs w:val="32"/>
        </w:rPr>
        <w:t>,</w:t>
      </w:r>
      <w:r>
        <w:rPr>
          <w:rFonts w:eastAsia="仿宋_GB2312" w:hint="eastAsia"/>
          <w:sz w:val="32"/>
          <w:szCs w:val="32"/>
        </w:rPr>
        <w:t>刘容枝</w:t>
      </w:r>
      <w:r>
        <w:rPr>
          <w:rFonts w:eastAsia="仿宋_GB2312" w:hint="eastAsia"/>
          <w:sz w:val="32"/>
          <w:szCs w:val="32"/>
        </w:rPr>
        <w:t>,</w:t>
      </w:r>
      <w:r>
        <w:rPr>
          <w:rFonts w:eastAsia="仿宋_GB2312" w:hint="eastAsia"/>
          <w:sz w:val="32"/>
          <w:szCs w:val="32"/>
        </w:rPr>
        <w:t>吕允凤</w:t>
      </w:r>
      <w:r>
        <w:rPr>
          <w:rFonts w:eastAsia="仿宋_GB2312" w:hint="eastAsia"/>
          <w:sz w:val="32"/>
          <w:szCs w:val="32"/>
        </w:rPr>
        <w:t>.Follow-on</w:t>
      </w:r>
      <w:r>
        <w:rPr>
          <w:rFonts w:eastAsia="仿宋_GB2312" w:hint="eastAsia"/>
          <w:sz w:val="32"/>
          <w:szCs w:val="32"/>
        </w:rPr>
        <w:t>伴随诊断试剂临床评价方法解析</w:t>
      </w:r>
      <w:r>
        <w:rPr>
          <w:rFonts w:eastAsia="仿宋_GB2312" w:hint="eastAsia"/>
          <w:sz w:val="32"/>
          <w:szCs w:val="32"/>
        </w:rPr>
        <w:t>[J].</w:t>
      </w:r>
      <w:r>
        <w:rPr>
          <w:rFonts w:eastAsia="仿宋_GB2312" w:hint="eastAsia"/>
          <w:sz w:val="32"/>
          <w:szCs w:val="32"/>
        </w:rPr>
        <w:t>中国卫生统计</w:t>
      </w:r>
      <w:r>
        <w:rPr>
          <w:rFonts w:eastAsia="仿宋_GB2312" w:hint="eastAsia"/>
          <w:sz w:val="32"/>
          <w:szCs w:val="32"/>
        </w:rPr>
        <w:t>,2020,37(05):772-775.</w:t>
      </w:r>
    </w:p>
    <w:p w:rsidR="00000000" w:rsidRDefault="00711951" w:rsidP="00293109">
      <w:pPr>
        <w:spacing w:line="590" w:lineRule="exact"/>
        <w:ind w:firstLineChars="200" w:firstLine="640"/>
        <w:rPr>
          <w:rFonts w:eastAsia="黑体"/>
          <w:color w:val="000000"/>
          <w:kern w:val="0"/>
          <w:sz w:val="32"/>
          <w:szCs w:val="32"/>
        </w:rPr>
      </w:pPr>
      <w:r>
        <w:rPr>
          <w:rFonts w:eastAsia="黑体" w:hint="eastAsia"/>
          <w:color w:val="000000"/>
          <w:kern w:val="0"/>
          <w:sz w:val="32"/>
          <w:szCs w:val="32"/>
        </w:rPr>
        <w:t>七、起草单位</w:t>
      </w:r>
    </w:p>
    <w:p w:rsidR="00000000" w:rsidRDefault="00711951" w:rsidP="00293109">
      <w:pPr>
        <w:spacing w:line="590" w:lineRule="exact"/>
        <w:ind w:firstLineChars="200" w:firstLine="640"/>
        <w:rPr>
          <w:rFonts w:eastAsia="仿宋_GB2312"/>
          <w:sz w:val="32"/>
          <w:szCs w:val="32"/>
        </w:rPr>
      </w:pPr>
      <w:r>
        <w:rPr>
          <w:rFonts w:eastAsia="仿宋_GB2312" w:hint="eastAsia"/>
          <w:sz w:val="32"/>
          <w:szCs w:val="32"/>
        </w:rPr>
        <w:t>国家药品监督管理局医疗器械技术审评中心。</w:t>
      </w:r>
    </w:p>
    <w:p w:rsidR="00000000" w:rsidRPr="00293109" w:rsidRDefault="00711951" w:rsidP="00293109">
      <w:pPr>
        <w:widowControl/>
        <w:spacing w:line="540" w:lineRule="exact"/>
        <w:jc w:val="left"/>
        <w:rPr>
          <w:rFonts w:ascii="黑体" w:eastAsia="黑体" w:hAnsi="黑体" w:cs="黑体" w:hint="eastAsia"/>
          <w:sz w:val="32"/>
          <w:szCs w:val="32"/>
        </w:rPr>
      </w:pPr>
      <w:r>
        <w:rPr>
          <w:rFonts w:ascii="仿宋_GB2312" w:eastAsia="仿宋_GB2312" w:hAnsi="Calibri"/>
          <w:sz w:val="32"/>
          <w:szCs w:val="32"/>
        </w:rPr>
        <w:br w:type="page"/>
      </w:r>
      <w:r w:rsidRPr="00293109">
        <w:rPr>
          <w:rFonts w:ascii="黑体" w:eastAsia="黑体" w:hAnsi="黑体" w:cs="黑体" w:hint="eastAsia"/>
          <w:sz w:val="32"/>
          <w:szCs w:val="32"/>
        </w:rPr>
        <w:lastRenderedPageBreak/>
        <w:t>附录</w:t>
      </w:r>
      <w:r w:rsidRPr="00293109">
        <w:rPr>
          <w:rFonts w:ascii="黑体" w:eastAsia="黑体" w:hAnsi="黑体" w:cs="黑体" w:hint="eastAsia"/>
          <w:sz w:val="32"/>
          <w:szCs w:val="32"/>
        </w:rPr>
        <w:t>1</w:t>
      </w:r>
    </w:p>
    <w:p w:rsidR="00000000" w:rsidRDefault="00711951" w:rsidP="00293109">
      <w:pPr>
        <w:spacing w:line="540" w:lineRule="exact"/>
        <w:jc w:val="center"/>
        <w:rPr>
          <w:rFonts w:ascii="仿宋_GB2312" w:eastAsia="仿宋_GB2312" w:hAnsi="Calibri"/>
          <w:sz w:val="32"/>
          <w:szCs w:val="32"/>
        </w:rPr>
      </w:pPr>
    </w:p>
    <w:p w:rsidR="00000000" w:rsidRDefault="00711951" w:rsidP="00293109">
      <w:pPr>
        <w:spacing w:line="540" w:lineRule="exact"/>
        <w:jc w:val="center"/>
        <w:rPr>
          <w:rFonts w:ascii="方正小标宋简体" w:eastAsia="方正小标宋简体" w:hAnsi="Calibri" w:hint="eastAsia"/>
          <w:sz w:val="44"/>
          <w:szCs w:val="44"/>
        </w:rPr>
      </w:pPr>
      <w:r>
        <w:rPr>
          <w:rFonts w:ascii="方正小标宋简体" w:eastAsia="方正小标宋简体" w:hAnsi="Calibri" w:hint="eastAsia"/>
          <w:sz w:val="44"/>
          <w:szCs w:val="44"/>
        </w:rPr>
        <w:t>可选择与原研伴随诊断试剂进行</w:t>
      </w:r>
    </w:p>
    <w:p w:rsidR="00000000" w:rsidRDefault="00711951" w:rsidP="00293109">
      <w:pPr>
        <w:spacing w:line="540" w:lineRule="exact"/>
        <w:jc w:val="center"/>
        <w:rPr>
          <w:rFonts w:ascii="方正小标宋简体" w:eastAsia="方正小标宋简体" w:hAnsi="Calibri" w:hint="eastAsia"/>
          <w:sz w:val="44"/>
          <w:szCs w:val="44"/>
        </w:rPr>
      </w:pPr>
      <w:r>
        <w:rPr>
          <w:rFonts w:ascii="方正小标宋简体" w:eastAsia="方正小标宋简体" w:hAnsi="Calibri" w:hint="eastAsia"/>
          <w:sz w:val="44"/>
          <w:szCs w:val="44"/>
        </w:rPr>
        <w:t>比较研究的生物标志物</w:t>
      </w:r>
    </w:p>
    <w:p w:rsidR="00000000" w:rsidRDefault="00711951" w:rsidP="00293109">
      <w:pPr>
        <w:spacing w:line="540" w:lineRule="exact"/>
        <w:jc w:val="center"/>
        <w:rPr>
          <w:rFonts w:ascii="方正小标宋简体" w:eastAsia="方正小标宋简体" w:hAnsi="Calibri" w:hint="eastAsia"/>
          <w:sz w:val="44"/>
          <w:szCs w:val="44"/>
        </w:rPr>
      </w:pPr>
    </w:p>
    <w:p w:rsidR="00000000" w:rsidRDefault="00711951">
      <w:pPr>
        <w:spacing w:line="540" w:lineRule="exact"/>
        <w:ind w:firstLine="560"/>
        <w:rPr>
          <w:rFonts w:ascii="仿宋_GB2312" w:eastAsia="仿宋_GB2312" w:hAnsi="Calibri" w:hint="eastAsia"/>
          <w:sz w:val="32"/>
          <w:szCs w:val="32"/>
        </w:rPr>
      </w:pPr>
      <w:r>
        <w:rPr>
          <w:rFonts w:ascii="仿宋_GB2312" w:eastAsia="仿宋_GB2312" w:hAnsi="Calibri" w:hint="eastAsia"/>
          <w:sz w:val="32"/>
          <w:szCs w:val="32"/>
        </w:rPr>
        <w:t>基于当前认知及我国相关产品的开发及临床应用情况，相</w:t>
      </w:r>
      <w:r>
        <w:rPr>
          <w:rFonts w:ascii="仿宋_GB2312" w:eastAsia="仿宋_GB2312" w:hAnsi="Calibri" w:hint="eastAsia"/>
          <w:sz w:val="32"/>
          <w:szCs w:val="32"/>
        </w:rPr>
        <w:t>关抗肿瘤药物已上市、临床应用广泛、意义明确、判读易于标准化并且临床应用多年的伴随诊断生物标志物清单见表</w:t>
      </w:r>
      <w:r>
        <w:rPr>
          <w:rFonts w:ascii="仿宋_GB2312" w:eastAsia="仿宋_GB2312" w:hAnsi="Calibri" w:hint="eastAsia"/>
          <w:sz w:val="32"/>
          <w:szCs w:val="32"/>
        </w:rPr>
        <w:t>1</w:t>
      </w:r>
      <w:r>
        <w:rPr>
          <w:rFonts w:ascii="仿宋_GB2312" w:eastAsia="仿宋_GB2312" w:hAnsi="Calibri" w:hint="eastAsia"/>
          <w:sz w:val="32"/>
          <w:szCs w:val="32"/>
        </w:rPr>
        <w:t>。该清单会随着科学认知的深入及相关产品的临床应用情况适时更新。</w:t>
      </w:r>
    </w:p>
    <w:p w:rsidR="00000000" w:rsidRDefault="00711951">
      <w:pPr>
        <w:spacing w:line="540" w:lineRule="exact"/>
        <w:ind w:firstLine="560"/>
        <w:rPr>
          <w:rFonts w:ascii="仿宋_GB2312" w:eastAsia="仿宋_GB2312" w:hAnsi="Calibri" w:hint="eastAsia"/>
          <w:sz w:val="32"/>
          <w:szCs w:val="32"/>
        </w:rPr>
      </w:pPr>
    </w:p>
    <w:p w:rsidR="00000000" w:rsidRDefault="00711951">
      <w:pPr>
        <w:ind w:firstLine="560"/>
        <w:jc w:val="center"/>
        <w:rPr>
          <w:rFonts w:ascii="黑体" w:eastAsia="黑体" w:hAnsi="黑体" w:cs="黑体" w:hint="eastAsia"/>
          <w:sz w:val="28"/>
          <w:szCs w:val="28"/>
        </w:rPr>
      </w:pPr>
      <w:r>
        <w:rPr>
          <w:rFonts w:ascii="黑体" w:eastAsia="黑体" w:hAnsi="黑体" w:cs="黑体" w:hint="eastAsia"/>
          <w:sz w:val="28"/>
          <w:szCs w:val="28"/>
        </w:rPr>
        <w:t>表</w:t>
      </w:r>
      <w:r>
        <w:rPr>
          <w:rFonts w:ascii="黑体" w:eastAsia="黑体" w:hAnsi="黑体" w:cs="黑体" w:hint="eastAsia"/>
          <w:sz w:val="28"/>
          <w:szCs w:val="28"/>
        </w:rPr>
        <w:t>1.</w:t>
      </w:r>
      <w:r>
        <w:rPr>
          <w:rFonts w:ascii="黑体" w:eastAsia="黑体" w:hAnsi="黑体" w:cs="黑体" w:hint="eastAsia"/>
          <w:sz w:val="28"/>
          <w:szCs w:val="28"/>
        </w:rPr>
        <w:t>相关生物标志物清单</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6"/>
        <w:gridCol w:w="6272"/>
      </w:tblGrid>
      <w:tr w:rsidR="00000000" w:rsidRPr="00293109">
        <w:trPr>
          <w:trHeight w:val="270"/>
          <w:jc w:val="center"/>
        </w:trPr>
        <w:tc>
          <w:tcPr>
            <w:tcW w:w="2126" w:type="dxa"/>
            <w:vAlign w:val="center"/>
          </w:tcPr>
          <w:p w:rsidR="00000000" w:rsidRPr="00293109" w:rsidRDefault="00711951" w:rsidP="00293109">
            <w:pPr>
              <w:widowControl/>
              <w:spacing w:line="400" w:lineRule="exact"/>
              <w:jc w:val="center"/>
              <w:rPr>
                <w:rFonts w:eastAsia="仿宋_GB2312"/>
                <w:color w:val="000000"/>
                <w:kern w:val="0"/>
                <w:sz w:val="28"/>
                <w:szCs w:val="28"/>
              </w:rPr>
            </w:pPr>
            <w:r w:rsidRPr="00293109">
              <w:rPr>
                <w:rFonts w:eastAsia="仿宋_GB2312"/>
                <w:color w:val="000000"/>
                <w:kern w:val="0"/>
                <w:sz w:val="28"/>
                <w:szCs w:val="28"/>
              </w:rPr>
              <w:t>癌种</w:t>
            </w:r>
          </w:p>
        </w:tc>
        <w:tc>
          <w:tcPr>
            <w:tcW w:w="6272" w:type="dxa"/>
            <w:vAlign w:val="center"/>
          </w:tcPr>
          <w:p w:rsidR="00000000" w:rsidRPr="00293109" w:rsidRDefault="00711951" w:rsidP="00293109">
            <w:pPr>
              <w:widowControl/>
              <w:spacing w:line="400" w:lineRule="exact"/>
              <w:jc w:val="center"/>
              <w:rPr>
                <w:rFonts w:eastAsia="仿宋_GB2312"/>
                <w:color w:val="000000"/>
                <w:kern w:val="0"/>
                <w:sz w:val="28"/>
                <w:szCs w:val="28"/>
              </w:rPr>
            </w:pPr>
            <w:r w:rsidRPr="00293109">
              <w:rPr>
                <w:rFonts w:eastAsia="仿宋_GB2312"/>
                <w:color w:val="000000"/>
                <w:kern w:val="0"/>
                <w:sz w:val="28"/>
                <w:szCs w:val="28"/>
              </w:rPr>
              <w:t>生物标志物检测</w:t>
            </w:r>
          </w:p>
        </w:tc>
      </w:tr>
      <w:tr w:rsidR="00000000" w:rsidRPr="00293109" w:rsidTr="00293109">
        <w:trPr>
          <w:trHeight w:val="583"/>
          <w:jc w:val="center"/>
        </w:trPr>
        <w:tc>
          <w:tcPr>
            <w:tcW w:w="2126" w:type="dxa"/>
            <w:vMerge w:val="restart"/>
            <w:vAlign w:val="center"/>
          </w:tcPr>
          <w:p w:rsidR="00000000" w:rsidRPr="00293109" w:rsidRDefault="00711951" w:rsidP="00293109">
            <w:pPr>
              <w:widowControl/>
              <w:spacing w:line="400" w:lineRule="exact"/>
              <w:jc w:val="center"/>
              <w:rPr>
                <w:rFonts w:eastAsia="仿宋_GB2312"/>
                <w:color w:val="000000"/>
                <w:kern w:val="0"/>
                <w:sz w:val="28"/>
                <w:szCs w:val="28"/>
              </w:rPr>
            </w:pPr>
            <w:r w:rsidRPr="00293109">
              <w:rPr>
                <w:rFonts w:eastAsia="仿宋_GB2312"/>
                <w:color w:val="000000"/>
                <w:kern w:val="0"/>
                <w:sz w:val="28"/>
                <w:szCs w:val="28"/>
              </w:rPr>
              <w:t>肺癌</w:t>
            </w:r>
          </w:p>
        </w:tc>
        <w:tc>
          <w:tcPr>
            <w:tcW w:w="6272" w:type="dxa"/>
            <w:vAlign w:val="center"/>
          </w:tcPr>
          <w:p w:rsidR="00000000" w:rsidRPr="00293109" w:rsidRDefault="00711951" w:rsidP="00293109">
            <w:pPr>
              <w:widowControl/>
              <w:spacing w:line="400" w:lineRule="exact"/>
              <w:jc w:val="left"/>
              <w:rPr>
                <w:rFonts w:eastAsia="仿宋_GB2312"/>
                <w:color w:val="000000"/>
                <w:kern w:val="0"/>
                <w:sz w:val="28"/>
                <w:szCs w:val="28"/>
              </w:rPr>
            </w:pPr>
            <w:r w:rsidRPr="00293109">
              <w:rPr>
                <w:rFonts w:eastAsia="仿宋_GB2312"/>
                <w:color w:val="000000"/>
                <w:kern w:val="0"/>
                <w:sz w:val="28"/>
                <w:szCs w:val="28"/>
              </w:rPr>
              <w:t>表皮生长因子受体基因（</w:t>
            </w:r>
            <w:r w:rsidRPr="00293109">
              <w:rPr>
                <w:rFonts w:eastAsia="仿宋_GB2312"/>
                <w:color w:val="000000"/>
                <w:kern w:val="0"/>
                <w:sz w:val="28"/>
                <w:szCs w:val="28"/>
              </w:rPr>
              <w:t>EGFR</w:t>
            </w:r>
            <w:r w:rsidRPr="00293109">
              <w:rPr>
                <w:rFonts w:eastAsia="仿宋_GB2312"/>
                <w:color w:val="000000"/>
                <w:kern w:val="0"/>
                <w:sz w:val="28"/>
                <w:szCs w:val="28"/>
              </w:rPr>
              <w:t>基因）变异。</w:t>
            </w:r>
          </w:p>
        </w:tc>
      </w:tr>
      <w:tr w:rsidR="00000000" w:rsidRPr="00293109">
        <w:trPr>
          <w:trHeight w:val="540"/>
          <w:jc w:val="center"/>
        </w:trPr>
        <w:tc>
          <w:tcPr>
            <w:tcW w:w="2126" w:type="dxa"/>
            <w:vMerge/>
            <w:vAlign w:val="center"/>
          </w:tcPr>
          <w:p w:rsidR="00000000" w:rsidRPr="00293109" w:rsidRDefault="00711951" w:rsidP="00293109">
            <w:pPr>
              <w:widowControl/>
              <w:spacing w:line="400" w:lineRule="exact"/>
              <w:jc w:val="center"/>
              <w:rPr>
                <w:rFonts w:eastAsia="仿宋_GB2312"/>
                <w:color w:val="000000"/>
                <w:kern w:val="0"/>
                <w:sz w:val="28"/>
                <w:szCs w:val="28"/>
              </w:rPr>
            </w:pPr>
          </w:p>
        </w:tc>
        <w:tc>
          <w:tcPr>
            <w:tcW w:w="6272" w:type="dxa"/>
            <w:vAlign w:val="center"/>
          </w:tcPr>
          <w:p w:rsidR="00000000" w:rsidRPr="00293109" w:rsidRDefault="00711951" w:rsidP="00293109">
            <w:pPr>
              <w:widowControl/>
              <w:spacing w:line="400" w:lineRule="exact"/>
              <w:jc w:val="left"/>
              <w:rPr>
                <w:rFonts w:eastAsia="仿宋_GB2312"/>
                <w:color w:val="000000"/>
                <w:kern w:val="0"/>
                <w:sz w:val="28"/>
                <w:szCs w:val="28"/>
              </w:rPr>
            </w:pPr>
            <w:r w:rsidRPr="00293109">
              <w:rPr>
                <w:rFonts w:eastAsia="仿宋_GB2312"/>
                <w:color w:val="000000"/>
                <w:kern w:val="0"/>
                <w:sz w:val="28"/>
                <w:szCs w:val="28"/>
              </w:rPr>
              <w:t>间变性淋巴瘤激酶基因（</w:t>
            </w:r>
            <w:r w:rsidRPr="00293109">
              <w:rPr>
                <w:rFonts w:eastAsia="仿宋_GB2312"/>
                <w:color w:val="000000"/>
                <w:kern w:val="0"/>
                <w:sz w:val="28"/>
                <w:szCs w:val="28"/>
              </w:rPr>
              <w:t>ALK</w:t>
            </w:r>
            <w:r w:rsidRPr="00293109">
              <w:rPr>
                <w:rFonts w:eastAsia="仿宋_GB2312"/>
                <w:color w:val="000000"/>
                <w:kern w:val="0"/>
                <w:sz w:val="28"/>
                <w:szCs w:val="28"/>
              </w:rPr>
              <w:t>基因）融合变异；</w:t>
            </w:r>
            <w:r w:rsidRPr="00293109">
              <w:rPr>
                <w:rFonts w:eastAsia="仿宋_GB2312"/>
                <w:color w:val="000000"/>
                <w:kern w:val="0"/>
                <w:sz w:val="28"/>
                <w:szCs w:val="28"/>
              </w:rPr>
              <w:t>ALK</w:t>
            </w:r>
            <w:r w:rsidRPr="00293109">
              <w:rPr>
                <w:rFonts w:eastAsia="仿宋_GB2312"/>
                <w:color w:val="000000"/>
                <w:kern w:val="0"/>
                <w:sz w:val="28"/>
                <w:szCs w:val="28"/>
              </w:rPr>
              <w:t>基因融合蛋白表达。</w:t>
            </w:r>
          </w:p>
        </w:tc>
      </w:tr>
      <w:tr w:rsidR="00000000" w:rsidRPr="00293109">
        <w:trPr>
          <w:trHeight w:val="540"/>
          <w:jc w:val="center"/>
        </w:trPr>
        <w:tc>
          <w:tcPr>
            <w:tcW w:w="2126" w:type="dxa"/>
            <w:vMerge/>
            <w:vAlign w:val="center"/>
          </w:tcPr>
          <w:p w:rsidR="00000000" w:rsidRPr="00293109" w:rsidRDefault="00711951" w:rsidP="00293109">
            <w:pPr>
              <w:widowControl/>
              <w:spacing w:line="400" w:lineRule="exact"/>
              <w:jc w:val="center"/>
              <w:rPr>
                <w:rFonts w:eastAsia="仿宋_GB2312"/>
                <w:color w:val="000000"/>
                <w:kern w:val="0"/>
                <w:sz w:val="28"/>
                <w:szCs w:val="28"/>
              </w:rPr>
            </w:pPr>
          </w:p>
        </w:tc>
        <w:tc>
          <w:tcPr>
            <w:tcW w:w="6272" w:type="dxa"/>
            <w:vAlign w:val="center"/>
          </w:tcPr>
          <w:p w:rsidR="00000000" w:rsidRPr="00293109" w:rsidRDefault="00711951" w:rsidP="00293109">
            <w:pPr>
              <w:widowControl/>
              <w:spacing w:line="400" w:lineRule="exact"/>
              <w:jc w:val="left"/>
              <w:rPr>
                <w:rFonts w:eastAsia="仿宋_GB2312"/>
                <w:color w:val="000000"/>
                <w:kern w:val="0"/>
                <w:sz w:val="28"/>
                <w:szCs w:val="28"/>
              </w:rPr>
            </w:pPr>
            <w:r w:rsidRPr="00293109">
              <w:rPr>
                <w:rFonts w:eastAsia="仿宋_GB2312"/>
                <w:color w:val="000000"/>
                <w:kern w:val="0"/>
                <w:sz w:val="28"/>
                <w:szCs w:val="28"/>
              </w:rPr>
              <w:t>ROS1</w:t>
            </w:r>
            <w:r w:rsidRPr="00293109">
              <w:rPr>
                <w:rFonts w:eastAsia="仿宋_GB2312"/>
                <w:color w:val="000000"/>
                <w:kern w:val="0"/>
                <w:sz w:val="28"/>
                <w:szCs w:val="28"/>
              </w:rPr>
              <w:t>基因融合变异。</w:t>
            </w:r>
          </w:p>
        </w:tc>
      </w:tr>
      <w:tr w:rsidR="00000000" w:rsidRPr="00293109">
        <w:trPr>
          <w:trHeight w:val="270"/>
          <w:jc w:val="center"/>
        </w:trPr>
        <w:tc>
          <w:tcPr>
            <w:tcW w:w="2126" w:type="dxa"/>
            <w:vAlign w:val="center"/>
          </w:tcPr>
          <w:p w:rsidR="00000000" w:rsidRPr="00293109" w:rsidRDefault="00711951" w:rsidP="00293109">
            <w:pPr>
              <w:widowControl/>
              <w:spacing w:line="400" w:lineRule="exact"/>
              <w:jc w:val="center"/>
              <w:rPr>
                <w:rFonts w:eastAsia="仿宋_GB2312"/>
                <w:color w:val="000000"/>
                <w:kern w:val="0"/>
                <w:sz w:val="28"/>
                <w:szCs w:val="28"/>
              </w:rPr>
            </w:pPr>
            <w:r w:rsidRPr="00293109">
              <w:rPr>
                <w:rFonts w:eastAsia="仿宋_GB2312"/>
                <w:color w:val="000000"/>
                <w:kern w:val="0"/>
                <w:sz w:val="28"/>
                <w:szCs w:val="28"/>
              </w:rPr>
              <w:t>乳腺癌</w:t>
            </w:r>
          </w:p>
        </w:tc>
        <w:tc>
          <w:tcPr>
            <w:tcW w:w="6272" w:type="dxa"/>
            <w:vAlign w:val="center"/>
          </w:tcPr>
          <w:p w:rsidR="00000000" w:rsidRPr="00293109" w:rsidRDefault="00711951" w:rsidP="00293109">
            <w:pPr>
              <w:widowControl/>
              <w:spacing w:line="400" w:lineRule="exact"/>
              <w:jc w:val="left"/>
              <w:rPr>
                <w:rFonts w:eastAsia="仿宋_GB2312"/>
                <w:color w:val="000000"/>
                <w:kern w:val="0"/>
                <w:sz w:val="28"/>
                <w:szCs w:val="28"/>
              </w:rPr>
            </w:pPr>
            <w:r w:rsidRPr="00293109">
              <w:rPr>
                <w:rFonts w:eastAsia="仿宋_GB2312"/>
                <w:color w:val="000000"/>
                <w:kern w:val="0"/>
                <w:sz w:val="28"/>
                <w:szCs w:val="28"/>
              </w:rPr>
              <w:t>人表皮生长因子受体</w:t>
            </w:r>
            <w:r w:rsidRPr="00293109">
              <w:rPr>
                <w:rFonts w:eastAsia="仿宋_GB2312"/>
                <w:color w:val="000000"/>
                <w:kern w:val="0"/>
                <w:sz w:val="28"/>
                <w:szCs w:val="28"/>
              </w:rPr>
              <w:t>-2</w:t>
            </w:r>
            <w:r w:rsidRPr="00293109">
              <w:rPr>
                <w:rFonts w:eastAsia="仿宋_GB2312"/>
                <w:color w:val="000000"/>
                <w:kern w:val="0"/>
                <w:sz w:val="28"/>
                <w:szCs w:val="28"/>
              </w:rPr>
              <w:t>基因（</w:t>
            </w:r>
            <w:r w:rsidRPr="00293109">
              <w:rPr>
                <w:rFonts w:eastAsia="仿宋_GB2312"/>
                <w:color w:val="000000"/>
                <w:kern w:val="0"/>
                <w:sz w:val="28"/>
                <w:szCs w:val="28"/>
              </w:rPr>
              <w:t>Her2</w:t>
            </w:r>
            <w:r w:rsidRPr="00293109">
              <w:rPr>
                <w:rFonts w:eastAsia="仿宋_GB2312"/>
                <w:color w:val="000000"/>
                <w:kern w:val="0"/>
                <w:sz w:val="28"/>
                <w:szCs w:val="28"/>
              </w:rPr>
              <w:t>）扩增；</w:t>
            </w:r>
            <w:r w:rsidRPr="00293109">
              <w:rPr>
                <w:rFonts w:eastAsia="仿宋_GB2312"/>
                <w:color w:val="000000"/>
                <w:kern w:val="0"/>
                <w:sz w:val="28"/>
                <w:szCs w:val="28"/>
              </w:rPr>
              <w:t>Her2</w:t>
            </w:r>
            <w:r w:rsidRPr="00293109">
              <w:rPr>
                <w:rFonts w:eastAsia="仿宋_GB2312"/>
                <w:color w:val="000000"/>
                <w:kern w:val="0"/>
                <w:sz w:val="28"/>
                <w:szCs w:val="28"/>
              </w:rPr>
              <w:t>基因蛋白表达。</w:t>
            </w:r>
          </w:p>
        </w:tc>
      </w:tr>
      <w:tr w:rsidR="00000000" w:rsidRPr="00293109">
        <w:trPr>
          <w:trHeight w:val="270"/>
          <w:jc w:val="center"/>
        </w:trPr>
        <w:tc>
          <w:tcPr>
            <w:tcW w:w="2126" w:type="dxa"/>
            <w:vAlign w:val="center"/>
          </w:tcPr>
          <w:p w:rsidR="00000000" w:rsidRPr="00293109" w:rsidRDefault="00711951" w:rsidP="00293109">
            <w:pPr>
              <w:widowControl/>
              <w:spacing w:line="400" w:lineRule="exact"/>
              <w:jc w:val="center"/>
              <w:rPr>
                <w:rFonts w:eastAsia="仿宋_GB2312"/>
                <w:color w:val="000000"/>
                <w:kern w:val="0"/>
                <w:sz w:val="28"/>
                <w:szCs w:val="28"/>
              </w:rPr>
            </w:pPr>
            <w:r w:rsidRPr="00293109">
              <w:rPr>
                <w:rFonts w:eastAsia="仿宋_GB2312"/>
                <w:color w:val="000000"/>
                <w:kern w:val="0"/>
                <w:sz w:val="28"/>
                <w:szCs w:val="28"/>
              </w:rPr>
              <w:t>黑色素瘤</w:t>
            </w:r>
          </w:p>
        </w:tc>
        <w:tc>
          <w:tcPr>
            <w:tcW w:w="6272" w:type="dxa"/>
            <w:vAlign w:val="center"/>
          </w:tcPr>
          <w:p w:rsidR="00000000" w:rsidRPr="00293109" w:rsidRDefault="00711951" w:rsidP="00293109">
            <w:pPr>
              <w:widowControl/>
              <w:spacing w:line="400" w:lineRule="exact"/>
              <w:jc w:val="left"/>
              <w:rPr>
                <w:rFonts w:eastAsia="仿宋_GB2312"/>
                <w:color w:val="000000"/>
                <w:kern w:val="0"/>
                <w:sz w:val="28"/>
                <w:szCs w:val="28"/>
              </w:rPr>
            </w:pPr>
            <w:r w:rsidRPr="00293109">
              <w:rPr>
                <w:rFonts w:eastAsia="仿宋_GB2312"/>
                <w:color w:val="000000"/>
                <w:kern w:val="0"/>
                <w:sz w:val="28"/>
                <w:szCs w:val="28"/>
              </w:rPr>
              <w:t>BRAF</w:t>
            </w:r>
            <w:r w:rsidRPr="00293109">
              <w:rPr>
                <w:rFonts w:eastAsia="仿宋_GB2312"/>
                <w:color w:val="000000"/>
                <w:kern w:val="0"/>
                <w:sz w:val="28"/>
                <w:szCs w:val="28"/>
              </w:rPr>
              <w:t>基因变异。</w:t>
            </w:r>
          </w:p>
        </w:tc>
      </w:tr>
      <w:tr w:rsidR="00000000" w:rsidRPr="00293109">
        <w:trPr>
          <w:trHeight w:val="270"/>
          <w:jc w:val="center"/>
        </w:trPr>
        <w:tc>
          <w:tcPr>
            <w:tcW w:w="2126" w:type="dxa"/>
            <w:vMerge w:val="restart"/>
            <w:vAlign w:val="center"/>
          </w:tcPr>
          <w:p w:rsidR="00000000" w:rsidRPr="00293109" w:rsidRDefault="00711951" w:rsidP="00293109">
            <w:pPr>
              <w:widowControl/>
              <w:spacing w:line="400" w:lineRule="exact"/>
              <w:jc w:val="center"/>
              <w:rPr>
                <w:rFonts w:eastAsia="仿宋_GB2312"/>
                <w:color w:val="000000"/>
                <w:kern w:val="0"/>
                <w:sz w:val="28"/>
                <w:szCs w:val="28"/>
              </w:rPr>
            </w:pPr>
            <w:r w:rsidRPr="00293109">
              <w:rPr>
                <w:rFonts w:eastAsia="仿宋_GB2312"/>
                <w:color w:val="000000"/>
                <w:kern w:val="0"/>
                <w:sz w:val="28"/>
                <w:szCs w:val="28"/>
              </w:rPr>
              <w:t>血液系统肿瘤</w:t>
            </w:r>
          </w:p>
        </w:tc>
        <w:tc>
          <w:tcPr>
            <w:tcW w:w="6272" w:type="dxa"/>
            <w:vAlign w:val="center"/>
          </w:tcPr>
          <w:p w:rsidR="00000000" w:rsidRPr="00293109" w:rsidRDefault="00711951" w:rsidP="00293109">
            <w:pPr>
              <w:widowControl/>
              <w:spacing w:line="400" w:lineRule="exact"/>
              <w:jc w:val="left"/>
              <w:rPr>
                <w:rFonts w:eastAsia="仿宋_GB2312"/>
                <w:color w:val="000000"/>
                <w:kern w:val="0"/>
                <w:sz w:val="28"/>
                <w:szCs w:val="28"/>
              </w:rPr>
            </w:pPr>
            <w:r w:rsidRPr="00293109">
              <w:rPr>
                <w:rFonts w:eastAsia="仿宋_GB2312"/>
                <w:color w:val="000000"/>
                <w:kern w:val="0"/>
                <w:sz w:val="28"/>
                <w:szCs w:val="28"/>
              </w:rPr>
              <w:t>血小板源性生长</w:t>
            </w:r>
            <w:r w:rsidRPr="00293109">
              <w:rPr>
                <w:rFonts w:eastAsia="仿宋_GB2312"/>
                <w:color w:val="000000"/>
                <w:kern w:val="0"/>
                <w:sz w:val="28"/>
                <w:szCs w:val="28"/>
              </w:rPr>
              <w:t>因子受体</w:t>
            </w:r>
            <w:r w:rsidRPr="00293109">
              <w:rPr>
                <w:rFonts w:eastAsia="仿宋_GB2312"/>
                <w:color w:val="000000"/>
                <w:kern w:val="0"/>
                <w:sz w:val="28"/>
                <w:szCs w:val="28"/>
              </w:rPr>
              <w:t>α</w:t>
            </w:r>
            <w:r w:rsidRPr="00293109">
              <w:rPr>
                <w:rFonts w:eastAsia="仿宋_GB2312"/>
                <w:color w:val="000000"/>
                <w:kern w:val="0"/>
                <w:sz w:val="28"/>
                <w:szCs w:val="28"/>
              </w:rPr>
              <w:t>多肽基因（</w:t>
            </w:r>
            <w:r w:rsidRPr="00293109">
              <w:rPr>
                <w:rFonts w:eastAsia="仿宋_GB2312"/>
                <w:color w:val="000000"/>
                <w:kern w:val="0"/>
                <w:sz w:val="28"/>
                <w:szCs w:val="28"/>
              </w:rPr>
              <w:t>PDGFR</w:t>
            </w:r>
            <w:r w:rsidRPr="00293109">
              <w:rPr>
                <w:rFonts w:eastAsia="仿宋_GB2312"/>
                <w:color w:val="000000"/>
                <w:kern w:val="0"/>
                <w:sz w:val="28"/>
                <w:szCs w:val="28"/>
              </w:rPr>
              <w:t>基因）变异。</w:t>
            </w:r>
          </w:p>
        </w:tc>
      </w:tr>
      <w:tr w:rsidR="00000000" w:rsidRPr="00293109">
        <w:trPr>
          <w:trHeight w:val="270"/>
          <w:jc w:val="center"/>
        </w:trPr>
        <w:tc>
          <w:tcPr>
            <w:tcW w:w="2126" w:type="dxa"/>
            <w:vMerge/>
            <w:vAlign w:val="center"/>
          </w:tcPr>
          <w:p w:rsidR="00000000" w:rsidRPr="00293109" w:rsidRDefault="00711951" w:rsidP="00293109">
            <w:pPr>
              <w:widowControl/>
              <w:spacing w:line="400" w:lineRule="exact"/>
              <w:jc w:val="center"/>
              <w:rPr>
                <w:rFonts w:eastAsia="仿宋_GB2312"/>
                <w:color w:val="000000"/>
                <w:kern w:val="0"/>
                <w:sz w:val="28"/>
                <w:szCs w:val="28"/>
              </w:rPr>
            </w:pPr>
          </w:p>
        </w:tc>
        <w:tc>
          <w:tcPr>
            <w:tcW w:w="6272" w:type="dxa"/>
            <w:vAlign w:val="center"/>
          </w:tcPr>
          <w:p w:rsidR="00000000" w:rsidRPr="00293109" w:rsidRDefault="00711951" w:rsidP="00293109">
            <w:pPr>
              <w:widowControl/>
              <w:spacing w:line="400" w:lineRule="exact"/>
              <w:jc w:val="left"/>
              <w:rPr>
                <w:rFonts w:eastAsia="仿宋_GB2312"/>
                <w:color w:val="000000"/>
                <w:kern w:val="0"/>
                <w:sz w:val="28"/>
                <w:szCs w:val="28"/>
              </w:rPr>
            </w:pPr>
            <w:r w:rsidRPr="00293109">
              <w:rPr>
                <w:rFonts w:eastAsia="仿宋_GB2312"/>
                <w:color w:val="000000"/>
                <w:kern w:val="0"/>
                <w:sz w:val="28"/>
                <w:szCs w:val="28"/>
              </w:rPr>
              <w:t>BCR-ABL</w:t>
            </w:r>
            <w:r w:rsidRPr="00293109">
              <w:rPr>
                <w:rFonts w:eastAsia="仿宋_GB2312"/>
                <w:color w:val="000000"/>
                <w:kern w:val="0"/>
                <w:sz w:val="28"/>
                <w:szCs w:val="28"/>
              </w:rPr>
              <w:t>基因融合变异。</w:t>
            </w:r>
          </w:p>
        </w:tc>
      </w:tr>
      <w:tr w:rsidR="00000000" w:rsidRPr="00293109">
        <w:trPr>
          <w:trHeight w:val="300"/>
          <w:jc w:val="center"/>
        </w:trPr>
        <w:tc>
          <w:tcPr>
            <w:tcW w:w="2126" w:type="dxa"/>
            <w:vAlign w:val="center"/>
          </w:tcPr>
          <w:p w:rsidR="00000000" w:rsidRPr="00293109" w:rsidRDefault="00711951" w:rsidP="00293109">
            <w:pPr>
              <w:widowControl/>
              <w:spacing w:line="400" w:lineRule="exact"/>
              <w:jc w:val="center"/>
              <w:rPr>
                <w:rFonts w:eastAsia="仿宋_GB2312"/>
                <w:color w:val="000000"/>
                <w:kern w:val="0"/>
                <w:sz w:val="28"/>
                <w:szCs w:val="28"/>
              </w:rPr>
            </w:pPr>
            <w:r w:rsidRPr="00293109">
              <w:rPr>
                <w:rFonts w:eastAsia="仿宋_GB2312"/>
                <w:color w:val="000000"/>
                <w:kern w:val="0"/>
                <w:sz w:val="28"/>
                <w:szCs w:val="28"/>
              </w:rPr>
              <w:t>结直肠癌</w:t>
            </w:r>
            <w:r w:rsidRPr="00293109">
              <w:rPr>
                <w:rFonts w:eastAsia="仿宋_GB2312"/>
                <w:color w:val="000000"/>
                <w:kern w:val="0"/>
                <w:sz w:val="28"/>
                <w:szCs w:val="28"/>
              </w:rPr>
              <w:t>/</w:t>
            </w:r>
            <w:r w:rsidRPr="00293109">
              <w:rPr>
                <w:rFonts w:eastAsia="仿宋_GB2312"/>
                <w:color w:val="000000"/>
                <w:kern w:val="0"/>
                <w:sz w:val="28"/>
                <w:szCs w:val="28"/>
              </w:rPr>
              <w:t>鼻咽癌</w:t>
            </w:r>
          </w:p>
        </w:tc>
        <w:tc>
          <w:tcPr>
            <w:tcW w:w="6272" w:type="dxa"/>
            <w:vAlign w:val="center"/>
          </w:tcPr>
          <w:p w:rsidR="00000000" w:rsidRPr="00293109" w:rsidRDefault="00711951" w:rsidP="00293109">
            <w:pPr>
              <w:widowControl/>
              <w:spacing w:line="400" w:lineRule="exact"/>
              <w:jc w:val="left"/>
              <w:rPr>
                <w:rFonts w:eastAsia="仿宋_GB2312"/>
                <w:color w:val="000000"/>
                <w:kern w:val="0"/>
                <w:sz w:val="28"/>
                <w:szCs w:val="28"/>
              </w:rPr>
            </w:pPr>
            <w:r w:rsidRPr="00293109">
              <w:rPr>
                <w:rFonts w:eastAsia="仿宋_GB2312"/>
                <w:color w:val="000000"/>
                <w:kern w:val="0"/>
                <w:sz w:val="28"/>
                <w:szCs w:val="28"/>
              </w:rPr>
              <w:t>表皮生长因子受体（</w:t>
            </w:r>
            <w:r w:rsidRPr="00293109">
              <w:rPr>
                <w:rFonts w:eastAsia="仿宋_GB2312"/>
                <w:color w:val="000000"/>
                <w:kern w:val="0"/>
                <w:sz w:val="28"/>
                <w:szCs w:val="28"/>
              </w:rPr>
              <w:t>EGFR</w:t>
            </w:r>
            <w:r w:rsidRPr="00293109">
              <w:rPr>
                <w:rFonts w:eastAsia="仿宋_GB2312"/>
                <w:color w:val="000000"/>
                <w:kern w:val="0"/>
                <w:sz w:val="28"/>
                <w:szCs w:val="28"/>
              </w:rPr>
              <w:t>）蛋白表达异常。</w:t>
            </w:r>
          </w:p>
        </w:tc>
      </w:tr>
      <w:tr w:rsidR="00000000" w:rsidRPr="00293109">
        <w:trPr>
          <w:trHeight w:val="300"/>
          <w:jc w:val="center"/>
        </w:trPr>
        <w:tc>
          <w:tcPr>
            <w:tcW w:w="2126" w:type="dxa"/>
            <w:vAlign w:val="center"/>
          </w:tcPr>
          <w:p w:rsidR="00000000" w:rsidRPr="00293109" w:rsidRDefault="00711951" w:rsidP="00293109">
            <w:pPr>
              <w:widowControl/>
              <w:spacing w:line="400" w:lineRule="exact"/>
              <w:jc w:val="center"/>
              <w:rPr>
                <w:rFonts w:eastAsia="仿宋_GB2312"/>
                <w:color w:val="000000"/>
                <w:kern w:val="0"/>
                <w:sz w:val="28"/>
                <w:szCs w:val="28"/>
              </w:rPr>
            </w:pPr>
            <w:r w:rsidRPr="00293109">
              <w:rPr>
                <w:rFonts w:eastAsia="仿宋_GB2312"/>
                <w:color w:val="000000"/>
                <w:kern w:val="0"/>
                <w:sz w:val="28"/>
                <w:szCs w:val="28"/>
              </w:rPr>
              <w:t>胃癌</w:t>
            </w:r>
          </w:p>
        </w:tc>
        <w:tc>
          <w:tcPr>
            <w:tcW w:w="6272" w:type="dxa"/>
            <w:vAlign w:val="center"/>
          </w:tcPr>
          <w:p w:rsidR="00000000" w:rsidRPr="00293109" w:rsidRDefault="00711951" w:rsidP="00293109">
            <w:pPr>
              <w:widowControl/>
              <w:spacing w:line="400" w:lineRule="exact"/>
              <w:jc w:val="left"/>
              <w:rPr>
                <w:rFonts w:eastAsia="仿宋_GB2312"/>
                <w:color w:val="000000"/>
                <w:kern w:val="0"/>
                <w:sz w:val="28"/>
                <w:szCs w:val="28"/>
              </w:rPr>
            </w:pPr>
            <w:r w:rsidRPr="00293109">
              <w:rPr>
                <w:rFonts w:eastAsia="仿宋_GB2312"/>
                <w:color w:val="000000"/>
                <w:kern w:val="0"/>
                <w:sz w:val="28"/>
                <w:szCs w:val="28"/>
              </w:rPr>
              <w:t>人表皮生长因子受体</w:t>
            </w:r>
            <w:r w:rsidRPr="00293109">
              <w:rPr>
                <w:rFonts w:eastAsia="仿宋_GB2312"/>
                <w:color w:val="000000"/>
                <w:kern w:val="0"/>
                <w:sz w:val="28"/>
                <w:szCs w:val="28"/>
              </w:rPr>
              <w:t>-2</w:t>
            </w:r>
            <w:r w:rsidRPr="00293109">
              <w:rPr>
                <w:rFonts w:eastAsia="仿宋_GB2312"/>
                <w:color w:val="000000"/>
                <w:kern w:val="0"/>
                <w:sz w:val="28"/>
                <w:szCs w:val="28"/>
              </w:rPr>
              <w:t>基因（</w:t>
            </w:r>
            <w:r w:rsidRPr="00293109">
              <w:rPr>
                <w:rFonts w:eastAsia="仿宋_GB2312"/>
                <w:color w:val="000000"/>
                <w:kern w:val="0"/>
                <w:sz w:val="28"/>
                <w:szCs w:val="28"/>
              </w:rPr>
              <w:t>Her2</w:t>
            </w:r>
            <w:r w:rsidRPr="00293109">
              <w:rPr>
                <w:rFonts w:eastAsia="仿宋_GB2312"/>
                <w:color w:val="000000"/>
                <w:kern w:val="0"/>
                <w:sz w:val="28"/>
                <w:szCs w:val="28"/>
              </w:rPr>
              <w:t>）扩增；</w:t>
            </w:r>
            <w:r w:rsidRPr="00293109">
              <w:rPr>
                <w:rFonts w:eastAsia="仿宋_GB2312"/>
                <w:color w:val="000000"/>
                <w:kern w:val="0"/>
                <w:sz w:val="28"/>
                <w:szCs w:val="28"/>
              </w:rPr>
              <w:t>Her2</w:t>
            </w:r>
            <w:r w:rsidRPr="00293109">
              <w:rPr>
                <w:rFonts w:eastAsia="仿宋_GB2312"/>
                <w:color w:val="000000"/>
                <w:kern w:val="0"/>
                <w:sz w:val="28"/>
                <w:szCs w:val="28"/>
              </w:rPr>
              <w:t>基因蛋白表达。</w:t>
            </w:r>
          </w:p>
        </w:tc>
      </w:tr>
    </w:tbl>
    <w:p w:rsidR="00711951" w:rsidRDefault="00FE4C2D" w:rsidP="00FE4C2D">
      <w:pPr>
        <w:spacing w:line="590" w:lineRule="exact"/>
        <w:rPr>
          <w:rFonts w:ascii="方正仿宋简体" w:eastAsia="方正仿宋简体" w:hAnsi="仿宋" w:hint="eastAsia"/>
          <w:sz w:val="28"/>
          <w:szCs w:val="28"/>
        </w:rPr>
      </w:pPr>
      <w:r>
        <w:rPr>
          <w:rFonts w:ascii="黑体" w:eastAsia="黑体" w:hAnsi="黑体"/>
          <w:sz w:val="32"/>
          <w:szCs w:val="32"/>
        </w:rPr>
        <w:t>.</w:t>
      </w:r>
      <w:bookmarkStart w:id="0" w:name="_GoBack"/>
      <w:bookmarkEnd w:id="0"/>
    </w:p>
    <w:sectPr w:rsidR="00711951" w:rsidSect="00FE4C2D">
      <w:footerReference w:type="even" r:id="rId7"/>
      <w:footerReference w:type="default" r:id="rId8"/>
      <w:pgSz w:w="11906" w:h="16838"/>
      <w:pgMar w:top="1928" w:right="1531" w:bottom="1814" w:left="1531" w:header="851" w:footer="1361"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951" w:rsidRDefault="00711951">
      <w:r>
        <w:separator/>
      </w:r>
    </w:p>
  </w:endnote>
  <w:endnote w:type="continuationSeparator" w:id="0">
    <w:p w:rsidR="00711951" w:rsidRDefault="00711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1" w:usb1="080E0000" w:usb2="00000000" w:usb3="00000000" w:csb0="00040000" w:csb1="00000000"/>
  </w:font>
  <w:font w:name="方正仿宋简体">
    <w:altName w:val="Arial Unicode MS"/>
    <w:charset w:val="86"/>
    <w:family w:val="script"/>
    <w:pitch w:val="default"/>
    <w:sig w:usb0="00000000"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11951">
    <w:pPr>
      <w:pStyle w:val="a5"/>
      <w:framePr w:wrap="around" w:vAnchor="text" w:hAnchor="margin" w:xAlign="outside" w:y="1"/>
      <w:rPr>
        <w:rStyle w:val="a7"/>
        <w:sz w:val="28"/>
        <w:szCs w:val="28"/>
      </w:rPr>
    </w:pPr>
    <w:r>
      <w:rPr>
        <w:rStyle w:val="a7"/>
        <w:rFonts w:hint="eastAsia"/>
        <w:color w:val="FFFFFF"/>
        <w:sz w:val="28"/>
        <w:szCs w:val="28"/>
      </w:rPr>
      <w:t>—</w:t>
    </w:r>
    <w:r>
      <w:rPr>
        <w:rStyle w:val="a7"/>
        <w:rFonts w:hint="eastAsia"/>
        <w:sz w:val="28"/>
        <w:szCs w:val="28"/>
      </w:rPr>
      <w:t>—</w:t>
    </w:r>
    <w:r>
      <w:rPr>
        <w:rStyle w:val="a7"/>
        <w:rFonts w:hint="eastAsia"/>
        <w:sz w:val="28"/>
        <w:szCs w:val="28"/>
      </w:rPr>
      <w:t xml:space="preserve"> </w:t>
    </w:r>
    <w:r>
      <w:rPr>
        <w:sz w:val="28"/>
        <w:szCs w:val="28"/>
      </w:rPr>
      <w:fldChar w:fldCharType="begin"/>
    </w:r>
    <w:r>
      <w:rPr>
        <w:rStyle w:val="a7"/>
        <w:sz w:val="28"/>
        <w:szCs w:val="28"/>
      </w:rPr>
      <w:instrText xml:space="preserve">PAGE  </w:instrText>
    </w:r>
    <w:r>
      <w:rPr>
        <w:sz w:val="28"/>
        <w:szCs w:val="28"/>
      </w:rPr>
      <w:fldChar w:fldCharType="separate"/>
    </w:r>
    <w:r>
      <w:rPr>
        <w:rStyle w:val="a7"/>
        <w:sz w:val="28"/>
        <w:szCs w:val="28"/>
        <w:lang w:val="en-US" w:eastAsia="zh-CN"/>
      </w:rPr>
      <w:t>2</w:t>
    </w:r>
    <w:r>
      <w:rPr>
        <w:sz w:val="28"/>
        <w:szCs w:val="28"/>
      </w:rPr>
      <w:fldChar w:fldCharType="end"/>
    </w:r>
    <w:r>
      <w:rPr>
        <w:rStyle w:val="a7"/>
        <w:rFonts w:hint="eastAsia"/>
        <w:sz w:val="28"/>
        <w:szCs w:val="28"/>
      </w:rPr>
      <w:t xml:space="preserve"> </w:t>
    </w:r>
    <w:r>
      <w:rPr>
        <w:rStyle w:val="a7"/>
        <w:rFonts w:hint="eastAsia"/>
        <w:sz w:val="28"/>
        <w:szCs w:val="28"/>
      </w:rPr>
      <w:t>—</w:t>
    </w:r>
    <w:r>
      <w:rPr>
        <w:rStyle w:val="a7"/>
        <w:rFonts w:hint="eastAsia"/>
        <w:sz w:val="28"/>
        <w:szCs w:val="28"/>
      </w:rPr>
      <w:t xml:space="preserve"> </w:t>
    </w:r>
  </w:p>
  <w:p w:rsidR="00000000" w:rsidRDefault="00711951">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E4C2D">
    <w:pPr>
      <w:pStyle w:val="a5"/>
      <w:wordWrap w:val="0"/>
      <w:jc w:val="right"/>
    </w:pPr>
    <w:r>
      <w:rPr>
        <w:noProof/>
      </w:rPr>
      <mc:AlternateContent>
        <mc:Choice Requires="wps">
          <w:drawing>
            <wp:anchor distT="0" distB="0" distL="114300" distR="114300" simplePos="0" relativeHeight="251657216" behindDoc="0" locked="0" layoutInCell="1" allowOverlap="1">
              <wp:simplePos x="0" y="0"/>
              <wp:positionH relativeFrom="margin">
                <wp:align>outside</wp:align>
              </wp:positionH>
              <wp:positionV relativeFrom="paragraph">
                <wp:posOffset>0</wp:posOffset>
              </wp:positionV>
              <wp:extent cx="889635" cy="230505"/>
              <wp:effectExtent l="1270" t="1270" r="4445" b="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63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711951">
                          <w:pPr>
                            <w:pStyle w:val="a5"/>
                            <w:wordWrap w:val="0"/>
                            <w:jc w:val="right"/>
                          </w:pPr>
                          <w:r>
                            <w:rPr>
                              <w:rFonts w:hint="eastAsia"/>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sidR="00FE4C2D" w:rsidRPr="00FE4C2D">
                            <w:rPr>
                              <w:noProof/>
                              <w:sz w:val="28"/>
                              <w:szCs w:val="28"/>
                              <w:lang w:val="zh-CN"/>
                            </w:rPr>
                            <w:t>22</w:t>
                          </w:r>
                          <w:r>
                            <w:rPr>
                              <w:sz w:val="28"/>
                              <w:szCs w:val="28"/>
                            </w:rPr>
                            <w:fldChar w:fldCharType="end"/>
                          </w:r>
                          <w:r>
                            <w:rPr>
                              <w:rFonts w:hint="eastAsia"/>
                              <w:sz w:val="28"/>
                              <w:szCs w:val="28"/>
                            </w:rPr>
                            <w:t xml:space="preserve"> </w:t>
                          </w:r>
                          <w:r>
                            <w:rPr>
                              <w:rFonts w:hint="eastAsia"/>
                              <w:sz w:val="28"/>
                              <w:szCs w:val="28"/>
                            </w:rPr>
                            <w:t>—</w:t>
                          </w:r>
                          <w:r>
                            <w:rPr>
                              <w:rFonts w:hint="eastAsia"/>
                              <w:color w:val="FFFFFF"/>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8.85pt;margin-top:0;width:70.05pt;height:18.15pt;z-index:251657216;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" filled="f" stroked="f">
              <v:textbox style="mso-fit-shape-to-text:t" inset="0,0,0,0">
                <w:txbxContent>
                  <w:p w:rsidR="00000000" w:rsidRDefault="00711951">
                    <w:pPr>
                      <w:pStyle w:val="a5"/>
                      <w:wordWrap w:val="0"/>
                      <w:jc w:val="right"/>
                    </w:pPr>
                    <w:r>
                      <w:rPr>
                        <w:rFonts w:hint="eastAsia"/>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sidR="00FE4C2D" w:rsidRPr="00FE4C2D">
                      <w:rPr>
                        <w:noProof/>
                        <w:sz w:val="28"/>
                        <w:szCs w:val="28"/>
                        <w:lang w:val="zh-CN"/>
                      </w:rPr>
                      <w:t>22</w:t>
                    </w:r>
                    <w:r>
                      <w:rPr>
                        <w:sz w:val="28"/>
                        <w:szCs w:val="28"/>
                      </w:rPr>
                      <w:fldChar w:fldCharType="end"/>
                    </w:r>
                    <w:r>
                      <w:rPr>
                        <w:rFonts w:hint="eastAsia"/>
                        <w:sz w:val="28"/>
                        <w:szCs w:val="28"/>
                      </w:rPr>
                      <w:t xml:space="preserve"> </w:t>
                    </w:r>
                    <w:r>
                      <w:rPr>
                        <w:rFonts w:hint="eastAsia"/>
                        <w:sz w:val="28"/>
                        <w:szCs w:val="28"/>
                      </w:rPr>
                      <w:t>—</w:t>
                    </w:r>
                    <w:r>
                      <w:rPr>
                        <w:rFonts w:hint="eastAsia"/>
                        <w:color w:val="FFFFFF"/>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951" w:rsidRDefault="00711951">
      <w:r>
        <w:separator/>
      </w:r>
    </w:p>
  </w:footnote>
  <w:footnote w:type="continuationSeparator" w:id="0">
    <w:p w:rsidR="00711951" w:rsidRDefault="007119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6FDEF5F"/>
    <w:multiLevelType w:val="multilevel"/>
    <w:tmpl w:val="F6FDEF5F"/>
    <w:lvl w:ilvl="0">
      <w:start w:val="1"/>
      <w:numFmt w:val="decimal"/>
      <w:suff w:val="nothing"/>
      <w:lvlText w:val="%1."/>
      <w:lvlJc w:val="left"/>
      <w:pPr>
        <w:tabs>
          <w:tab w:val="num" w:pos="0"/>
        </w:tabs>
        <w:ind w:left="1040" w:hanging="400"/>
      </w:pPr>
      <w:rPr>
        <w:rFonts w:hint="default"/>
      </w:rPr>
    </w:lvl>
    <w:lvl w:ilvl="1">
      <w:start w:val="1"/>
      <w:numFmt w:val="decimal"/>
      <w:isLgl/>
      <w:lvlText w:val="%1.%2"/>
      <w:lvlJc w:val="left"/>
      <w:pPr>
        <w:ind w:left="1360" w:hanging="720"/>
      </w:pPr>
      <w:rPr>
        <w:rFonts w:hint="default"/>
      </w:rPr>
    </w:lvl>
    <w:lvl w:ilvl="2">
      <w:start w:val="1"/>
      <w:numFmt w:val="decimal"/>
      <w:isLgl/>
      <w:lvlText w:val="%1.%2.%3"/>
      <w:lvlJc w:val="left"/>
      <w:pPr>
        <w:ind w:left="1360" w:hanging="720"/>
      </w:pPr>
      <w:rPr>
        <w:rFonts w:hint="default"/>
      </w:rPr>
    </w:lvl>
    <w:lvl w:ilvl="3">
      <w:start w:val="1"/>
      <w:numFmt w:val="decimal"/>
      <w:isLgl/>
      <w:lvlText w:val="%1.%2.%3.%4"/>
      <w:lvlJc w:val="left"/>
      <w:pPr>
        <w:ind w:left="1720" w:hanging="1080"/>
      </w:pPr>
      <w:rPr>
        <w:rFonts w:hint="default"/>
      </w:rPr>
    </w:lvl>
    <w:lvl w:ilvl="4">
      <w:start w:val="1"/>
      <w:numFmt w:val="decimal"/>
      <w:isLgl/>
      <w:lvlText w:val="%1.%2.%3.%4.%5"/>
      <w:lvlJc w:val="left"/>
      <w:pPr>
        <w:ind w:left="2080" w:hanging="1440"/>
      </w:pPr>
      <w:rPr>
        <w:rFonts w:hint="default"/>
      </w:rPr>
    </w:lvl>
    <w:lvl w:ilvl="5">
      <w:start w:val="1"/>
      <w:numFmt w:val="decimal"/>
      <w:isLgl/>
      <w:lvlText w:val="%1.%2.%3.%4.%5.%6"/>
      <w:lvlJc w:val="left"/>
      <w:pPr>
        <w:ind w:left="2080" w:hanging="1440"/>
      </w:pPr>
      <w:rPr>
        <w:rFonts w:hint="default"/>
      </w:rPr>
    </w:lvl>
    <w:lvl w:ilvl="6">
      <w:start w:val="1"/>
      <w:numFmt w:val="decimal"/>
      <w:isLgl/>
      <w:lvlText w:val="%1.%2.%3.%4.%5.%6.%7"/>
      <w:lvlJc w:val="left"/>
      <w:pPr>
        <w:ind w:left="2440" w:hanging="1800"/>
      </w:pPr>
      <w:rPr>
        <w:rFonts w:hint="default"/>
      </w:rPr>
    </w:lvl>
    <w:lvl w:ilvl="7">
      <w:start w:val="1"/>
      <w:numFmt w:val="decimal"/>
      <w:isLgl/>
      <w:lvlText w:val="%1.%2.%3.%4.%5.%6.%7.%8"/>
      <w:lvlJc w:val="left"/>
      <w:pPr>
        <w:ind w:left="2800" w:hanging="2160"/>
      </w:pPr>
      <w:rPr>
        <w:rFonts w:hint="default"/>
      </w:rPr>
    </w:lvl>
    <w:lvl w:ilvl="8">
      <w:start w:val="1"/>
      <w:numFmt w:val="decimal"/>
      <w:isLgl/>
      <w:lvlText w:val="%1.%2.%3.%4.%5.%6.%7.%8.%9"/>
      <w:lvlJc w:val="left"/>
      <w:pPr>
        <w:ind w:left="2800" w:hanging="2160"/>
      </w:pPr>
      <w:rPr>
        <w:rFonts w:hint="default"/>
      </w:rPr>
    </w:lvl>
  </w:abstractNum>
  <w:abstractNum w:abstractNumId="1" w15:restartNumberingAfterBreak="0">
    <w:nsid w:val="08763E6D"/>
    <w:multiLevelType w:val="multilevel"/>
    <w:tmpl w:val="08763E6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6A37B56"/>
    <w:multiLevelType w:val="multilevel"/>
    <w:tmpl w:val="26A37B56"/>
    <w:lvl w:ilvl="0">
      <w:start w:val="1"/>
      <w:numFmt w:val="decimal"/>
      <w:lvlText w:val="%1."/>
      <w:lvlJc w:val="left"/>
      <w:pPr>
        <w:ind w:left="1040" w:hanging="400"/>
      </w:pPr>
      <w:rPr>
        <w:rFonts w:hint="default"/>
      </w:rPr>
    </w:lvl>
    <w:lvl w:ilvl="1">
      <w:start w:val="1"/>
      <w:numFmt w:val="decimal"/>
      <w:isLgl/>
      <w:lvlText w:val="%1.%2"/>
      <w:lvlJc w:val="left"/>
      <w:pPr>
        <w:ind w:left="1360" w:hanging="720"/>
      </w:pPr>
      <w:rPr>
        <w:rFonts w:hint="default"/>
      </w:rPr>
    </w:lvl>
    <w:lvl w:ilvl="2">
      <w:start w:val="1"/>
      <w:numFmt w:val="decimal"/>
      <w:isLgl/>
      <w:lvlText w:val="%1.%2.%3"/>
      <w:lvlJc w:val="left"/>
      <w:pPr>
        <w:ind w:left="1360" w:hanging="720"/>
      </w:pPr>
      <w:rPr>
        <w:rFonts w:hint="default"/>
      </w:rPr>
    </w:lvl>
    <w:lvl w:ilvl="3">
      <w:start w:val="1"/>
      <w:numFmt w:val="decimal"/>
      <w:isLgl/>
      <w:lvlText w:val="%1.%2.%3.%4"/>
      <w:lvlJc w:val="left"/>
      <w:pPr>
        <w:ind w:left="1720" w:hanging="1080"/>
      </w:pPr>
      <w:rPr>
        <w:rFonts w:hint="default"/>
      </w:rPr>
    </w:lvl>
    <w:lvl w:ilvl="4">
      <w:start w:val="1"/>
      <w:numFmt w:val="decimal"/>
      <w:isLgl/>
      <w:lvlText w:val="%1.%2.%3.%4.%5"/>
      <w:lvlJc w:val="left"/>
      <w:pPr>
        <w:ind w:left="2080" w:hanging="1440"/>
      </w:pPr>
      <w:rPr>
        <w:rFonts w:hint="default"/>
      </w:rPr>
    </w:lvl>
    <w:lvl w:ilvl="5">
      <w:start w:val="1"/>
      <w:numFmt w:val="decimal"/>
      <w:isLgl/>
      <w:lvlText w:val="%1.%2.%3.%4.%5.%6"/>
      <w:lvlJc w:val="left"/>
      <w:pPr>
        <w:ind w:left="2080" w:hanging="1440"/>
      </w:pPr>
      <w:rPr>
        <w:rFonts w:hint="default"/>
      </w:rPr>
    </w:lvl>
    <w:lvl w:ilvl="6">
      <w:start w:val="1"/>
      <w:numFmt w:val="decimal"/>
      <w:isLgl/>
      <w:lvlText w:val="%1.%2.%3.%4.%5.%6.%7"/>
      <w:lvlJc w:val="left"/>
      <w:pPr>
        <w:ind w:left="2440" w:hanging="1800"/>
      </w:pPr>
      <w:rPr>
        <w:rFonts w:hint="default"/>
      </w:rPr>
    </w:lvl>
    <w:lvl w:ilvl="7">
      <w:start w:val="1"/>
      <w:numFmt w:val="decimal"/>
      <w:isLgl/>
      <w:lvlText w:val="%1.%2.%3.%4.%5.%6.%7.%8"/>
      <w:lvlJc w:val="left"/>
      <w:pPr>
        <w:ind w:left="2800" w:hanging="2160"/>
      </w:pPr>
      <w:rPr>
        <w:rFonts w:hint="default"/>
      </w:rPr>
    </w:lvl>
    <w:lvl w:ilvl="8">
      <w:start w:val="1"/>
      <w:numFmt w:val="decimal"/>
      <w:isLgl/>
      <w:lvlText w:val="%1.%2.%3.%4.%5.%6.%7.%8.%9"/>
      <w:lvlJc w:val="left"/>
      <w:pPr>
        <w:ind w:left="2800" w:hanging="2160"/>
      </w:pPr>
      <w:rPr>
        <w:rFonts w:hint="default"/>
      </w:rPr>
    </w:lvl>
  </w:abstractNum>
  <w:abstractNum w:abstractNumId="3" w15:restartNumberingAfterBreak="0">
    <w:nsid w:val="41540A89"/>
    <w:multiLevelType w:val="singleLevel"/>
    <w:tmpl w:val="41540A89"/>
    <w:lvl w:ilvl="0">
      <w:start w:val="4"/>
      <w:numFmt w:val="chineseCounting"/>
      <w:suff w:val="nothing"/>
      <w:lvlText w:val="%1、"/>
      <w:lvlJc w:val="left"/>
      <w:rPr>
        <w:rFonts w:hint="eastAsi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0"/>
  <w:drawingGridHorizontalSpacing w:val="105"/>
  <w:drawingGridVerticalSpacing w:val="158"/>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0C8"/>
    <w:rsid w:val="000035AA"/>
    <w:rsid w:val="00016D27"/>
    <w:rsid w:val="00016E93"/>
    <w:rsid w:val="0002574F"/>
    <w:rsid w:val="00035514"/>
    <w:rsid w:val="00071507"/>
    <w:rsid w:val="000A2989"/>
    <w:rsid w:val="000B1917"/>
    <w:rsid w:val="000B32EC"/>
    <w:rsid w:val="000E0170"/>
    <w:rsid w:val="00101F08"/>
    <w:rsid w:val="00127D58"/>
    <w:rsid w:val="001550D7"/>
    <w:rsid w:val="00157D65"/>
    <w:rsid w:val="00186786"/>
    <w:rsid w:val="001C492C"/>
    <w:rsid w:val="001F3FB0"/>
    <w:rsid w:val="00204B69"/>
    <w:rsid w:val="00214F56"/>
    <w:rsid w:val="00247F9A"/>
    <w:rsid w:val="00277D15"/>
    <w:rsid w:val="00293109"/>
    <w:rsid w:val="002A510C"/>
    <w:rsid w:val="002A7F53"/>
    <w:rsid w:val="002B28D3"/>
    <w:rsid w:val="002B6FA2"/>
    <w:rsid w:val="002F2CC3"/>
    <w:rsid w:val="003330A7"/>
    <w:rsid w:val="0035031B"/>
    <w:rsid w:val="00351116"/>
    <w:rsid w:val="00352FFE"/>
    <w:rsid w:val="0036326B"/>
    <w:rsid w:val="00383F83"/>
    <w:rsid w:val="003B452F"/>
    <w:rsid w:val="003C2FA0"/>
    <w:rsid w:val="003C4A36"/>
    <w:rsid w:val="003D08E2"/>
    <w:rsid w:val="003E7CB8"/>
    <w:rsid w:val="00405AE4"/>
    <w:rsid w:val="004218DC"/>
    <w:rsid w:val="00453B18"/>
    <w:rsid w:val="004A48F4"/>
    <w:rsid w:val="004D7576"/>
    <w:rsid w:val="004F27D3"/>
    <w:rsid w:val="005410CE"/>
    <w:rsid w:val="0056324D"/>
    <w:rsid w:val="00564625"/>
    <w:rsid w:val="0056661D"/>
    <w:rsid w:val="005876C3"/>
    <w:rsid w:val="00593C49"/>
    <w:rsid w:val="005B404F"/>
    <w:rsid w:val="005B7736"/>
    <w:rsid w:val="005D20CB"/>
    <w:rsid w:val="005D7D24"/>
    <w:rsid w:val="005E7595"/>
    <w:rsid w:val="005F4ADA"/>
    <w:rsid w:val="006052CA"/>
    <w:rsid w:val="00612531"/>
    <w:rsid w:val="006428CA"/>
    <w:rsid w:val="00653C7E"/>
    <w:rsid w:val="0067038A"/>
    <w:rsid w:val="00673EAB"/>
    <w:rsid w:val="00690209"/>
    <w:rsid w:val="006D3D5E"/>
    <w:rsid w:val="006E0E17"/>
    <w:rsid w:val="00711951"/>
    <w:rsid w:val="007140B7"/>
    <w:rsid w:val="00727597"/>
    <w:rsid w:val="00735046"/>
    <w:rsid w:val="00752A7E"/>
    <w:rsid w:val="00766F07"/>
    <w:rsid w:val="007B409A"/>
    <w:rsid w:val="007C1621"/>
    <w:rsid w:val="007C72C1"/>
    <w:rsid w:val="007F6C62"/>
    <w:rsid w:val="008044C1"/>
    <w:rsid w:val="0080591C"/>
    <w:rsid w:val="00840DEF"/>
    <w:rsid w:val="00845649"/>
    <w:rsid w:val="008457F1"/>
    <w:rsid w:val="00863C35"/>
    <w:rsid w:val="008857B8"/>
    <w:rsid w:val="008C461A"/>
    <w:rsid w:val="008C5ECE"/>
    <w:rsid w:val="008C74C4"/>
    <w:rsid w:val="008F6D31"/>
    <w:rsid w:val="00926229"/>
    <w:rsid w:val="00935FAF"/>
    <w:rsid w:val="00944679"/>
    <w:rsid w:val="0097437D"/>
    <w:rsid w:val="009869EE"/>
    <w:rsid w:val="00991BF3"/>
    <w:rsid w:val="009A1829"/>
    <w:rsid w:val="009A2DB4"/>
    <w:rsid w:val="009D7C65"/>
    <w:rsid w:val="00A03AD8"/>
    <w:rsid w:val="00A24E9C"/>
    <w:rsid w:val="00A254E3"/>
    <w:rsid w:val="00A30AB5"/>
    <w:rsid w:val="00A351E7"/>
    <w:rsid w:val="00A62362"/>
    <w:rsid w:val="00A646C6"/>
    <w:rsid w:val="00A65BFC"/>
    <w:rsid w:val="00A8280B"/>
    <w:rsid w:val="00A82CA2"/>
    <w:rsid w:val="00AC2D33"/>
    <w:rsid w:val="00B10065"/>
    <w:rsid w:val="00B11072"/>
    <w:rsid w:val="00B25838"/>
    <w:rsid w:val="00B60176"/>
    <w:rsid w:val="00B84EF7"/>
    <w:rsid w:val="00BA00D5"/>
    <w:rsid w:val="00BA1FC7"/>
    <w:rsid w:val="00BE16F8"/>
    <w:rsid w:val="00C1570A"/>
    <w:rsid w:val="00C57201"/>
    <w:rsid w:val="00C578A0"/>
    <w:rsid w:val="00C92BC0"/>
    <w:rsid w:val="00CA2B21"/>
    <w:rsid w:val="00CC6505"/>
    <w:rsid w:val="00CE7A0B"/>
    <w:rsid w:val="00D03FFD"/>
    <w:rsid w:val="00D0628A"/>
    <w:rsid w:val="00D1236C"/>
    <w:rsid w:val="00D53A64"/>
    <w:rsid w:val="00D61B72"/>
    <w:rsid w:val="00D818AE"/>
    <w:rsid w:val="00DC42BB"/>
    <w:rsid w:val="00DD5C43"/>
    <w:rsid w:val="00DF1936"/>
    <w:rsid w:val="00E05A99"/>
    <w:rsid w:val="00E41A1A"/>
    <w:rsid w:val="00E73776"/>
    <w:rsid w:val="00ED2031"/>
    <w:rsid w:val="00EE37FE"/>
    <w:rsid w:val="00F33350"/>
    <w:rsid w:val="00F64776"/>
    <w:rsid w:val="00F6624B"/>
    <w:rsid w:val="00F8685B"/>
    <w:rsid w:val="00FA60C8"/>
    <w:rsid w:val="00FD22E5"/>
    <w:rsid w:val="00FD443E"/>
    <w:rsid w:val="00FD754D"/>
    <w:rsid w:val="00FE4C2D"/>
    <w:rsid w:val="00FF6452"/>
    <w:rsid w:val="06E4493B"/>
    <w:rsid w:val="12681CD2"/>
    <w:rsid w:val="1616507C"/>
    <w:rsid w:val="1E5B79BB"/>
    <w:rsid w:val="3B3E5B75"/>
    <w:rsid w:val="45386969"/>
    <w:rsid w:val="45492E01"/>
    <w:rsid w:val="466F7F34"/>
    <w:rsid w:val="56F64AB7"/>
    <w:rsid w:val="5F8C32F3"/>
    <w:rsid w:val="677D722F"/>
    <w:rsid w:val="758F27DE"/>
    <w:rsid w:val="7672660B"/>
    <w:rsid w:val="76F6BF7F"/>
    <w:rsid w:val="76FBEFB1"/>
    <w:rsid w:val="7F5FDFFB"/>
    <w:rsid w:val="9FE7C264"/>
    <w:rsid w:val="BEFB557A"/>
    <w:rsid w:val="BEFE3E69"/>
    <w:rsid w:val="DBB9B1FC"/>
    <w:rsid w:val="EFEE34AF"/>
    <w:rsid w:val="F4F707E1"/>
    <w:rsid w:val="FBE37A15"/>
    <w:rsid w:val="FBE4CB35"/>
    <w:rsid w:val="FFEBC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58D7B5F-2A04-4DE8-A8F5-B71E1DE89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a4">
    <w:name w:val="Balloon Text"/>
    <w:basedOn w:val="a"/>
    <w:semiHidden/>
    <w:rPr>
      <w:sz w:val="18"/>
      <w:szCs w:val="18"/>
    </w:rPr>
  </w:style>
  <w:style w:type="paragraph" w:styleId="a5">
    <w:name w:val="footer"/>
    <w:basedOn w:val="a"/>
    <w:link w:val="Char"/>
    <w:uiPriority w:val="99"/>
    <w:pPr>
      <w:tabs>
        <w:tab w:val="center" w:pos="4153"/>
        <w:tab w:val="right" w:pos="8306"/>
      </w:tabs>
      <w:snapToGrid w:val="0"/>
      <w:jc w:val="left"/>
    </w:pPr>
    <w:rPr>
      <w:sz w:val="18"/>
      <w:szCs w:val="18"/>
    </w:rPr>
  </w:style>
  <w:style w:type="character" w:customStyle="1" w:styleId="Char">
    <w:name w:val="页脚 Char"/>
    <w:link w:val="a5"/>
    <w:uiPriority w:val="99"/>
    <w:rPr>
      <w:kern w:val="2"/>
      <w:sz w:val="18"/>
      <w:szCs w:val="18"/>
    </w:rPr>
  </w:style>
  <w:style w:type="paragraph" w:styleId="a6">
    <w:name w:val="header"/>
    <w:basedOn w:val="a"/>
    <w:link w:val="Char0"/>
    <w:uiPriority w:val="99"/>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6"/>
    <w:uiPriority w:val="99"/>
    <w:rPr>
      <w:kern w:val="2"/>
      <w:sz w:val="18"/>
      <w:szCs w:val="18"/>
    </w:rPr>
  </w:style>
  <w:style w:type="character" w:styleId="a7">
    <w:name w:val="page numb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1725</Words>
  <Characters>9833</Characters>
  <Application>Microsoft Office Word</Application>
  <DocSecurity>0</DocSecurity>
  <Lines>81</Lines>
  <Paragraphs>23</Paragraphs>
  <ScaleCrop>false</ScaleCrop>
  <Company>Xtzj.Com</Company>
  <LinksUpToDate>false</LinksUpToDate>
  <CharactersWithSpaces>11535</CharactersWithSpaces>
  <SharedDoc>false</SharedDoc>
  <HLinks>
    <vt:vector size="6" baseType="variant">
      <vt:variant>
        <vt:i4>7602282</vt:i4>
      </vt:variant>
      <vt:variant>
        <vt:i4>4</vt:i4>
      </vt:variant>
      <vt:variant>
        <vt:i4>0</vt:i4>
      </vt:variant>
      <vt:variant>
        <vt:i4>5</vt:i4>
      </vt:variant>
      <vt:variant>
        <vt:lpwstr>http://www.cfda.gov.cn/directory/web/WS01/images/MjAxN8TqtdoyNbrFzai45ri9vP4uZG9jeA==.docx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（局发文式样）</dc:title>
  <dc:subject/>
  <dc:creator>Xtzj.User</dc:creator>
  <cp:keywords/>
  <cp:lastModifiedBy>pc</cp:lastModifiedBy>
  <cp:revision>2</cp:revision>
  <cp:lastPrinted>2021-11-30T16:09:00Z</cp:lastPrinted>
  <dcterms:created xsi:type="dcterms:W3CDTF">2021-12-01T01:20:00Z</dcterms:created>
  <dcterms:modified xsi:type="dcterms:W3CDTF">2021-12-01T01:20:00Z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2052-11.8.2.9958</vt:lpwstr>
  </property>
</Properties>
</file>