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17B3">
      <w:pPr>
        <w:tabs>
          <w:tab w:val="left" w:pos="6480"/>
          <w:tab w:val="left" w:pos="7920"/>
        </w:tabs>
        <w:spacing w:line="240" w:lineRule="exact"/>
        <w:rPr>
          <w:rFonts w:ascii="黑体" w:eastAsia="黑体" w:hint="eastAsia"/>
          <w:sz w:val="32"/>
          <w:szCs w:val="32"/>
        </w:rPr>
      </w:pPr>
      <w:r>
        <w:rPr>
          <w:rFonts w:ascii="黑体" w:eastAsia="黑体" w:hint="eastAsia"/>
          <w:sz w:val="32"/>
          <w:szCs w:val="32"/>
        </w:rPr>
        <w:t xml:space="preserve">          </w:t>
      </w:r>
    </w:p>
    <w:p w:rsidR="00000000" w:rsidRPr="00EE14E1" w:rsidRDefault="002617B3" w:rsidP="00EE14E1">
      <w:pPr>
        <w:rPr>
          <w:rFonts w:eastAsia="黑体"/>
          <w:color w:val="FF0000"/>
          <w:sz w:val="32"/>
          <w:szCs w:val="32"/>
        </w:rPr>
      </w:pPr>
      <w:r>
        <w:rPr>
          <w:rFonts w:ascii="黑体" w:eastAsia="黑体" w:hAnsi="黑体" w:cs="黑体" w:hint="eastAsia"/>
          <w:sz w:val="32"/>
          <w:szCs w:val="32"/>
        </w:rPr>
        <w:t>附件</w:t>
      </w:r>
      <w:r>
        <w:rPr>
          <w:rFonts w:ascii="黑体" w:eastAsia="黑体" w:hAnsi="黑体" w:cs="黑体" w:hint="eastAsia"/>
          <w:sz w:val="32"/>
          <w:szCs w:val="32"/>
          <w:lang w:val="en"/>
        </w:rPr>
        <w:t>1</w:t>
      </w:r>
    </w:p>
    <w:p w:rsidR="00000000" w:rsidRDefault="002617B3">
      <w:pPr>
        <w:snapToGrid w:val="0"/>
        <w:spacing w:line="560" w:lineRule="exact"/>
        <w:jc w:val="left"/>
        <w:rPr>
          <w:rFonts w:eastAsia="黑体" w:hint="eastAsia"/>
          <w:sz w:val="32"/>
          <w:szCs w:val="32"/>
          <w:lang w:val="en"/>
        </w:rPr>
      </w:pPr>
    </w:p>
    <w:p w:rsidR="00000000" w:rsidRDefault="002617B3">
      <w:pPr>
        <w:snapToGrid w:val="0"/>
        <w:spacing w:line="560" w:lineRule="exact"/>
        <w:jc w:val="center"/>
        <w:rPr>
          <w:rFonts w:eastAsia="方正小标宋简体" w:hint="eastAsia"/>
          <w:sz w:val="44"/>
          <w:szCs w:val="44"/>
        </w:rPr>
      </w:pPr>
      <w:r>
        <w:rPr>
          <w:rFonts w:eastAsia="方正小标宋简体" w:hint="eastAsia"/>
          <w:sz w:val="44"/>
          <w:szCs w:val="44"/>
        </w:rPr>
        <w:t>以医疗器械作用为主的</w:t>
      </w:r>
      <w:r>
        <w:rPr>
          <w:rFonts w:eastAsia="方正小标宋简体"/>
          <w:sz w:val="44"/>
          <w:szCs w:val="44"/>
        </w:rPr>
        <w:t>药械组合</w:t>
      </w:r>
      <w:r>
        <w:rPr>
          <w:rFonts w:eastAsia="方正小标宋简体" w:hint="eastAsia"/>
          <w:sz w:val="44"/>
          <w:szCs w:val="44"/>
        </w:rPr>
        <w:t>产品</w:t>
      </w:r>
    </w:p>
    <w:p w:rsidR="00000000" w:rsidRDefault="002617B3">
      <w:pPr>
        <w:snapToGrid w:val="0"/>
        <w:spacing w:line="560" w:lineRule="exact"/>
        <w:jc w:val="center"/>
        <w:rPr>
          <w:rFonts w:eastAsia="方正小标宋简体" w:cs="仿宋_GB2312"/>
          <w:bCs/>
          <w:color w:val="000000"/>
          <w:sz w:val="44"/>
          <w:szCs w:val="44"/>
        </w:rPr>
      </w:pPr>
      <w:r>
        <w:rPr>
          <w:rFonts w:eastAsia="方正小标宋简体" w:cs="仿宋_GB2312" w:hint="eastAsia"/>
          <w:bCs/>
          <w:color w:val="000000"/>
          <w:sz w:val="44"/>
          <w:szCs w:val="44"/>
        </w:rPr>
        <w:t>注册审查指导原则</w:t>
      </w:r>
    </w:p>
    <w:p w:rsidR="00000000" w:rsidRDefault="002617B3">
      <w:pPr>
        <w:snapToGrid w:val="0"/>
        <w:spacing w:line="560" w:lineRule="exact"/>
        <w:ind w:firstLineChars="200" w:firstLine="640"/>
        <w:rPr>
          <w:rFonts w:eastAsia="仿宋_GB2312" w:cs="仿宋_GB2312"/>
          <w:bCs/>
          <w:color w:val="000000"/>
          <w:sz w:val="32"/>
          <w:szCs w:val="32"/>
        </w:rPr>
      </w:pPr>
    </w:p>
    <w:p w:rsidR="00000000" w:rsidRDefault="002617B3">
      <w:pPr>
        <w:spacing w:line="560" w:lineRule="exact"/>
        <w:ind w:firstLineChars="200" w:firstLine="640"/>
        <w:contextualSpacing/>
        <w:rPr>
          <w:rFonts w:eastAsia="仿宋_GB2312" w:cs="仿宋_GB2312"/>
          <w:bCs/>
          <w:color w:val="000000"/>
          <w:sz w:val="32"/>
          <w:szCs w:val="32"/>
        </w:rPr>
      </w:pPr>
      <w:r>
        <w:rPr>
          <w:rFonts w:eastAsia="仿宋_GB2312" w:cs="仿宋_GB2312" w:hint="eastAsia"/>
          <w:bCs/>
          <w:color w:val="000000"/>
          <w:sz w:val="32"/>
          <w:szCs w:val="32"/>
        </w:rPr>
        <w:t>以医疗器械作用为主的药械组合产品</w:t>
      </w:r>
      <w:r>
        <w:rPr>
          <w:rFonts w:eastAsia="仿宋_GB2312" w:cs="仿宋_GB2312" w:hint="eastAsia"/>
          <w:bCs/>
          <w:color w:val="000000"/>
          <w:sz w:val="32"/>
          <w:szCs w:val="32"/>
        </w:rPr>
        <w:t>（本指导原则简称为</w:t>
      </w:r>
      <w:r>
        <w:rPr>
          <w:rFonts w:eastAsia="仿宋_GB2312" w:cs="仿宋_GB2312" w:hint="eastAsia"/>
          <w:bCs/>
          <w:color w:val="000000"/>
          <w:sz w:val="32"/>
          <w:szCs w:val="32"/>
        </w:rPr>
        <w:t>药械组合医疗器械</w:t>
      </w:r>
      <w:r>
        <w:rPr>
          <w:rFonts w:eastAsia="仿宋_GB2312" w:cs="仿宋_GB2312" w:hint="eastAsia"/>
          <w:bCs/>
          <w:color w:val="000000"/>
          <w:sz w:val="32"/>
          <w:szCs w:val="32"/>
        </w:rPr>
        <w:t>）</w:t>
      </w:r>
      <w:r>
        <w:rPr>
          <w:rFonts w:eastAsia="仿宋_GB2312" w:cs="仿宋_GB2312" w:hint="eastAsia"/>
          <w:bCs/>
          <w:color w:val="000000"/>
          <w:sz w:val="32"/>
          <w:szCs w:val="32"/>
        </w:rPr>
        <w:t>，预期可能使产品在疾病的预防、治疗等过程中更加安全和有效，但也可能会引发新的技术关</w:t>
      </w:r>
      <w:r>
        <w:rPr>
          <w:rFonts w:eastAsia="仿宋_GB2312" w:cs="仿宋_GB2312" w:hint="eastAsia"/>
          <w:bCs/>
          <w:color w:val="000000"/>
          <w:sz w:val="32"/>
          <w:szCs w:val="32"/>
        </w:rPr>
        <w:t>注点，因此为了进一步指导申请人对药械组合医疗器械注册申报的准备，鼓励该类产品的创新发展，制订本指导原则。</w:t>
      </w:r>
    </w:p>
    <w:p w:rsidR="00000000" w:rsidRDefault="002617B3">
      <w:pPr>
        <w:spacing w:line="560" w:lineRule="exact"/>
        <w:ind w:firstLineChars="200" w:firstLine="640"/>
        <w:contextualSpacing/>
        <w:rPr>
          <w:rFonts w:eastAsia="仿宋_GB2312" w:cs="仿宋_GB2312"/>
          <w:bCs/>
          <w:color w:val="000000"/>
          <w:sz w:val="32"/>
          <w:szCs w:val="32"/>
        </w:rPr>
      </w:pPr>
      <w:r>
        <w:rPr>
          <w:rFonts w:eastAsia="仿宋_GB2312" w:cs="仿宋_GB2312" w:hint="eastAsia"/>
          <w:bCs/>
          <w:color w:val="000000"/>
          <w:sz w:val="32"/>
          <w:szCs w:val="32"/>
        </w:rPr>
        <w:t>本指导原则系对药械组合医疗器械注册审查的一般指导文件。由于该类产品品种多样，本指导原则主要对药械组合医疗器械中药物相关要求提供了指导，申请人可依据具体产品的特性对资料进行充实和细化。本指导原则虽然为该类产品的注册申报提供了初步指导和建议，但不会限制医疗器械相关管理部门及该类产品的技术审评、行政审批，以及申请人对注册申报资料的准备。</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本指导原则是在现行法规以及当前认知水平下制订的，随着法规的不断完善，以及</w:t>
      </w:r>
      <w:r>
        <w:rPr>
          <w:rFonts w:eastAsia="仿宋_GB2312" w:cs="仿宋_GB2312" w:hint="eastAsia"/>
          <w:bCs/>
          <w:color w:val="000000"/>
          <w:sz w:val="32"/>
          <w:szCs w:val="32"/>
        </w:rPr>
        <w:t>药械组合医疗器械技术的发展和提高，本指导原则相关内容也将进行适时调整。</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一、适用范围</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本指导原则涉及的药械组合产品系指由药品与医疗器械共同组成，并作为一个单一实体生产的医疗产品，其中以医疗器械</w:t>
      </w:r>
      <w:r>
        <w:rPr>
          <w:rFonts w:eastAsia="仿宋_GB2312" w:cs="仿宋_GB2312" w:hint="eastAsia"/>
          <w:bCs/>
          <w:color w:val="000000"/>
          <w:sz w:val="32"/>
          <w:szCs w:val="32"/>
        </w:rPr>
        <w:lastRenderedPageBreak/>
        <w:t>作用为主的药械组合产品按照医疗器械管理，简称药械组合医疗器械。</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本指导原则适用于药械组合医疗器械注册申报资料的准备和注册审查。本指导原则仅对产品中药物部分要求提出了建议。本指导原则不涉及药械组合医疗器械的界定程序及要求。</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二、基本要求</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药械组合医疗器械本质上为医疗器械产品，应按照《医疗器械注册申报资料要求及说明》准备相</w:t>
      </w:r>
      <w:r>
        <w:rPr>
          <w:rFonts w:eastAsia="仿宋_GB2312" w:cs="仿宋_GB2312" w:hint="eastAsia"/>
          <w:bCs/>
          <w:color w:val="000000"/>
          <w:sz w:val="32"/>
          <w:szCs w:val="32"/>
        </w:rPr>
        <w:t>关注册申报资料，并在注册申请表中注明“药械组合产品”。</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申请人应将药械组合医疗器械作为单一实体评估产品的安全性和有效性，需特别关注药物和</w:t>
      </w:r>
      <w:r>
        <w:rPr>
          <w:rFonts w:eastAsia="仿宋_GB2312" w:cs="仿宋_GB2312" w:hint="eastAsia"/>
          <w:bCs/>
          <w:color w:val="000000"/>
          <w:sz w:val="32"/>
          <w:szCs w:val="32"/>
        </w:rPr>
        <w:t>/</w:t>
      </w:r>
      <w:r>
        <w:rPr>
          <w:rFonts w:eastAsia="仿宋_GB2312" w:cs="仿宋_GB2312" w:hint="eastAsia"/>
          <w:bCs/>
          <w:color w:val="000000"/>
          <w:sz w:val="32"/>
          <w:szCs w:val="32"/>
        </w:rPr>
        <w:t>或医疗器械与药物相互作用等引入的潜在风险。申请人可结合已有的药物相关信息进行评估，但药械组合医疗器械中药物的安全性和有效性可能不同于单独使用的药物。通常药械组合医疗器械重点关注药物局部应用的安全性和有效性，但当组合应用后药物血药浓度大于常规药物使用的血药浓度时，也需对系统毒性进行评价。</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必要时，建议申请人同时参考适用的药品相关指导原则。</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三、特殊要求</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（一）电子申报资料项</w:t>
      </w:r>
      <w:r>
        <w:rPr>
          <w:rFonts w:eastAsia="楷体_GB2312" w:cs="仿宋_GB2312" w:hint="eastAsia"/>
          <w:bCs/>
          <w:color w:val="000000"/>
          <w:sz w:val="32"/>
          <w:szCs w:val="32"/>
        </w:rPr>
        <w:t>目提交要求</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申请人应按照医疗器械注册电子申报系统（</w:t>
      </w:r>
      <w:r>
        <w:rPr>
          <w:rFonts w:eastAsia="仿宋_GB2312" w:cs="仿宋_GB2312" w:hint="eastAsia"/>
          <w:bCs/>
          <w:color w:val="000000"/>
          <w:sz w:val="32"/>
          <w:szCs w:val="32"/>
        </w:rPr>
        <w:t>eRPS</w:t>
      </w:r>
      <w:r>
        <w:rPr>
          <w:rFonts w:eastAsia="仿宋_GB2312" w:cs="仿宋_GB2312" w:hint="eastAsia"/>
          <w:bCs/>
          <w:color w:val="000000"/>
          <w:sz w:val="32"/>
          <w:szCs w:val="32"/>
        </w:rPr>
        <w:t>）格式要求准备相关申报资料，并在</w:t>
      </w:r>
      <w:r>
        <w:rPr>
          <w:rFonts w:eastAsia="仿宋_GB2312" w:cs="仿宋_GB2312"/>
          <w:bCs/>
          <w:color w:val="000000"/>
          <w:sz w:val="32"/>
          <w:szCs w:val="32"/>
        </w:rPr>
        <w:t>CH3.8</w:t>
      </w:r>
      <w:r>
        <w:rPr>
          <w:rFonts w:eastAsia="仿宋_GB2312" w:cs="仿宋_GB2312" w:hint="eastAsia"/>
          <w:bCs/>
          <w:color w:val="000000"/>
          <w:sz w:val="32"/>
          <w:szCs w:val="32"/>
        </w:rPr>
        <w:t>（其他资料）提交药物相关产品描述、药物和</w:t>
      </w:r>
      <w:r>
        <w:rPr>
          <w:rFonts w:eastAsia="仿宋_GB2312" w:cs="仿宋_GB2312"/>
          <w:bCs/>
          <w:color w:val="000000"/>
          <w:sz w:val="32"/>
          <w:szCs w:val="32"/>
        </w:rPr>
        <w:t>/</w:t>
      </w:r>
      <w:r>
        <w:rPr>
          <w:rFonts w:eastAsia="仿宋_GB2312" w:cs="仿宋_GB2312"/>
          <w:bCs/>
          <w:color w:val="000000"/>
          <w:sz w:val="32"/>
          <w:szCs w:val="32"/>
        </w:rPr>
        <w:t>或医疗器械与药物相互作用</w:t>
      </w:r>
      <w:r>
        <w:rPr>
          <w:rFonts w:eastAsia="仿宋_GB2312" w:cs="仿宋_GB2312" w:hint="eastAsia"/>
          <w:bCs/>
          <w:color w:val="000000"/>
          <w:sz w:val="32"/>
          <w:szCs w:val="32"/>
        </w:rPr>
        <w:t>、药物含量</w:t>
      </w:r>
      <w:r>
        <w:rPr>
          <w:rFonts w:eastAsia="仿宋_GB2312" w:cs="仿宋_GB2312" w:hint="eastAsia"/>
          <w:bCs/>
          <w:color w:val="000000"/>
          <w:sz w:val="32"/>
          <w:szCs w:val="32"/>
        </w:rPr>
        <w:t>/</w:t>
      </w:r>
      <w:r>
        <w:rPr>
          <w:rFonts w:eastAsia="仿宋_GB2312" w:cs="仿宋_GB2312" w:hint="eastAsia"/>
          <w:bCs/>
          <w:color w:val="000000"/>
          <w:sz w:val="32"/>
          <w:szCs w:val="32"/>
        </w:rPr>
        <w:t>剂量选择资料。同时在</w:t>
      </w:r>
      <w:r>
        <w:rPr>
          <w:rFonts w:eastAsia="仿宋_GB2312" w:cs="仿宋_GB2312" w:hint="eastAsia"/>
          <w:bCs/>
          <w:color w:val="000000"/>
          <w:sz w:val="32"/>
          <w:szCs w:val="32"/>
        </w:rPr>
        <w:t>CH3.8</w:t>
      </w:r>
      <w:r>
        <w:rPr>
          <w:rFonts w:eastAsia="仿宋_GB2312" w:cs="仿宋_GB2312" w:hint="eastAsia"/>
          <w:bCs/>
          <w:color w:val="000000"/>
          <w:sz w:val="32"/>
          <w:szCs w:val="32"/>
        </w:rPr>
        <w:t>项提交相关研究总结，若具体研究资料</w:t>
      </w:r>
      <w:r>
        <w:rPr>
          <w:rFonts w:eastAsia="仿宋_GB2312" w:cs="仿宋_GB2312" w:hint="eastAsia"/>
          <w:bCs/>
          <w:color w:val="000000"/>
          <w:sz w:val="32"/>
          <w:szCs w:val="32"/>
        </w:rPr>
        <w:lastRenderedPageBreak/>
        <w:t>在其他</w:t>
      </w:r>
      <w:r>
        <w:rPr>
          <w:rFonts w:eastAsia="仿宋_GB2312" w:cs="仿宋_GB2312" w:hint="eastAsia"/>
          <w:bCs/>
          <w:color w:val="000000"/>
          <w:sz w:val="32"/>
          <w:szCs w:val="32"/>
        </w:rPr>
        <w:t>eRPS</w:t>
      </w:r>
      <w:r>
        <w:rPr>
          <w:rFonts w:eastAsia="仿宋_GB2312" w:cs="仿宋_GB2312" w:hint="eastAsia"/>
          <w:bCs/>
          <w:color w:val="000000"/>
          <w:sz w:val="32"/>
          <w:szCs w:val="32"/>
        </w:rPr>
        <w:t>项目提交，需明确相应的</w:t>
      </w:r>
      <w:r>
        <w:rPr>
          <w:rFonts w:eastAsia="仿宋_GB2312" w:cs="仿宋_GB2312" w:hint="eastAsia"/>
          <w:bCs/>
          <w:color w:val="000000"/>
          <w:sz w:val="32"/>
          <w:szCs w:val="32"/>
        </w:rPr>
        <w:t>eRPS</w:t>
      </w:r>
      <w:r>
        <w:rPr>
          <w:rFonts w:eastAsia="仿宋_GB2312" w:cs="仿宋_GB2312" w:hint="eastAsia"/>
          <w:bCs/>
          <w:color w:val="000000"/>
          <w:sz w:val="32"/>
          <w:szCs w:val="32"/>
        </w:rPr>
        <w:t>项目编号及文件名称。如适用，建议其他项目中药物相关资料以附件形式提交，资料名称宜参照以下命名规则：</w:t>
      </w:r>
    </w:p>
    <w:p w:rsidR="00000000" w:rsidRDefault="00EE14E1">
      <w:pPr>
        <w:snapToGrid w:val="0"/>
        <w:spacing w:line="0" w:lineRule="atLeast"/>
        <w:ind w:firstLineChars="200" w:firstLine="420"/>
        <w:jc w:val="center"/>
        <w:rPr>
          <w:rFonts w:eastAsia="仿宋_GB2312" w:cs="仿宋_GB2312"/>
          <w:bCs/>
          <w:color w:val="000000"/>
          <w:sz w:val="32"/>
          <w:szCs w:val="32"/>
        </w:rPr>
      </w:pPr>
      <w:r>
        <w:rPr>
          <w:rFonts w:eastAsia="等线"/>
          <w:noProof/>
          <w:szCs w:val="22"/>
        </w:rPr>
        <w:drawing>
          <wp:inline distT="0" distB="0" distL="0" distR="0">
            <wp:extent cx="5276850" cy="1809750"/>
            <wp:effectExtent l="0" t="0" r="0" b="0"/>
            <wp:docPr id="2" name="图片 2" descr="G:\监管科学-药械组合\命名规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监管科学-药械组合\命名规则.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809750"/>
                    </a:xfrm>
                    <a:prstGeom prst="rect">
                      <a:avLst/>
                    </a:prstGeom>
                    <a:noFill/>
                    <a:ln>
                      <a:noFill/>
                    </a:ln>
                  </pic:spPr>
                </pic:pic>
              </a:graphicData>
            </a:graphic>
          </wp:inline>
        </w:drawing>
      </w:r>
    </w:p>
    <w:p w:rsidR="00000000" w:rsidRDefault="002617B3">
      <w:pPr>
        <w:snapToGrid w:val="0"/>
        <w:spacing w:line="520" w:lineRule="exact"/>
        <w:ind w:firstLineChars="200" w:firstLine="560"/>
        <w:jc w:val="center"/>
        <w:rPr>
          <w:rFonts w:eastAsia="黑体" w:cs="仿宋_GB2312"/>
          <w:bCs/>
          <w:color w:val="000000"/>
          <w:sz w:val="28"/>
          <w:szCs w:val="32"/>
        </w:rPr>
      </w:pPr>
      <w:r>
        <w:rPr>
          <w:rFonts w:eastAsia="黑体" w:cs="仿宋_GB2312" w:hint="eastAsia"/>
          <w:bCs/>
          <w:color w:val="000000"/>
          <w:sz w:val="28"/>
          <w:szCs w:val="32"/>
        </w:rPr>
        <w:t>图</w:t>
      </w:r>
      <w:r>
        <w:rPr>
          <w:rFonts w:eastAsia="黑体" w:cs="仿宋_GB2312" w:hint="eastAsia"/>
          <w:bCs/>
          <w:color w:val="000000"/>
          <w:sz w:val="28"/>
          <w:szCs w:val="32"/>
        </w:rPr>
        <w:t xml:space="preserve">1 </w:t>
      </w:r>
      <w:r>
        <w:rPr>
          <w:rFonts w:eastAsia="黑体" w:cs="仿宋_GB2312" w:hint="eastAsia"/>
          <w:bCs/>
          <w:color w:val="000000"/>
          <w:sz w:val="28"/>
          <w:szCs w:val="32"/>
        </w:rPr>
        <w:t>文件命名规则</w:t>
      </w:r>
    </w:p>
    <w:p w:rsidR="00000000" w:rsidRDefault="002617B3">
      <w:pPr>
        <w:snapToGrid w:val="0"/>
        <w:spacing w:line="560" w:lineRule="exact"/>
        <w:ind w:firstLineChars="200" w:firstLine="640"/>
        <w:jc w:val="left"/>
        <w:rPr>
          <w:rFonts w:eastAsia="仿宋_GB2312" w:cs="仿宋_GB2312"/>
          <w:bCs/>
          <w:color w:val="000000"/>
          <w:sz w:val="32"/>
          <w:szCs w:val="32"/>
        </w:rPr>
      </w:pPr>
      <w:r>
        <w:rPr>
          <w:rFonts w:eastAsia="仿宋_GB2312" w:cs="仿宋_GB2312" w:hint="eastAsia"/>
          <w:bCs/>
          <w:color w:val="000000"/>
          <w:sz w:val="32"/>
          <w:szCs w:val="32"/>
        </w:rPr>
        <w:t>举例：药物相关</w:t>
      </w:r>
      <w:r>
        <w:rPr>
          <w:rFonts w:eastAsia="仿宋_GB2312" w:cs="仿宋_GB2312"/>
          <w:bCs/>
          <w:color w:val="000000"/>
          <w:sz w:val="32"/>
          <w:szCs w:val="32"/>
        </w:rPr>
        <w:t xml:space="preserve">-CH3.7.1 </w:t>
      </w:r>
      <w:r>
        <w:rPr>
          <w:rFonts w:eastAsia="仿宋_GB2312" w:cs="仿宋_GB2312" w:hint="eastAsia"/>
          <w:bCs/>
          <w:color w:val="000000"/>
          <w:sz w:val="32"/>
          <w:szCs w:val="32"/>
        </w:rPr>
        <w:t>产品稳定性</w:t>
      </w:r>
      <w:r>
        <w:rPr>
          <w:rFonts w:eastAsia="仿宋_GB2312" w:cs="仿宋_GB2312"/>
          <w:bCs/>
          <w:color w:val="000000"/>
          <w:sz w:val="32"/>
          <w:szCs w:val="32"/>
        </w:rPr>
        <w:t>-</w:t>
      </w:r>
      <w:r>
        <w:rPr>
          <w:rFonts w:eastAsia="仿宋_GB2312" w:cs="仿宋_GB2312" w:hint="eastAsia"/>
          <w:bCs/>
          <w:color w:val="000000"/>
          <w:sz w:val="32"/>
          <w:szCs w:val="32"/>
        </w:rPr>
        <w:t>附件</w:t>
      </w:r>
      <w:r>
        <w:rPr>
          <w:rFonts w:eastAsia="仿宋_GB2312" w:cs="仿宋_GB2312"/>
          <w:bCs/>
          <w:color w:val="000000"/>
          <w:sz w:val="32"/>
          <w:szCs w:val="32"/>
        </w:rPr>
        <w:t>1:</w:t>
      </w:r>
      <w:r>
        <w:rPr>
          <w:rFonts w:eastAsia="仿宋_GB2312" w:cs="仿宋_GB2312" w:hint="eastAsia"/>
          <w:bCs/>
          <w:color w:val="000000"/>
          <w:sz w:val="32"/>
          <w:szCs w:val="32"/>
        </w:rPr>
        <w:t>实时老化研究报告</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（二）产品描述</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申请人需详细描述</w:t>
      </w:r>
      <w:r>
        <w:rPr>
          <w:rFonts w:eastAsia="仿宋_GB2312" w:cs="仿宋_GB2312" w:hint="eastAsia"/>
          <w:bCs/>
          <w:color w:val="000000"/>
          <w:sz w:val="32"/>
          <w:szCs w:val="32"/>
        </w:rPr>
        <w:t>药械组合医疗器械产品中药物名称、预期使用目的、首要作用方式、来源及相关许可文件（如有）。</w:t>
      </w:r>
    </w:p>
    <w:p w:rsidR="00000000" w:rsidRDefault="002617B3">
      <w:pPr>
        <w:snapToGrid w:val="0"/>
        <w:spacing w:line="560" w:lineRule="exact"/>
        <w:ind w:left="640"/>
        <w:outlineLvl w:val="2"/>
        <w:rPr>
          <w:rFonts w:eastAsia="仿宋_GB2312" w:cs="仿宋_GB2312"/>
          <w:bCs/>
          <w:color w:val="000000"/>
          <w:sz w:val="32"/>
          <w:szCs w:val="32"/>
        </w:rPr>
      </w:pPr>
      <w:r>
        <w:rPr>
          <w:rFonts w:eastAsia="仿宋_GB2312" w:cs="仿宋_GB2312" w:hint="eastAsia"/>
          <w:bCs/>
          <w:color w:val="000000"/>
          <w:sz w:val="32"/>
          <w:szCs w:val="32"/>
        </w:rPr>
        <w:t>1.</w:t>
      </w:r>
      <w:r>
        <w:rPr>
          <w:rFonts w:eastAsia="仿宋_GB2312" w:cs="仿宋_GB2312" w:hint="eastAsia"/>
          <w:bCs/>
          <w:color w:val="000000"/>
          <w:sz w:val="32"/>
          <w:szCs w:val="32"/>
        </w:rPr>
        <w:t>药物基本信息</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申请人需明确产品中药物的名称。适用时，提供相关信息如化学结构式、分子量、性状、纯度、含量、剂量（如μ</w:t>
      </w:r>
      <w:r>
        <w:rPr>
          <w:rFonts w:eastAsia="仿宋_GB2312" w:cs="仿宋_GB2312" w:hint="eastAsia"/>
          <w:bCs/>
          <w:color w:val="000000"/>
          <w:sz w:val="32"/>
          <w:szCs w:val="32"/>
        </w:rPr>
        <w:t>g/mm</w:t>
      </w:r>
      <w:r>
        <w:rPr>
          <w:rFonts w:eastAsia="仿宋_GB2312" w:cs="仿宋_GB2312" w:hint="eastAsia"/>
          <w:bCs/>
          <w:color w:val="000000"/>
          <w:sz w:val="32"/>
          <w:szCs w:val="32"/>
          <w:vertAlign w:val="superscript"/>
        </w:rPr>
        <w:t>2</w:t>
      </w:r>
      <w:r>
        <w:rPr>
          <w:rFonts w:eastAsia="仿宋_GB2312" w:cs="仿宋_GB2312" w:hint="eastAsia"/>
          <w:bCs/>
          <w:color w:val="000000"/>
          <w:sz w:val="32"/>
          <w:szCs w:val="32"/>
        </w:rPr>
        <w:t>）、载体类型、与载体的配比、药物与器械结合方式等；提供理化性质参数如色泽、</w:t>
      </w:r>
      <w:r>
        <w:rPr>
          <w:rFonts w:eastAsia="仿宋_GB2312" w:cs="仿宋_GB2312" w:hint="eastAsia"/>
          <w:bCs/>
          <w:color w:val="000000"/>
          <w:sz w:val="32"/>
          <w:szCs w:val="32"/>
        </w:rPr>
        <w:t>pH</w:t>
      </w:r>
      <w:r>
        <w:rPr>
          <w:rFonts w:eastAsia="仿宋_GB2312" w:cs="仿宋_GB2312" w:hint="eastAsia"/>
          <w:bCs/>
          <w:color w:val="000000"/>
          <w:sz w:val="32"/>
          <w:szCs w:val="32"/>
        </w:rPr>
        <w:t>值、解离</w:t>
      </w:r>
      <w:r>
        <w:rPr>
          <w:rFonts w:eastAsia="仿宋_GB2312" w:cs="仿宋_GB2312"/>
          <w:bCs/>
          <w:color w:val="000000"/>
          <w:sz w:val="32"/>
          <w:szCs w:val="32"/>
        </w:rPr>
        <w:t>常</w:t>
      </w:r>
      <w:r>
        <w:rPr>
          <w:rFonts w:eastAsia="仿宋_GB2312" w:cs="仿宋_GB2312" w:hint="eastAsia"/>
          <w:bCs/>
          <w:color w:val="000000"/>
          <w:sz w:val="32"/>
          <w:szCs w:val="32"/>
        </w:rPr>
        <w:t>数（</w:t>
      </w:r>
      <w:r>
        <w:rPr>
          <w:rFonts w:eastAsia="仿宋_GB2312" w:cs="仿宋_GB2312" w:hint="eastAsia"/>
          <w:bCs/>
          <w:color w:val="000000"/>
          <w:sz w:val="32"/>
          <w:szCs w:val="32"/>
        </w:rPr>
        <w:t>p</w:t>
      </w:r>
      <w:r>
        <w:rPr>
          <w:rFonts w:eastAsia="仿宋_GB2312" w:cs="仿宋_GB2312"/>
          <w:bCs/>
          <w:color w:val="000000"/>
          <w:sz w:val="32"/>
          <w:szCs w:val="32"/>
        </w:rPr>
        <w:t>K</w:t>
      </w:r>
      <w:r>
        <w:rPr>
          <w:rFonts w:eastAsia="仿宋_GB2312" w:cs="仿宋_GB2312" w:hint="eastAsia"/>
          <w:bCs/>
          <w:color w:val="000000"/>
          <w:sz w:val="32"/>
          <w:szCs w:val="32"/>
        </w:rPr>
        <w:t>a</w:t>
      </w:r>
      <w:r>
        <w:rPr>
          <w:rFonts w:eastAsia="仿宋_GB2312" w:cs="仿宋_GB2312" w:hint="eastAsia"/>
          <w:bCs/>
          <w:color w:val="000000"/>
          <w:sz w:val="32"/>
          <w:szCs w:val="32"/>
        </w:rPr>
        <w:t>）、粒度、晶型、比旋度、光学异构体、熔点、水分、溶解度等；提供稳定性信息如对光、湿、热的稳定性，固、液态下的稳定性和相互作用的稳定性；提供药物已有的吸收、分布、代谢、消除等信息。如已上市药物发生相</w:t>
      </w:r>
      <w:r>
        <w:rPr>
          <w:rFonts w:eastAsia="仿宋_GB2312" w:cs="仿宋_GB2312" w:hint="eastAsia"/>
          <w:bCs/>
          <w:color w:val="000000"/>
          <w:sz w:val="32"/>
          <w:szCs w:val="32"/>
        </w:rPr>
        <w:t>关不良事件或召回事件，建议提供相关信息。</w:t>
      </w:r>
    </w:p>
    <w:p w:rsidR="00000000" w:rsidRDefault="002617B3">
      <w:pPr>
        <w:snapToGrid w:val="0"/>
        <w:spacing w:line="560" w:lineRule="exact"/>
        <w:ind w:firstLineChars="200" w:firstLine="640"/>
        <w:rPr>
          <w:rFonts w:eastAsia="仿宋_GB2312" w:cs="仿宋_GB2312"/>
          <w:bCs/>
          <w:color w:val="FF0000"/>
          <w:sz w:val="32"/>
          <w:szCs w:val="32"/>
        </w:rPr>
      </w:pPr>
      <w:r>
        <w:rPr>
          <w:rFonts w:eastAsia="仿宋_GB2312" w:cs="仿宋_GB2312" w:hint="eastAsia"/>
          <w:bCs/>
          <w:color w:val="000000"/>
          <w:sz w:val="32"/>
          <w:szCs w:val="32"/>
        </w:rPr>
        <w:lastRenderedPageBreak/>
        <w:t>如药物已获得我国或生产国（地区）批准上市销售的，应提供上市销售证明性文件。如已有我国或生产国（地区）批准上市销售的药物，建议优先采用，未采用宜说明理由。如原料药已在某种或某些药物上市时通过关联审评或进行了主文档备案，建议提交关联</w:t>
      </w:r>
      <w:r>
        <w:rPr>
          <w:rFonts w:eastAsia="仿宋_GB2312" w:cs="仿宋_GB2312" w:hint="eastAsia"/>
          <w:bCs/>
          <w:color w:val="000000"/>
          <w:sz w:val="32"/>
          <w:szCs w:val="32"/>
        </w:rPr>
        <w:t>/</w:t>
      </w:r>
      <w:r>
        <w:rPr>
          <w:rFonts w:eastAsia="仿宋_GB2312" w:cs="仿宋_GB2312" w:hint="eastAsia"/>
          <w:bCs/>
          <w:color w:val="000000"/>
          <w:sz w:val="32"/>
          <w:szCs w:val="32"/>
        </w:rPr>
        <w:t>备案信息说明。</w:t>
      </w:r>
    </w:p>
    <w:p w:rsidR="00000000" w:rsidRDefault="002617B3">
      <w:pPr>
        <w:snapToGrid w:val="0"/>
        <w:spacing w:line="560" w:lineRule="exact"/>
        <w:ind w:left="640"/>
        <w:outlineLvl w:val="2"/>
        <w:rPr>
          <w:rFonts w:eastAsia="仿宋_GB2312" w:cs="仿宋_GB2312"/>
          <w:bCs/>
          <w:color w:val="000000"/>
          <w:sz w:val="32"/>
          <w:szCs w:val="32"/>
        </w:rPr>
      </w:pPr>
      <w:r>
        <w:rPr>
          <w:rFonts w:eastAsia="仿宋_GB2312" w:cs="仿宋_GB2312" w:hint="eastAsia"/>
          <w:bCs/>
          <w:color w:val="000000"/>
          <w:sz w:val="32"/>
          <w:szCs w:val="32"/>
        </w:rPr>
        <w:t>2.</w:t>
      </w:r>
      <w:r>
        <w:rPr>
          <w:rFonts w:eastAsia="仿宋_GB2312" w:cs="仿宋_GB2312" w:hint="eastAsia"/>
          <w:bCs/>
          <w:color w:val="000000"/>
          <w:sz w:val="32"/>
          <w:szCs w:val="32"/>
        </w:rPr>
        <w:t>预期使用原因</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提供采用药械组合方式的合理性和必要性分析，如临床治疗需求，分析论述添加药物成分的受益和新增风险，提供相关支持性资料。如已有可参考的同类产品或前代产品，宜提供同类产品或前代产品信息，说明与其差异并评估</w:t>
      </w:r>
      <w:r>
        <w:rPr>
          <w:rFonts w:eastAsia="仿宋_GB2312" w:cs="仿宋_GB2312" w:hint="eastAsia"/>
          <w:bCs/>
          <w:color w:val="000000"/>
          <w:sz w:val="32"/>
          <w:szCs w:val="32"/>
        </w:rPr>
        <w:t>影响。如无明确证据表明适合开发为药械组合医疗器械，不宜采用药械组合方式。</w:t>
      </w:r>
    </w:p>
    <w:p w:rsidR="00000000" w:rsidRDefault="002617B3">
      <w:pPr>
        <w:snapToGrid w:val="0"/>
        <w:spacing w:line="560" w:lineRule="exact"/>
        <w:ind w:left="640"/>
        <w:outlineLvl w:val="2"/>
        <w:rPr>
          <w:rFonts w:eastAsia="仿宋_GB2312" w:cs="仿宋_GB2312"/>
          <w:bCs/>
          <w:color w:val="000000"/>
          <w:sz w:val="32"/>
          <w:szCs w:val="32"/>
        </w:rPr>
      </w:pPr>
      <w:r>
        <w:rPr>
          <w:rFonts w:eastAsia="仿宋_GB2312" w:cs="仿宋_GB2312" w:hint="eastAsia"/>
          <w:bCs/>
          <w:color w:val="000000"/>
          <w:sz w:val="32"/>
          <w:szCs w:val="32"/>
        </w:rPr>
        <w:t>3.</w:t>
      </w:r>
      <w:r>
        <w:rPr>
          <w:rFonts w:eastAsia="仿宋_GB2312" w:cs="仿宋_GB2312" w:hint="eastAsia"/>
          <w:bCs/>
          <w:color w:val="000000"/>
          <w:sz w:val="32"/>
          <w:szCs w:val="32"/>
        </w:rPr>
        <w:t>作用方式</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作用方式为产品实现预期治疗效果或作用的手段，药械组合医疗器械以医疗器械作用方式为主，药物在医疗器械主要作用基础上发挥作用。申请人需阐明药物在医疗器械中发挥作用的原理，实现预期适用范围的机理和作用的持续时间，并提供支持性资料。</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如作为药械组合医疗器械，产生新的作用机理、新的适应证、新的目标人群、新的使用方法等，申请人需予以说明。</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（三）医疗器械与药物的相互作用</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申请人通过化学、物理或其他方式等制造药械组合医疗器械产品时，宜</w:t>
      </w:r>
      <w:r>
        <w:rPr>
          <w:rFonts w:eastAsia="仿宋_GB2312" w:cs="仿宋_GB2312" w:hint="eastAsia"/>
          <w:bCs/>
          <w:color w:val="000000"/>
          <w:sz w:val="32"/>
          <w:szCs w:val="32"/>
        </w:rPr>
        <w:t>在设计开发全过程中考虑医疗器械和药物间的潜在相</w:t>
      </w:r>
      <w:r>
        <w:rPr>
          <w:rFonts w:eastAsia="仿宋_GB2312" w:cs="仿宋_GB2312" w:hint="eastAsia"/>
          <w:bCs/>
          <w:color w:val="000000"/>
          <w:sz w:val="32"/>
          <w:szCs w:val="32"/>
        </w:rPr>
        <w:lastRenderedPageBreak/>
        <w:t>互作用，如器械</w:t>
      </w:r>
      <w:r>
        <w:rPr>
          <w:rFonts w:eastAsia="仿宋_GB2312" w:cs="仿宋_GB2312" w:hint="eastAsia"/>
          <w:bCs/>
          <w:color w:val="000000"/>
          <w:sz w:val="32"/>
          <w:szCs w:val="32"/>
        </w:rPr>
        <w:t>/</w:t>
      </w:r>
      <w:r>
        <w:rPr>
          <w:rFonts w:eastAsia="仿宋_GB2312" w:cs="仿宋_GB2312" w:hint="eastAsia"/>
          <w:bCs/>
          <w:color w:val="000000"/>
          <w:sz w:val="32"/>
          <w:szCs w:val="32"/>
        </w:rPr>
        <w:t>药物性能间的相互增强或削弱。例如药物洗脱支架的药物涂层对支架的置入、生物相容性会产生影响；含药骨水泥的混合聚合过程可能对药物有效性产生影响。一些药械组合医疗器械可能会出现增效作用；一些药物由于器械能量发出而降低稳定性或活性；一些药物放射性导致器械材料退化，因此对于药械组合医疗器械而言，单独的器械部分或药物部分评估可能并不能充分评估产品的安全性和有效性，需进一步考虑两者间的相互潜在作用的影响并提供研究资料。</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（四）药物含量</w:t>
      </w:r>
      <w:r>
        <w:rPr>
          <w:rFonts w:eastAsia="楷体_GB2312" w:cs="仿宋_GB2312" w:hint="eastAsia"/>
          <w:bCs/>
          <w:color w:val="000000"/>
          <w:sz w:val="32"/>
          <w:szCs w:val="32"/>
        </w:rPr>
        <w:t>/</w:t>
      </w:r>
      <w:r>
        <w:rPr>
          <w:rFonts w:eastAsia="楷体_GB2312" w:cs="仿宋_GB2312" w:hint="eastAsia"/>
          <w:bCs/>
          <w:color w:val="000000"/>
          <w:sz w:val="32"/>
          <w:szCs w:val="32"/>
        </w:rPr>
        <w:t>剂量选择</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申请人需提供药</w:t>
      </w:r>
      <w:r>
        <w:rPr>
          <w:rFonts w:eastAsia="仿宋_GB2312" w:cs="仿宋_GB2312" w:hint="eastAsia"/>
          <w:bCs/>
          <w:color w:val="000000"/>
          <w:sz w:val="32"/>
          <w:szCs w:val="32"/>
        </w:rPr>
        <w:t>械组合医疗器械中药物的含量</w:t>
      </w:r>
      <w:r>
        <w:rPr>
          <w:rFonts w:eastAsia="仿宋_GB2312" w:cs="仿宋_GB2312" w:hint="eastAsia"/>
          <w:bCs/>
          <w:color w:val="000000"/>
          <w:sz w:val="32"/>
          <w:szCs w:val="32"/>
        </w:rPr>
        <w:t>/</w:t>
      </w:r>
      <w:r>
        <w:rPr>
          <w:rFonts w:eastAsia="仿宋_GB2312" w:cs="仿宋_GB2312" w:hint="eastAsia"/>
          <w:bCs/>
          <w:color w:val="000000"/>
          <w:sz w:val="32"/>
          <w:szCs w:val="32"/>
        </w:rPr>
        <w:t>剂量选择</w:t>
      </w:r>
      <w:r>
        <w:rPr>
          <w:rFonts w:eastAsia="仿宋_GB2312" w:cs="仿宋_GB2312" w:hint="eastAsia"/>
          <w:bCs/>
          <w:color w:val="000000"/>
          <w:sz w:val="32"/>
          <w:szCs w:val="32"/>
        </w:rPr>
        <w:t>/</w:t>
      </w:r>
      <w:r>
        <w:rPr>
          <w:rFonts w:eastAsia="仿宋_GB2312" w:cs="仿宋_GB2312" w:hint="eastAsia"/>
          <w:bCs/>
          <w:color w:val="000000"/>
          <w:sz w:val="32"/>
          <w:szCs w:val="32"/>
        </w:rPr>
        <w:t>确定依据，如需控制药物释放的，还需提供配方信息如比例以及配方筛选依据。当参考前代产品或同类产品选择含量</w:t>
      </w:r>
      <w:r>
        <w:rPr>
          <w:rFonts w:eastAsia="仿宋_GB2312" w:cs="仿宋_GB2312" w:hint="eastAsia"/>
          <w:bCs/>
          <w:color w:val="000000"/>
          <w:sz w:val="32"/>
          <w:szCs w:val="32"/>
        </w:rPr>
        <w:t>/</w:t>
      </w:r>
      <w:r>
        <w:rPr>
          <w:rFonts w:eastAsia="仿宋_GB2312" w:cs="仿宋_GB2312" w:hint="eastAsia"/>
          <w:bCs/>
          <w:color w:val="000000"/>
          <w:sz w:val="32"/>
          <w:szCs w:val="32"/>
        </w:rPr>
        <w:t>剂量，需评估产品设计差异的影响，如释放速率不同。</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（五）化学和物理性能</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申请人需对药物潜在引入的化学、物理性能风险进行研究</w:t>
      </w:r>
      <w:r>
        <w:rPr>
          <w:rFonts w:eastAsia="仿宋_GB2312" w:cs="仿宋_GB2312" w:hint="eastAsia"/>
          <w:bCs/>
          <w:color w:val="000000"/>
          <w:sz w:val="32"/>
          <w:szCs w:val="32"/>
        </w:rPr>
        <w:t>/</w:t>
      </w:r>
      <w:r>
        <w:rPr>
          <w:rFonts w:eastAsia="仿宋_GB2312" w:cs="仿宋_GB2312" w:hint="eastAsia"/>
          <w:bCs/>
          <w:color w:val="000000"/>
          <w:sz w:val="32"/>
          <w:szCs w:val="32"/>
        </w:rPr>
        <w:t>评估，如单体或溶剂残留、添加剂</w:t>
      </w:r>
      <w:r>
        <w:rPr>
          <w:rFonts w:eastAsia="仿宋_GB2312" w:cs="仿宋_GB2312" w:hint="eastAsia"/>
          <w:bCs/>
          <w:color w:val="000000"/>
          <w:sz w:val="32"/>
          <w:szCs w:val="32"/>
        </w:rPr>
        <w:t>/</w:t>
      </w:r>
      <w:r>
        <w:rPr>
          <w:rFonts w:eastAsia="仿宋_GB2312" w:cs="仿宋_GB2312" w:hint="eastAsia"/>
          <w:bCs/>
          <w:color w:val="000000"/>
          <w:sz w:val="32"/>
          <w:szCs w:val="32"/>
        </w:rPr>
        <w:t>助剂</w:t>
      </w:r>
      <w:r>
        <w:rPr>
          <w:rFonts w:eastAsia="仿宋_GB2312" w:cs="仿宋_GB2312" w:hint="eastAsia"/>
          <w:bCs/>
          <w:color w:val="000000"/>
          <w:sz w:val="32"/>
          <w:szCs w:val="32"/>
        </w:rPr>
        <w:t>/</w:t>
      </w:r>
      <w:r>
        <w:rPr>
          <w:rFonts w:eastAsia="仿宋_GB2312" w:cs="仿宋_GB2312" w:hint="eastAsia"/>
          <w:bCs/>
          <w:color w:val="000000"/>
          <w:sz w:val="32"/>
          <w:szCs w:val="32"/>
        </w:rPr>
        <w:t>催化剂</w:t>
      </w:r>
      <w:r>
        <w:rPr>
          <w:rFonts w:eastAsia="仿宋_GB2312" w:cs="仿宋_GB2312" w:hint="eastAsia"/>
          <w:bCs/>
          <w:color w:val="000000"/>
          <w:sz w:val="32"/>
          <w:szCs w:val="32"/>
        </w:rPr>
        <w:t>/</w:t>
      </w:r>
      <w:r>
        <w:rPr>
          <w:rFonts w:eastAsia="仿宋_GB2312" w:cs="仿宋_GB2312" w:hint="eastAsia"/>
          <w:bCs/>
          <w:color w:val="000000"/>
          <w:sz w:val="32"/>
          <w:szCs w:val="32"/>
        </w:rPr>
        <w:t>交联剂等残留、药物含量、剂量</w:t>
      </w:r>
      <w:r>
        <w:rPr>
          <w:rFonts w:eastAsia="仿宋_GB2312" w:cs="仿宋_GB2312" w:hint="eastAsia"/>
          <w:bCs/>
          <w:color w:val="000000"/>
          <w:sz w:val="32"/>
          <w:szCs w:val="32"/>
        </w:rPr>
        <w:t>/</w:t>
      </w:r>
      <w:r>
        <w:rPr>
          <w:rFonts w:eastAsia="仿宋_GB2312" w:hint="eastAsia"/>
          <w:sz w:val="32"/>
          <w:szCs w:val="32"/>
        </w:rPr>
        <w:t>生物学活性、纯度</w:t>
      </w:r>
      <w:r>
        <w:rPr>
          <w:rFonts w:eastAsia="仿宋_GB2312" w:cs="仿宋_GB2312" w:hint="eastAsia"/>
          <w:bCs/>
          <w:color w:val="000000"/>
          <w:sz w:val="32"/>
          <w:szCs w:val="32"/>
        </w:rPr>
        <w:t>、杂质、药物释放特性、涂层完整性、涂层耐久性、微粒等。</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药物若为申请人制备，如合成药物、生物制品、中药，申请人可参考药物相关药学研究指导原则提供资料，若</w:t>
      </w:r>
      <w:r>
        <w:rPr>
          <w:rFonts w:eastAsia="仿宋_GB2312" w:hint="eastAsia"/>
          <w:color w:val="000000"/>
          <w:kern w:val="0"/>
          <w:sz w:val="32"/>
          <w:szCs w:val="32"/>
        </w:rPr>
        <w:t>申</w:t>
      </w:r>
      <w:r>
        <w:rPr>
          <w:rFonts w:eastAsia="仿宋_GB2312" w:hint="eastAsia"/>
          <w:color w:val="000000"/>
          <w:kern w:val="0"/>
          <w:sz w:val="32"/>
          <w:szCs w:val="32"/>
        </w:rPr>
        <w:t>请人认为不必提交</w:t>
      </w:r>
      <w:r>
        <w:rPr>
          <w:rFonts w:eastAsia="仿宋_GB2312" w:cs="仿宋_GB2312" w:hint="eastAsia"/>
          <w:bCs/>
          <w:color w:val="000000"/>
          <w:sz w:val="32"/>
          <w:szCs w:val="32"/>
        </w:rPr>
        <w:t>药学研究</w:t>
      </w:r>
      <w:r>
        <w:rPr>
          <w:rFonts w:eastAsia="仿宋_GB2312" w:hint="eastAsia"/>
          <w:color w:val="000000"/>
          <w:kern w:val="0"/>
          <w:sz w:val="32"/>
          <w:szCs w:val="32"/>
        </w:rPr>
        <w:t>指导原则建议的某项或某些资料，</w:t>
      </w:r>
      <w:r>
        <w:rPr>
          <w:rFonts w:eastAsia="仿宋_GB2312" w:hint="eastAsia"/>
          <w:sz w:val="32"/>
          <w:szCs w:val="32"/>
        </w:rPr>
        <w:t>应标明不适用，并</w:t>
      </w:r>
      <w:r>
        <w:rPr>
          <w:rFonts w:eastAsia="仿宋_GB2312" w:hint="eastAsia"/>
          <w:color w:val="000000"/>
          <w:kern w:val="0"/>
          <w:sz w:val="32"/>
          <w:szCs w:val="32"/>
        </w:rPr>
        <w:t>提出充分依据。</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（六）生物学特性</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lastRenderedPageBreak/>
        <w:t>对于药械组合医疗器械，参考</w:t>
      </w:r>
      <w:r>
        <w:rPr>
          <w:rFonts w:eastAsia="仿宋_GB2312" w:cs="仿宋_GB2312" w:hint="eastAsia"/>
          <w:bCs/>
          <w:color w:val="000000"/>
          <w:sz w:val="32"/>
          <w:szCs w:val="32"/>
        </w:rPr>
        <w:t>GB/T16886</w:t>
      </w:r>
      <w:r>
        <w:rPr>
          <w:rFonts w:eastAsia="仿宋_GB2312" w:cs="仿宋_GB2312" w:hint="eastAsia"/>
          <w:bCs/>
          <w:color w:val="000000"/>
          <w:sz w:val="32"/>
          <w:szCs w:val="32"/>
        </w:rPr>
        <w:t>系列标准对终产品开展生物学评价，必要时开展生物学试验，宜考虑药物成分与试验系统的兼容性。药物可能会影响生物学试验的结果，申请人可结合药物的作用方式、临床风险</w:t>
      </w:r>
      <w:r>
        <w:rPr>
          <w:rFonts w:eastAsia="仿宋_GB2312" w:cs="仿宋_GB2312" w:hint="eastAsia"/>
          <w:bCs/>
          <w:color w:val="000000"/>
          <w:sz w:val="32"/>
          <w:szCs w:val="32"/>
        </w:rPr>
        <w:t>/</w:t>
      </w:r>
      <w:r>
        <w:rPr>
          <w:rFonts w:eastAsia="仿宋_GB2312" w:cs="仿宋_GB2312" w:hint="eastAsia"/>
          <w:bCs/>
          <w:color w:val="000000"/>
          <w:sz w:val="32"/>
          <w:szCs w:val="32"/>
        </w:rPr>
        <w:t>受益论证药物引入的生物学风险是否可接受。</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对于某些药械组合医疗器械，由于其中的药物接触时间可能不同于器械，所以仅采用一种接触时间方式评估生物学风险可能是不合理的，如结合药物的持续作用时间、药物代谢</w:t>
      </w:r>
      <w:r>
        <w:rPr>
          <w:rFonts w:eastAsia="仿宋_GB2312" w:cs="仿宋_GB2312" w:hint="eastAsia"/>
          <w:bCs/>
          <w:color w:val="000000"/>
          <w:sz w:val="32"/>
          <w:szCs w:val="32"/>
        </w:rPr>
        <w:t>/</w:t>
      </w:r>
      <w:r>
        <w:rPr>
          <w:rFonts w:eastAsia="仿宋_GB2312" w:cs="仿宋_GB2312" w:hint="eastAsia"/>
          <w:bCs/>
          <w:color w:val="000000"/>
          <w:sz w:val="32"/>
          <w:szCs w:val="32"/>
        </w:rPr>
        <w:t>半衰期等</w:t>
      </w:r>
      <w:r>
        <w:rPr>
          <w:rFonts w:eastAsia="仿宋_GB2312" w:cs="仿宋_GB2312" w:hint="eastAsia"/>
          <w:bCs/>
          <w:color w:val="000000"/>
          <w:sz w:val="32"/>
          <w:szCs w:val="32"/>
        </w:rPr>
        <w:t>，必要时补充评估药物引入的长期</w:t>
      </w:r>
      <w:r>
        <w:rPr>
          <w:rFonts w:eastAsia="仿宋_GB2312" w:cs="仿宋_GB2312" w:hint="eastAsia"/>
          <w:bCs/>
          <w:color w:val="000000"/>
          <w:sz w:val="32"/>
          <w:szCs w:val="32"/>
        </w:rPr>
        <w:t>/</w:t>
      </w:r>
      <w:r>
        <w:rPr>
          <w:rFonts w:eastAsia="仿宋_GB2312" w:cs="仿宋_GB2312" w:hint="eastAsia"/>
          <w:bCs/>
          <w:color w:val="000000"/>
          <w:sz w:val="32"/>
          <w:szCs w:val="32"/>
        </w:rPr>
        <w:t>持久接触生物学风险。</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一般药械组合医疗器械中药物发挥局部作用，当产品含有某种已经获得批准用于其他用途的药物时，申请人可结合药物安全性资料评价产品的安全性，但需考虑新的组合方式是否会使已经确定的或已经了解的安全性、有效性发生改变。如产品使局部或系统的药物暴露大于已经批准的药物剂量范围，则可能还需要进一步补充安全性研究，如颅内应用器械可能导致的局部</w:t>
      </w:r>
      <w:r>
        <w:rPr>
          <w:rFonts w:eastAsia="仿宋_GB2312" w:hint="eastAsia"/>
          <w:color w:val="000000"/>
          <w:sz w:val="32"/>
          <w:szCs w:val="22"/>
        </w:rPr>
        <w:t>神经毒性</w:t>
      </w:r>
      <w:r>
        <w:rPr>
          <w:rFonts w:eastAsia="仿宋_GB2312" w:cs="仿宋_GB2312" w:hint="eastAsia"/>
          <w:bCs/>
          <w:color w:val="000000"/>
          <w:sz w:val="32"/>
          <w:szCs w:val="32"/>
        </w:rPr>
        <w:t>等。</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对于某些药械组合医疗器械，可能需开展其他必要的试验以评估药物自身特殊的生物学风险（毒理学风险），如局部毒性试验、光敏毒性</w:t>
      </w:r>
      <w:r>
        <w:rPr>
          <w:rFonts w:eastAsia="仿宋_GB2312" w:cs="仿宋_GB2312" w:hint="eastAsia"/>
          <w:bCs/>
          <w:color w:val="000000"/>
          <w:sz w:val="32"/>
          <w:szCs w:val="32"/>
        </w:rPr>
        <w:t>试验、依赖性试验、致突变试验或其他毒理学试验。不需额外开展试验的，可说明理由。</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（七）动物试验研究</w:t>
      </w:r>
    </w:p>
    <w:p w:rsidR="00000000" w:rsidRDefault="002617B3">
      <w:pPr>
        <w:snapToGrid w:val="0"/>
        <w:spacing w:line="560" w:lineRule="exact"/>
        <w:ind w:firstLineChars="200" w:firstLine="640"/>
        <w:rPr>
          <w:rFonts w:eastAsia="仿宋_GB2312"/>
          <w:sz w:val="32"/>
          <w:szCs w:val="32"/>
        </w:rPr>
      </w:pPr>
      <w:r>
        <w:rPr>
          <w:rFonts w:eastAsia="仿宋_GB2312" w:hint="eastAsia"/>
          <w:sz w:val="32"/>
          <w:szCs w:val="32"/>
        </w:rPr>
        <w:t>申请人可依据《医疗器械动物试验研究注册审查指导原则第一部分：决策原则》决策是否需开展动物试验研究。开展动物试</w:t>
      </w:r>
      <w:r>
        <w:rPr>
          <w:rFonts w:eastAsia="仿宋_GB2312" w:hint="eastAsia"/>
          <w:sz w:val="32"/>
          <w:szCs w:val="32"/>
        </w:rPr>
        <w:lastRenderedPageBreak/>
        <w:t>验研究时宜符合《医疗器械动物试验研究注册审查指导原则第二部分：试验设计、实施质量保证》中相关建议。</w:t>
      </w:r>
    </w:p>
    <w:p w:rsidR="00000000" w:rsidRDefault="002617B3">
      <w:pPr>
        <w:snapToGrid w:val="0"/>
        <w:spacing w:line="560" w:lineRule="exact"/>
        <w:ind w:firstLineChars="200" w:firstLine="640"/>
        <w:rPr>
          <w:rFonts w:eastAsia="仿宋_GB2312"/>
          <w:sz w:val="32"/>
          <w:szCs w:val="32"/>
        </w:rPr>
      </w:pPr>
      <w:r>
        <w:rPr>
          <w:rFonts w:eastAsia="仿宋_GB2312" w:hint="eastAsia"/>
          <w:sz w:val="32"/>
          <w:szCs w:val="32"/>
        </w:rPr>
        <w:t>医疗器械动物试验是根据试验目的，选用符合试验要求的动物，在预先设计研究方案规定下，进行产品可行性和</w:t>
      </w:r>
      <w:r>
        <w:rPr>
          <w:rFonts w:eastAsia="仿宋_GB2312" w:hint="eastAsia"/>
          <w:sz w:val="32"/>
          <w:szCs w:val="32"/>
        </w:rPr>
        <w:t>/</w:t>
      </w:r>
      <w:r>
        <w:rPr>
          <w:rFonts w:eastAsia="仿宋_GB2312" w:hint="eastAsia"/>
          <w:sz w:val="32"/>
          <w:szCs w:val="32"/>
        </w:rPr>
        <w:t>或安全性和</w:t>
      </w:r>
      <w:r>
        <w:rPr>
          <w:rFonts w:eastAsia="仿宋_GB2312" w:hint="eastAsia"/>
          <w:sz w:val="32"/>
          <w:szCs w:val="32"/>
        </w:rPr>
        <w:t>/</w:t>
      </w:r>
      <w:r>
        <w:rPr>
          <w:rFonts w:eastAsia="仿宋_GB2312" w:hint="eastAsia"/>
          <w:sz w:val="32"/>
          <w:szCs w:val="32"/>
        </w:rPr>
        <w:t>或有效性研究，观察、记录动物的反应过程及结果，以确认医疗器械对生命活动的作用与影响。通常不需</w:t>
      </w:r>
      <w:r>
        <w:rPr>
          <w:rFonts w:eastAsia="仿宋_GB2312" w:hint="eastAsia"/>
          <w:sz w:val="32"/>
          <w:szCs w:val="32"/>
        </w:rPr>
        <w:t>单独开展试验研究药物自身的药效学、药代动力学，一般在医疗器械动物试验中进行合并评价，并可设定药物相关的观察指标，宜可观察到药械组合医疗器械中药物的有效性，但并不是药效学研究。如有相关临床文献等资料，可一并提交论证。</w:t>
      </w:r>
    </w:p>
    <w:p w:rsidR="00000000" w:rsidRDefault="002617B3">
      <w:pPr>
        <w:snapToGrid w:val="0"/>
        <w:spacing w:line="560" w:lineRule="exact"/>
        <w:ind w:firstLineChars="200" w:firstLine="640"/>
        <w:rPr>
          <w:rFonts w:eastAsia="仿宋_GB2312"/>
          <w:sz w:val="32"/>
          <w:szCs w:val="32"/>
        </w:rPr>
      </w:pPr>
      <w:r>
        <w:rPr>
          <w:rFonts w:eastAsia="仿宋_GB2312" w:hint="eastAsia"/>
          <w:sz w:val="32"/>
          <w:szCs w:val="32"/>
        </w:rPr>
        <w:t>适当时，宜对药械组合医疗器械中药物的体内外药物释放动力学和体内的药代动力学开展研究。虽</w:t>
      </w:r>
      <w:r>
        <w:rPr>
          <w:rFonts w:eastAsia="仿宋_GB2312" w:cs="仿宋_GB2312" w:hint="eastAsia"/>
          <w:bCs/>
          <w:color w:val="000000"/>
          <w:sz w:val="32"/>
          <w:szCs w:val="32"/>
        </w:rPr>
        <w:t>然药械组合医疗器械的血药浓度通常远远低于单独作为药物使用后的浓度，但局部组织浓度可能会远远高于药物的血药浓度，宜特别</w:t>
      </w:r>
      <w:r>
        <w:rPr>
          <w:rFonts w:eastAsia="仿宋_GB2312" w:hint="eastAsia"/>
          <w:sz w:val="32"/>
          <w:szCs w:val="32"/>
        </w:rPr>
        <w:t>关注局部组织浓度变化情况。体内的药代动力学研究需考虑多个产品联合应用的情形如</w:t>
      </w:r>
      <w:r>
        <w:rPr>
          <w:rFonts w:eastAsia="仿宋_GB2312" w:cs="仿宋_GB2312" w:hint="eastAsia"/>
          <w:bCs/>
          <w:color w:val="000000"/>
          <w:sz w:val="32"/>
          <w:szCs w:val="32"/>
        </w:rPr>
        <w:t>支架重叠使用</w:t>
      </w:r>
      <w:r>
        <w:rPr>
          <w:rFonts w:eastAsia="仿宋_GB2312" w:hint="eastAsia"/>
          <w:sz w:val="32"/>
          <w:szCs w:val="32"/>
        </w:rPr>
        <w:t>，宜</w:t>
      </w:r>
      <w:r>
        <w:rPr>
          <w:rFonts w:eastAsia="仿宋_GB2312" w:cs="仿宋_GB2312" w:hint="eastAsia"/>
          <w:bCs/>
          <w:color w:val="000000"/>
          <w:sz w:val="32"/>
          <w:szCs w:val="32"/>
        </w:rPr>
        <w:t>评</w:t>
      </w:r>
      <w:r>
        <w:rPr>
          <w:rFonts w:eastAsia="仿宋_GB2312" w:cs="仿宋_GB2312" w:hint="eastAsia"/>
          <w:bCs/>
          <w:color w:val="000000"/>
          <w:sz w:val="32"/>
          <w:szCs w:val="32"/>
        </w:rPr>
        <w:t>估最高药物暴露剂量水平下的药代动力学。</w:t>
      </w:r>
    </w:p>
    <w:p w:rsidR="00000000" w:rsidRDefault="002617B3">
      <w:pPr>
        <w:snapToGrid w:val="0"/>
        <w:spacing w:line="560" w:lineRule="exact"/>
        <w:ind w:firstLineChars="200" w:firstLine="640"/>
        <w:rPr>
          <w:rFonts w:eastAsia="仿宋_GB2312"/>
          <w:sz w:val="32"/>
          <w:szCs w:val="32"/>
        </w:rPr>
      </w:pPr>
      <w:r>
        <w:rPr>
          <w:rFonts w:eastAsia="仿宋_GB2312" w:hint="eastAsia"/>
          <w:sz w:val="32"/>
          <w:szCs w:val="32"/>
        </w:rPr>
        <w:t>药械组合医疗器械中所含药物具有耐药性风险时，宜考虑耐药性对产品有效性及公众健康的影响。</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（八）稳定性研究</w:t>
      </w:r>
    </w:p>
    <w:p w:rsidR="00000000" w:rsidRDefault="002617B3">
      <w:pPr>
        <w:snapToGrid w:val="0"/>
        <w:spacing w:line="560" w:lineRule="exact"/>
        <w:ind w:firstLineChars="200" w:firstLine="640"/>
        <w:rPr>
          <w:rFonts w:eastAsia="仿宋_GB2312"/>
          <w:sz w:val="32"/>
          <w:szCs w:val="32"/>
        </w:rPr>
      </w:pPr>
      <w:r>
        <w:rPr>
          <w:rFonts w:eastAsia="仿宋_GB2312" w:hint="eastAsia"/>
          <w:sz w:val="32"/>
          <w:szCs w:val="32"/>
        </w:rPr>
        <w:t>适当时，申请人可参考《无源植入性医疗器械货架有效期注册申报资料指导原则》提供产品的稳定性研究资料，对于组合产品中药物相关的稳定性，建议参考药品相关指导原则进行稳定性</w:t>
      </w:r>
      <w:r>
        <w:rPr>
          <w:rFonts w:eastAsia="仿宋_GB2312" w:hint="eastAsia"/>
          <w:sz w:val="32"/>
          <w:szCs w:val="32"/>
        </w:rPr>
        <w:lastRenderedPageBreak/>
        <w:t>研究。</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（九）产品技术要求</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申请人需在技术要求中明确药物的名称、含量</w:t>
      </w:r>
      <w:r>
        <w:rPr>
          <w:rFonts w:eastAsia="仿宋_GB2312" w:cs="仿宋_GB2312" w:hint="eastAsia"/>
          <w:bCs/>
          <w:color w:val="000000"/>
          <w:sz w:val="32"/>
          <w:szCs w:val="32"/>
        </w:rPr>
        <w:t>/</w:t>
      </w:r>
      <w:r>
        <w:rPr>
          <w:rFonts w:eastAsia="仿宋_GB2312" w:cs="仿宋_GB2312" w:hint="eastAsia"/>
          <w:bCs/>
          <w:color w:val="000000"/>
          <w:sz w:val="32"/>
          <w:szCs w:val="32"/>
        </w:rPr>
        <w:t>剂量、分子量、化学结构式，宜根据药物的作用方式制定药物适用的指标要求，如药物定性、药物含量（生物活性）、体外药物释放、药物与器械结合</w:t>
      </w:r>
      <w:r>
        <w:rPr>
          <w:rFonts w:eastAsia="仿宋_GB2312" w:cs="仿宋_GB2312" w:hint="eastAsia"/>
          <w:bCs/>
          <w:color w:val="000000"/>
          <w:sz w:val="32"/>
          <w:szCs w:val="32"/>
        </w:rPr>
        <w:t>牢固度、溶剂残留等。对于不能进行客观判定的或不属于成品的功能性、安全性指标，不需在产品技术要求中制定。</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（十）生产制造信息</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宜根据药物及药物载体的理化特性和药物与载体的相互作用，选择合适的药物及药物载体，并制定合理的生产工艺，规定有效的质量控制措施及控制指标。申请人需在生产制造信息中明确生产工艺流程及关键工艺和特殊工艺控制点，宜提供药物与医疗器械结合工艺的研究资料，提供加工工艺如灭菌对药物性能影响的研究资料。由于需对生物制品的生产过程和中间产品进行特殊控制，当药械组合医疗器械中所含药物为生物制品时，宜</w:t>
      </w:r>
      <w:r>
        <w:rPr>
          <w:rFonts w:eastAsia="仿宋_GB2312" w:cs="仿宋_GB2312" w:hint="eastAsia"/>
          <w:bCs/>
          <w:color w:val="000000"/>
          <w:sz w:val="32"/>
          <w:szCs w:val="32"/>
        </w:rPr>
        <w:t>参照生物制品相关导则开展研究。</w:t>
      </w:r>
    </w:p>
    <w:p w:rsidR="00000000" w:rsidRDefault="002617B3">
      <w:pPr>
        <w:snapToGrid w:val="0"/>
        <w:spacing w:line="560" w:lineRule="exact"/>
        <w:ind w:firstLineChars="200" w:firstLine="640"/>
        <w:outlineLvl w:val="1"/>
        <w:rPr>
          <w:rFonts w:eastAsia="楷体_GB2312" w:cs="仿宋_GB2312"/>
          <w:bCs/>
          <w:color w:val="000000"/>
          <w:sz w:val="32"/>
          <w:szCs w:val="32"/>
        </w:rPr>
      </w:pPr>
      <w:r>
        <w:rPr>
          <w:rFonts w:eastAsia="楷体_GB2312" w:cs="仿宋_GB2312" w:hint="eastAsia"/>
          <w:bCs/>
          <w:color w:val="000000"/>
          <w:sz w:val="32"/>
          <w:szCs w:val="32"/>
        </w:rPr>
        <w:t>（十一）其他</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如产品中所含药物为麻醉、精神药物或放射性药物，应符合我国相关规定。</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产品说明书中应明确所含药物，并增加药物过敏等风险提示。</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四、临床评价要求</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药械组合医疗器械的临床评价应遵循组合产品研究和开发</w:t>
      </w:r>
      <w:r>
        <w:rPr>
          <w:rFonts w:eastAsia="仿宋_GB2312" w:cs="仿宋_GB2312" w:hint="eastAsia"/>
          <w:bCs/>
          <w:color w:val="000000"/>
          <w:sz w:val="32"/>
          <w:szCs w:val="32"/>
        </w:rPr>
        <w:lastRenderedPageBreak/>
        <w:t>的基本规律，通过科学的过程来评估产品临床疗效和潜在风险，最终确定产品在预期用途下的安全性和有效性，并为产品使用说明书的撰写提供依据。</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器械上添加药物成分，目的常为改善产品功能或减少与产品使用相关的不良事件等，建议提交支持资料论证其临床风险</w:t>
      </w:r>
      <w:r>
        <w:rPr>
          <w:rFonts w:eastAsia="仿宋_GB2312" w:cs="仿宋_GB2312" w:hint="eastAsia"/>
          <w:bCs/>
          <w:color w:val="000000"/>
          <w:sz w:val="32"/>
          <w:szCs w:val="32"/>
        </w:rPr>
        <w:t>/</w:t>
      </w:r>
      <w:r>
        <w:rPr>
          <w:rFonts w:eastAsia="仿宋_GB2312" w:cs="仿宋_GB2312" w:hint="eastAsia"/>
          <w:bCs/>
          <w:color w:val="000000"/>
          <w:sz w:val="32"/>
          <w:szCs w:val="32"/>
        </w:rPr>
        <w:t>受益。</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在进行临床评价前，建议申请</w:t>
      </w:r>
      <w:r>
        <w:rPr>
          <w:rFonts w:eastAsia="仿宋_GB2312" w:cs="仿宋_GB2312" w:hint="eastAsia"/>
          <w:bCs/>
          <w:color w:val="000000"/>
          <w:sz w:val="32"/>
          <w:szCs w:val="32"/>
        </w:rPr>
        <w:t>人明确组合产品的临床作用机理、预期用途、可能带来的风险、可能出现的不良事件等，并在临床评价时予以充分考虑，如：组合产品的器械部分或药物部分单独使用时的适用范围是否与组合产品的拟申报适用范围一致、类似或存在较大差异；组合产品是否扩大或超出了其组成部分原单独使用的适用范围，或宣称了更多的临床受益；对于使用组合产品的患者，组合产品所含药物部分的给药途径、释放或局部</w:t>
      </w:r>
      <w:r>
        <w:rPr>
          <w:rFonts w:eastAsia="仿宋_GB2312" w:cs="仿宋_GB2312" w:hint="eastAsia"/>
          <w:bCs/>
          <w:color w:val="000000"/>
          <w:sz w:val="32"/>
          <w:szCs w:val="32"/>
        </w:rPr>
        <w:t>/</w:t>
      </w:r>
      <w:r>
        <w:rPr>
          <w:rFonts w:eastAsia="仿宋_GB2312" w:cs="仿宋_GB2312" w:hint="eastAsia"/>
          <w:bCs/>
          <w:color w:val="000000"/>
          <w:sz w:val="32"/>
          <w:szCs w:val="32"/>
        </w:rPr>
        <w:t>系统药物暴露范围等与药物单独使用时相比是否发生改变，以及其改变可能带来的新增风险。</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申请人可参考《医疗器械临床试验质量管理规范》《医疗器械临床评价技术</w:t>
      </w:r>
      <w:r>
        <w:rPr>
          <w:rFonts w:eastAsia="仿宋_GB2312" w:cs="仿宋_GB2312" w:hint="eastAsia"/>
          <w:bCs/>
          <w:color w:val="000000"/>
          <w:sz w:val="32"/>
          <w:szCs w:val="32"/>
        </w:rPr>
        <w:t>指导原则》《医疗器械等同性论证技术指导原则》《决策是否开展医疗器械临床试验技术指导原则》等相关要求开展组合产品的临床评价。建议申请人结合组合产品的风险和受益，选择合理的临床评价路径，论证其临床应用的安全有效性。</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组合产品的临床试验设计常涉及的主要问题包括样本量、统计方法、临床终点、适用范围</w:t>
      </w:r>
      <w:r>
        <w:rPr>
          <w:rFonts w:eastAsia="仿宋_GB2312" w:cs="仿宋_GB2312" w:hint="eastAsia"/>
          <w:bCs/>
          <w:color w:val="000000"/>
          <w:sz w:val="32"/>
          <w:szCs w:val="32"/>
        </w:rPr>
        <w:t>/</w:t>
      </w:r>
      <w:r>
        <w:rPr>
          <w:rFonts w:eastAsia="仿宋_GB2312" w:cs="仿宋_GB2312" w:hint="eastAsia"/>
          <w:bCs/>
          <w:color w:val="000000"/>
          <w:sz w:val="32"/>
          <w:szCs w:val="32"/>
        </w:rPr>
        <w:t>功效宣称、以及临床研究数量（若包含多个试验）等。在确定样本量、统计方法、观察指标、临床</w:t>
      </w:r>
      <w:r>
        <w:rPr>
          <w:rFonts w:eastAsia="仿宋_GB2312" w:cs="仿宋_GB2312" w:hint="eastAsia"/>
          <w:bCs/>
          <w:color w:val="000000"/>
          <w:sz w:val="32"/>
          <w:szCs w:val="32"/>
        </w:rPr>
        <w:lastRenderedPageBreak/>
        <w:t>终点、评估药物</w:t>
      </w:r>
      <w:r>
        <w:rPr>
          <w:rFonts w:eastAsia="仿宋_GB2312" w:cs="仿宋_GB2312" w:hint="eastAsia"/>
          <w:bCs/>
          <w:color w:val="000000"/>
          <w:sz w:val="32"/>
          <w:szCs w:val="32"/>
        </w:rPr>
        <w:t>-</w:t>
      </w:r>
      <w:r>
        <w:rPr>
          <w:rFonts w:eastAsia="仿宋_GB2312" w:cs="仿宋_GB2312" w:hint="eastAsia"/>
          <w:bCs/>
          <w:color w:val="000000"/>
          <w:sz w:val="32"/>
          <w:szCs w:val="32"/>
        </w:rPr>
        <w:t>器械的相互作用时，建议结合组合产品的性能特点，论证组合产品临床研究方案设计的科学性和充分性。</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五、参考文献</w:t>
      </w:r>
    </w:p>
    <w:p w:rsidR="00000000" w:rsidRDefault="002617B3">
      <w:pPr>
        <w:autoSpaceDE w:val="0"/>
        <w:autoSpaceDN w:val="0"/>
        <w:adjustRightInd w:val="0"/>
        <w:snapToGrid w:val="0"/>
        <w:spacing w:line="560" w:lineRule="exact"/>
        <w:ind w:rightChars="200" w:right="420"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国家</w:t>
      </w:r>
      <w:r>
        <w:rPr>
          <w:rFonts w:eastAsia="仿宋_GB2312" w:hint="eastAsia"/>
          <w:sz w:val="32"/>
          <w:szCs w:val="32"/>
        </w:rPr>
        <w:t>市场监督管理总局</w:t>
      </w:r>
      <w:r>
        <w:rPr>
          <w:rFonts w:eastAsia="仿宋_GB2312" w:hint="eastAsia"/>
          <w:sz w:val="32"/>
          <w:szCs w:val="32"/>
        </w:rPr>
        <w:t>.</w:t>
      </w:r>
      <w:r>
        <w:rPr>
          <w:rFonts w:eastAsia="仿宋_GB2312" w:hint="eastAsia"/>
          <w:sz w:val="32"/>
          <w:szCs w:val="32"/>
        </w:rPr>
        <w:t>药品注册管理办法</w:t>
      </w:r>
      <w:r>
        <w:rPr>
          <w:rFonts w:eastAsia="仿宋_GB2312" w:hint="eastAsia"/>
          <w:color w:val="000000"/>
          <w:sz w:val="32"/>
          <w:szCs w:val="32"/>
        </w:rPr>
        <w:t xml:space="preserve"> [EB]</w:t>
      </w:r>
      <w:r>
        <w:rPr>
          <w:rFonts w:eastAsia="仿宋_GB2312" w:hint="eastAsia"/>
          <w:sz w:val="32"/>
          <w:szCs w:val="32"/>
        </w:rPr>
        <w:t>,2020.</w:t>
      </w:r>
    </w:p>
    <w:p w:rsidR="00000000" w:rsidRDefault="002617B3">
      <w:pPr>
        <w:autoSpaceDE w:val="0"/>
        <w:autoSpaceDN w:val="0"/>
        <w:adjustRightInd w:val="0"/>
        <w:snapToGrid w:val="0"/>
        <w:spacing w:line="560" w:lineRule="exact"/>
        <w:ind w:rightChars="200" w:right="420" w:firstLineChars="200" w:firstLine="640"/>
        <w:rPr>
          <w:rFonts w:eastAsia="仿宋_GB2312"/>
          <w:sz w:val="32"/>
          <w:szCs w:val="32"/>
        </w:rPr>
      </w:pPr>
      <w:r>
        <w:rPr>
          <w:rFonts w:eastAsia="仿宋_GB2312" w:hint="eastAsia"/>
          <w:sz w:val="32"/>
          <w:szCs w:val="32"/>
        </w:rPr>
        <w:t>[2]U.S. Food and Drug Administration. Guidance for Industry and FDA Staff</w:t>
      </w:r>
      <w:r>
        <w:rPr>
          <w:rFonts w:eastAsia="仿宋_GB2312" w:hint="eastAsia"/>
          <w:sz w:val="32"/>
          <w:szCs w:val="32"/>
        </w:rPr>
        <w:t>：</w:t>
      </w:r>
      <w:r>
        <w:rPr>
          <w:rFonts w:eastAsia="仿宋_GB2312" w:hint="eastAsia"/>
          <w:sz w:val="32"/>
          <w:szCs w:val="32"/>
        </w:rPr>
        <w:t xml:space="preserve">Early Development Considerations for Innovative Combination Products </w:t>
      </w:r>
      <w:r>
        <w:rPr>
          <w:rFonts w:eastAsia="仿宋_GB2312" w:hint="eastAsia"/>
          <w:color w:val="000000"/>
          <w:sz w:val="32"/>
          <w:szCs w:val="32"/>
        </w:rPr>
        <w:t>[EB],2006</w:t>
      </w:r>
      <w:r>
        <w:rPr>
          <w:rFonts w:eastAsia="仿宋_GB2312" w:hint="eastAsia"/>
          <w:sz w:val="32"/>
          <w:szCs w:val="32"/>
        </w:rPr>
        <w:t>.</w:t>
      </w:r>
    </w:p>
    <w:p w:rsidR="00000000" w:rsidRDefault="002617B3">
      <w:pPr>
        <w:autoSpaceDE w:val="0"/>
        <w:autoSpaceDN w:val="0"/>
        <w:adjustRightInd w:val="0"/>
        <w:snapToGrid w:val="0"/>
        <w:spacing w:line="560" w:lineRule="exact"/>
        <w:ind w:rightChars="200" w:right="420" w:firstLineChars="200" w:firstLine="640"/>
        <w:rPr>
          <w:rFonts w:eastAsia="仿宋_GB2312"/>
          <w:sz w:val="32"/>
          <w:szCs w:val="32"/>
        </w:rPr>
      </w:pPr>
      <w:r>
        <w:rPr>
          <w:rFonts w:eastAsia="仿宋_GB2312" w:hint="eastAsia"/>
          <w:sz w:val="32"/>
          <w:szCs w:val="32"/>
        </w:rPr>
        <w:t>[3]U.S. Food and Drug Administration. Technical Considerations for Pen, J</w:t>
      </w:r>
      <w:r>
        <w:rPr>
          <w:rFonts w:eastAsia="仿宋_GB2312" w:hint="eastAsia"/>
          <w:sz w:val="32"/>
          <w:szCs w:val="32"/>
        </w:rPr>
        <w:t xml:space="preserve">et, and Related Injectors Intended for Use with Drugs and Biological Products </w:t>
      </w:r>
      <w:r>
        <w:rPr>
          <w:rFonts w:eastAsia="仿宋_GB2312" w:hint="eastAsia"/>
          <w:color w:val="000000"/>
          <w:sz w:val="32"/>
          <w:szCs w:val="32"/>
        </w:rPr>
        <w:t>[EB],2013</w:t>
      </w:r>
      <w:r>
        <w:rPr>
          <w:rFonts w:eastAsia="仿宋_GB2312" w:hint="eastAsia"/>
          <w:sz w:val="32"/>
          <w:szCs w:val="32"/>
        </w:rPr>
        <w:t>.</w:t>
      </w:r>
    </w:p>
    <w:p w:rsidR="00000000" w:rsidRDefault="002617B3">
      <w:pPr>
        <w:autoSpaceDE w:val="0"/>
        <w:autoSpaceDN w:val="0"/>
        <w:adjustRightInd w:val="0"/>
        <w:snapToGrid w:val="0"/>
        <w:spacing w:line="560" w:lineRule="exact"/>
        <w:ind w:rightChars="200" w:right="420" w:firstLineChars="200" w:firstLine="640"/>
        <w:rPr>
          <w:rFonts w:eastAsia="仿宋_GB2312"/>
          <w:color w:val="000000"/>
          <w:sz w:val="32"/>
          <w:szCs w:val="32"/>
        </w:rPr>
      </w:pPr>
      <w:r>
        <w:rPr>
          <w:rFonts w:eastAsia="仿宋_GB2312" w:hint="eastAsia"/>
          <w:sz w:val="32"/>
          <w:szCs w:val="32"/>
        </w:rPr>
        <w:t>[4]</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化学药品注册分类及申报资料要求</w:t>
      </w:r>
      <w:r>
        <w:rPr>
          <w:rFonts w:eastAsia="仿宋_GB2312" w:hint="eastAsia"/>
          <w:color w:val="000000"/>
          <w:sz w:val="32"/>
          <w:szCs w:val="32"/>
        </w:rPr>
        <w:t>[EB],2020.</w:t>
      </w:r>
    </w:p>
    <w:p w:rsidR="00000000" w:rsidRDefault="002617B3">
      <w:pPr>
        <w:autoSpaceDE w:val="0"/>
        <w:autoSpaceDN w:val="0"/>
        <w:adjustRightInd w:val="0"/>
        <w:snapToGrid w:val="0"/>
        <w:spacing w:line="560" w:lineRule="exact"/>
        <w:ind w:rightChars="200" w:right="420" w:firstLineChars="200" w:firstLine="640"/>
        <w:rPr>
          <w:rFonts w:eastAsia="仿宋_GB2312"/>
          <w:sz w:val="32"/>
          <w:szCs w:val="32"/>
        </w:rPr>
      </w:pPr>
      <w:r>
        <w:rPr>
          <w:rFonts w:eastAsia="仿宋_GB2312" w:hint="eastAsia"/>
          <w:sz w:val="32"/>
          <w:szCs w:val="32"/>
        </w:rPr>
        <w:t>[5]</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生物制品注册分类及申报资料要求</w:t>
      </w:r>
      <w:r>
        <w:rPr>
          <w:rFonts w:eastAsia="仿宋_GB2312" w:hint="eastAsia"/>
          <w:color w:val="000000"/>
          <w:sz w:val="32"/>
          <w:szCs w:val="32"/>
        </w:rPr>
        <w:t>[EB],2020.</w:t>
      </w:r>
    </w:p>
    <w:p w:rsidR="00000000" w:rsidRDefault="002617B3">
      <w:pPr>
        <w:autoSpaceDE w:val="0"/>
        <w:autoSpaceDN w:val="0"/>
        <w:adjustRightInd w:val="0"/>
        <w:snapToGrid w:val="0"/>
        <w:spacing w:line="560" w:lineRule="exact"/>
        <w:ind w:rightChars="200" w:right="420" w:firstLineChars="200" w:firstLine="640"/>
        <w:rPr>
          <w:rFonts w:eastAsia="仿宋_GB2312"/>
          <w:color w:val="000000"/>
          <w:sz w:val="32"/>
          <w:szCs w:val="32"/>
        </w:rPr>
      </w:pPr>
      <w:r>
        <w:rPr>
          <w:rFonts w:eastAsia="仿宋_GB2312" w:hint="eastAsia"/>
          <w:sz w:val="32"/>
          <w:szCs w:val="32"/>
        </w:rPr>
        <w:t>[6]</w:t>
      </w:r>
      <w:r>
        <w:rPr>
          <w:rFonts w:eastAsia="仿宋_GB2312" w:hint="eastAsia"/>
          <w:sz w:val="32"/>
          <w:szCs w:val="32"/>
        </w:rPr>
        <w:t>原国家食品药品监督管理总局</w:t>
      </w:r>
      <w:r>
        <w:rPr>
          <w:rFonts w:eastAsia="仿宋_GB2312" w:hint="eastAsia"/>
          <w:sz w:val="32"/>
          <w:szCs w:val="32"/>
        </w:rPr>
        <w:t>.</w:t>
      </w:r>
      <w:r>
        <w:rPr>
          <w:rFonts w:eastAsia="仿宋_GB2312" w:hint="eastAsia"/>
          <w:sz w:val="32"/>
          <w:szCs w:val="32"/>
        </w:rPr>
        <w:t>化学药物（原料药和制剂）稳定性研究技术指导原则（修订）</w:t>
      </w:r>
      <w:r>
        <w:rPr>
          <w:rFonts w:eastAsia="仿宋_GB2312" w:hint="eastAsia"/>
          <w:color w:val="000000"/>
          <w:sz w:val="32"/>
          <w:szCs w:val="32"/>
        </w:rPr>
        <w:t>[EB],2015.</w:t>
      </w:r>
    </w:p>
    <w:p w:rsidR="00000000" w:rsidRDefault="002617B3">
      <w:pPr>
        <w:snapToGrid w:val="0"/>
        <w:spacing w:line="560" w:lineRule="exact"/>
        <w:ind w:firstLineChars="200" w:firstLine="640"/>
        <w:outlineLvl w:val="0"/>
        <w:rPr>
          <w:rFonts w:eastAsia="黑体" w:cs="仿宋_GB2312"/>
          <w:bCs/>
          <w:color w:val="000000"/>
          <w:sz w:val="32"/>
          <w:szCs w:val="32"/>
        </w:rPr>
      </w:pPr>
      <w:r>
        <w:rPr>
          <w:rFonts w:eastAsia="黑体" w:cs="仿宋_GB2312" w:hint="eastAsia"/>
          <w:bCs/>
          <w:color w:val="000000"/>
          <w:sz w:val="32"/>
          <w:szCs w:val="32"/>
        </w:rPr>
        <w:t>六、起草单位</w:t>
      </w:r>
    </w:p>
    <w:p w:rsidR="00000000" w:rsidRDefault="002617B3">
      <w:pPr>
        <w:snapToGrid w:val="0"/>
        <w:spacing w:line="560" w:lineRule="exact"/>
        <w:ind w:firstLineChars="200" w:firstLine="640"/>
        <w:rPr>
          <w:rFonts w:eastAsia="仿宋_GB2312" w:cs="仿宋_GB2312"/>
          <w:bCs/>
          <w:color w:val="000000"/>
          <w:sz w:val="32"/>
          <w:szCs w:val="32"/>
        </w:rPr>
      </w:pPr>
      <w:r>
        <w:rPr>
          <w:rFonts w:eastAsia="仿宋_GB2312" w:hint="eastAsia"/>
          <w:sz w:val="32"/>
          <w:szCs w:val="32"/>
        </w:rPr>
        <w:t>国家药品监督管理局医疗器械技术审评中心</w:t>
      </w:r>
    </w:p>
    <w:p w:rsidR="002617B3" w:rsidRDefault="002617B3" w:rsidP="00EE14E1">
      <w:pPr>
        <w:pStyle w:val="1"/>
        <w:widowControl w:val="0"/>
        <w:spacing w:after="0" w:line="590" w:lineRule="exact"/>
        <w:ind w:firstLineChars="0" w:firstLine="0"/>
        <w:rPr>
          <w:rFonts w:ascii="Times New Roman" w:eastAsia="方正仿宋简体" w:hAnsi="Times New Roman"/>
          <w:sz w:val="28"/>
          <w:szCs w:val="28"/>
          <w:lang w:val="en"/>
        </w:rPr>
      </w:pPr>
      <w:bookmarkStart w:id="0" w:name="_GoBack"/>
      <w:bookmarkEnd w:id="0"/>
    </w:p>
    <w:sectPr w:rsidR="002617B3">
      <w:footerReference w:type="even" r:id="rId8"/>
      <w:footerReference w:type="default" r:id="rId9"/>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7B3" w:rsidRDefault="002617B3">
      <w:r>
        <w:separator/>
      </w:r>
    </w:p>
  </w:endnote>
  <w:endnote w:type="continuationSeparator" w:id="0">
    <w:p w:rsidR="002617B3" w:rsidRDefault="0026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w:panose1 w:val="02010600030101010101"/>
    <w:charset w:val="86"/>
    <w:family w:val="auto"/>
    <w:pitch w:val="variable"/>
    <w:sig w:usb0="A00002BF" w:usb1="38CF7CFA" w:usb2="00000016" w:usb3="00000000" w:csb0="0004000F" w:csb1="00000000"/>
  </w:font>
  <w:font w:name="方正仿宋简体">
    <w:altName w:val="Arial Unicode MS"/>
    <w:charset w:val="86"/>
    <w:family w:val="script"/>
    <w:pitch w:val="default"/>
    <w:sig w:usb0="00000000"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617B3">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2617B3">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E14E1">
    <w:pPr>
      <w:pStyle w:val="a5"/>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978535" cy="230505"/>
              <wp:effectExtent l="1905" t="0" r="63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2617B3">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w:instrText>
                          </w:r>
                          <w:r>
                            <w:rPr>
                              <w:sz w:val="28"/>
                              <w:szCs w:val="28"/>
                            </w:rPr>
                            <w:instrText>ERGEFORMAT</w:instrText>
                          </w:r>
                          <w:r>
                            <w:rPr>
                              <w:sz w:val="28"/>
                              <w:szCs w:val="28"/>
                            </w:rPr>
                            <w:fldChar w:fldCharType="separate"/>
                          </w:r>
                          <w:r w:rsidR="00EE14E1" w:rsidRPr="00EE14E1">
                            <w:rPr>
                              <w:noProof/>
                              <w:sz w:val="28"/>
                              <w:szCs w:val="28"/>
                              <w:lang w:val="zh-CN"/>
                            </w:rPr>
                            <w:t>10</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5.85pt;margin-top:0;width:77.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" filled="f" stroked="f">
              <v:textbox style="mso-fit-shape-to-text:t" inset="0,0,0,0">
                <w:txbxContent>
                  <w:p w:rsidR="00000000" w:rsidRDefault="002617B3">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w:instrText>
                    </w:r>
                    <w:r>
                      <w:rPr>
                        <w:sz w:val="28"/>
                        <w:szCs w:val="28"/>
                      </w:rPr>
                      <w:instrText>ERGEFORMAT</w:instrText>
                    </w:r>
                    <w:r>
                      <w:rPr>
                        <w:sz w:val="28"/>
                        <w:szCs w:val="28"/>
                      </w:rPr>
                      <w:fldChar w:fldCharType="separate"/>
                    </w:r>
                    <w:r w:rsidR="00EE14E1" w:rsidRPr="00EE14E1">
                      <w:rPr>
                        <w:noProof/>
                        <w:sz w:val="28"/>
                        <w:szCs w:val="28"/>
                        <w:lang w:val="zh-CN"/>
                      </w:rPr>
                      <w:t>10</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7B3" w:rsidRDefault="002617B3">
      <w:r>
        <w:separator/>
      </w:r>
    </w:p>
  </w:footnote>
  <w:footnote w:type="continuationSeparator" w:id="0">
    <w:p w:rsidR="002617B3" w:rsidRDefault="0026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1CEF"/>
    <w:multiLevelType w:val="multilevel"/>
    <w:tmpl w:val="0F4D1CEF"/>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37ABA"/>
    <w:rsid w:val="00247F9A"/>
    <w:rsid w:val="002617B3"/>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042C"/>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D5C43"/>
    <w:rsid w:val="00DF1936"/>
    <w:rsid w:val="00E05A99"/>
    <w:rsid w:val="00E41A1A"/>
    <w:rsid w:val="00E73776"/>
    <w:rsid w:val="00ED2031"/>
    <w:rsid w:val="00EE14E1"/>
    <w:rsid w:val="00EE37FE"/>
    <w:rsid w:val="00F33350"/>
    <w:rsid w:val="00F64776"/>
    <w:rsid w:val="00F6624B"/>
    <w:rsid w:val="00F8685B"/>
    <w:rsid w:val="00FA60C8"/>
    <w:rsid w:val="00FD22E5"/>
    <w:rsid w:val="00FD443E"/>
    <w:rsid w:val="00FD754D"/>
    <w:rsid w:val="00FF6452"/>
    <w:rsid w:val="06E4493B"/>
    <w:rsid w:val="12681CD2"/>
    <w:rsid w:val="1616507C"/>
    <w:rsid w:val="177B71C4"/>
    <w:rsid w:val="1FFBB672"/>
    <w:rsid w:val="1FFDB0B3"/>
    <w:rsid w:val="278F820F"/>
    <w:rsid w:val="2BDDACAE"/>
    <w:rsid w:val="395571BF"/>
    <w:rsid w:val="3DF1BD20"/>
    <w:rsid w:val="3EBF6346"/>
    <w:rsid w:val="45386969"/>
    <w:rsid w:val="45492E01"/>
    <w:rsid w:val="466F7F34"/>
    <w:rsid w:val="4BFFA936"/>
    <w:rsid w:val="4C3F52CA"/>
    <w:rsid w:val="4FE4FF7D"/>
    <w:rsid w:val="56F98EAB"/>
    <w:rsid w:val="577F3899"/>
    <w:rsid w:val="5F8C32F3"/>
    <w:rsid w:val="6A5CBC8A"/>
    <w:rsid w:val="6AD69E4B"/>
    <w:rsid w:val="758F27DE"/>
    <w:rsid w:val="76FF7AE5"/>
    <w:rsid w:val="77E8F4AD"/>
    <w:rsid w:val="77FDB85B"/>
    <w:rsid w:val="7D6F9436"/>
    <w:rsid w:val="7F7BBA0A"/>
    <w:rsid w:val="7FB9D159"/>
    <w:rsid w:val="7FFB60E9"/>
    <w:rsid w:val="7FFC9168"/>
    <w:rsid w:val="B5FE3325"/>
    <w:rsid w:val="BCD33E8F"/>
    <w:rsid w:val="BDB7C6AD"/>
    <w:rsid w:val="BF7F5DC3"/>
    <w:rsid w:val="D7FF46F2"/>
    <w:rsid w:val="DD4F9BB1"/>
    <w:rsid w:val="DD72153B"/>
    <w:rsid w:val="DF6F9401"/>
    <w:rsid w:val="EEEB5E82"/>
    <w:rsid w:val="EFD26262"/>
    <w:rsid w:val="F7DF818E"/>
    <w:rsid w:val="FD33F38A"/>
    <w:rsid w:val="FDDDA0CB"/>
    <w:rsid w:val="FEE568C1"/>
    <w:rsid w:val="FEFBC691"/>
    <w:rsid w:val="FFBBCD91"/>
    <w:rsid w:val="FFEF2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63828A-80F2-49EE-8EBE-11C60E3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next w:val="a"/>
    <w:uiPriority w:val="9"/>
    <w:qFormat/>
    <w:pPr>
      <w:spacing w:before="100" w:beforeAutospacing="1" w:after="100" w:afterAutospacing="1"/>
      <w:outlineLvl w:val="1"/>
    </w:pPr>
    <w:rPr>
      <w:rFonts w:ascii="宋体" w:hAnsi="宋体" w:cs="宋体"/>
      <w:b/>
      <w:bCs/>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 w:type="paragraph" w:customStyle="1" w:styleId="1">
    <w:name w:val="列出段落1"/>
    <w:qFormat/>
    <w:pPr>
      <w:spacing w:after="160" w:line="259" w:lineRule="auto"/>
      <w:ind w:firstLineChars="200" w:firstLine="420"/>
    </w:pPr>
    <w:rPr>
      <w:rFonts w:ascii="Calibri" w:hAnsi="Calibri" w:cs="黑体"/>
      <w:sz w:val="22"/>
      <w:szCs w:val="22"/>
    </w:rPr>
  </w:style>
  <w:style w:type="paragraph" w:customStyle="1" w:styleId="Default">
    <w:name w:val="Default"/>
    <w:qFormat/>
    <w:pPr>
      <w:widowControl w:val="0"/>
      <w:autoSpaceDE w:val="0"/>
      <w:autoSpaceDN w:val="0"/>
      <w:adjustRightInd w:val="0"/>
    </w:pPr>
    <w:rPr>
      <w:color w:val="000000"/>
      <w:sz w:val="24"/>
      <w:szCs w:val="24"/>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780</Words>
  <Characters>4452</Characters>
  <Application>Microsoft Office Word</Application>
  <DocSecurity>0</DocSecurity>
  <Lines>37</Lines>
  <Paragraphs>10</Paragraphs>
  <ScaleCrop>false</ScaleCrop>
  <Company>Xtzj.Com</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2022-01-13T17:49:00Z</cp:lastPrinted>
  <dcterms:created xsi:type="dcterms:W3CDTF">2022-01-17T06:57:00Z</dcterms:created>
  <dcterms:modified xsi:type="dcterms:W3CDTF">2022-01-17T06:57:00Z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