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F3556">
      <w:pPr>
        <w:spacing w:line="520" w:lineRule="exact"/>
        <w:ind w:right="-102" w:rightChars="-32"/>
        <w:jc w:val="left"/>
        <w:rPr>
          <w:rFonts w:eastAsia="黑体"/>
          <w:color w:val="000000"/>
          <w:szCs w:val="32"/>
        </w:rPr>
      </w:pPr>
      <w:r>
        <w:rPr>
          <w:rFonts w:hAnsi="黑体" w:eastAsia="黑体"/>
          <w:color w:val="000000"/>
          <w:szCs w:val="32"/>
        </w:rPr>
        <w:t>附件</w:t>
      </w:r>
    </w:p>
    <w:p w14:paraId="1C09D13D">
      <w:pPr>
        <w:spacing w:line="520" w:lineRule="exact"/>
        <w:ind w:right="-102" w:rightChars="-32"/>
        <w:jc w:val="left"/>
        <w:rPr>
          <w:rFonts w:eastAsia="仿宋_GB2312"/>
          <w:color w:val="000000"/>
          <w:szCs w:val="32"/>
        </w:rPr>
      </w:pPr>
    </w:p>
    <w:p w14:paraId="01532753">
      <w:pPr>
        <w:spacing w:line="520" w:lineRule="exact"/>
        <w:ind w:right="-102" w:rightChars="-32"/>
        <w:jc w:val="center"/>
        <w:rPr>
          <w:rFonts w:eastAsia="方正小标宋简体"/>
          <w:bCs/>
          <w:color w:val="000000"/>
          <w:sz w:val="44"/>
          <w:szCs w:val="44"/>
        </w:rPr>
      </w:pPr>
      <w:r>
        <w:rPr>
          <w:rFonts w:eastAsia="方正小标宋简体"/>
          <w:color w:val="000000"/>
          <w:sz w:val="44"/>
        </w:rPr>
        <w:t>增材制造聚醚醚酮植入物</w:t>
      </w:r>
      <w:r>
        <w:rPr>
          <w:rFonts w:eastAsia="方正小标宋简体"/>
          <w:bCs/>
          <w:color w:val="000000"/>
          <w:sz w:val="44"/>
          <w:szCs w:val="44"/>
        </w:rPr>
        <w:t>注册</w:t>
      </w:r>
      <w:r>
        <w:rPr>
          <w:rFonts w:eastAsia="方正小标宋简体"/>
          <w:bCs/>
          <w:sz w:val="44"/>
          <w:szCs w:val="44"/>
        </w:rPr>
        <w:t>审查</w:t>
      </w:r>
      <w:r>
        <w:rPr>
          <w:rFonts w:eastAsia="方正小标宋简体"/>
          <w:bCs/>
          <w:color w:val="000000"/>
          <w:sz w:val="44"/>
          <w:szCs w:val="44"/>
        </w:rPr>
        <w:t>指导原则</w:t>
      </w:r>
    </w:p>
    <w:p w14:paraId="4A6C3B90">
      <w:pPr>
        <w:spacing w:line="520" w:lineRule="exact"/>
        <w:ind w:right="-102" w:rightChars="-32"/>
        <w:jc w:val="center"/>
        <w:rPr>
          <w:rFonts w:eastAsia="方正小标宋简体"/>
          <w:color w:val="000000"/>
          <w:szCs w:val="44"/>
        </w:rPr>
      </w:pPr>
    </w:p>
    <w:p w14:paraId="5B3BBF55">
      <w:pPr>
        <w:spacing w:line="520" w:lineRule="exact"/>
        <w:ind w:firstLine="640" w:firstLineChars="200"/>
        <w:rPr>
          <w:rFonts w:eastAsia="仿宋_GB2312"/>
          <w:color w:val="000000"/>
          <w:szCs w:val="32"/>
        </w:rPr>
      </w:pPr>
      <w:r>
        <w:rPr>
          <w:rFonts w:eastAsia="仿宋_GB2312"/>
          <w:color w:val="000000"/>
          <w:szCs w:val="32"/>
        </w:rPr>
        <w:t>本指导原则旨在指导注册申请人对增材制造聚醚醚酮植入物产品注册申报资料的准备及撰写，同时也为技术审评部门对注册申报资料的审评提供技术参考。</w:t>
      </w:r>
    </w:p>
    <w:p w14:paraId="509E682F">
      <w:pPr>
        <w:spacing w:line="520" w:lineRule="exact"/>
        <w:ind w:firstLine="640" w:firstLineChars="200"/>
        <w:rPr>
          <w:rFonts w:eastAsia="仿宋_GB2312"/>
          <w:color w:val="000000"/>
          <w:szCs w:val="32"/>
        </w:rPr>
      </w:pPr>
      <w:r>
        <w:rPr>
          <w:rFonts w:eastAsia="仿宋_GB2312"/>
          <w:color w:val="000000"/>
          <w:szCs w:val="32"/>
        </w:rPr>
        <w:t>本指导原则是对增材制造聚醚醚酮植入物注册申报资料的一般要求，注册申请人需依据产品的具体特性确定其中内容是否</w:t>
      </w:r>
      <w:r>
        <w:rPr>
          <w:rFonts w:hint="eastAsia" w:eastAsia="仿宋_GB2312"/>
          <w:color w:val="000000"/>
          <w:szCs w:val="32"/>
          <w:lang w:eastAsia="zh-CN"/>
        </w:rPr>
        <w:t>适用</w:t>
      </w:r>
      <w:bookmarkStart w:id="1" w:name="_GoBack"/>
      <w:bookmarkEnd w:id="1"/>
      <w:r>
        <w:rPr>
          <w:rFonts w:eastAsia="仿宋_GB2312"/>
          <w:color w:val="000000"/>
          <w:szCs w:val="32"/>
        </w:rPr>
        <w:t>。若不适用，需具体阐述理由及相应的科学依据，并依据产品的具体特性对注册申报资料的内容进行充实和细化。</w:t>
      </w:r>
    </w:p>
    <w:p w14:paraId="0263B1E8">
      <w:pPr>
        <w:spacing w:line="520" w:lineRule="exact"/>
        <w:ind w:firstLine="640" w:firstLineChars="200"/>
        <w:rPr>
          <w:rFonts w:eastAsia="仿宋_GB2312"/>
          <w:color w:val="000000"/>
          <w:szCs w:val="32"/>
        </w:rPr>
      </w:pPr>
      <w:r>
        <w:rPr>
          <w:rFonts w:eastAsia="仿宋_GB2312"/>
          <w:color w:val="000000"/>
          <w:szCs w:val="32"/>
        </w:rPr>
        <w:t>本指导原则是供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14:paraId="3DD49437">
      <w:pPr>
        <w:spacing w:line="520" w:lineRule="exact"/>
        <w:ind w:firstLine="640" w:firstLineChars="200"/>
        <w:rPr>
          <w:rFonts w:eastAsia="黑体"/>
          <w:color w:val="000000"/>
          <w:szCs w:val="32"/>
        </w:rPr>
      </w:pPr>
      <w:r>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14:paraId="1510314A">
      <w:pPr>
        <w:spacing w:line="520" w:lineRule="exact"/>
        <w:ind w:firstLine="640" w:firstLineChars="200"/>
        <w:rPr>
          <w:rFonts w:eastAsia="黑体"/>
          <w:color w:val="000000"/>
          <w:szCs w:val="32"/>
        </w:rPr>
      </w:pPr>
      <w:r>
        <w:rPr>
          <w:rFonts w:eastAsia="黑体"/>
          <w:color w:val="000000"/>
          <w:szCs w:val="32"/>
        </w:rPr>
        <w:t>一、适用范围</w:t>
      </w:r>
    </w:p>
    <w:p w14:paraId="1888387D">
      <w:pPr>
        <w:spacing w:line="520" w:lineRule="exact"/>
        <w:ind w:firstLine="640" w:firstLineChars="200"/>
        <w:rPr>
          <w:rFonts w:eastAsia="仿宋_GB2312"/>
          <w:color w:val="000000"/>
          <w:szCs w:val="32"/>
        </w:rPr>
      </w:pPr>
      <w:r>
        <w:rPr>
          <w:rFonts w:eastAsia="仿宋_GB2312"/>
          <w:color w:val="000000"/>
          <w:szCs w:val="32"/>
        </w:rPr>
        <w:t>本指导原则适用于采用聚醚醚酮材料经增材制造工艺生产，作用于骨、关节及口腔硬组织的无源植入性医疗器械。采用以聚醚醚酮为主体的复合材料增材制造的植入产品可参考本指导原则适用部分。</w:t>
      </w:r>
    </w:p>
    <w:p w14:paraId="6808DAFA">
      <w:pPr>
        <w:spacing w:line="520" w:lineRule="exact"/>
        <w:ind w:firstLine="640" w:firstLineChars="200"/>
        <w:rPr>
          <w:rFonts w:eastAsia="黑体"/>
          <w:color w:val="000000"/>
          <w:szCs w:val="32"/>
        </w:rPr>
      </w:pPr>
      <w:r>
        <w:rPr>
          <w:rFonts w:eastAsia="黑体"/>
          <w:color w:val="000000"/>
          <w:szCs w:val="32"/>
        </w:rPr>
        <w:t>二、注册审查要点</w:t>
      </w:r>
    </w:p>
    <w:p w14:paraId="4EB5B1F3">
      <w:pPr>
        <w:spacing w:line="520" w:lineRule="exact"/>
        <w:ind w:firstLine="640" w:firstLineChars="200"/>
        <w:rPr>
          <w:rFonts w:eastAsia="楷体_GB2312"/>
          <w:color w:val="000000"/>
          <w:szCs w:val="32"/>
        </w:rPr>
      </w:pPr>
      <w:r>
        <w:rPr>
          <w:rFonts w:eastAsia="楷体_GB2312"/>
          <w:color w:val="000000"/>
          <w:szCs w:val="32"/>
        </w:rPr>
        <w:t>（一）监管信息</w:t>
      </w:r>
    </w:p>
    <w:p w14:paraId="0D7919D3">
      <w:pPr>
        <w:spacing w:line="520" w:lineRule="exact"/>
        <w:ind w:firstLine="640" w:firstLineChars="200"/>
        <w:rPr>
          <w:rFonts w:eastAsia="仿宋_GB2312"/>
          <w:color w:val="000000"/>
          <w:szCs w:val="32"/>
        </w:rPr>
      </w:pPr>
      <w:r>
        <w:rPr>
          <w:rFonts w:eastAsia="仿宋_GB2312"/>
          <w:color w:val="000000"/>
          <w:szCs w:val="32"/>
        </w:rPr>
        <w:t>1.产品名称</w:t>
      </w:r>
    </w:p>
    <w:p w14:paraId="07CF4B50">
      <w:pPr>
        <w:spacing w:line="520" w:lineRule="exact"/>
        <w:ind w:firstLine="640" w:firstLineChars="200"/>
        <w:rPr>
          <w:rFonts w:eastAsia="仿宋_GB2312"/>
          <w:color w:val="000000"/>
          <w:szCs w:val="32"/>
        </w:rPr>
      </w:pPr>
      <w:r>
        <w:rPr>
          <w:rFonts w:eastAsia="仿宋_GB2312"/>
          <w:color w:val="000000"/>
          <w:szCs w:val="32"/>
        </w:rPr>
        <w:t>增材制造聚醚醚酮植入物产品的命名需采用《医疗器械分类目录》或国家标准、行业标准中的通用名称，或以产品结构和预期目的为依据命名，需符合《医疗器械通用名称命名规则》《无源植入器械通用名称命名指导原则》等相关规范性文件的要求。本产品特征词可包括“增材制造”“聚醚醚酮”。</w:t>
      </w:r>
    </w:p>
    <w:p w14:paraId="1717EB32">
      <w:pPr>
        <w:spacing w:line="520" w:lineRule="exact"/>
        <w:ind w:firstLine="640" w:firstLineChars="200"/>
        <w:rPr>
          <w:rFonts w:eastAsia="仿宋_GB2312"/>
          <w:color w:val="000000"/>
          <w:szCs w:val="32"/>
        </w:rPr>
      </w:pPr>
      <w:r>
        <w:rPr>
          <w:rFonts w:eastAsia="仿宋_GB2312"/>
          <w:color w:val="000000"/>
          <w:szCs w:val="32"/>
        </w:rPr>
        <w:t>2.分类编码</w:t>
      </w:r>
    </w:p>
    <w:p w14:paraId="078D86EA">
      <w:pPr>
        <w:spacing w:line="520" w:lineRule="exact"/>
        <w:ind w:firstLine="640" w:firstLineChars="200"/>
        <w:rPr>
          <w:rFonts w:eastAsia="仿宋_GB2312"/>
          <w:color w:val="000000"/>
          <w:szCs w:val="32"/>
        </w:rPr>
      </w:pPr>
      <w:r>
        <w:rPr>
          <w:rFonts w:eastAsia="仿宋_GB2312"/>
          <w:color w:val="000000"/>
          <w:szCs w:val="32"/>
        </w:rPr>
        <w:t>根据《医疗器械分类目录》，分类编码为13或17，请结合具体产品预期用途，完善二级和三级分类编码。管理类别为Ⅲ类。</w:t>
      </w:r>
    </w:p>
    <w:p w14:paraId="35AAB1F4">
      <w:pPr>
        <w:spacing w:line="520" w:lineRule="exact"/>
        <w:ind w:firstLine="640" w:firstLineChars="200"/>
        <w:rPr>
          <w:rFonts w:eastAsia="仿宋_GB2312"/>
          <w:color w:val="000000"/>
          <w:szCs w:val="32"/>
        </w:rPr>
      </w:pPr>
      <w:r>
        <w:rPr>
          <w:rFonts w:eastAsia="仿宋_GB2312"/>
          <w:color w:val="000000"/>
          <w:szCs w:val="32"/>
        </w:rPr>
        <w:t>3.注册单元划分的原则和实例</w:t>
      </w:r>
    </w:p>
    <w:p w14:paraId="3522FD5A">
      <w:pPr>
        <w:spacing w:line="520" w:lineRule="exact"/>
        <w:ind w:firstLine="640" w:firstLineChars="200"/>
        <w:rPr>
          <w:rFonts w:eastAsia="仿宋_GB2312"/>
          <w:color w:val="000000"/>
          <w:szCs w:val="32"/>
        </w:rPr>
      </w:pPr>
      <w:r>
        <w:rPr>
          <w:rFonts w:eastAsia="仿宋_GB2312"/>
          <w:color w:val="000000"/>
          <w:szCs w:val="32"/>
        </w:rPr>
        <w:t>产品注册单元的划分需符合《医疗器械注册单元划分指导原则》的要求。</w:t>
      </w:r>
    </w:p>
    <w:p w14:paraId="7D184BA1">
      <w:pPr>
        <w:spacing w:line="520" w:lineRule="exact"/>
        <w:ind w:firstLine="640" w:firstLineChars="200"/>
        <w:rPr>
          <w:rFonts w:eastAsia="仿宋_GB2312"/>
          <w:color w:val="000000"/>
          <w:szCs w:val="32"/>
        </w:rPr>
      </w:pPr>
      <w:r>
        <w:rPr>
          <w:rFonts w:eastAsia="仿宋_GB2312"/>
          <w:color w:val="000000"/>
          <w:szCs w:val="32"/>
        </w:rPr>
        <w:t>4.型号规格</w:t>
      </w:r>
    </w:p>
    <w:p w14:paraId="38E3431D">
      <w:pPr>
        <w:spacing w:line="520" w:lineRule="exact"/>
        <w:ind w:firstLine="640" w:firstLineChars="200"/>
        <w:rPr>
          <w:rFonts w:eastAsia="仿宋_GB2312"/>
          <w:color w:val="000000"/>
          <w:szCs w:val="32"/>
        </w:rPr>
      </w:pPr>
      <w:r>
        <w:rPr>
          <w:rFonts w:eastAsia="仿宋_GB2312"/>
          <w:color w:val="000000"/>
          <w:szCs w:val="32"/>
        </w:rPr>
        <w:t>需提供产品各型号规格的划分原则。对于存在多种型号、规格的产品，需明确各型号、规格的区别。需采用对比表及带有说明性文字的图片、图表，对各种型号、规格的结构组成、功能、产品特征、性能指标等方面加以描述。</w:t>
      </w:r>
    </w:p>
    <w:p w14:paraId="1AB12C93">
      <w:pPr>
        <w:spacing w:line="520" w:lineRule="exact"/>
        <w:ind w:firstLine="640" w:firstLineChars="200"/>
        <w:rPr>
          <w:rFonts w:eastAsia="仿宋_GB2312"/>
          <w:color w:val="000000"/>
          <w:szCs w:val="32"/>
        </w:rPr>
      </w:pPr>
      <w:r>
        <w:rPr>
          <w:rFonts w:eastAsia="仿宋_GB2312"/>
          <w:color w:val="000000"/>
          <w:szCs w:val="32"/>
        </w:rPr>
        <w:t>5.结构组成</w:t>
      </w:r>
    </w:p>
    <w:p w14:paraId="6509BF04">
      <w:pPr>
        <w:spacing w:line="520" w:lineRule="exact"/>
        <w:ind w:firstLine="640" w:firstLineChars="200"/>
        <w:rPr>
          <w:rFonts w:eastAsia="仿宋_GB2312"/>
          <w:color w:val="000000"/>
          <w:szCs w:val="32"/>
        </w:rPr>
      </w:pPr>
      <w:r>
        <w:rPr>
          <w:rFonts w:eastAsia="仿宋_GB2312"/>
          <w:color w:val="000000"/>
          <w:szCs w:val="32"/>
        </w:rPr>
        <w:t>需提供所含组件描述、选用材料及符合标准、材料牌号信息、表面处理方式、交付状态及有效期信息。</w:t>
      </w:r>
    </w:p>
    <w:p w14:paraId="7BAE7CAE">
      <w:pPr>
        <w:spacing w:line="520" w:lineRule="exact"/>
        <w:ind w:firstLine="640" w:firstLineChars="200"/>
        <w:rPr>
          <w:rFonts w:eastAsia="楷体_GB2312"/>
          <w:color w:val="000000"/>
          <w:szCs w:val="32"/>
        </w:rPr>
      </w:pPr>
      <w:r>
        <w:rPr>
          <w:rFonts w:eastAsia="楷体_GB2312"/>
          <w:color w:val="000000"/>
          <w:szCs w:val="32"/>
        </w:rPr>
        <w:t>（二）综述资料</w:t>
      </w:r>
    </w:p>
    <w:p w14:paraId="0C26A4DE">
      <w:pPr>
        <w:spacing w:line="520" w:lineRule="exact"/>
        <w:ind w:firstLine="640" w:firstLineChars="200"/>
        <w:rPr>
          <w:rFonts w:eastAsia="仿宋_GB2312"/>
          <w:color w:val="000000"/>
          <w:szCs w:val="32"/>
        </w:rPr>
      </w:pPr>
      <w:r>
        <w:rPr>
          <w:rFonts w:eastAsia="仿宋_GB2312"/>
          <w:color w:val="000000"/>
          <w:szCs w:val="32"/>
        </w:rPr>
        <w:t>1.器械及操作原理描述</w:t>
      </w:r>
    </w:p>
    <w:p w14:paraId="10713C30">
      <w:pPr>
        <w:spacing w:line="520" w:lineRule="exact"/>
        <w:ind w:firstLine="640" w:firstLineChars="200"/>
        <w:rPr>
          <w:rFonts w:eastAsia="仿宋_GB2312"/>
          <w:color w:val="000000"/>
          <w:szCs w:val="32"/>
        </w:rPr>
      </w:pPr>
      <w:r>
        <w:rPr>
          <w:rFonts w:eastAsia="仿宋_GB2312"/>
          <w:color w:val="000000"/>
          <w:szCs w:val="32"/>
        </w:rPr>
        <w:t>1.1提供产品各型号的几何结构外形图，充分描述产品结构信息。</w:t>
      </w:r>
    </w:p>
    <w:p w14:paraId="75E692B1">
      <w:pPr>
        <w:spacing w:line="520" w:lineRule="exact"/>
        <w:ind w:firstLine="640" w:firstLineChars="200"/>
        <w:rPr>
          <w:rFonts w:eastAsia="仿宋_GB2312"/>
          <w:color w:val="000000"/>
          <w:szCs w:val="32"/>
        </w:rPr>
      </w:pPr>
      <w:r>
        <w:rPr>
          <w:rFonts w:eastAsia="仿宋_GB2312"/>
          <w:color w:val="000000"/>
          <w:szCs w:val="32"/>
        </w:rPr>
        <w:t>1.2申报资料中需明确相关材料牌号/商品名及符合的标准。进口产品的材料牌号/商品名及符合标准不应超过原产国上市证明文件/说明书批准的范围。</w:t>
      </w:r>
    </w:p>
    <w:p w14:paraId="446DF1EE">
      <w:pPr>
        <w:spacing w:line="520" w:lineRule="exact"/>
        <w:ind w:firstLine="640" w:firstLineChars="200"/>
        <w:rPr>
          <w:rFonts w:eastAsia="仿宋_GB2312"/>
          <w:color w:val="000000"/>
          <w:szCs w:val="32"/>
        </w:rPr>
      </w:pPr>
      <w:r>
        <w:rPr>
          <w:rFonts w:eastAsia="仿宋_GB2312"/>
          <w:color w:val="000000"/>
          <w:szCs w:val="32"/>
        </w:rPr>
        <w:t>1.3提供增材制造聚醚醚酮植入物的关键尺寸信息，如长度、宽度、高度、直径等体现产品设计特征的尺寸及公差。</w:t>
      </w:r>
    </w:p>
    <w:p w14:paraId="30EE78FD">
      <w:pPr>
        <w:spacing w:line="520" w:lineRule="exact"/>
        <w:ind w:firstLine="640" w:firstLineChars="200"/>
        <w:rPr>
          <w:rFonts w:eastAsia="仿宋_GB2312"/>
          <w:color w:val="000000"/>
          <w:szCs w:val="32"/>
        </w:rPr>
      </w:pPr>
      <w:r>
        <w:rPr>
          <w:rFonts w:eastAsia="仿宋_GB2312"/>
          <w:color w:val="000000"/>
          <w:szCs w:val="32"/>
        </w:rPr>
        <w:t>1.4明确各型号产品的划分依据。</w:t>
      </w:r>
    </w:p>
    <w:p w14:paraId="5F69BECA">
      <w:pPr>
        <w:spacing w:line="520" w:lineRule="exact"/>
        <w:ind w:firstLine="640" w:firstLineChars="200"/>
        <w:rPr>
          <w:rFonts w:eastAsia="仿宋_GB2312"/>
          <w:color w:val="000000"/>
          <w:szCs w:val="32"/>
        </w:rPr>
      </w:pPr>
      <w:r>
        <w:rPr>
          <w:rFonts w:eastAsia="仿宋_GB2312"/>
          <w:color w:val="000000"/>
          <w:szCs w:val="32"/>
        </w:rPr>
        <w:t>1.5提供产品工作原理/作用机理。</w:t>
      </w:r>
    </w:p>
    <w:p w14:paraId="75422EFD">
      <w:pPr>
        <w:spacing w:line="520" w:lineRule="exact"/>
        <w:ind w:firstLine="640" w:firstLineChars="200"/>
        <w:rPr>
          <w:rFonts w:eastAsia="仿宋_GB2312"/>
          <w:color w:val="000000"/>
          <w:szCs w:val="32"/>
        </w:rPr>
      </w:pPr>
      <w:r>
        <w:rPr>
          <w:rFonts w:eastAsia="仿宋_GB2312"/>
          <w:color w:val="000000"/>
          <w:szCs w:val="32"/>
        </w:rPr>
        <w:t>1.6提供产品结构及关键尺寸的设计依据。</w:t>
      </w:r>
    </w:p>
    <w:p w14:paraId="3BC3F66D">
      <w:pPr>
        <w:spacing w:line="520" w:lineRule="exact"/>
        <w:ind w:firstLine="640" w:firstLineChars="200"/>
        <w:rPr>
          <w:rFonts w:eastAsia="仿宋_GB2312"/>
          <w:color w:val="000000"/>
          <w:szCs w:val="32"/>
        </w:rPr>
      </w:pPr>
      <w:r>
        <w:rPr>
          <w:rFonts w:eastAsia="仿宋_GB2312"/>
          <w:color w:val="000000"/>
          <w:szCs w:val="32"/>
        </w:rPr>
        <w:t>2.产品的适用范围、适用人群、禁忌证</w:t>
      </w:r>
    </w:p>
    <w:p w14:paraId="04241CFC">
      <w:pPr>
        <w:spacing w:line="520" w:lineRule="exact"/>
        <w:ind w:firstLine="640" w:firstLineChars="200"/>
        <w:rPr>
          <w:rFonts w:eastAsia="仿宋_GB2312"/>
          <w:color w:val="000000"/>
          <w:szCs w:val="32"/>
        </w:rPr>
      </w:pPr>
      <w:r>
        <w:rPr>
          <w:rFonts w:eastAsia="仿宋_GB2312"/>
          <w:color w:val="000000"/>
          <w:szCs w:val="32"/>
        </w:rPr>
        <w:t>产品的适用范围、适用人群、禁忌证需与申报产品的性能、功能相符，并需与临床评价资料结论一致。适用范围的描述需清晰准确。</w:t>
      </w:r>
    </w:p>
    <w:p w14:paraId="5E2EB0BB">
      <w:pPr>
        <w:spacing w:line="520" w:lineRule="exact"/>
        <w:ind w:firstLine="640" w:firstLineChars="200"/>
        <w:rPr>
          <w:rFonts w:eastAsia="仿宋_GB2312"/>
          <w:color w:val="000000"/>
          <w:szCs w:val="32"/>
        </w:rPr>
      </w:pPr>
      <w:r>
        <w:rPr>
          <w:rFonts w:eastAsia="仿宋_GB2312"/>
          <w:color w:val="000000"/>
          <w:szCs w:val="32"/>
        </w:rPr>
        <w:t>注册申请人需根据申报产品的设计特征，进一步说明其具体的适用人群、预期使用环境等信息。</w:t>
      </w:r>
    </w:p>
    <w:p w14:paraId="75F90AA2">
      <w:pPr>
        <w:spacing w:line="520" w:lineRule="exact"/>
        <w:ind w:firstLine="640" w:firstLineChars="200"/>
        <w:rPr>
          <w:rFonts w:eastAsia="仿宋_GB2312"/>
          <w:color w:val="000000"/>
          <w:szCs w:val="32"/>
        </w:rPr>
      </w:pPr>
      <w:r>
        <w:rPr>
          <w:rFonts w:eastAsia="仿宋_GB2312"/>
          <w:color w:val="000000"/>
          <w:szCs w:val="32"/>
        </w:rPr>
        <w:t>描述产品的禁忌证（包括绝对禁忌证、相对禁忌证），如不适宜使用的人群、疾病等情形。</w:t>
      </w:r>
    </w:p>
    <w:p w14:paraId="36F3C895">
      <w:pPr>
        <w:spacing w:line="520" w:lineRule="exact"/>
        <w:ind w:firstLine="640" w:firstLineChars="200"/>
        <w:rPr>
          <w:rFonts w:eastAsia="仿宋_GB2312"/>
          <w:color w:val="000000"/>
          <w:szCs w:val="32"/>
        </w:rPr>
      </w:pPr>
      <w:r>
        <w:rPr>
          <w:rFonts w:eastAsia="仿宋_GB2312"/>
          <w:color w:val="000000"/>
          <w:szCs w:val="32"/>
        </w:rPr>
        <w:t>3.包装说明</w:t>
      </w:r>
    </w:p>
    <w:p w14:paraId="5F4A2A0A">
      <w:pPr>
        <w:spacing w:line="520" w:lineRule="exact"/>
        <w:ind w:firstLine="640" w:firstLineChars="200"/>
        <w:rPr>
          <w:rFonts w:eastAsia="仿宋_GB2312"/>
          <w:color w:val="000000"/>
          <w:szCs w:val="32"/>
        </w:rPr>
      </w:pPr>
      <w:r>
        <w:rPr>
          <w:rFonts w:eastAsia="仿宋_GB2312"/>
          <w:color w:val="000000"/>
          <w:szCs w:val="32"/>
        </w:rPr>
        <w:t>提供产品的包装信息，可包括包装形式、包装材料、包装工艺以及无菌屏障系统等信息。</w:t>
      </w:r>
    </w:p>
    <w:p w14:paraId="4E58E152">
      <w:pPr>
        <w:spacing w:line="520" w:lineRule="exact"/>
        <w:ind w:firstLine="640" w:firstLineChars="200"/>
        <w:rPr>
          <w:rFonts w:eastAsia="楷体_GB2312"/>
          <w:b/>
          <w:color w:val="000000"/>
          <w:szCs w:val="32"/>
        </w:rPr>
      </w:pPr>
      <w:r>
        <w:rPr>
          <w:rFonts w:eastAsia="楷体_GB2312"/>
          <w:color w:val="000000"/>
          <w:szCs w:val="32"/>
        </w:rPr>
        <w:t>（三）非临床资料</w:t>
      </w:r>
    </w:p>
    <w:p w14:paraId="6AD790E9">
      <w:pPr>
        <w:spacing w:line="520" w:lineRule="exact"/>
        <w:ind w:firstLine="640" w:firstLineChars="200"/>
        <w:rPr>
          <w:rFonts w:eastAsia="仿宋_GB2312"/>
          <w:color w:val="000000"/>
          <w:szCs w:val="32"/>
        </w:rPr>
      </w:pPr>
      <w:r>
        <w:rPr>
          <w:rFonts w:eastAsia="仿宋_GB2312"/>
          <w:color w:val="000000"/>
          <w:szCs w:val="32"/>
        </w:rPr>
        <w:t>1.产品风险管理资料</w:t>
      </w:r>
    </w:p>
    <w:p w14:paraId="334DF781">
      <w:pPr>
        <w:spacing w:line="520" w:lineRule="exact"/>
        <w:ind w:firstLine="640" w:firstLineChars="200"/>
        <w:rPr>
          <w:rFonts w:eastAsia="仿宋_GB2312"/>
          <w:color w:val="000000"/>
          <w:szCs w:val="32"/>
        </w:rPr>
      </w:pPr>
      <w:r>
        <w:rPr>
          <w:rFonts w:eastAsia="仿宋_GB2312"/>
          <w:color w:val="000000"/>
          <w:szCs w:val="32"/>
        </w:rPr>
        <w:t>注册申请人需对产品全生命周期实施风险管理，提交风险管理资料（参照YY/T 0316《医疗器械风险管理对医疗器械的应用》）。注册申请人在产品注册上市前，需对风险管理过程进行评审。评审需至少确保：风险管理计划已被适当地实施，综合剩余风险是可接受的。评审结果需形成风险管理报告。申报资料格式需符合现行有效的《医疗器械注册申报资料要求和批准证明文件格式》的要求。</w:t>
      </w:r>
    </w:p>
    <w:p w14:paraId="1C28C1B3">
      <w:pPr>
        <w:spacing w:line="520" w:lineRule="exact"/>
        <w:ind w:firstLine="640" w:firstLineChars="200"/>
        <w:rPr>
          <w:rFonts w:eastAsia="仿宋_GB2312"/>
          <w:color w:val="000000"/>
          <w:szCs w:val="32"/>
        </w:rPr>
      </w:pPr>
      <w:r>
        <w:rPr>
          <w:rFonts w:eastAsia="仿宋_GB2312"/>
          <w:color w:val="000000"/>
          <w:szCs w:val="32"/>
        </w:rPr>
        <w:t>对于增材制造聚醚醚酮植入物，注册申请人还需关注产品设计研发、生产制造环节的相关风险，具体可参考附录《增材制造聚醚醚酮植入物产品风险管理资料要求》。</w:t>
      </w:r>
    </w:p>
    <w:p w14:paraId="6AABA008">
      <w:pPr>
        <w:spacing w:line="520" w:lineRule="exact"/>
        <w:ind w:firstLine="640" w:firstLineChars="200"/>
        <w:rPr>
          <w:rFonts w:eastAsia="仿宋_GB2312"/>
          <w:color w:val="000000"/>
          <w:szCs w:val="32"/>
        </w:rPr>
      </w:pPr>
      <w:r>
        <w:rPr>
          <w:rFonts w:eastAsia="仿宋_GB2312"/>
          <w:color w:val="000000"/>
          <w:szCs w:val="32"/>
        </w:rPr>
        <w:t>2.产品技术要求的主要性能指标</w:t>
      </w:r>
    </w:p>
    <w:p w14:paraId="17DCD9A9">
      <w:pPr>
        <w:spacing w:line="520" w:lineRule="exact"/>
        <w:ind w:firstLine="640" w:firstLineChars="200"/>
        <w:rPr>
          <w:rFonts w:eastAsia="仿宋_GB2312"/>
          <w:color w:val="000000"/>
          <w:szCs w:val="32"/>
        </w:rPr>
      </w:pPr>
      <w:r>
        <w:rPr>
          <w:rFonts w:eastAsia="仿宋_GB2312"/>
          <w:color w:val="000000"/>
          <w:szCs w:val="32"/>
        </w:rPr>
        <w:t>产品技术要求需符合相关国家标准、行业标准和有关法律、法规的相应要求。在此基础上，注册申请人需根据产品的特点，制定保证产品安全、有效的技术要求。产品技术要求中试验方法需依据有关国家标准、行业标准、国际标准制订，或经过验证。</w:t>
      </w:r>
    </w:p>
    <w:p w14:paraId="20D0F66F">
      <w:pPr>
        <w:spacing w:line="520" w:lineRule="exact"/>
        <w:ind w:firstLine="640" w:firstLineChars="200"/>
        <w:rPr>
          <w:rFonts w:eastAsia="仿宋_GB2312"/>
          <w:color w:val="000000"/>
          <w:szCs w:val="32"/>
        </w:rPr>
      </w:pPr>
      <w:r>
        <w:rPr>
          <w:rFonts w:eastAsia="仿宋_GB2312"/>
          <w:color w:val="000000"/>
          <w:szCs w:val="32"/>
        </w:rPr>
        <w:t>2.1产品型号/规格及其划分的说明</w:t>
      </w:r>
    </w:p>
    <w:p w14:paraId="351632AC">
      <w:pPr>
        <w:spacing w:line="520" w:lineRule="exact"/>
        <w:ind w:firstLine="640" w:firstLineChars="200"/>
        <w:rPr>
          <w:rFonts w:eastAsia="仿宋_GB2312"/>
          <w:color w:val="000000"/>
          <w:szCs w:val="32"/>
        </w:rPr>
      </w:pPr>
      <w:r>
        <w:rPr>
          <w:rFonts w:eastAsia="仿宋_GB2312"/>
          <w:color w:val="000000"/>
          <w:szCs w:val="32"/>
        </w:rPr>
        <w:t>列表说明产品的型号、规格，明确产品型号、规格的划分说明。需包含以下产品相关信息：</w:t>
      </w:r>
    </w:p>
    <w:p w14:paraId="01AA82A5">
      <w:pPr>
        <w:spacing w:line="520" w:lineRule="exact"/>
        <w:ind w:firstLine="640" w:firstLineChars="200"/>
        <w:rPr>
          <w:rFonts w:eastAsia="仿宋_GB2312"/>
          <w:color w:val="000000"/>
          <w:szCs w:val="32"/>
        </w:rPr>
      </w:pPr>
      <w:r>
        <w:rPr>
          <w:rFonts w:eastAsia="仿宋_GB2312"/>
          <w:color w:val="000000"/>
          <w:szCs w:val="32"/>
        </w:rPr>
        <w:t>2.1.1明示产品的组成、各组成部分的材料牌号/商品名及符合的国家标准、行业标准、国际标准。</w:t>
      </w:r>
    </w:p>
    <w:p w14:paraId="660E44C3">
      <w:pPr>
        <w:spacing w:line="520" w:lineRule="exact"/>
        <w:ind w:firstLine="640" w:firstLineChars="200"/>
        <w:rPr>
          <w:rFonts w:eastAsia="仿宋_GB2312"/>
          <w:color w:val="000000"/>
          <w:szCs w:val="32"/>
        </w:rPr>
      </w:pPr>
      <w:r>
        <w:rPr>
          <w:rFonts w:eastAsia="仿宋_GB2312"/>
          <w:color w:val="000000"/>
          <w:szCs w:val="32"/>
        </w:rPr>
        <w:t>2.1.2提供各型号产品的结构图并标识关键尺寸。</w:t>
      </w:r>
    </w:p>
    <w:p w14:paraId="54EC73A9">
      <w:pPr>
        <w:spacing w:line="520" w:lineRule="exact"/>
        <w:ind w:firstLine="640" w:firstLineChars="200"/>
        <w:rPr>
          <w:rFonts w:eastAsia="仿宋_GB2312"/>
          <w:color w:val="000000"/>
          <w:szCs w:val="32"/>
        </w:rPr>
      </w:pPr>
      <w:r>
        <w:rPr>
          <w:rFonts w:eastAsia="仿宋_GB2312"/>
          <w:color w:val="000000"/>
          <w:szCs w:val="32"/>
        </w:rPr>
        <w:t>2.1.3提供产品关键尺寸信息，如长度、宽度、高度、直径等。</w:t>
      </w:r>
    </w:p>
    <w:p w14:paraId="1DF78706">
      <w:pPr>
        <w:spacing w:line="520" w:lineRule="exact"/>
        <w:ind w:firstLine="640" w:firstLineChars="200"/>
        <w:rPr>
          <w:rFonts w:eastAsia="仿宋_GB2312"/>
          <w:color w:val="000000"/>
          <w:szCs w:val="32"/>
        </w:rPr>
      </w:pPr>
      <w:r>
        <w:rPr>
          <w:rFonts w:eastAsia="仿宋_GB2312"/>
          <w:color w:val="000000"/>
          <w:szCs w:val="32"/>
        </w:rPr>
        <w:t>2.2性能指标</w:t>
      </w:r>
    </w:p>
    <w:p w14:paraId="3DFC31A7">
      <w:pPr>
        <w:spacing w:line="520" w:lineRule="exact"/>
        <w:ind w:firstLine="640" w:firstLineChars="200"/>
        <w:rPr>
          <w:rFonts w:eastAsia="仿宋_GB2312"/>
          <w:color w:val="000000"/>
          <w:szCs w:val="32"/>
        </w:rPr>
      </w:pPr>
      <w:r>
        <w:rPr>
          <w:rFonts w:eastAsia="仿宋_GB2312"/>
          <w:color w:val="000000"/>
          <w:szCs w:val="32"/>
        </w:rPr>
        <w:t>产品技术要求的主要性能指标需包括以下适用内容：</w:t>
      </w:r>
    </w:p>
    <w:p w14:paraId="0DAF02CB">
      <w:pPr>
        <w:spacing w:line="520" w:lineRule="exact"/>
        <w:ind w:firstLine="640" w:firstLineChars="200"/>
        <w:rPr>
          <w:rFonts w:eastAsia="仿宋_GB2312"/>
          <w:color w:val="000000"/>
          <w:szCs w:val="32"/>
        </w:rPr>
      </w:pPr>
      <w:r>
        <w:rPr>
          <w:rFonts w:eastAsia="仿宋_GB2312"/>
          <w:color w:val="000000"/>
          <w:szCs w:val="32"/>
        </w:rPr>
        <w:t>2.2.1</w:t>
      </w:r>
      <w:r>
        <w:rPr>
          <w:rFonts w:eastAsia="仿宋_GB2312"/>
          <w:color w:val="000000"/>
          <w:szCs w:val="32"/>
          <w:lang w:val="zh-CN"/>
        </w:rPr>
        <w:t>产品表面质量，</w:t>
      </w:r>
      <w:r>
        <w:rPr>
          <w:rFonts w:eastAsia="仿宋_GB2312"/>
          <w:color w:val="000000"/>
          <w:szCs w:val="32"/>
        </w:rPr>
        <w:t>包括外观、表面缺陷和表面粗糙度。</w:t>
      </w:r>
    </w:p>
    <w:p w14:paraId="48A627DE">
      <w:pPr>
        <w:spacing w:line="520" w:lineRule="exact"/>
        <w:ind w:firstLine="640" w:firstLineChars="200"/>
        <w:rPr>
          <w:rFonts w:eastAsia="仿宋_GB2312"/>
          <w:color w:val="000000"/>
          <w:szCs w:val="32"/>
        </w:rPr>
      </w:pPr>
      <w:r>
        <w:rPr>
          <w:rFonts w:eastAsia="仿宋_GB2312"/>
          <w:color w:val="000000"/>
          <w:szCs w:val="32"/>
        </w:rPr>
        <w:t>2.2.2产品重要部位尺寸和公差。</w:t>
      </w:r>
    </w:p>
    <w:p w14:paraId="0344C2D5">
      <w:pPr>
        <w:spacing w:line="520" w:lineRule="exact"/>
        <w:ind w:firstLine="640" w:firstLineChars="200"/>
        <w:rPr>
          <w:rFonts w:eastAsia="仿宋_GB2312"/>
          <w:color w:val="000000"/>
          <w:szCs w:val="32"/>
        </w:rPr>
      </w:pPr>
      <w:r>
        <w:rPr>
          <w:rFonts w:eastAsia="仿宋_GB2312"/>
          <w:color w:val="000000"/>
          <w:szCs w:val="32"/>
        </w:rPr>
        <w:t>2.2.3产品的力学性能，如硬度，强度等。</w:t>
      </w:r>
    </w:p>
    <w:p w14:paraId="72B33096">
      <w:pPr>
        <w:spacing w:line="520" w:lineRule="exact"/>
        <w:ind w:firstLine="640" w:firstLineChars="200"/>
        <w:rPr>
          <w:rFonts w:eastAsia="仿宋_GB2312"/>
          <w:color w:val="000000"/>
          <w:szCs w:val="32"/>
          <w:lang w:val="zh-CN"/>
        </w:rPr>
      </w:pPr>
      <w:r>
        <w:rPr>
          <w:rFonts w:eastAsia="仿宋_GB2312"/>
          <w:color w:val="000000"/>
          <w:szCs w:val="32"/>
        </w:rPr>
        <w:t>2.2.4</w:t>
      </w:r>
      <w:r>
        <w:rPr>
          <w:rFonts w:eastAsia="仿宋_GB2312"/>
          <w:color w:val="000000"/>
          <w:szCs w:val="32"/>
          <w:lang w:val="zh-CN"/>
        </w:rPr>
        <w:t>多孔结构形貌，如多孔结构的孔径、丝径、孔隙率、</w:t>
      </w:r>
      <w:r>
        <w:rPr>
          <w:rFonts w:eastAsia="仿宋_GB2312"/>
          <w:color w:val="000000"/>
          <w:szCs w:val="32"/>
        </w:rPr>
        <w:t>平均孔隙截距、孔隙梯度、孔内部连通性、多孔结构的厚度</w:t>
      </w:r>
      <w:r>
        <w:rPr>
          <w:rFonts w:eastAsia="仿宋_GB2312"/>
          <w:color w:val="000000"/>
          <w:szCs w:val="32"/>
          <w:lang w:val="zh-CN"/>
        </w:rPr>
        <w:t>等。</w:t>
      </w:r>
    </w:p>
    <w:p w14:paraId="2FCB046D">
      <w:pPr>
        <w:spacing w:line="520" w:lineRule="exact"/>
        <w:ind w:firstLine="640" w:firstLineChars="200"/>
        <w:rPr>
          <w:rFonts w:eastAsia="仿宋_GB2312"/>
          <w:color w:val="000000"/>
          <w:szCs w:val="32"/>
        </w:rPr>
      </w:pPr>
      <w:r>
        <w:rPr>
          <w:rFonts w:eastAsia="仿宋_GB2312"/>
          <w:color w:val="000000"/>
          <w:szCs w:val="32"/>
        </w:rPr>
        <w:t>2.2.5灭菌产品的无菌性能。</w:t>
      </w:r>
    </w:p>
    <w:p w14:paraId="105831A9">
      <w:pPr>
        <w:spacing w:line="520" w:lineRule="exact"/>
        <w:ind w:firstLine="640" w:firstLineChars="200"/>
        <w:rPr>
          <w:rFonts w:eastAsia="仿宋_GB2312"/>
          <w:color w:val="000000"/>
          <w:szCs w:val="32"/>
        </w:rPr>
      </w:pPr>
      <w:r>
        <w:rPr>
          <w:rFonts w:eastAsia="仿宋_GB2312"/>
          <w:color w:val="000000"/>
          <w:szCs w:val="32"/>
        </w:rPr>
        <w:t>2.2.6若灭菌使用的方法涉及出现残留，需对允许的残留量进行规定，如采用环氧乙烷灭菌的产品的环氧乙烷残留量的要求。</w:t>
      </w:r>
    </w:p>
    <w:p w14:paraId="5B3154B0">
      <w:pPr>
        <w:spacing w:line="520" w:lineRule="exact"/>
        <w:ind w:firstLine="640" w:firstLineChars="200"/>
        <w:rPr>
          <w:rFonts w:eastAsia="仿宋_GB2312"/>
          <w:color w:val="000000"/>
          <w:szCs w:val="32"/>
        </w:rPr>
      </w:pPr>
      <w:r>
        <w:rPr>
          <w:rFonts w:eastAsia="仿宋_GB2312"/>
          <w:color w:val="000000"/>
          <w:szCs w:val="32"/>
        </w:rPr>
        <w:t>2.3检验方法</w:t>
      </w:r>
    </w:p>
    <w:p w14:paraId="1D387C27">
      <w:pPr>
        <w:spacing w:line="520" w:lineRule="exact"/>
        <w:ind w:firstLine="640" w:firstLineChars="200"/>
        <w:rPr>
          <w:rFonts w:eastAsia="仿宋_GB2312"/>
          <w:color w:val="000000"/>
          <w:szCs w:val="32"/>
        </w:rPr>
      </w:pPr>
      <w:r>
        <w:rPr>
          <w:rFonts w:eastAsia="仿宋_GB2312"/>
          <w:color w:val="000000"/>
          <w:szCs w:val="32"/>
        </w:rPr>
        <w:t>产品的检验方法需根据技术性能指标设定，检验方法需优先采用公认的或已颁布的标准检验方法；自建检验方法需提供相应的方法学依据及理论基础，同时保证检验方法具有可操作性和可重现性，必要时可附相应图示进行说明，文本较大的可以附录形式提供。</w:t>
      </w:r>
    </w:p>
    <w:p w14:paraId="229E6FE8">
      <w:pPr>
        <w:spacing w:line="520" w:lineRule="exact"/>
        <w:ind w:firstLine="640" w:firstLineChars="200"/>
        <w:rPr>
          <w:rFonts w:eastAsia="仿宋_GB2312"/>
          <w:color w:val="000000"/>
          <w:szCs w:val="32"/>
        </w:rPr>
      </w:pPr>
      <w:r>
        <w:rPr>
          <w:rFonts w:eastAsia="仿宋_GB2312"/>
          <w:color w:val="000000"/>
          <w:szCs w:val="32"/>
        </w:rPr>
        <w:t>2.4附录</w:t>
      </w:r>
    </w:p>
    <w:p w14:paraId="4282941B">
      <w:pPr>
        <w:spacing w:line="520" w:lineRule="exact"/>
        <w:ind w:firstLine="640" w:firstLineChars="200"/>
        <w:rPr>
          <w:rFonts w:eastAsia="仿宋_GB2312"/>
          <w:color w:val="000000"/>
          <w:szCs w:val="32"/>
        </w:rPr>
      </w:pPr>
      <w:r>
        <w:rPr>
          <w:rFonts w:eastAsia="仿宋_GB2312"/>
          <w:color w:val="000000"/>
          <w:szCs w:val="32"/>
        </w:rPr>
        <w:t>如产品结构图示复杂，则注册申请人可以资料性附录形式提供产品的结构图示。</w:t>
      </w:r>
    </w:p>
    <w:p w14:paraId="0C11E94F">
      <w:pPr>
        <w:pStyle w:val="10"/>
        <w:spacing w:line="520" w:lineRule="exact"/>
        <w:ind w:firstLine="640"/>
        <w:rPr>
          <w:color w:val="000000"/>
        </w:rPr>
      </w:pPr>
      <w:r>
        <w:rPr>
          <w:color w:val="000000"/>
        </w:rPr>
        <w:t>3.同一注册单元内检验典型性产品确定原则</w:t>
      </w:r>
    </w:p>
    <w:p w14:paraId="00FF618A">
      <w:pPr>
        <w:spacing w:line="520" w:lineRule="exact"/>
        <w:ind w:firstLine="640" w:firstLineChars="200"/>
        <w:rPr>
          <w:rFonts w:eastAsia="仿宋_GB2312"/>
          <w:color w:val="000000"/>
          <w:szCs w:val="32"/>
        </w:rPr>
      </w:pPr>
      <w:r>
        <w:rPr>
          <w:rFonts w:eastAsia="仿宋_GB2312"/>
          <w:color w:val="000000"/>
          <w:szCs w:val="32"/>
        </w:rPr>
        <w:t>同一注册单元内所检验的产品应当能够代表本注册单元内其他产品的安全性和有效性，并提供典型性检验样品的确定依据。</w:t>
      </w:r>
    </w:p>
    <w:p w14:paraId="10A2102E">
      <w:pPr>
        <w:spacing w:line="520" w:lineRule="exact"/>
        <w:ind w:firstLine="640" w:firstLineChars="200"/>
        <w:rPr>
          <w:rFonts w:eastAsia="仿宋_GB2312"/>
          <w:color w:val="000000"/>
          <w:szCs w:val="32"/>
        </w:rPr>
      </w:pPr>
      <w:r>
        <w:rPr>
          <w:rFonts w:eastAsia="仿宋_GB2312"/>
          <w:color w:val="000000"/>
          <w:szCs w:val="32"/>
        </w:rPr>
        <w:t>4.研究资料</w:t>
      </w:r>
    </w:p>
    <w:p w14:paraId="4D007B73">
      <w:pPr>
        <w:spacing w:line="520" w:lineRule="exact"/>
        <w:ind w:firstLine="640" w:firstLineChars="200"/>
        <w:rPr>
          <w:rFonts w:eastAsia="仿宋_GB2312"/>
          <w:color w:val="000000"/>
          <w:szCs w:val="32"/>
        </w:rPr>
      </w:pPr>
      <w:r>
        <w:rPr>
          <w:rFonts w:eastAsia="仿宋_GB2312"/>
          <w:color w:val="000000"/>
          <w:szCs w:val="32"/>
        </w:rPr>
        <w:t>4.1物理和机械性能研究</w:t>
      </w:r>
    </w:p>
    <w:p w14:paraId="3E230F01">
      <w:pPr>
        <w:spacing w:line="520" w:lineRule="exact"/>
        <w:ind w:firstLine="640" w:firstLineChars="200"/>
        <w:rPr>
          <w:rFonts w:eastAsia="仿宋_GB2312"/>
          <w:color w:val="000000"/>
          <w:szCs w:val="32"/>
        </w:rPr>
      </w:pPr>
      <w:r>
        <w:rPr>
          <w:rFonts w:eastAsia="仿宋_GB2312"/>
          <w:color w:val="000000"/>
          <w:szCs w:val="32"/>
        </w:rPr>
        <w:t>根据产品适用范围，结合产品植入部位承力模式、适用的具体产品技术审查指导原则要求，明确植入物各项动、静态力学性能要求，提供性能验证报告。并提供性能指标的确定依据和临床可接受性论证资料。例如，个性化颅骨修复体需要评价抗冲击性能。</w:t>
      </w:r>
    </w:p>
    <w:p w14:paraId="39E8397A">
      <w:pPr>
        <w:spacing w:line="520" w:lineRule="exact"/>
        <w:ind w:firstLine="640" w:firstLineChars="200"/>
        <w:rPr>
          <w:rFonts w:eastAsia="仿宋_GB2312"/>
          <w:color w:val="000000"/>
          <w:szCs w:val="32"/>
        </w:rPr>
      </w:pPr>
      <w:r>
        <w:rPr>
          <w:rFonts w:eastAsia="仿宋_GB2312"/>
          <w:color w:val="000000"/>
          <w:szCs w:val="32"/>
        </w:rPr>
        <w:t>4.2化学/材料表征研究</w:t>
      </w:r>
    </w:p>
    <w:p w14:paraId="2B92957C">
      <w:pPr>
        <w:spacing w:line="520" w:lineRule="exact"/>
        <w:ind w:firstLine="640" w:firstLineChars="200"/>
        <w:rPr>
          <w:rFonts w:eastAsia="仿宋_GB2312"/>
          <w:color w:val="000000"/>
          <w:szCs w:val="32"/>
        </w:rPr>
      </w:pPr>
      <w:r>
        <w:rPr>
          <w:rFonts w:eastAsia="仿宋_GB2312"/>
          <w:color w:val="000000"/>
          <w:szCs w:val="32"/>
        </w:rPr>
        <w:t>明确终产品材料的物理和化学性能指标，包括但不限于红外光谱、玻璃化转变温度、熔融温度、冷却结晶温度、黏度、重金属总量、结晶度、密度等。同时，提供各项性能指标要求的确定依据及可接受性论述。</w:t>
      </w:r>
    </w:p>
    <w:p w14:paraId="152DD64F">
      <w:pPr>
        <w:spacing w:line="520" w:lineRule="exact"/>
        <w:ind w:firstLine="640" w:firstLineChars="200"/>
        <w:rPr>
          <w:rFonts w:eastAsia="仿宋_GB2312"/>
          <w:color w:val="000000"/>
          <w:szCs w:val="32"/>
        </w:rPr>
      </w:pPr>
      <w:r>
        <w:rPr>
          <w:rFonts w:eastAsia="仿宋_GB2312"/>
          <w:color w:val="000000"/>
          <w:szCs w:val="32"/>
        </w:rPr>
        <w:t>同时，需关注聚醚醚酮合成工艺可能产生的单体残留和溶剂残留，以及生产过程中各种加工助剂的残留。必要时，依据《医疗器械已知可沥滤物测定方法验证及确认注册技术审查指导原则》对植入物原材料及加工过程引入的可沥滤物的分析和评价。</w:t>
      </w:r>
    </w:p>
    <w:p w14:paraId="4F79D90C">
      <w:pPr>
        <w:spacing w:line="520" w:lineRule="exact"/>
        <w:ind w:firstLine="640" w:firstLineChars="200"/>
        <w:rPr>
          <w:rFonts w:eastAsia="仿宋_GB2312"/>
          <w:color w:val="000000"/>
          <w:szCs w:val="32"/>
        </w:rPr>
      </w:pPr>
      <w:r>
        <w:rPr>
          <w:rFonts w:eastAsia="仿宋_GB2312"/>
          <w:color w:val="000000"/>
          <w:szCs w:val="32"/>
        </w:rPr>
        <w:t>4.3生物学特性研究</w:t>
      </w:r>
    </w:p>
    <w:p w14:paraId="1AC9E003">
      <w:pPr>
        <w:spacing w:line="520" w:lineRule="exact"/>
        <w:ind w:firstLine="640" w:firstLineChars="200"/>
        <w:rPr>
          <w:rFonts w:eastAsia="仿宋_GB2312"/>
          <w:color w:val="000000"/>
          <w:szCs w:val="32"/>
        </w:rPr>
      </w:pPr>
      <w:r>
        <w:rPr>
          <w:rFonts w:eastAsia="仿宋_GB2312"/>
          <w:color w:val="000000"/>
          <w:szCs w:val="32"/>
        </w:rPr>
        <w:t>根据GB/T 16886系列标准要求，结合植入物的物理和化学信息、与人体接触性质和时间等，对终产品满足生物学要求进行评价，生物学评价终点通常可能包括细胞毒性、致敏反应、刺激或皮内反应、材料介导的致热性、急性全身毒性、亚慢性全身毒性、植入反应、遗传毒性、致癌性。必要时开展生物学试验。</w:t>
      </w:r>
    </w:p>
    <w:p w14:paraId="36ABE95A">
      <w:pPr>
        <w:spacing w:line="520" w:lineRule="exact"/>
        <w:ind w:firstLine="640" w:firstLineChars="200"/>
        <w:rPr>
          <w:rFonts w:eastAsia="仿宋_GB2312"/>
          <w:color w:val="000000"/>
          <w:szCs w:val="32"/>
        </w:rPr>
      </w:pPr>
      <w:r>
        <w:rPr>
          <w:rFonts w:eastAsia="仿宋_GB2312"/>
          <w:color w:val="000000"/>
          <w:szCs w:val="32"/>
        </w:rPr>
        <w:t>增材制造聚醚醚酮植入物应重点关注可沥滤化学物质的存在及毒性的可接受性。</w:t>
      </w:r>
    </w:p>
    <w:p w14:paraId="325349DB">
      <w:pPr>
        <w:spacing w:line="520" w:lineRule="exact"/>
        <w:ind w:firstLine="640" w:firstLineChars="200"/>
        <w:rPr>
          <w:rFonts w:eastAsia="仿宋_GB2312"/>
          <w:color w:val="000000"/>
          <w:szCs w:val="32"/>
        </w:rPr>
      </w:pPr>
      <w:r>
        <w:rPr>
          <w:rFonts w:eastAsia="仿宋_GB2312"/>
          <w:color w:val="000000"/>
          <w:szCs w:val="32"/>
        </w:rPr>
        <w:t>4.4细菌内毒素</w:t>
      </w:r>
    </w:p>
    <w:p w14:paraId="0BF85D18">
      <w:pPr>
        <w:spacing w:line="520" w:lineRule="exact"/>
        <w:ind w:firstLine="640" w:firstLineChars="200"/>
        <w:rPr>
          <w:rFonts w:eastAsia="仿宋_GB2312"/>
          <w:color w:val="000000"/>
          <w:szCs w:val="32"/>
        </w:rPr>
      </w:pPr>
      <w:r>
        <w:rPr>
          <w:rFonts w:eastAsia="仿宋_GB2312"/>
          <w:color w:val="000000"/>
          <w:szCs w:val="32"/>
        </w:rPr>
        <w:t>需要针对细菌内毒素进行验证。</w:t>
      </w:r>
    </w:p>
    <w:p w14:paraId="790D0EAC">
      <w:pPr>
        <w:spacing w:line="520" w:lineRule="exact"/>
        <w:ind w:firstLine="640" w:firstLineChars="200"/>
        <w:rPr>
          <w:rFonts w:eastAsia="仿宋_GB2312"/>
          <w:color w:val="000000"/>
          <w:szCs w:val="32"/>
        </w:rPr>
      </w:pPr>
      <w:r>
        <w:rPr>
          <w:rFonts w:eastAsia="仿宋_GB2312"/>
          <w:color w:val="000000"/>
          <w:szCs w:val="32"/>
        </w:rPr>
        <w:t>4.5清洁、灭菌研究</w:t>
      </w:r>
    </w:p>
    <w:p w14:paraId="45325AE2">
      <w:pPr>
        <w:spacing w:line="520" w:lineRule="exact"/>
        <w:ind w:firstLine="640" w:firstLineChars="200"/>
        <w:rPr>
          <w:rFonts w:eastAsia="仿宋_GB2312"/>
          <w:color w:val="000000"/>
          <w:szCs w:val="32"/>
        </w:rPr>
      </w:pPr>
      <w:r>
        <w:rPr>
          <w:rFonts w:eastAsia="仿宋_GB2312"/>
          <w:color w:val="000000"/>
          <w:szCs w:val="32"/>
        </w:rPr>
        <w:t>描述用于保证产品无菌的质量保证体系，明确灭菌工艺（方法和参数）和无菌保证水平（SAL）。增材制造聚醚醚酮植入物的无菌保证水平（SAL）需达到10</w:t>
      </w:r>
      <w:r>
        <w:rPr>
          <w:rFonts w:eastAsia="仿宋_GB2312"/>
          <w:color w:val="000000"/>
          <w:szCs w:val="32"/>
          <w:vertAlign w:val="superscript"/>
        </w:rPr>
        <w:t>-6</w:t>
      </w:r>
      <w:r>
        <w:rPr>
          <w:rFonts w:eastAsia="仿宋_GB2312"/>
          <w:color w:val="000000"/>
          <w:szCs w:val="32"/>
        </w:rPr>
        <w:t>。</w:t>
      </w:r>
    </w:p>
    <w:p w14:paraId="17BE3F58">
      <w:pPr>
        <w:spacing w:line="520" w:lineRule="exact"/>
        <w:ind w:firstLine="640" w:firstLineChars="200"/>
        <w:rPr>
          <w:rFonts w:eastAsia="仿宋_GB2312"/>
          <w:color w:val="000000"/>
          <w:szCs w:val="32"/>
        </w:rPr>
      </w:pPr>
      <w:r>
        <w:rPr>
          <w:rFonts w:eastAsia="仿宋_GB2312"/>
          <w:color w:val="000000"/>
          <w:szCs w:val="32"/>
        </w:rPr>
        <w:t>4.5.1生产企业灭菌</w:t>
      </w:r>
    </w:p>
    <w:p w14:paraId="0BDFB2D7">
      <w:pPr>
        <w:spacing w:line="520" w:lineRule="exact"/>
        <w:ind w:firstLine="640" w:firstLineChars="200"/>
        <w:rPr>
          <w:rFonts w:eastAsia="仿宋_GB2312"/>
          <w:color w:val="000000"/>
          <w:szCs w:val="32"/>
        </w:rPr>
      </w:pPr>
      <w:r>
        <w:rPr>
          <w:rFonts w:eastAsia="仿宋_GB2312"/>
          <w:color w:val="000000"/>
          <w:szCs w:val="32"/>
        </w:rPr>
        <w:t>对于灭菌包装交付产品，需提供灭菌工艺验证报告。对于经辐照灭菌的产品，需明确射线种类、辐照剂量及相关的验证报告（其中具体的剂量确定依据可参照GB 18280系列标准）。对于经环氧乙烷灭菌的产品，需提供灭菌结果确认和过程控制报告（具体可参照GB 18279系列标准）。</w:t>
      </w:r>
    </w:p>
    <w:p w14:paraId="449D9FBC">
      <w:pPr>
        <w:spacing w:line="520" w:lineRule="exact"/>
        <w:ind w:firstLine="640" w:firstLineChars="200"/>
        <w:rPr>
          <w:rFonts w:eastAsia="仿宋_GB2312"/>
          <w:color w:val="000000"/>
          <w:szCs w:val="32"/>
        </w:rPr>
      </w:pPr>
      <w:r>
        <w:rPr>
          <w:rFonts w:eastAsia="仿宋_GB2312"/>
          <w:color w:val="000000"/>
          <w:szCs w:val="32"/>
        </w:rPr>
        <w:t>需评价灭菌方法（包括不同辐照源）对于产品性能的影响，并提供验证性能的确定依据、验证方案及报告以及接受指标的确定依据。</w:t>
      </w:r>
    </w:p>
    <w:p w14:paraId="2DF1B432">
      <w:pPr>
        <w:spacing w:line="520" w:lineRule="exact"/>
        <w:ind w:firstLine="640" w:firstLineChars="200"/>
        <w:rPr>
          <w:rFonts w:eastAsia="仿宋_GB2312"/>
          <w:color w:val="000000"/>
          <w:szCs w:val="32"/>
        </w:rPr>
      </w:pPr>
      <w:r>
        <w:rPr>
          <w:rFonts w:eastAsia="仿宋_GB2312"/>
          <w:color w:val="000000"/>
          <w:szCs w:val="32"/>
        </w:rPr>
        <w:t>若使用的灭菌方法涉及残留物，需明确残留物信息、控制指标及应采取的具体处理方法和条件，论述可接受性并提供研究资料。</w:t>
      </w:r>
    </w:p>
    <w:p w14:paraId="737A6805">
      <w:pPr>
        <w:spacing w:line="520" w:lineRule="exact"/>
        <w:ind w:firstLine="640" w:firstLineChars="200"/>
        <w:rPr>
          <w:rFonts w:eastAsia="仿宋_GB2312"/>
          <w:color w:val="000000"/>
          <w:szCs w:val="32"/>
        </w:rPr>
      </w:pPr>
      <w:r>
        <w:rPr>
          <w:rFonts w:eastAsia="仿宋_GB2312"/>
          <w:color w:val="000000"/>
          <w:szCs w:val="32"/>
        </w:rPr>
        <w:t>4.5.2最终使用者灭菌</w:t>
      </w:r>
    </w:p>
    <w:p w14:paraId="55070BA0">
      <w:pPr>
        <w:spacing w:line="520" w:lineRule="exact"/>
        <w:ind w:firstLine="640" w:firstLineChars="200"/>
        <w:rPr>
          <w:rFonts w:eastAsia="仿宋_GB2312"/>
          <w:color w:val="000000"/>
          <w:szCs w:val="32"/>
        </w:rPr>
      </w:pPr>
      <w:r>
        <w:rPr>
          <w:rFonts w:eastAsia="仿宋_GB2312"/>
          <w:color w:val="000000"/>
          <w:szCs w:val="32"/>
        </w:rPr>
        <w:t>对于非灭菌包装交付产品，需明确非灭菌产品推荐采用的灭菌方法，并提供非灭菌包装产品推荐灭菌工艺验证报告。</w:t>
      </w:r>
    </w:p>
    <w:p w14:paraId="68FC6E71">
      <w:pPr>
        <w:spacing w:line="520" w:lineRule="exact"/>
        <w:ind w:firstLine="640" w:firstLineChars="200"/>
        <w:rPr>
          <w:rFonts w:eastAsia="仿宋_GB2312"/>
          <w:color w:val="000000"/>
          <w:szCs w:val="32"/>
        </w:rPr>
      </w:pPr>
      <w:r>
        <w:rPr>
          <w:rFonts w:eastAsia="仿宋_GB2312"/>
          <w:color w:val="000000"/>
          <w:szCs w:val="32"/>
        </w:rPr>
        <w:t>4.6动物试验研究</w:t>
      </w:r>
    </w:p>
    <w:p w14:paraId="53C425B0">
      <w:pPr>
        <w:spacing w:line="520" w:lineRule="exact"/>
        <w:ind w:firstLine="640" w:firstLineChars="200"/>
        <w:rPr>
          <w:rFonts w:eastAsia="仿宋_GB2312"/>
          <w:color w:val="000000"/>
          <w:szCs w:val="32"/>
        </w:rPr>
      </w:pPr>
      <w:r>
        <w:rPr>
          <w:rFonts w:eastAsia="仿宋_GB2312"/>
          <w:color w:val="000000"/>
          <w:szCs w:val="32"/>
        </w:rPr>
        <w:t>请根据《医疗器械动物试验研究技术审查指导原则第一部分：决策原则》要求，结合动物试验“替代、减少和优化”原则及医疗器械风险管理原则判定开展动物试验的必要性。如需开展动物试验，请参照《医疗器械动物试验研究技术审查指导原则第二部分：实验设计、实施质量保证》进行研究方案设计和实施质量保证工作。具体产品适用情形还可参考相关医疗器械产品技术审查指导原则。</w:t>
      </w:r>
    </w:p>
    <w:p w14:paraId="25141555">
      <w:pPr>
        <w:spacing w:line="520" w:lineRule="exact"/>
        <w:ind w:firstLine="640" w:firstLineChars="200"/>
        <w:rPr>
          <w:rFonts w:eastAsia="仿宋_GB2312"/>
          <w:color w:val="000000"/>
          <w:szCs w:val="32"/>
        </w:rPr>
      </w:pPr>
      <w:r>
        <w:rPr>
          <w:rFonts w:eastAsia="仿宋_GB2312"/>
          <w:color w:val="000000"/>
          <w:szCs w:val="32"/>
        </w:rPr>
        <w:t>4.7稳定性研究</w:t>
      </w:r>
    </w:p>
    <w:p w14:paraId="1F6F8CB5">
      <w:pPr>
        <w:spacing w:line="520" w:lineRule="exact"/>
        <w:ind w:firstLine="640" w:firstLineChars="200"/>
        <w:rPr>
          <w:rFonts w:eastAsia="仿宋_GB2312"/>
          <w:color w:val="000000"/>
          <w:szCs w:val="32"/>
        </w:rPr>
      </w:pPr>
      <w:r>
        <w:rPr>
          <w:rFonts w:eastAsia="仿宋_GB2312"/>
          <w:color w:val="000000"/>
          <w:szCs w:val="32"/>
        </w:rPr>
        <w:t>4.7.1货架有效期</w:t>
      </w:r>
    </w:p>
    <w:p w14:paraId="6D6033DA">
      <w:pPr>
        <w:spacing w:line="520" w:lineRule="exact"/>
        <w:ind w:firstLine="640" w:firstLineChars="200"/>
        <w:rPr>
          <w:rFonts w:eastAsia="仿宋_GB2312"/>
          <w:color w:val="000000"/>
          <w:szCs w:val="32"/>
        </w:rPr>
      </w:pPr>
      <w:r>
        <w:rPr>
          <w:rFonts w:eastAsia="仿宋_GB2312"/>
          <w:color w:val="000000"/>
          <w:szCs w:val="32"/>
        </w:rPr>
        <w:t>注册申请人需参照《无源植入性医疗器械货架有效期注册申报资料指导原则》提供产品货架有效期的验证资料。</w:t>
      </w:r>
    </w:p>
    <w:p w14:paraId="17BEDC3B">
      <w:pPr>
        <w:spacing w:line="520" w:lineRule="exact"/>
        <w:ind w:firstLine="640" w:firstLineChars="200"/>
        <w:rPr>
          <w:rFonts w:eastAsia="仿宋_GB2312"/>
          <w:color w:val="000000"/>
          <w:szCs w:val="32"/>
        </w:rPr>
      </w:pPr>
      <w:r>
        <w:rPr>
          <w:rFonts w:eastAsia="仿宋_GB2312"/>
          <w:color w:val="000000"/>
          <w:szCs w:val="32"/>
        </w:rPr>
        <w:t>4.7.2运输稳定性</w:t>
      </w:r>
    </w:p>
    <w:p w14:paraId="6BB6EEEB">
      <w:pPr>
        <w:spacing w:line="520" w:lineRule="exact"/>
        <w:ind w:firstLine="640" w:firstLineChars="200"/>
        <w:rPr>
          <w:rFonts w:eastAsia="仿宋_GB2312"/>
          <w:color w:val="000000"/>
          <w:szCs w:val="32"/>
        </w:rPr>
      </w:pPr>
      <w:r>
        <w:rPr>
          <w:rFonts w:eastAsia="仿宋_GB2312"/>
          <w:color w:val="000000"/>
          <w:szCs w:val="32"/>
        </w:rPr>
        <w:t>注册申请人需提交运输稳定性验证资料，证明在规定的运输条件下，运输过程中环境条件（例如：震动、振动、温度和湿度的波动）不会对医疗器械的特性和性能，包括完整性和清洁度，造成不利影响。</w:t>
      </w:r>
    </w:p>
    <w:p w14:paraId="7D1B78A5">
      <w:pPr>
        <w:spacing w:line="520" w:lineRule="exact"/>
        <w:ind w:firstLine="640" w:firstLineChars="200"/>
        <w:rPr>
          <w:rFonts w:eastAsia="楷体_GB2312"/>
          <w:color w:val="000000"/>
          <w:szCs w:val="32"/>
        </w:rPr>
      </w:pPr>
      <w:r>
        <w:rPr>
          <w:rFonts w:eastAsia="楷体_GB2312"/>
          <w:color w:val="000000"/>
          <w:szCs w:val="32"/>
        </w:rPr>
        <w:t>（四）临床评价资料</w:t>
      </w:r>
    </w:p>
    <w:p w14:paraId="16A310A5">
      <w:pPr>
        <w:spacing w:line="520" w:lineRule="exact"/>
        <w:ind w:firstLine="640" w:firstLineChars="200"/>
        <w:rPr>
          <w:rFonts w:eastAsia="仿宋_GB2312"/>
          <w:color w:val="000000"/>
          <w:szCs w:val="32"/>
        </w:rPr>
      </w:pPr>
      <w:r>
        <w:rPr>
          <w:rFonts w:eastAsia="仿宋_GB2312"/>
          <w:color w:val="000000"/>
          <w:szCs w:val="32"/>
        </w:rPr>
        <w:t>该产品尚未列入免于进行临床评价的医疗器械目录，注册申请人需按照《医疗器械临床评价技术指导原则》的要求，根据产品的适用范围、技术特征、已有临床数据等情形，选择恰当的临床评价路径，包括同品种医疗器械评价路径和/或临床试验路径。</w:t>
      </w:r>
    </w:p>
    <w:p w14:paraId="493FBD65">
      <w:pPr>
        <w:spacing w:line="520" w:lineRule="exact"/>
        <w:ind w:firstLine="640" w:firstLineChars="200"/>
        <w:rPr>
          <w:rFonts w:eastAsia="楷体_GB2312"/>
          <w:color w:val="000000"/>
          <w:szCs w:val="32"/>
        </w:rPr>
      </w:pPr>
      <w:r>
        <w:rPr>
          <w:rFonts w:eastAsia="楷体_GB2312"/>
          <w:color w:val="000000"/>
          <w:szCs w:val="32"/>
        </w:rPr>
        <w:t>（五）产品说明书和标签样稿</w:t>
      </w:r>
    </w:p>
    <w:p w14:paraId="54104C6B">
      <w:pPr>
        <w:spacing w:line="520" w:lineRule="exact"/>
        <w:ind w:firstLine="640" w:firstLineChars="200"/>
        <w:rPr>
          <w:rFonts w:eastAsia="仿宋_GB2312"/>
          <w:color w:val="000000"/>
          <w:szCs w:val="32"/>
        </w:rPr>
      </w:pPr>
      <w:r>
        <w:rPr>
          <w:rFonts w:eastAsia="仿宋_GB2312"/>
          <w:color w:val="000000"/>
          <w:szCs w:val="32"/>
        </w:rPr>
        <w:t>按照《医疗器械说明书和标签管理规定》要求编制产品说明书和标签样稿。</w:t>
      </w:r>
    </w:p>
    <w:p w14:paraId="05824E59">
      <w:pPr>
        <w:spacing w:line="520" w:lineRule="exact"/>
        <w:ind w:firstLine="640" w:firstLineChars="200"/>
        <w:rPr>
          <w:rFonts w:eastAsia="楷体_GB2312"/>
          <w:color w:val="000000"/>
          <w:szCs w:val="32"/>
        </w:rPr>
      </w:pPr>
      <w:r>
        <w:rPr>
          <w:rFonts w:eastAsia="楷体_GB2312"/>
          <w:color w:val="000000"/>
          <w:szCs w:val="32"/>
        </w:rPr>
        <w:t>（六）质量管理体系文件</w:t>
      </w:r>
    </w:p>
    <w:p w14:paraId="44F5E229">
      <w:pPr>
        <w:spacing w:line="520" w:lineRule="exact"/>
        <w:ind w:firstLine="640" w:firstLineChars="200"/>
        <w:rPr>
          <w:rFonts w:eastAsia="仿宋_GB2312"/>
          <w:color w:val="000000"/>
          <w:szCs w:val="32"/>
        </w:rPr>
      </w:pPr>
      <w:r>
        <w:rPr>
          <w:rFonts w:eastAsia="仿宋_GB2312"/>
          <w:color w:val="000000"/>
          <w:szCs w:val="32"/>
        </w:rPr>
        <w:t>1.详述产品的生产工艺和步骤，提供生产工艺流程图。提交产品生产工艺概述、生产工艺过程中需要进行控制和测试的环节及相关证明性资料。确认关键工艺点，并对生产工艺的可控性、稳定性进行确认。</w:t>
      </w:r>
    </w:p>
    <w:p w14:paraId="0D244970">
      <w:pPr>
        <w:spacing w:line="520" w:lineRule="exact"/>
        <w:ind w:firstLine="640" w:firstLineChars="200"/>
        <w:rPr>
          <w:rFonts w:eastAsia="仿宋_GB2312"/>
          <w:color w:val="000000"/>
          <w:szCs w:val="32"/>
        </w:rPr>
      </w:pPr>
      <w:r>
        <w:rPr>
          <w:rFonts w:eastAsia="仿宋_GB2312"/>
          <w:color w:val="000000"/>
          <w:szCs w:val="32"/>
        </w:rPr>
        <w:t>2.明确特殊过程和关键工序，提供特殊过程的确认资料以及关键工序的验证资料。对于可能影响终产品性能的内容，如打印工艺，后处理工艺，清洗工艺等，需提供详细的工艺验证资料。</w:t>
      </w:r>
    </w:p>
    <w:p w14:paraId="47E1A60B">
      <w:pPr>
        <w:spacing w:line="520" w:lineRule="exact"/>
        <w:ind w:firstLine="640" w:firstLineChars="200"/>
        <w:rPr>
          <w:rFonts w:eastAsia="仿宋_GB2312"/>
          <w:color w:val="000000"/>
          <w:szCs w:val="32"/>
        </w:rPr>
      </w:pPr>
      <w:r>
        <w:rPr>
          <w:rFonts w:eastAsia="仿宋_GB2312"/>
          <w:color w:val="000000"/>
          <w:szCs w:val="32"/>
        </w:rPr>
        <w:t>3.明确原材料及生产工艺中涉及的各种加工助剂的质量控制标准。</w:t>
      </w:r>
    </w:p>
    <w:p w14:paraId="4FA923FD">
      <w:pPr>
        <w:spacing w:line="520" w:lineRule="exact"/>
        <w:ind w:firstLine="640" w:firstLineChars="200"/>
        <w:rPr>
          <w:rFonts w:eastAsia="仿宋_GB2312"/>
          <w:color w:val="000000"/>
          <w:szCs w:val="32"/>
        </w:rPr>
      </w:pPr>
    </w:p>
    <w:p w14:paraId="1051DABA">
      <w:pPr>
        <w:spacing w:line="520" w:lineRule="exact"/>
        <w:ind w:firstLine="640" w:firstLineChars="200"/>
        <w:rPr>
          <w:rFonts w:eastAsia="仿宋_GB2312"/>
          <w:color w:val="000000"/>
          <w:szCs w:val="32"/>
        </w:rPr>
      </w:pPr>
    </w:p>
    <w:p w14:paraId="7F211377">
      <w:pPr>
        <w:pStyle w:val="10"/>
        <w:numPr>
          <w:ilvl w:val="0"/>
          <w:numId w:val="1"/>
        </w:numPr>
        <w:spacing w:line="520" w:lineRule="exact"/>
        <w:ind w:left="0" w:firstLine="200" w:firstLineChars="0"/>
        <w:outlineLvl w:val="0"/>
        <w:rPr>
          <w:rFonts w:eastAsia="黑体"/>
        </w:rPr>
      </w:pPr>
      <w:bookmarkStart w:id="0" w:name="_Toc265839389"/>
      <w:r>
        <w:rPr>
          <w:rFonts w:eastAsia="黑体"/>
        </w:rPr>
        <w:t>参考文献</w:t>
      </w:r>
      <w:bookmarkEnd w:id="0"/>
    </w:p>
    <w:p w14:paraId="23E42EE5">
      <w:pPr>
        <w:spacing w:line="520" w:lineRule="exact"/>
        <w:ind w:firstLine="640" w:firstLineChars="200"/>
        <w:rPr>
          <w:rFonts w:eastAsia="仿宋_GB2312"/>
          <w:color w:val="000000"/>
          <w:szCs w:val="32"/>
        </w:rPr>
      </w:pPr>
      <w:r>
        <w:rPr>
          <w:rFonts w:eastAsia="仿宋_GB2312"/>
          <w:color w:val="000000"/>
          <w:szCs w:val="32"/>
        </w:rPr>
        <w:t>[1]《医疗器械监督管理条例》（中华人民共和国国务院令第739号）</w:t>
      </w:r>
    </w:p>
    <w:p w14:paraId="6FE1A47A">
      <w:pPr>
        <w:spacing w:line="520" w:lineRule="exact"/>
        <w:ind w:firstLine="640" w:firstLineChars="200"/>
        <w:rPr>
          <w:rFonts w:eastAsia="仿宋_GB2312"/>
          <w:color w:val="000000"/>
          <w:szCs w:val="32"/>
        </w:rPr>
      </w:pPr>
      <w:r>
        <w:rPr>
          <w:rFonts w:eastAsia="仿宋_GB2312"/>
          <w:color w:val="000000"/>
          <w:szCs w:val="32"/>
        </w:rPr>
        <w:t>[2]《医疗器械注册与备案管理办法》（国家市场监督管理总局令第47号）[Z].</w:t>
      </w:r>
    </w:p>
    <w:p w14:paraId="02121253">
      <w:pPr>
        <w:spacing w:line="520" w:lineRule="exact"/>
        <w:ind w:firstLine="640" w:firstLineChars="200"/>
        <w:rPr>
          <w:rFonts w:eastAsia="仿宋_GB2312"/>
          <w:color w:val="000000"/>
          <w:szCs w:val="32"/>
        </w:rPr>
      </w:pPr>
      <w:r>
        <w:rPr>
          <w:rFonts w:eastAsia="仿宋_GB2312"/>
          <w:color w:val="000000"/>
          <w:szCs w:val="32"/>
        </w:rPr>
        <w:t>[3]《医疗器械生产质量管理规范》(国家食品药品监督管理总局2014年第64号) [Z].</w:t>
      </w:r>
    </w:p>
    <w:p w14:paraId="606C27ED">
      <w:pPr>
        <w:spacing w:line="520" w:lineRule="exact"/>
        <w:ind w:firstLine="640" w:firstLineChars="200"/>
        <w:rPr>
          <w:rFonts w:eastAsia="仿宋_GB2312"/>
          <w:color w:val="000000"/>
          <w:szCs w:val="32"/>
        </w:rPr>
      </w:pPr>
      <w:r>
        <w:rPr>
          <w:rFonts w:eastAsia="仿宋_GB2312"/>
          <w:color w:val="000000"/>
          <w:szCs w:val="32"/>
        </w:rPr>
        <w:t>[4]《医疗器械临床试验质量管理规范》（国家食品药品监督管理总局中华人民共和国国家卫生和计划生育委员会令第25号）[Z].</w:t>
      </w:r>
    </w:p>
    <w:p w14:paraId="41E25D09">
      <w:pPr>
        <w:spacing w:line="520" w:lineRule="exact"/>
        <w:ind w:firstLine="640" w:firstLineChars="200"/>
        <w:rPr>
          <w:rFonts w:eastAsia="仿宋_GB2312"/>
          <w:color w:val="000000"/>
          <w:szCs w:val="32"/>
        </w:rPr>
      </w:pPr>
      <w:r>
        <w:rPr>
          <w:rFonts w:eastAsia="仿宋_GB2312"/>
          <w:color w:val="000000"/>
          <w:szCs w:val="32"/>
        </w:rPr>
        <w:t>[5]《定制式医疗器械监督管理规定（试行）》（国家药品监督管理局国家卫生健康委2019年第53号）[Z].</w:t>
      </w:r>
    </w:p>
    <w:p w14:paraId="1E1A3585">
      <w:pPr>
        <w:spacing w:line="520" w:lineRule="exact"/>
        <w:ind w:firstLine="640" w:firstLineChars="200"/>
        <w:rPr>
          <w:rFonts w:eastAsia="仿宋_GB2312"/>
          <w:color w:val="000000"/>
          <w:szCs w:val="32"/>
        </w:rPr>
      </w:pPr>
      <w:r>
        <w:rPr>
          <w:rFonts w:eastAsia="仿宋_GB2312"/>
          <w:color w:val="000000"/>
          <w:szCs w:val="32"/>
        </w:rPr>
        <w:t>[6]《关于公布医疗器械注册申报资料要求和批准证明文件格式的公告》（国家药监局2021年第121号）[Z].</w:t>
      </w:r>
    </w:p>
    <w:p w14:paraId="22BB8620">
      <w:pPr>
        <w:spacing w:line="520" w:lineRule="exact"/>
        <w:ind w:firstLine="640" w:firstLineChars="200"/>
        <w:rPr>
          <w:rFonts w:eastAsia="仿宋_GB2312"/>
          <w:color w:val="000000"/>
          <w:szCs w:val="32"/>
        </w:rPr>
      </w:pPr>
      <w:r>
        <w:rPr>
          <w:rFonts w:eastAsia="仿宋_GB2312"/>
          <w:color w:val="000000"/>
          <w:szCs w:val="32"/>
        </w:rPr>
        <w:t>[7]《无源植入性骨、关节及口腔硬组织个性化增材制造医疗器械注册技术审查指导原则》（2019年第70号）[Z].</w:t>
      </w:r>
    </w:p>
    <w:p w14:paraId="47EB9B9C">
      <w:pPr>
        <w:spacing w:line="520" w:lineRule="exact"/>
        <w:ind w:firstLine="640" w:firstLineChars="200"/>
        <w:rPr>
          <w:rFonts w:eastAsia="仿宋_GB2312"/>
          <w:color w:val="000000"/>
          <w:szCs w:val="32"/>
        </w:rPr>
      </w:pPr>
      <w:r>
        <w:rPr>
          <w:rFonts w:eastAsia="仿宋_GB2312"/>
          <w:color w:val="000000"/>
          <w:szCs w:val="32"/>
        </w:rPr>
        <w:t>[8]《医疗器械说明书和标签管理规定》（国家食品药品监督管理总局令第6号）[Z].</w:t>
      </w:r>
    </w:p>
    <w:p w14:paraId="12B9F9E8">
      <w:pPr>
        <w:spacing w:line="520" w:lineRule="exact"/>
        <w:ind w:firstLine="640" w:firstLineChars="200"/>
        <w:rPr>
          <w:rFonts w:eastAsia="仿宋_GB2312"/>
          <w:color w:val="000000"/>
          <w:szCs w:val="32"/>
        </w:rPr>
      </w:pPr>
      <w:r>
        <w:rPr>
          <w:rFonts w:eastAsia="仿宋_GB2312"/>
          <w:color w:val="000000"/>
          <w:szCs w:val="32"/>
        </w:rPr>
        <w:t>[9]《医疗器械分类规则》（国家食品药品监督管理总局令第15号）[Z].</w:t>
      </w:r>
    </w:p>
    <w:p w14:paraId="6A34B03D">
      <w:pPr>
        <w:spacing w:line="520" w:lineRule="exact"/>
        <w:ind w:firstLine="640" w:firstLineChars="200"/>
        <w:rPr>
          <w:rFonts w:eastAsia="仿宋_GB2312"/>
          <w:color w:val="000000"/>
          <w:szCs w:val="32"/>
        </w:rPr>
      </w:pPr>
      <w:r>
        <w:rPr>
          <w:rFonts w:eastAsia="仿宋_GB2312"/>
          <w:color w:val="000000"/>
          <w:szCs w:val="32"/>
        </w:rPr>
        <w:t>[10]《医疗器械通用名称命名规则》（国家食品药品监督管理总局令第19号）[Z].</w:t>
      </w:r>
    </w:p>
    <w:p w14:paraId="5EFE9F4B">
      <w:pPr>
        <w:spacing w:line="520" w:lineRule="exact"/>
        <w:ind w:firstLine="640" w:firstLineChars="200"/>
        <w:rPr>
          <w:rFonts w:eastAsia="仿宋_GB2312"/>
          <w:color w:val="000000"/>
          <w:szCs w:val="32"/>
        </w:rPr>
      </w:pPr>
      <w:r>
        <w:rPr>
          <w:rFonts w:eastAsia="仿宋_GB2312"/>
          <w:color w:val="000000"/>
          <w:szCs w:val="32"/>
        </w:rPr>
        <w:t>[11]《医疗器械分类目录》（国家食品药品监督管理总局公告2017年第104号）[Z].</w:t>
      </w:r>
    </w:p>
    <w:p w14:paraId="63CCBCE8">
      <w:pPr>
        <w:spacing w:line="520" w:lineRule="exact"/>
        <w:ind w:firstLine="640" w:firstLineChars="200"/>
        <w:rPr>
          <w:rFonts w:eastAsia="仿宋_GB2312"/>
          <w:color w:val="000000"/>
          <w:szCs w:val="32"/>
        </w:rPr>
      </w:pPr>
      <w:r>
        <w:rPr>
          <w:rFonts w:eastAsia="仿宋_GB2312"/>
          <w:color w:val="000000"/>
          <w:szCs w:val="32"/>
        </w:rPr>
        <w:t>[12]《医疗器械注册单元划分指导原则》（国家食品药品监督管理总局公告2017年第187号）[Z].</w:t>
      </w:r>
    </w:p>
    <w:p w14:paraId="104558D3">
      <w:pPr>
        <w:spacing w:line="520" w:lineRule="exact"/>
        <w:ind w:firstLine="640" w:firstLineChars="200"/>
        <w:rPr>
          <w:rFonts w:eastAsia="仿宋_GB2312"/>
          <w:color w:val="000000"/>
          <w:szCs w:val="32"/>
        </w:rPr>
      </w:pPr>
      <w:r>
        <w:rPr>
          <w:rFonts w:eastAsia="仿宋_GB2312"/>
          <w:color w:val="000000"/>
          <w:szCs w:val="32"/>
        </w:rPr>
        <w:t>[13]《无源植入性医疗器械产品注册申报资料指导原则》（食药监办械函〔2009〕519号文）[Z].</w:t>
      </w:r>
    </w:p>
    <w:p w14:paraId="067E892C">
      <w:pPr>
        <w:spacing w:line="520" w:lineRule="exact"/>
        <w:ind w:firstLine="640" w:firstLineChars="200"/>
        <w:rPr>
          <w:rFonts w:eastAsia="仿宋_GB2312"/>
          <w:color w:val="000000"/>
          <w:szCs w:val="32"/>
        </w:rPr>
      </w:pPr>
      <w:r>
        <w:rPr>
          <w:rFonts w:eastAsia="仿宋_GB2312"/>
          <w:color w:val="000000"/>
          <w:szCs w:val="32"/>
        </w:rPr>
        <w:t>[14]《无源植入性医疗器械货架有效期注册申报资料指导原则（2017年修订版）》（国家食品药品监督管理总局通告2017年第75号）[Z].</w:t>
      </w:r>
    </w:p>
    <w:p w14:paraId="10A70540">
      <w:pPr>
        <w:spacing w:line="520" w:lineRule="exact"/>
        <w:ind w:firstLine="640" w:firstLineChars="200"/>
        <w:rPr>
          <w:rFonts w:eastAsia="仿宋_GB2312"/>
          <w:color w:val="000000"/>
          <w:szCs w:val="32"/>
        </w:rPr>
      </w:pPr>
      <w:r>
        <w:rPr>
          <w:rFonts w:eastAsia="仿宋_GB2312"/>
          <w:color w:val="000000"/>
          <w:szCs w:val="32"/>
        </w:rPr>
        <w:t>[15]《个性化匹配骨植入物及工具医工交互质控审查指导原则》（2020年第62号）[Z].</w:t>
      </w:r>
    </w:p>
    <w:p w14:paraId="40CA628C">
      <w:pPr>
        <w:spacing w:line="520" w:lineRule="exact"/>
        <w:ind w:firstLine="640" w:firstLineChars="200"/>
        <w:rPr>
          <w:rFonts w:eastAsia="仿宋_GB2312"/>
          <w:color w:val="000000"/>
          <w:szCs w:val="32"/>
        </w:rPr>
      </w:pPr>
      <w:r>
        <w:rPr>
          <w:rFonts w:eastAsia="仿宋_GB2312"/>
          <w:color w:val="000000"/>
          <w:szCs w:val="32"/>
        </w:rPr>
        <w:t>[16]《定制式个性化骨植入物等效性模型注册技术审查指导原则》（2020年第48号）[Z].</w:t>
      </w:r>
    </w:p>
    <w:p w14:paraId="79FE4C1C">
      <w:pPr>
        <w:spacing w:line="520" w:lineRule="exact"/>
        <w:ind w:firstLine="640" w:firstLineChars="200"/>
        <w:rPr>
          <w:rFonts w:eastAsia="仿宋_GB2312"/>
          <w:color w:val="000000"/>
          <w:szCs w:val="32"/>
        </w:rPr>
      </w:pPr>
      <w:r>
        <w:rPr>
          <w:rFonts w:eastAsia="仿宋_GB2312"/>
          <w:color w:val="000000"/>
          <w:szCs w:val="32"/>
        </w:rPr>
        <w:t>[17]《骨科金属植入物有限元分析资料注册技术审查指导原则》（2020年第48号）[Z].</w:t>
      </w:r>
    </w:p>
    <w:p w14:paraId="27148833">
      <w:pPr>
        <w:spacing w:line="520" w:lineRule="exact"/>
        <w:ind w:firstLine="640" w:firstLineChars="200"/>
        <w:rPr>
          <w:rFonts w:eastAsia="仿宋_GB2312"/>
          <w:color w:val="000000"/>
          <w:szCs w:val="32"/>
        </w:rPr>
      </w:pPr>
      <w:r>
        <w:rPr>
          <w:rFonts w:eastAsia="仿宋_GB2312"/>
          <w:color w:val="000000"/>
          <w:szCs w:val="32"/>
        </w:rPr>
        <w:t>[18]《医疗器械动物试验研究注册审查指导原则第一部分：决策原则（2021年修订版）》（国家药监局2021年第75号通告）[Z].</w:t>
      </w:r>
    </w:p>
    <w:p w14:paraId="00C7D828">
      <w:pPr>
        <w:spacing w:line="520" w:lineRule="exact"/>
        <w:ind w:firstLine="640" w:firstLineChars="200"/>
        <w:rPr>
          <w:rFonts w:eastAsia="仿宋_GB2312"/>
          <w:color w:val="000000"/>
          <w:szCs w:val="32"/>
        </w:rPr>
      </w:pPr>
      <w:r>
        <w:rPr>
          <w:rFonts w:eastAsia="仿宋_GB2312"/>
          <w:color w:val="000000"/>
          <w:szCs w:val="32"/>
        </w:rPr>
        <w:t>[19]《医疗器械动物实验研究注册审查指导原则第二部分：试验设计、实施质量保证》（国家药监局2021年第75号通告）[Z].</w:t>
      </w:r>
    </w:p>
    <w:p w14:paraId="464270CA">
      <w:pPr>
        <w:spacing w:line="520" w:lineRule="exact"/>
        <w:ind w:firstLine="640" w:firstLineChars="200"/>
        <w:rPr>
          <w:rFonts w:eastAsia="仿宋_GB2312"/>
          <w:color w:val="000000"/>
          <w:szCs w:val="32"/>
        </w:rPr>
      </w:pPr>
      <w:r>
        <w:rPr>
          <w:rFonts w:eastAsia="仿宋_GB2312"/>
          <w:color w:val="000000"/>
          <w:szCs w:val="32"/>
        </w:rPr>
        <w:t>[20]《医疗器械临床评价技术指导原则》（2021年第73号）[Z].</w:t>
      </w:r>
    </w:p>
    <w:p w14:paraId="6B53AD10">
      <w:pPr>
        <w:spacing w:line="520" w:lineRule="exact"/>
        <w:ind w:firstLine="640" w:firstLineChars="200"/>
        <w:rPr>
          <w:rFonts w:eastAsia="仿宋_GB2312"/>
          <w:color w:val="000000"/>
          <w:szCs w:val="32"/>
        </w:rPr>
      </w:pPr>
      <w:r>
        <w:rPr>
          <w:rFonts w:eastAsia="仿宋_GB2312"/>
          <w:color w:val="000000"/>
          <w:szCs w:val="32"/>
        </w:rPr>
        <w:t>[21]《决策是否开展医疗器械临床试验技术指导原则》（2021年第73号）[Z].</w:t>
      </w:r>
    </w:p>
    <w:p w14:paraId="4A3F0773">
      <w:pPr>
        <w:spacing w:line="520" w:lineRule="exact"/>
        <w:ind w:firstLine="640" w:firstLineChars="200"/>
        <w:rPr>
          <w:rFonts w:eastAsia="仿宋_GB2312"/>
          <w:color w:val="000000"/>
          <w:szCs w:val="32"/>
        </w:rPr>
      </w:pPr>
      <w:r>
        <w:rPr>
          <w:rFonts w:eastAsia="仿宋_GB2312"/>
          <w:color w:val="000000"/>
          <w:szCs w:val="32"/>
        </w:rPr>
        <w:t>[22]《医疗器械临床评价等同性论证技术指导原则》（2021年第73号）[Z].</w:t>
      </w:r>
    </w:p>
    <w:p w14:paraId="2957651C">
      <w:pPr>
        <w:spacing w:line="520" w:lineRule="exact"/>
        <w:ind w:firstLine="640" w:firstLineChars="200"/>
        <w:rPr>
          <w:rFonts w:eastAsia="仿宋_GB2312"/>
          <w:color w:val="000000"/>
          <w:szCs w:val="32"/>
        </w:rPr>
      </w:pPr>
      <w:r>
        <w:rPr>
          <w:rFonts w:eastAsia="仿宋_GB2312"/>
          <w:color w:val="000000"/>
          <w:szCs w:val="32"/>
        </w:rPr>
        <w:t>[23]《医疗器械注册申报临床评价报告技术指导原则》（2021年第73号）[Z].</w:t>
      </w:r>
    </w:p>
    <w:p w14:paraId="63499148">
      <w:pPr>
        <w:spacing w:line="520" w:lineRule="exact"/>
        <w:ind w:firstLine="640" w:firstLineChars="200"/>
        <w:rPr>
          <w:rFonts w:eastAsia="仿宋_GB2312"/>
          <w:color w:val="000000"/>
          <w:szCs w:val="32"/>
        </w:rPr>
      </w:pPr>
      <w:r>
        <w:rPr>
          <w:rFonts w:eastAsia="仿宋_GB2312"/>
          <w:color w:val="000000"/>
          <w:szCs w:val="32"/>
        </w:rPr>
        <w:t>[24] GB/T 12417.1-2008《无源外科植入物骨接合与关节置换植入物第1部分：骨接合植入物特殊要求》[S].</w:t>
      </w:r>
    </w:p>
    <w:p w14:paraId="70A9A3B1">
      <w:pPr>
        <w:spacing w:line="520" w:lineRule="exact"/>
        <w:ind w:firstLine="640" w:firstLineChars="200"/>
        <w:rPr>
          <w:rFonts w:eastAsia="仿宋_GB2312"/>
          <w:color w:val="000000"/>
          <w:szCs w:val="32"/>
        </w:rPr>
      </w:pPr>
      <w:r>
        <w:rPr>
          <w:rFonts w:eastAsia="仿宋_GB2312"/>
          <w:color w:val="000000"/>
          <w:szCs w:val="32"/>
        </w:rPr>
        <w:t>[25] GB/T 35351-2017《增材制造术语》[S].</w:t>
      </w:r>
    </w:p>
    <w:p w14:paraId="2E7A5FC2">
      <w:pPr>
        <w:spacing w:line="520" w:lineRule="exact"/>
        <w:ind w:firstLine="640" w:firstLineChars="200"/>
        <w:rPr>
          <w:rFonts w:eastAsia="仿宋_GB2312"/>
          <w:color w:val="000000"/>
          <w:szCs w:val="32"/>
        </w:rPr>
      </w:pPr>
      <w:r>
        <w:rPr>
          <w:rFonts w:eastAsia="仿宋_GB2312"/>
          <w:color w:val="000000"/>
          <w:szCs w:val="32"/>
        </w:rPr>
        <w:t>[26] GB/T 39329-2020《增材制造测试方法标准测试件精度检验》[S].</w:t>
      </w:r>
    </w:p>
    <w:p w14:paraId="11550199">
      <w:pPr>
        <w:spacing w:line="520" w:lineRule="exact"/>
        <w:ind w:firstLine="640" w:firstLineChars="200"/>
        <w:rPr>
          <w:rFonts w:eastAsia="仿宋_GB2312"/>
          <w:color w:val="000000"/>
          <w:szCs w:val="32"/>
        </w:rPr>
      </w:pPr>
      <w:r>
        <w:rPr>
          <w:rFonts w:eastAsia="仿宋_GB2312"/>
          <w:color w:val="000000"/>
          <w:szCs w:val="32"/>
        </w:rPr>
        <w:t>[27] YY/T 0640-2016《无源外科植入物通用要求》[S].</w:t>
      </w:r>
    </w:p>
    <w:p w14:paraId="3050936B">
      <w:pPr>
        <w:spacing w:line="520" w:lineRule="exact"/>
        <w:ind w:firstLine="640" w:firstLineChars="200"/>
        <w:rPr>
          <w:rFonts w:eastAsia="仿宋_GB2312"/>
          <w:color w:val="000000"/>
          <w:szCs w:val="32"/>
        </w:rPr>
      </w:pPr>
      <w:r>
        <w:rPr>
          <w:rFonts w:eastAsia="仿宋_GB2312"/>
          <w:color w:val="000000"/>
          <w:szCs w:val="32"/>
        </w:rPr>
        <w:t>[28]YY/T 0660-2008《外科植入物用聚醚醚酮（PEEK）聚合物的标准规范》[S].</w:t>
      </w:r>
    </w:p>
    <w:p w14:paraId="565F2D07">
      <w:pPr>
        <w:spacing w:line="520" w:lineRule="exact"/>
        <w:ind w:firstLine="640" w:firstLineChars="200"/>
        <w:rPr>
          <w:rFonts w:eastAsia="仿宋_GB2312"/>
          <w:color w:val="000000"/>
          <w:szCs w:val="32"/>
        </w:rPr>
      </w:pPr>
      <w:r>
        <w:rPr>
          <w:rFonts w:eastAsia="仿宋_GB2312"/>
          <w:color w:val="000000"/>
          <w:szCs w:val="32"/>
        </w:rPr>
        <w:t>[29]ISO F2026-17 Standard Specification for Polyetheretherketone (PEEK) Polymers for Surgical Implant Applications[S].</w:t>
      </w:r>
    </w:p>
    <w:p w14:paraId="3BAB767B">
      <w:pPr>
        <w:spacing w:line="520" w:lineRule="exact"/>
        <w:ind w:firstLine="640" w:firstLineChars="200"/>
        <w:rPr>
          <w:rFonts w:eastAsia="仿宋_GB2312"/>
          <w:color w:val="000000"/>
          <w:szCs w:val="32"/>
        </w:rPr>
      </w:pPr>
      <w:r>
        <w:rPr>
          <w:rFonts w:eastAsia="仿宋_GB2312"/>
          <w:color w:val="000000"/>
          <w:szCs w:val="32"/>
        </w:rPr>
        <w:t>[30]YY/T 1707-2020 《外科植入物植入医疗器械用聚醚醚酮聚合物及其复合物的差式扫描量热法》[S].</w:t>
      </w:r>
    </w:p>
    <w:p w14:paraId="1A14B182">
      <w:pPr>
        <w:spacing w:line="520" w:lineRule="exact"/>
        <w:ind w:firstLine="640" w:firstLineChars="200"/>
        <w:rPr>
          <w:rFonts w:eastAsia="仿宋_GB2312"/>
          <w:color w:val="000000"/>
          <w:szCs w:val="32"/>
        </w:rPr>
      </w:pPr>
      <w:r>
        <w:rPr>
          <w:rFonts w:eastAsia="仿宋_GB2312"/>
          <w:color w:val="000000"/>
          <w:szCs w:val="32"/>
        </w:rPr>
        <w:t>[31]GB/T 1033.1-2008《塑料非泡沫塑料密度的测定第1部分：浸渍法、液体比重瓶法和滴定法》[S].</w:t>
      </w:r>
    </w:p>
    <w:p w14:paraId="41C85E0E">
      <w:pPr>
        <w:spacing w:line="520" w:lineRule="exact"/>
        <w:ind w:firstLine="640" w:firstLineChars="200"/>
        <w:rPr>
          <w:rFonts w:eastAsia="仿宋_GB2312"/>
          <w:color w:val="000000"/>
          <w:szCs w:val="32"/>
        </w:rPr>
      </w:pPr>
      <w:r>
        <w:rPr>
          <w:rFonts w:eastAsia="仿宋_GB2312"/>
          <w:color w:val="000000"/>
          <w:szCs w:val="32"/>
        </w:rPr>
        <w:t>[32]ISO 19227-2018 Implants for surgery—Cleanliness of orthopedic implants—General requirement[S].</w:t>
      </w:r>
    </w:p>
    <w:p w14:paraId="6B17E08E">
      <w:pPr>
        <w:spacing w:line="520" w:lineRule="exact"/>
        <w:ind w:firstLine="200"/>
        <w:rPr>
          <w:rFonts w:eastAsia="仿宋_GB2312"/>
          <w:color w:val="000000"/>
          <w:szCs w:val="32"/>
        </w:rPr>
      </w:pPr>
    </w:p>
    <w:p w14:paraId="5FC7A505">
      <w:pPr>
        <w:spacing w:line="520" w:lineRule="exact"/>
        <w:ind w:firstLine="640" w:firstLineChars="200"/>
        <w:rPr>
          <w:rFonts w:eastAsia="仿宋_GB2312"/>
          <w:color w:val="000000"/>
          <w:szCs w:val="32"/>
        </w:rPr>
      </w:pPr>
      <w:r>
        <w:rPr>
          <w:rFonts w:hint="eastAsia" w:eastAsia="仿宋_GB2312"/>
          <w:color w:val="000000"/>
          <w:szCs w:val="32"/>
        </w:rPr>
        <w:t>附录：</w:t>
      </w:r>
      <w:r>
        <w:rPr>
          <w:rFonts w:eastAsia="仿宋_GB2312"/>
          <w:color w:val="000000"/>
          <w:szCs w:val="32"/>
        </w:rPr>
        <w:t>增材制造聚醚醚酮植入物风险管理资料要求</w:t>
      </w:r>
    </w:p>
    <w:p w14:paraId="58D6E378">
      <w:pPr>
        <w:widowControl/>
        <w:spacing w:line="520" w:lineRule="exact"/>
        <w:rPr>
          <w:rFonts w:eastAsia="黑体"/>
          <w:bCs/>
          <w:szCs w:val="32"/>
        </w:rPr>
      </w:pPr>
    </w:p>
    <w:p w14:paraId="6BD31B2A">
      <w:pPr>
        <w:widowControl/>
        <w:spacing w:line="520" w:lineRule="exact"/>
        <w:rPr>
          <w:rFonts w:eastAsia="黑体"/>
          <w:bCs/>
          <w:szCs w:val="32"/>
        </w:rPr>
      </w:pPr>
    </w:p>
    <w:p w14:paraId="4E05C5EC">
      <w:pPr>
        <w:widowControl/>
        <w:spacing w:line="520" w:lineRule="exact"/>
        <w:rPr>
          <w:rFonts w:eastAsia="黑体"/>
          <w:bCs/>
          <w:szCs w:val="32"/>
        </w:rPr>
      </w:pPr>
    </w:p>
    <w:p w14:paraId="3A4FD18F">
      <w:pPr>
        <w:widowControl/>
        <w:spacing w:line="520" w:lineRule="exact"/>
        <w:rPr>
          <w:rFonts w:eastAsia="黑体"/>
          <w:bCs/>
          <w:szCs w:val="32"/>
        </w:rPr>
      </w:pPr>
    </w:p>
    <w:p w14:paraId="5A834735">
      <w:pPr>
        <w:widowControl/>
        <w:spacing w:line="520" w:lineRule="exact"/>
        <w:rPr>
          <w:rFonts w:eastAsia="黑体"/>
          <w:bCs/>
          <w:szCs w:val="32"/>
        </w:rPr>
      </w:pPr>
    </w:p>
    <w:p w14:paraId="5C749833">
      <w:pPr>
        <w:widowControl/>
        <w:spacing w:line="520" w:lineRule="exact"/>
        <w:rPr>
          <w:rFonts w:eastAsia="黑体"/>
          <w:bCs/>
          <w:szCs w:val="32"/>
        </w:rPr>
      </w:pPr>
    </w:p>
    <w:p w14:paraId="4378E142">
      <w:pPr>
        <w:widowControl/>
        <w:spacing w:line="520" w:lineRule="exact"/>
        <w:rPr>
          <w:rFonts w:eastAsia="黑体"/>
          <w:bCs/>
          <w:szCs w:val="32"/>
        </w:rPr>
      </w:pPr>
    </w:p>
    <w:p w14:paraId="186A649C">
      <w:pPr>
        <w:widowControl/>
        <w:spacing w:line="520" w:lineRule="exact"/>
        <w:rPr>
          <w:rFonts w:hint="eastAsia" w:eastAsia="黑体"/>
          <w:bCs/>
          <w:szCs w:val="32"/>
        </w:rPr>
      </w:pPr>
      <w:r>
        <w:rPr>
          <w:rFonts w:eastAsia="黑体"/>
          <w:bCs/>
          <w:szCs w:val="32"/>
        </w:rPr>
        <w:t>附录</w:t>
      </w:r>
    </w:p>
    <w:p w14:paraId="27A0559E">
      <w:pPr>
        <w:widowControl/>
        <w:spacing w:line="520" w:lineRule="exact"/>
        <w:rPr>
          <w:rFonts w:eastAsia="黑体"/>
          <w:b/>
          <w:szCs w:val="32"/>
        </w:rPr>
      </w:pPr>
    </w:p>
    <w:p w14:paraId="2CFE55C2">
      <w:pPr>
        <w:spacing w:line="520" w:lineRule="exact"/>
        <w:ind w:right="-102" w:rightChars="-32"/>
        <w:jc w:val="center"/>
        <w:rPr>
          <w:rFonts w:eastAsia="方正小标宋简体"/>
          <w:color w:val="000000"/>
          <w:sz w:val="44"/>
        </w:rPr>
      </w:pPr>
      <w:r>
        <w:rPr>
          <w:rFonts w:eastAsia="方正小标宋简体"/>
          <w:color w:val="000000"/>
          <w:sz w:val="44"/>
        </w:rPr>
        <w:t>增材制造聚醚醚酮植入物风险管理资料要求</w:t>
      </w:r>
    </w:p>
    <w:p w14:paraId="4804847A">
      <w:pPr>
        <w:spacing w:line="520" w:lineRule="exact"/>
        <w:ind w:firstLine="640" w:firstLineChars="200"/>
        <w:rPr>
          <w:rFonts w:hint="eastAsia" w:eastAsia="仿宋_GB2312"/>
        </w:rPr>
      </w:pPr>
    </w:p>
    <w:p w14:paraId="6568D37D">
      <w:pPr>
        <w:spacing w:line="520" w:lineRule="exact"/>
        <w:ind w:firstLine="640" w:firstLineChars="200"/>
        <w:rPr>
          <w:rFonts w:eastAsia="仿宋_GB2312"/>
        </w:rPr>
      </w:pPr>
      <w:r>
        <w:rPr>
          <w:rFonts w:eastAsia="仿宋_GB2312"/>
        </w:rPr>
        <w:t>注册申请人应提供产品上市前对其风险管理活动进行全面评审所形成的风险管理报告以及相关的产品风险管理资料。该风险管理报告应说明：</w:t>
      </w:r>
    </w:p>
    <w:p w14:paraId="6AB12942">
      <w:pPr>
        <w:spacing w:line="520" w:lineRule="exact"/>
        <w:ind w:firstLine="640" w:firstLineChars="200"/>
        <w:rPr>
          <w:rFonts w:eastAsia="仿宋_GB2312"/>
        </w:rPr>
      </w:pPr>
      <w:r>
        <w:rPr>
          <w:rFonts w:eastAsia="仿宋_GB2312"/>
        </w:rPr>
        <w:t>－风险管理计划已被适当地实施；</w:t>
      </w:r>
    </w:p>
    <w:p w14:paraId="066D8888">
      <w:pPr>
        <w:spacing w:line="520" w:lineRule="exact"/>
        <w:ind w:firstLine="640" w:firstLineChars="200"/>
        <w:rPr>
          <w:rFonts w:eastAsia="仿宋_GB2312"/>
        </w:rPr>
      </w:pPr>
      <w:r>
        <w:rPr>
          <w:rFonts w:eastAsia="仿宋_GB2312"/>
        </w:rPr>
        <w:t>－综合剩余风险是可接受的；</w:t>
      </w:r>
    </w:p>
    <w:p w14:paraId="694215B1">
      <w:pPr>
        <w:spacing w:line="520" w:lineRule="exact"/>
        <w:ind w:firstLine="640" w:firstLineChars="200"/>
        <w:rPr>
          <w:rFonts w:eastAsia="仿宋_GB2312"/>
        </w:rPr>
      </w:pPr>
      <w:r>
        <w:rPr>
          <w:rFonts w:eastAsia="仿宋_GB2312"/>
        </w:rPr>
        <w:t>－已有恰当的方法获得与本产品相关的包括出厂后流通与临床应用的信息。</w:t>
      </w:r>
    </w:p>
    <w:p w14:paraId="5A4DED2E">
      <w:pPr>
        <w:spacing w:line="520" w:lineRule="exact"/>
        <w:ind w:firstLine="640" w:firstLineChars="200"/>
        <w:rPr>
          <w:rFonts w:eastAsia="仿宋_GB2312"/>
        </w:rPr>
      </w:pPr>
      <w:r>
        <w:rPr>
          <w:rFonts w:eastAsia="仿宋_GB2312"/>
        </w:rPr>
        <w:t>除此之外，风险管理报告还应扼要说明：</w:t>
      </w:r>
    </w:p>
    <w:p w14:paraId="3F829E32">
      <w:pPr>
        <w:spacing w:line="520" w:lineRule="exact"/>
        <w:ind w:firstLine="640" w:firstLineChars="200"/>
        <w:rPr>
          <w:rFonts w:eastAsia="仿宋_GB2312"/>
        </w:rPr>
      </w:pPr>
      <w:r>
        <w:rPr>
          <w:rFonts w:eastAsia="仿宋_GB2312"/>
        </w:rPr>
        <w:t>－在产品研制的初期阶段，对风险管理活动的策划，和所形成的风险管理计划；</w:t>
      </w:r>
    </w:p>
    <w:p w14:paraId="196AFC4A">
      <w:pPr>
        <w:spacing w:line="520" w:lineRule="exact"/>
        <w:ind w:firstLine="640" w:firstLineChars="200"/>
        <w:rPr>
          <w:rFonts w:eastAsia="仿宋_GB2312"/>
        </w:rPr>
      </w:pPr>
      <w:r>
        <w:rPr>
          <w:rFonts w:eastAsia="仿宋_GB2312"/>
        </w:rPr>
        <w:t>－说明已识别了产品的有关可能的危害，并对其危害产生的风险进行了估计和评价；</w:t>
      </w:r>
    </w:p>
    <w:p w14:paraId="61E56FBF">
      <w:pPr>
        <w:spacing w:line="520" w:lineRule="exact"/>
        <w:ind w:firstLine="640" w:firstLineChars="200"/>
        <w:rPr>
          <w:rFonts w:eastAsia="仿宋_GB2312"/>
        </w:rPr>
      </w:pPr>
      <w:r>
        <w:rPr>
          <w:rFonts w:eastAsia="仿宋_GB2312"/>
        </w:rPr>
        <w:t>－在降低风险措施方面，考虑了相关安全标准和相关产品标准，并有针对性地实施了降低风险的技术和管理方面的措施；</w:t>
      </w:r>
    </w:p>
    <w:p w14:paraId="7B25A7B9">
      <w:pPr>
        <w:spacing w:line="520" w:lineRule="exact"/>
        <w:ind w:firstLine="640" w:firstLineChars="200"/>
        <w:rPr>
          <w:rFonts w:eastAsia="仿宋_GB2312"/>
        </w:rPr>
      </w:pPr>
      <w:r>
        <w:rPr>
          <w:rFonts w:eastAsia="仿宋_GB2312"/>
        </w:rPr>
        <w:t>－通过产品性能、成分等测试、生产工艺检验、相关文件的审查、试生产等活动对风险控制措施的有效性实施验证；</w:t>
      </w:r>
    </w:p>
    <w:p w14:paraId="3D49746A">
      <w:pPr>
        <w:spacing w:line="520" w:lineRule="exact"/>
        <w:ind w:firstLine="640" w:firstLineChars="200"/>
        <w:rPr>
          <w:rFonts w:eastAsia="仿宋_GB2312"/>
        </w:rPr>
      </w:pPr>
      <w:r>
        <w:rPr>
          <w:rFonts w:eastAsia="仿宋_GB2312"/>
        </w:rPr>
        <w:t>注册申请人对设计开发，生产制造等过程中有关可能的危害识别，相关风险控制措施实施举例如下：</w:t>
      </w:r>
    </w:p>
    <w:p w14:paraId="6711FA44">
      <w:pPr>
        <w:pStyle w:val="10"/>
        <w:numPr>
          <w:ilvl w:val="0"/>
          <w:numId w:val="2"/>
        </w:numPr>
        <w:spacing w:line="520" w:lineRule="exact"/>
        <w:ind w:firstLine="640"/>
        <w:rPr>
          <w:rFonts w:eastAsia="黑体"/>
        </w:rPr>
      </w:pPr>
      <w:r>
        <w:rPr>
          <w:rFonts w:eastAsia="黑体"/>
        </w:rPr>
        <w:t>设计开发风险与质控</w:t>
      </w:r>
    </w:p>
    <w:p w14:paraId="3567C125">
      <w:pPr>
        <w:numPr>
          <w:ilvl w:val="0"/>
          <w:numId w:val="3"/>
        </w:numPr>
        <w:spacing w:line="520" w:lineRule="exact"/>
        <w:ind w:firstLine="640" w:firstLineChars="200"/>
        <w:rPr>
          <w:rFonts w:eastAsia="楷体_GB2312"/>
        </w:rPr>
      </w:pPr>
      <w:r>
        <w:rPr>
          <w:rFonts w:eastAsia="楷体_GB2312"/>
        </w:rPr>
        <w:t>医工交互</w:t>
      </w:r>
    </w:p>
    <w:p w14:paraId="4A9352EC">
      <w:pPr>
        <w:spacing w:line="520" w:lineRule="exact"/>
        <w:ind w:firstLine="640" w:firstLineChars="200"/>
        <w:rPr>
          <w:rFonts w:eastAsia="仿宋_GB2312"/>
          <w:bCs/>
        </w:rPr>
      </w:pPr>
      <w:r>
        <w:rPr>
          <w:rFonts w:eastAsia="仿宋_GB2312"/>
        </w:rPr>
        <w:t>设计开发中医工交互过程的风险，例如医学团队不能掌握工程团队的制造能力，或工程团队在设计中难以理解医学需求等。为避免此类的风险，注册申请人需按照《个性化匹配骨植入物及工具医工交互质控审查指导原则》对增材制造聚醚醚酮植入物的设计开发中医工交互全流程进行质量控制，确保设计开发中各个环节的可追溯性，建议注册申请人及企业建立互联网交互平台实现设计开发中的医工交互及其可追溯性；</w:t>
      </w:r>
    </w:p>
    <w:p w14:paraId="5FCFC195">
      <w:pPr>
        <w:numPr>
          <w:ilvl w:val="0"/>
          <w:numId w:val="3"/>
        </w:numPr>
        <w:spacing w:line="520" w:lineRule="exact"/>
        <w:ind w:firstLine="640" w:firstLineChars="200"/>
        <w:rPr>
          <w:rFonts w:eastAsia="楷体_GB2312"/>
        </w:rPr>
      </w:pPr>
      <w:r>
        <w:rPr>
          <w:rFonts w:eastAsia="楷体_GB2312"/>
        </w:rPr>
        <w:t>影像数据采集和重建</w:t>
      </w:r>
    </w:p>
    <w:p w14:paraId="190B9E3D">
      <w:pPr>
        <w:spacing w:line="520" w:lineRule="exact"/>
        <w:ind w:firstLine="640" w:firstLineChars="200"/>
        <w:rPr>
          <w:rFonts w:eastAsia="仿宋_GB2312"/>
          <w:bCs/>
        </w:rPr>
      </w:pPr>
      <w:r>
        <w:rPr>
          <w:rFonts w:eastAsia="仿宋_GB2312"/>
        </w:rPr>
        <w:t>注册申请人需根据《无源植入性骨、关节及口腔硬组织个性化增材制造医疗器械注册技术审查指导原则》明确医学影像采集使用的软硬件设备及采集和重建过程的关键要素。例如，CT数据采集需明确切片间距/层数、扫描层厚、单层分辨率/像素数、视野和体位；三维重建需明确阈值分割、图像修正（如降噪、平滑、填充等）、被简化或省略的几何特征及其原因。</w:t>
      </w:r>
    </w:p>
    <w:p w14:paraId="44C813EC">
      <w:pPr>
        <w:numPr>
          <w:ilvl w:val="0"/>
          <w:numId w:val="3"/>
        </w:numPr>
        <w:spacing w:line="520" w:lineRule="exact"/>
        <w:ind w:firstLine="640" w:firstLineChars="200"/>
        <w:rPr>
          <w:rFonts w:eastAsia="楷体_GB2312"/>
        </w:rPr>
      </w:pPr>
      <w:r>
        <w:rPr>
          <w:rFonts w:eastAsia="楷体_GB2312"/>
        </w:rPr>
        <w:t>植入物结构设计验证</w:t>
      </w:r>
    </w:p>
    <w:p w14:paraId="4E643B91">
      <w:pPr>
        <w:spacing w:line="520" w:lineRule="exact"/>
        <w:ind w:firstLine="640" w:firstLineChars="200"/>
        <w:rPr>
          <w:rFonts w:eastAsia="仿宋_GB2312"/>
        </w:rPr>
      </w:pPr>
      <w:r>
        <w:rPr>
          <w:rFonts w:eastAsia="仿宋_GB2312"/>
        </w:rPr>
        <w:t>建议根据GB/T 12417.1第4.1节所述功能特性，结合产品特性对植入物的结构与功能特性进行描述。包括但不限于以下方面：</w:t>
      </w:r>
    </w:p>
    <w:p w14:paraId="67B3B80F">
      <w:pPr>
        <w:spacing w:line="520" w:lineRule="exact"/>
        <w:ind w:firstLine="640" w:firstLineChars="200"/>
        <w:rPr>
          <w:rFonts w:eastAsia="仿宋_GB2312"/>
        </w:rPr>
      </w:pPr>
      <w:r>
        <w:rPr>
          <w:rFonts w:eastAsia="仿宋_GB2312"/>
          <w:color w:val="000000"/>
          <w:szCs w:val="32"/>
        </w:rPr>
        <w:t>1.</w:t>
      </w:r>
      <w:r>
        <w:rPr>
          <w:rFonts w:eastAsia="仿宋_GB2312"/>
        </w:rPr>
        <w:t>植入物能否恢复患者植入部位的外形和功能。例如，个性化胸肋骨替代假体用于治疗胸骨肿瘤切除造成的胸肋骨缺损的修复，起到保护脏器、恢复胸壁外观效果的功能。个性化颅骨修复体适用于填补颅骨缺损、恢复外轮廓形态，保护颅脑的功能；</w:t>
      </w:r>
    </w:p>
    <w:p w14:paraId="02D57A3D">
      <w:pPr>
        <w:spacing w:line="520" w:lineRule="exact"/>
        <w:ind w:firstLine="640" w:firstLineChars="200"/>
        <w:rPr>
          <w:rFonts w:eastAsia="仿宋_GB2312"/>
        </w:rPr>
      </w:pPr>
      <w:r>
        <w:rPr>
          <w:rFonts w:eastAsia="仿宋_GB2312"/>
          <w:color w:val="000000"/>
          <w:szCs w:val="32"/>
        </w:rPr>
        <w:t>2.</w:t>
      </w:r>
      <w:r>
        <w:rPr>
          <w:rFonts w:eastAsia="仿宋_GB2312"/>
        </w:rPr>
        <w:t>植入物是否为自体骨/异体骨或其他填充材料预留了空间；</w:t>
      </w:r>
    </w:p>
    <w:p w14:paraId="04DCB938">
      <w:pPr>
        <w:spacing w:line="520" w:lineRule="exact"/>
        <w:ind w:firstLine="640" w:firstLineChars="200"/>
        <w:rPr>
          <w:rFonts w:eastAsia="仿宋_GB2312"/>
        </w:rPr>
      </w:pPr>
      <w:r>
        <w:rPr>
          <w:rFonts w:eastAsia="仿宋_GB2312"/>
          <w:color w:val="000000"/>
          <w:szCs w:val="32"/>
        </w:rPr>
        <w:t>3.</w:t>
      </w:r>
      <w:r>
        <w:rPr>
          <w:rFonts w:eastAsia="仿宋_GB2312"/>
        </w:rPr>
        <w:t>植入物设计是否考虑了与周围骨组织和其他组织结构的连接和固定。例如，颅骨修复体需与颅骨接骨板钉、颅骨锁等部件配合固定；</w:t>
      </w:r>
    </w:p>
    <w:p w14:paraId="6E2F910C">
      <w:pPr>
        <w:spacing w:line="520" w:lineRule="exact"/>
        <w:ind w:firstLine="640" w:firstLineChars="200"/>
        <w:rPr>
          <w:rFonts w:eastAsia="仿宋_GB2312"/>
        </w:rPr>
      </w:pPr>
      <w:r>
        <w:rPr>
          <w:rFonts w:eastAsia="仿宋_GB2312"/>
        </w:rPr>
        <w:t>4.植入物设计是否存在缺陷，例如：引发积液风险。</w:t>
      </w:r>
    </w:p>
    <w:p w14:paraId="0992193A">
      <w:pPr>
        <w:numPr>
          <w:ilvl w:val="0"/>
          <w:numId w:val="3"/>
        </w:numPr>
        <w:spacing w:line="520" w:lineRule="exact"/>
        <w:ind w:firstLine="640" w:firstLineChars="200"/>
        <w:rPr>
          <w:rFonts w:eastAsia="楷体_GB2312"/>
        </w:rPr>
      </w:pPr>
      <w:r>
        <w:rPr>
          <w:rFonts w:eastAsia="楷体_GB2312"/>
        </w:rPr>
        <w:t>植入物力学性能验证</w:t>
      </w:r>
    </w:p>
    <w:p w14:paraId="799522DD">
      <w:pPr>
        <w:spacing w:line="520" w:lineRule="exact"/>
        <w:ind w:firstLine="640" w:firstLineChars="200"/>
        <w:rPr>
          <w:rFonts w:eastAsia="仿宋_GB2312"/>
        </w:rPr>
      </w:pPr>
      <w:r>
        <w:rPr>
          <w:rFonts w:eastAsia="仿宋_GB2312"/>
        </w:rPr>
        <w:t>注册申请人需对植入物的力学性能进行验证。对于患者匹配产品，植入物的性能验证需涵盖其注册申报的所有尺寸范围。可通过有限元分析、等效模型台架试验或二者结合的形式验证。有限元分析报告中需根据植入物的解剖位置、应用范围、使用条件、预期性能、预期寿命和失效后果，明确植入物的额定安全系数及其评判方式。鉴于植入物种类的多样化，注册申请人需自行提供个性化植入物的安全系数计算报告及额定安全系数的取值依据。对于不同类型植入物，建议安全系数的计算原理如下：对于替代部分骨骼、长期直接承担人体载荷的植入物，需以材料的疲劳极限为破坏应力进行安全系数计算；对于短期承担部分人体载荷或不直接替代承载骨骼的植入物，以材料的屈服极限或强度极限为破坏应力进行安全系数计算。有限元模型的建立和分析方法建议遵照《定制式个性化骨植入物等效性模型注册技术审查指导原则》和《骨科金属植入物有限元分析资料注册技术审查指导原则》。</w:t>
      </w:r>
    </w:p>
    <w:p w14:paraId="358E7705">
      <w:pPr>
        <w:spacing w:line="520" w:lineRule="exact"/>
        <w:ind w:firstLine="640" w:firstLineChars="200"/>
        <w:rPr>
          <w:rFonts w:eastAsia="仿宋_GB2312"/>
        </w:rPr>
      </w:pPr>
      <w:r>
        <w:rPr>
          <w:rFonts w:eastAsia="仿宋_GB2312"/>
        </w:rPr>
        <w:t>在植入物力学性能研究资料中，还需明确植入物在人体内与骨或其他组织结构之间的即刻和远期固定方式，并证明连接方式的可靠性。建议在力学分析中对连接部件的安全性予以体现，或单独验证连接部件的可靠性。</w:t>
      </w:r>
    </w:p>
    <w:p w14:paraId="7EC0C6D5">
      <w:pPr>
        <w:spacing w:line="520" w:lineRule="exact"/>
        <w:ind w:firstLine="640" w:firstLineChars="200"/>
        <w:rPr>
          <w:rFonts w:eastAsia="仿宋_GB2312"/>
        </w:rPr>
      </w:pPr>
      <w:r>
        <w:rPr>
          <w:rFonts w:eastAsia="仿宋_GB2312"/>
        </w:rPr>
        <w:t>此外，由于增材制造产品在性能调控方面的优势和特殊性，需考虑台架试验、有限元模型中各部件材料属性与终产品或模拟体内受力环境中采用各材料的一致性。</w:t>
      </w:r>
    </w:p>
    <w:p w14:paraId="13663236">
      <w:pPr>
        <w:numPr>
          <w:ilvl w:val="0"/>
          <w:numId w:val="3"/>
        </w:numPr>
        <w:spacing w:line="520" w:lineRule="exact"/>
        <w:ind w:firstLine="640" w:firstLineChars="200"/>
        <w:rPr>
          <w:rFonts w:eastAsia="楷体_GB2312"/>
        </w:rPr>
      </w:pPr>
      <w:r>
        <w:rPr>
          <w:rFonts w:eastAsia="楷体_GB2312"/>
        </w:rPr>
        <w:t>个性化设计优化和验证</w:t>
      </w:r>
    </w:p>
    <w:p w14:paraId="737B9CC1">
      <w:pPr>
        <w:spacing w:line="520" w:lineRule="exact"/>
        <w:ind w:firstLine="640" w:firstLineChars="200"/>
        <w:rPr>
          <w:rFonts w:eastAsia="仿宋_GB2312"/>
        </w:rPr>
      </w:pPr>
      <w:r>
        <w:rPr>
          <w:rFonts w:eastAsia="仿宋_GB2312"/>
        </w:rPr>
        <w:t>增材制造聚醚醚酮植入物的设计开发可能需通过有限元分析方法对植入物的结构进行优化设计和强度验证，其风险主要来自于模型与实际情况的差异性以及模型的误差，包括但不限于：</w:t>
      </w:r>
    </w:p>
    <w:p w14:paraId="66F1C4B4">
      <w:pPr>
        <w:spacing w:line="520" w:lineRule="exact"/>
        <w:ind w:firstLine="640" w:firstLineChars="200"/>
        <w:rPr>
          <w:rFonts w:eastAsia="仿宋_GB2312"/>
        </w:rPr>
      </w:pPr>
      <w:r>
        <w:rPr>
          <w:rFonts w:eastAsia="仿宋_GB2312"/>
          <w:color w:val="000000"/>
          <w:szCs w:val="32"/>
        </w:rPr>
        <w:t>1.</w:t>
      </w:r>
      <w:r>
        <w:rPr>
          <w:rFonts w:eastAsia="仿宋_GB2312"/>
        </w:rPr>
        <w:t>有限元模型的几何模型、材料属性、边界条件、载荷、接触属性等要素与植入物在体内的实际力学环境的一致性与差异性；</w:t>
      </w:r>
    </w:p>
    <w:p w14:paraId="444DADFF">
      <w:pPr>
        <w:spacing w:line="520" w:lineRule="exact"/>
        <w:ind w:firstLine="640" w:firstLineChars="200"/>
        <w:rPr>
          <w:rFonts w:eastAsia="仿宋_GB2312"/>
        </w:rPr>
      </w:pPr>
      <w:r>
        <w:rPr>
          <w:rFonts w:eastAsia="仿宋_GB2312"/>
          <w:color w:val="000000"/>
          <w:szCs w:val="32"/>
        </w:rPr>
        <w:t>2.</w:t>
      </w:r>
      <w:r>
        <w:rPr>
          <w:rFonts w:eastAsia="仿宋_GB2312"/>
        </w:rPr>
        <w:t>对于增材制造产品，力学性能各向异性不可避免且在设计中难以预知，可能会导致在实际服役过程中沿力学性能薄弱方向破坏或失效；</w:t>
      </w:r>
    </w:p>
    <w:p w14:paraId="000F3CA8">
      <w:pPr>
        <w:spacing w:line="520" w:lineRule="exact"/>
        <w:ind w:firstLine="640" w:firstLineChars="200"/>
        <w:rPr>
          <w:rFonts w:eastAsia="仿宋_GB2312"/>
        </w:rPr>
      </w:pPr>
      <w:r>
        <w:rPr>
          <w:rFonts w:eastAsia="仿宋_GB2312"/>
          <w:color w:val="000000"/>
          <w:szCs w:val="32"/>
        </w:rPr>
        <w:t>3.</w:t>
      </w:r>
      <w:r>
        <w:rPr>
          <w:rFonts w:eastAsia="仿宋_GB2312"/>
        </w:rPr>
        <w:t>有限元模型的数值误差。</w:t>
      </w:r>
    </w:p>
    <w:p w14:paraId="516AD6E2">
      <w:pPr>
        <w:pStyle w:val="10"/>
        <w:numPr>
          <w:ilvl w:val="0"/>
          <w:numId w:val="2"/>
        </w:numPr>
        <w:spacing w:line="520" w:lineRule="exact"/>
        <w:ind w:firstLine="640"/>
        <w:rPr>
          <w:rFonts w:eastAsia="黑体"/>
        </w:rPr>
      </w:pPr>
      <w:r>
        <w:rPr>
          <w:rFonts w:eastAsia="黑体"/>
        </w:rPr>
        <w:t>生产制造风险</w:t>
      </w:r>
    </w:p>
    <w:p w14:paraId="2D493C60">
      <w:pPr>
        <w:numPr>
          <w:ilvl w:val="0"/>
          <w:numId w:val="4"/>
        </w:numPr>
        <w:spacing w:line="520" w:lineRule="exact"/>
        <w:ind w:firstLine="640" w:firstLineChars="200"/>
        <w:rPr>
          <w:rFonts w:eastAsia="楷体_GB2312"/>
        </w:rPr>
      </w:pPr>
      <w:r>
        <w:rPr>
          <w:rFonts w:eastAsia="楷体_GB2312"/>
        </w:rPr>
        <w:t>原材料</w:t>
      </w:r>
    </w:p>
    <w:p w14:paraId="18CD2DBD">
      <w:pPr>
        <w:spacing w:line="520" w:lineRule="exact"/>
        <w:ind w:firstLine="640" w:firstLineChars="200"/>
        <w:rPr>
          <w:rFonts w:eastAsia="仿宋_GB2312"/>
        </w:rPr>
      </w:pPr>
      <w:r>
        <w:rPr>
          <w:rFonts w:eastAsia="仿宋_GB2312"/>
        </w:rPr>
        <w:t>需选取与增材制造工艺匹配的聚醚醚酮原材料，可能包括丝材、粒料或粉末，风险包括：</w:t>
      </w:r>
    </w:p>
    <w:p w14:paraId="3394AC8E">
      <w:pPr>
        <w:spacing w:line="520" w:lineRule="exact"/>
        <w:ind w:firstLine="640" w:firstLineChars="200"/>
        <w:rPr>
          <w:rFonts w:eastAsia="仿宋_GB2312"/>
        </w:rPr>
      </w:pPr>
      <w:r>
        <w:rPr>
          <w:rFonts w:eastAsia="仿宋_GB2312"/>
          <w:color w:val="000000"/>
          <w:szCs w:val="32"/>
        </w:rPr>
        <w:t>1.</w:t>
      </w:r>
      <w:r>
        <w:rPr>
          <w:rFonts w:eastAsia="仿宋_GB2312"/>
        </w:rPr>
        <w:t>原材料需满足植入医疗器械的生物相容性要求；</w:t>
      </w:r>
    </w:p>
    <w:p w14:paraId="3FB4E3BB">
      <w:pPr>
        <w:spacing w:line="520" w:lineRule="exact"/>
        <w:ind w:firstLine="640" w:firstLineChars="200"/>
        <w:rPr>
          <w:rFonts w:eastAsia="仿宋_GB2312"/>
        </w:rPr>
      </w:pPr>
      <w:r>
        <w:rPr>
          <w:rFonts w:eastAsia="仿宋_GB2312"/>
          <w:color w:val="000000"/>
          <w:szCs w:val="32"/>
        </w:rPr>
        <w:t>2.</w:t>
      </w:r>
      <w:r>
        <w:rPr>
          <w:rFonts w:eastAsia="仿宋_GB2312"/>
        </w:rPr>
        <w:t>在不同增材制造工艺中，聚醚醚酮原材料的理化性能的稳定性可能带来风险，例如挤出成形工艺中的熔体流动速率、粉末床熔融工艺中的粉末流动性；</w:t>
      </w:r>
    </w:p>
    <w:p w14:paraId="6520CE4A">
      <w:pPr>
        <w:spacing w:line="520" w:lineRule="exact"/>
        <w:ind w:firstLine="640" w:firstLineChars="200"/>
        <w:rPr>
          <w:rFonts w:eastAsia="仿宋_GB2312"/>
        </w:rPr>
      </w:pPr>
      <w:r>
        <w:rPr>
          <w:rFonts w:eastAsia="仿宋_GB2312"/>
          <w:color w:val="000000"/>
          <w:szCs w:val="32"/>
        </w:rPr>
        <w:t>3.</w:t>
      </w:r>
      <w:r>
        <w:rPr>
          <w:rFonts w:eastAsia="仿宋_GB2312"/>
        </w:rPr>
        <w:t>原材料应在良好生产质量体系下生产，质量可控且批次稳定。</w:t>
      </w:r>
    </w:p>
    <w:p w14:paraId="2D814B53">
      <w:pPr>
        <w:spacing w:line="520" w:lineRule="exact"/>
        <w:ind w:firstLine="640" w:firstLineChars="200"/>
        <w:rPr>
          <w:rFonts w:eastAsia="仿宋_GB2312"/>
        </w:rPr>
      </w:pPr>
      <w:r>
        <w:rPr>
          <w:rFonts w:eastAsia="仿宋_GB2312"/>
        </w:rPr>
        <w:t>需选用与增材制造工艺匹配的聚醚醚酮原材料，可能为丝材、粒料或粉末。提供原材料物理和化学性能质控要求、确定依据和验证资料，至少包括YY/T 0660标准中红外光谱、重金属总量、黏度和相变温度参数和要求。粉末需至少包括外观、颗粒形貌、堆积密度、流动性。</w:t>
      </w:r>
    </w:p>
    <w:p w14:paraId="79D08429">
      <w:pPr>
        <w:numPr>
          <w:ilvl w:val="0"/>
          <w:numId w:val="4"/>
        </w:numPr>
        <w:spacing w:line="520" w:lineRule="exact"/>
        <w:ind w:firstLine="640" w:firstLineChars="200"/>
        <w:rPr>
          <w:rFonts w:eastAsia="楷体_GB2312"/>
        </w:rPr>
      </w:pPr>
      <w:r>
        <w:rPr>
          <w:rFonts w:eastAsia="楷体_GB2312"/>
        </w:rPr>
        <w:t>增材制造成形</w:t>
      </w:r>
    </w:p>
    <w:p w14:paraId="657B7C48">
      <w:pPr>
        <w:spacing w:line="520" w:lineRule="exact"/>
        <w:ind w:firstLine="640" w:firstLineChars="200"/>
        <w:rPr>
          <w:rFonts w:eastAsia="仿宋_GB2312"/>
        </w:rPr>
      </w:pPr>
      <w:r>
        <w:rPr>
          <w:rFonts w:eastAsia="仿宋_GB2312"/>
          <w:color w:val="000000"/>
          <w:szCs w:val="32"/>
        </w:rPr>
        <w:t>1.</w:t>
      </w:r>
      <w:r>
        <w:rPr>
          <w:rFonts w:eastAsia="仿宋_GB2312"/>
        </w:rPr>
        <w:t>工艺类型和步骤</w:t>
      </w:r>
    </w:p>
    <w:p w14:paraId="1A09E895">
      <w:pPr>
        <w:spacing w:line="520" w:lineRule="exact"/>
        <w:ind w:firstLine="640" w:firstLineChars="200"/>
        <w:rPr>
          <w:rFonts w:eastAsia="仿宋_GB2312"/>
        </w:rPr>
      </w:pPr>
      <w:r>
        <w:rPr>
          <w:rFonts w:eastAsia="仿宋_GB2312"/>
        </w:rPr>
        <w:t>需根据GB/T 35351标准要求明确所使用的增材制造工艺类型。目前常用的工艺方法有材料挤出增材制造工艺和粉末床熔融增材制造工艺，材料挤出工艺的典型代表为熔融沉积成形。同时，明确后处理（热处理、机械处理等）各步骤的工序。</w:t>
      </w:r>
    </w:p>
    <w:p w14:paraId="7B22CAE5">
      <w:pPr>
        <w:spacing w:line="520" w:lineRule="exact"/>
        <w:ind w:firstLine="640" w:firstLineChars="200"/>
        <w:rPr>
          <w:rFonts w:eastAsia="仿宋_GB2312"/>
        </w:rPr>
      </w:pPr>
      <w:r>
        <w:rPr>
          <w:rFonts w:eastAsia="仿宋_GB2312"/>
          <w:color w:val="000000"/>
          <w:szCs w:val="32"/>
        </w:rPr>
        <w:t>2.</w:t>
      </w:r>
      <w:r>
        <w:rPr>
          <w:rFonts w:eastAsia="仿宋_GB2312"/>
        </w:rPr>
        <w:t>增材制造能力匹配</w:t>
      </w:r>
    </w:p>
    <w:p w14:paraId="19730EE2">
      <w:pPr>
        <w:spacing w:line="520" w:lineRule="exact"/>
        <w:ind w:firstLine="640" w:firstLineChars="200"/>
        <w:rPr>
          <w:rFonts w:eastAsia="仿宋_GB2312"/>
          <w:bCs/>
        </w:rPr>
      </w:pPr>
      <w:r>
        <w:rPr>
          <w:rFonts w:eastAsia="仿宋_GB2312"/>
          <w:color w:val="000000"/>
          <w:szCs w:val="32"/>
        </w:rPr>
        <w:t>2.1</w:t>
      </w:r>
      <w:r>
        <w:rPr>
          <w:rFonts w:eastAsia="仿宋_GB2312"/>
        </w:rPr>
        <w:t>成形尺寸和精度</w:t>
      </w:r>
    </w:p>
    <w:p w14:paraId="74E52874">
      <w:pPr>
        <w:spacing w:line="520" w:lineRule="exact"/>
        <w:ind w:firstLine="640" w:firstLineChars="200"/>
        <w:rPr>
          <w:rFonts w:eastAsia="仿宋_GB2312"/>
        </w:rPr>
      </w:pPr>
      <w:r>
        <w:rPr>
          <w:rFonts w:eastAsia="仿宋_GB2312"/>
        </w:rPr>
        <w:t>成形尺寸和精度需要满足产品设计要求。尺寸和精度测试应选取能够代表申报产品规格尺寸范围的最差情形的标准试样进行测试。精度测试可参考GB/T 39329标准所规定内容实施。</w:t>
      </w:r>
    </w:p>
    <w:p w14:paraId="4BD94EEA">
      <w:pPr>
        <w:spacing w:line="520" w:lineRule="exact"/>
        <w:ind w:firstLine="640" w:firstLineChars="200"/>
        <w:rPr>
          <w:rFonts w:eastAsia="仿宋_GB2312"/>
        </w:rPr>
      </w:pPr>
      <w:r>
        <w:rPr>
          <w:rFonts w:eastAsia="仿宋_GB2312"/>
          <w:color w:val="000000"/>
          <w:szCs w:val="32"/>
        </w:rPr>
        <w:t>2.2</w:t>
      </w:r>
      <w:r>
        <w:rPr>
          <w:rFonts w:eastAsia="仿宋_GB2312"/>
        </w:rPr>
        <w:t>成形密度</w:t>
      </w:r>
    </w:p>
    <w:p w14:paraId="3CD015F1">
      <w:pPr>
        <w:spacing w:line="520" w:lineRule="exact"/>
        <w:ind w:firstLine="640" w:firstLineChars="200"/>
        <w:rPr>
          <w:rFonts w:eastAsia="仿宋_GB2312"/>
        </w:rPr>
      </w:pPr>
      <w:r>
        <w:rPr>
          <w:rFonts w:eastAsia="仿宋_GB2312"/>
        </w:rPr>
        <w:t>明确工艺成形实体样件的密度。建议依据GB/T 1033.1《塑料非泡沫塑料密度的测定第1部分：浸渍法、液体比重瓶法和滴定法》进行聚醚醚酮标准试样的密度测试。根据测得密度与YY/T 0660标准所述的聚醚醚酮的最大密度相比，其比值为增材制造聚醚醚酮的相对密度。相对密度测试需选取能够代表申报产品规格尺寸范围的最差情形的标准试样进行测试。</w:t>
      </w:r>
    </w:p>
    <w:p w14:paraId="50B5A4F4">
      <w:pPr>
        <w:spacing w:line="520" w:lineRule="exact"/>
        <w:ind w:firstLine="640" w:firstLineChars="200"/>
        <w:rPr>
          <w:rFonts w:eastAsia="仿宋_GB2312"/>
        </w:rPr>
      </w:pPr>
      <w:r>
        <w:rPr>
          <w:rFonts w:eastAsia="仿宋_GB2312"/>
          <w:color w:val="000000"/>
          <w:szCs w:val="32"/>
        </w:rPr>
        <w:t>3.</w:t>
      </w:r>
      <w:r>
        <w:rPr>
          <w:rFonts w:eastAsia="仿宋_GB2312"/>
        </w:rPr>
        <w:t>工艺稳定性</w:t>
      </w:r>
    </w:p>
    <w:p w14:paraId="45286C9C">
      <w:pPr>
        <w:spacing w:line="520" w:lineRule="exact"/>
        <w:ind w:firstLine="640" w:firstLineChars="200"/>
        <w:rPr>
          <w:rFonts w:eastAsia="仿宋_GB2312"/>
        </w:rPr>
      </w:pPr>
      <w:r>
        <w:rPr>
          <w:rFonts w:eastAsia="仿宋_GB2312"/>
        </w:rPr>
        <w:t>为避免不同批次的增材制造聚醚醚酮植入物的物理、化学和生物学性能变化的风险，需证明制备聚醚醚酮植入物所使用的所有增材制造设备和工艺的稳定性，确保增材制造过程中的杂质控制。制造装备和工艺的稳定性具体可表现在对于环境、加工精度和性能的控制。</w:t>
      </w:r>
    </w:p>
    <w:p w14:paraId="61900309">
      <w:pPr>
        <w:spacing w:line="520" w:lineRule="exact"/>
        <w:ind w:firstLine="640" w:firstLineChars="200"/>
        <w:rPr>
          <w:rFonts w:eastAsia="仿宋_GB2312"/>
        </w:rPr>
      </w:pPr>
      <w:r>
        <w:rPr>
          <w:rFonts w:eastAsia="仿宋_GB2312"/>
          <w:color w:val="000000"/>
          <w:szCs w:val="32"/>
        </w:rPr>
        <w:t>3.1</w:t>
      </w:r>
      <w:r>
        <w:rPr>
          <w:rFonts w:eastAsia="仿宋_GB2312"/>
        </w:rPr>
        <w:t>环境</w:t>
      </w:r>
    </w:p>
    <w:p w14:paraId="3A2A8006">
      <w:pPr>
        <w:spacing w:line="520" w:lineRule="exact"/>
        <w:ind w:firstLine="640" w:firstLineChars="200"/>
        <w:rPr>
          <w:rFonts w:eastAsia="仿宋_GB2312"/>
        </w:rPr>
      </w:pPr>
      <w:r>
        <w:rPr>
          <w:rFonts w:eastAsia="仿宋_GB2312"/>
        </w:rPr>
        <w:t>涉及到医疗器械的生产，所使用聚醚醚酮植入物增材制造设备的加工生产区域（包括增材制造设备的外环境和后处理、组装、包装等）的洁净度需满足《医疗器械生产质量管理规范》的要求，增材制造设备内部的洁净度需不低于加工生产区域，设备内部洁净度需保证长期稳定。</w:t>
      </w:r>
    </w:p>
    <w:p w14:paraId="51CDB4E4">
      <w:pPr>
        <w:spacing w:line="520" w:lineRule="exact"/>
        <w:ind w:firstLine="640" w:firstLineChars="200"/>
        <w:rPr>
          <w:rFonts w:eastAsia="仿宋_GB2312"/>
        </w:rPr>
      </w:pPr>
      <w:r>
        <w:rPr>
          <w:rFonts w:eastAsia="仿宋_GB2312"/>
          <w:color w:val="000000"/>
          <w:szCs w:val="32"/>
        </w:rPr>
        <w:t>3.2</w:t>
      </w:r>
      <w:r>
        <w:rPr>
          <w:rFonts w:eastAsia="仿宋_GB2312"/>
        </w:rPr>
        <w:t>精度</w:t>
      </w:r>
    </w:p>
    <w:p w14:paraId="49ECD9B5">
      <w:pPr>
        <w:spacing w:line="520" w:lineRule="exact"/>
        <w:ind w:firstLine="640" w:firstLineChars="200"/>
        <w:rPr>
          <w:rFonts w:eastAsia="仿宋_GB2312"/>
        </w:rPr>
      </w:pPr>
      <w:r>
        <w:rPr>
          <w:rFonts w:eastAsia="仿宋_GB2312"/>
        </w:rPr>
        <w:t>需对不同批次增材制造精度稳定性进行评测，依据GB/T 39329标准要求在每个校准周期对样件精度进行测试，用后一次测得的精度数据与前一次测得的精度数据之间的相对误差表征增材制造精度均一性。</w:t>
      </w:r>
    </w:p>
    <w:p w14:paraId="6E5070C8">
      <w:pPr>
        <w:spacing w:line="520" w:lineRule="exact"/>
        <w:ind w:firstLine="640" w:firstLineChars="200"/>
        <w:rPr>
          <w:rFonts w:eastAsia="仿宋_GB2312"/>
        </w:rPr>
      </w:pPr>
      <w:r>
        <w:rPr>
          <w:rFonts w:eastAsia="仿宋_GB2312"/>
          <w:color w:val="000000"/>
          <w:szCs w:val="32"/>
        </w:rPr>
        <w:t>3.3</w:t>
      </w:r>
      <w:r>
        <w:rPr>
          <w:rFonts w:eastAsia="仿宋_GB2312"/>
        </w:rPr>
        <w:t>性能</w:t>
      </w:r>
    </w:p>
    <w:p w14:paraId="0A473EFE">
      <w:pPr>
        <w:spacing w:line="520" w:lineRule="exact"/>
        <w:ind w:firstLine="640" w:firstLineChars="200"/>
        <w:rPr>
          <w:rFonts w:eastAsia="仿宋_GB2312"/>
        </w:rPr>
      </w:pPr>
      <w:r>
        <w:rPr>
          <w:rFonts w:eastAsia="仿宋_GB2312"/>
        </w:rPr>
        <w:t>需对不同批次的增材制造性能进行验证，依据产品设计的具体性能要求，根据已有标准对每个校准周期样件的力学性能进行测试，用后一次测得的性能数据与前一次测得的性能数据之间的相对误差表征增材制造性能均一性。</w:t>
      </w:r>
    </w:p>
    <w:p w14:paraId="1F414B1B">
      <w:pPr>
        <w:spacing w:line="520" w:lineRule="exact"/>
        <w:ind w:firstLine="640" w:firstLineChars="200"/>
        <w:rPr>
          <w:rFonts w:eastAsia="仿宋_GB2312"/>
        </w:rPr>
      </w:pPr>
      <w:r>
        <w:rPr>
          <w:rFonts w:eastAsia="仿宋_GB2312"/>
          <w:color w:val="000000"/>
          <w:szCs w:val="32"/>
        </w:rPr>
        <w:t>4.</w:t>
      </w:r>
      <w:r>
        <w:rPr>
          <w:rFonts w:eastAsia="仿宋_GB2312"/>
        </w:rPr>
        <w:t>力学性能评价</w:t>
      </w:r>
    </w:p>
    <w:p w14:paraId="684C9609">
      <w:pPr>
        <w:pStyle w:val="10"/>
        <w:tabs>
          <w:tab w:val="left" w:pos="0"/>
        </w:tabs>
        <w:spacing w:line="520" w:lineRule="exact"/>
        <w:ind w:firstLine="579" w:firstLineChars="181"/>
      </w:pPr>
      <w:r>
        <w:t>增材制造逐层叠加原理使制件存在力学性能各向异性，可能导致植入物在力学性能薄弱方向被破坏，评价增材制造聚醚醚酮样件的力学性能时需考虑各向异性问题，并确保结果在可接受范围内。需结合植入物实际受力情况，选取适用的测试项目验证制件力学性能满足要求。如后处理工艺可能会影响产品力学性能，需在增材制造和后处理工艺后进行力学测试。</w:t>
      </w:r>
    </w:p>
    <w:p w14:paraId="15AE1081">
      <w:pPr>
        <w:pStyle w:val="10"/>
        <w:tabs>
          <w:tab w:val="left" w:pos="0"/>
        </w:tabs>
        <w:spacing w:line="520" w:lineRule="exact"/>
        <w:ind w:firstLine="579" w:firstLineChars="181"/>
      </w:pPr>
    </w:p>
    <w:p w14:paraId="629D147A">
      <w:pPr>
        <w:spacing w:line="520" w:lineRule="exact"/>
        <w:jc w:val="center"/>
        <w:rPr>
          <w:rFonts w:eastAsia="黑体"/>
          <w:bCs/>
          <w:sz w:val="28"/>
          <w:szCs w:val="28"/>
        </w:rPr>
      </w:pPr>
      <w:r>
        <w:rPr>
          <w:rFonts w:hAnsi="黑体" w:eastAsia="黑体"/>
          <w:sz w:val="28"/>
          <w:szCs w:val="28"/>
        </w:rPr>
        <w:t>表</w:t>
      </w:r>
      <w:r>
        <w:rPr>
          <w:rFonts w:eastAsia="黑体"/>
          <w:sz w:val="28"/>
          <w:szCs w:val="28"/>
        </w:rPr>
        <w:t xml:space="preserve"> </w:t>
      </w:r>
      <w:r>
        <w:rPr>
          <w:rFonts w:hAnsi="黑体" w:eastAsia="黑体"/>
          <w:sz w:val="28"/>
          <w:szCs w:val="28"/>
        </w:rPr>
        <w:t>增材制造聚醚醚酮力学性能测试依据的标准</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23B24C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12" w:space="0"/>
              <w:bottom w:val="single" w:color="auto" w:sz="8" w:space="0"/>
            </w:tcBorders>
            <w:shd w:val="clear" w:color="auto" w:fill="auto"/>
          </w:tcPr>
          <w:p w14:paraId="06A1FF4A">
            <w:pPr>
              <w:spacing w:line="520" w:lineRule="exact"/>
              <w:jc w:val="center"/>
              <w:rPr>
                <w:rFonts w:eastAsia="仿宋_GB2312"/>
                <w:bCs/>
                <w:sz w:val="28"/>
                <w:szCs w:val="28"/>
              </w:rPr>
            </w:pPr>
            <w:r>
              <w:rPr>
                <w:rFonts w:hAnsi="仿宋_GB2312" w:eastAsia="仿宋_GB2312"/>
                <w:sz w:val="28"/>
                <w:szCs w:val="28"/>
              </w:rPr>
              <w:t>测试项目</w:t>
            </w:r>
          </w:p>
        </w:tc>
        <w:tc>
          <w:tcPr>
            <w:tcW w:w="4261" w:type="dxa"/>
            <w:tcBorders>
              <w:top w:val="single" w:color="auto" w:sz="12" w:space="0"/>
              <w:bottom w:val="single" w:color="auto" w:sz="8" w:space="0"/>
            </w:tcBorders>
            <w:shd w:val="clear" w:color="auto" w:fill="auto"/>
          </w:tcPr>
          <w:p w14:paraId="1F6E9AB4">
            <w:pPr>
              <w:spacing w:line="520" w:lineRule="exact"/>
              <w:jc w:val="center"/>
              <w:rPr>
                <w:rFonts w:eastAsia="仿宋_GB2312"/>
                <w:bCs/>
                <w:sz w:val="28"/>
                <w:szCs w:val="28"/>
              </w:rPr>
            </w:pPr>
            <w:r>
              <w:rPr>
                <w:rFonts w:hAnsi="仿宋_GB2312" w:eastAsia="仿宋_GB2312"/>
                <w:sz w:val="28"/>
                <w:szCs w:val="28"/>
              </w:rPr>
              <w:t>标准</w:t>
            </w:r>
          </w:p>
        </w:tc>
      </w:tr>
      <w:tr w14:paraId="5ADD402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8" w:space="0"/>
            </w:tcBorders>
            <w:shd w:val="clear" w:color="auto" w:fill="auto"/>
          </w:tcPr>
          <w:p w14:paraId="30CC9C5F">
            <w:pPr>
              <w:spacing w:line="520" w:lineRule="exact"/>
              <w:jc w:val="center"/>
              <w:rPr>
                <w:rFonts w:eastAsia="仿宋_GB2312"/>
                <w:bCs/>
                <w:sz w:val="28"/>
                <w:szCs w:val="28"/>
              </w:rPr>
            </w:pPr>
            <w:r>
              <w:rPr>
                <w:rFonts w:hAnsi="仿宋_GB2312" w:eastAsia="仿宋_GB2312"/>
                <w:sz w:val="28"/>
                <w:szCs w:val="28"/>
              </w:rPr>
              <w:t>拉伸</w:t>
            </w:r>
          </w:p>
        </w:tc>
        <w:tc>
          <w:tcPr>
            <w:tcW w:w="4261" w:type="dxa"/>
            <w:tcBorders>
              <w:top w:val="single" w:color="auto" w:sz="8" w:space="0"/>
            </w:tcBorders>
            <w:shd w:val="clear" w:color="auto" w:fill="auto"/>
          </w:tcPr>
          <w:p w14:paraId="652FF74C">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1040.1</w:t>
            </w:r>
          </w:p>
        </w:tc>
      </w:tr>
      <w:tr w14:paraId="18EAA1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023020A3">
            <w:pPr>
              <w:spacing w:line="520" w:lineRule="exact"/>
              <w:jc w:val="center"/>
              <w:rPr>
                <w:rFonts w:eastAsia="仿宋_GB2312"/>
                <w:bCs/>
                <w:sz w:val="28"/>
                <w:szCs w:val="28"/>
              </w:rPr>
            </w:pPr>
            <w:r>
              <w:rPr>
                <w:rFonts w:hAnsi="仿宋_GB2312" w:eastAsia="仿宋_GB2312"/>
                <w:sz w:val="28"/>
                <w:szCs w:val="28"/>
              </w:rPr>
              <w:t>压缩</w:t>
            </w:r>
          </w:p>
        </w:tc>
        <w:tc>
          <w:tcPr>
            <w:tcW w:w="4261" w:type="dxa"/>
            <w:shd w:val="clear" w:color="auto" w:fill="auto"/>
          </w:tcPr>
          <w:p w14:paraId="0B717B78">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1041</w:t>
            </w:r>
          </w:p>
        </w:tc>
      </w:tr>
      <w:tr w14:paraId="78B1A81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2B66016E">
            <w:pPr>
              <w:spacing w:line="520" w:lineRule="exact"/>
              <w:jc w:val="center"/>
              <w:rPr>
                <w:rFonts w:eastAsia="仿宋_GB2312"/>
                <w:bCs/>
                <w:sz w:val="28"/>
                <w:szCs w:val="28"/>
              </w:rPr>
            </w:pPr>
            <w:r>
              <w:rPr>
                <w:rFonts w:hAnsi="仿宋_GB2312" w:eastAsia="仿宋_GB2312"/>
                <w:sz w:val="28"/>
                <w:szCs w:val="28"/>
              </w:rPr>
              <w:t>弯曲</w:t>
            </w:r>
          </w:p>
        </w:tc>
        <w:tc>
          <w:tcPr>
            <w:tcW w:w="4261" w:type="dxa"/>
            <w:shd w:val="clear" w:color="auto" w:fill="auto"/>
          </w:tcPr>
          <w:p w14:paraId="2B35C22F">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9341</w:t>
            </w:r>
          </w:p>
        </w:tc>
      </w:tr>
      <w:tr w14:paraId="52B9AE5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12D3F094">
            <w:pPr>
              <w:spacing w:line="520" w:lineRule="exact"/>
              <w:jc w:val="center"/>
              <w:rPr>
                <w:rFonts w:eastAsia="仿宋_GB2312"/>
                <w:bCs/>
                <w:sz w:val="28"/>
                <w:szCs w:val="28"/>
              </w:rPr>
            </w:pPr>
            <w:r>
              <w:rPr>
                <w:rFonts w:hAnsi="仿宋_GB2312" w:eastAsia="仿宋_GB2312"/>
                <w:sz w:val="28"/>
                <w:szCs w:val="28"/>
              </w:rPr>
              <w:t>扭转</w:t>
            </w:r>
          </w:p>
        </w:tc>
        <w:tc>
          <w:tcPr>
            <w:tcW w:w="4261" w:type="dxa"/>
            <w:shd w:val="clear" w:color="auto" w:fill="auto"/>
          </w:tcPr>
          <w:p w14:paraId="08C7B881">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15047</w:t>
            </w:r>
          </w:p>
        </w:tc>
      </w:tr>
      <w:tr w14:paraId="79CAC6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439A4457">
            <w:pPr>
              <w:spacing w:line="520" w:lineRule="exact"/>
              <w:jc w:val="center"/>
              <w:rPr>
                <w:rFonts w:eastAsia="仿宋_GB2312"/>
                <w:bCs/>
                <w:sz w:val="28"/>
                <w:szCs w:val="28"/>
              </w:rPr>
            </w:pPr>
            <w:r>
              <w:rPr>
                <w:rFonts w:hAnsi="仿宋_GB2312" w:eastAsia="仿宋_GB2312"/>
                <w:sz w:val="28"/>
                <w:szCs w:val="28"/>
              </w:rPr>
              <w:t>短梁剪切</w:t>
            </w:r>
          </w:p>
        </w:tc>
        <w:tc>
          <w:tcPr>
            <w:tcW w:w="4261" w:type="dxa"/>
            <w:shd w:val="clear" w:color="auto" w:fill="auto"/>
          </w:tcPr>
          <w:p w14:paraId="50F33A35">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30969</w:t>
            </w:r>
          </w:p>
        </w:tc>
      </w:tr>
      <w:tr w14:paraId="571024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3E19ACCE">
            <w:pPr>
              <w:spacing w:line="520" w:lineRule="exact"/>
              <w:jc w:val="center"/>
              <w:rPr>
                <w:rFonts w:eastAsia="仿宋_GB2312"/>
                <w:bCs/>
                <w:sz w:val="28"/>
                <w:szCs w:val="28"/>
              </w:rPr>
            </w:pPr>
            <w:r>
              <w:rPr>
                <w:rFonts w:hAnsi="仿宋_GB2312" w:eastAsia="仿宋_GB2312"/>
                <w:sz w:val="28"/>
                <w:szCs w:val="28"/>
              </w:rPr>
              <w:t>层间剪切</w:t>
            </w:r>
          </w:p>
        </w:tc>
        <w:tc>
          <w:tcPr>
            <w:tcW w:w="4261" w:type="dxa"/>
            <w:shd w:val="clear" w:color="auto" w:fill="auto"/>
          </w:tcPr>
          <w:p w14:paraId="61B38E82">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1450.1</w:t>
            </w:r>
          </w:p>
        </w:tc>
      </w:tr>
      <w:tr w14:paraId="545686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181399EA">
            <w:pPr>
              <w:spacing w:line="520" w:lineRule="exact"/>
              <w:jc w:val="center"/>
              <w:rPr>
                <w:rFonts w:eastAsia="仿宋_GB2312"/>
                <w:bCs/>
                <w:sz w:val="28"/>
                <w:szCs w:val="28"/>
              </w:rPr>
            </w:pPr>
            <w:r>
              <w:rPr>
                <w:rFonts w:hAnsi="仿宋_GB2312" w:eastAsia="仿宋_GB2312"/>
                <w:sz w:val="28"/>
                <w:szCs w:val="28"/>
              </w:rPr>
              <w:t>冲击</w:t>
            </w:r>
          </w:p>
        </w:tc>
        <w:tc>
          <w:tcPr>
            <w:tcW w:w="4261" w:type="dxa"/>
            <w:shd w:val="clear" w:color="auto" w:fill="auto"/>
          </w:tcPr>
          <w:p w14:paraId="26870FA9">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1843</w:t>
            </w:r>
          </w:p>
        </w:tc>
      </w:tr>
      <w:tr w14:paraId="3151C0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364DA522">
            <w:pPr>
              <w:spacing w:line="520" w:lineRule="exact"/>
              <w:jc w:val="center"/>
              <w:rPr>
                <w:rFonts w:eastAsia="仿宋_GB2312"/>
                <w:bCs/>
                <w:sz w:val="28"/>
                <w:szCs w:val="28"/>
              </w:rPr>
            </w:pPr>
            <w:r>
              <w:rPr>
                <w:rFonts w:hAnsi="仿宋_GB2312" w:eastAsia="仿宋_GB2312"/>
                <w:sz w:val="28"/>
                <w:szCs w:val="28"/>
              </w:rPr>
              <w:t>拉</w:t>
            </w:r>
            <w:r>
              <w:rPr>
                <w:rFonts w:eastAsia="仿宋_GB2312"/>
                <w:sz w:val="28"/>
                <w:szCs w:val="28"/>
              </w:rPr>
              <w:t>-</w:t>
            </w:r>
            <w:r>
              <w:rPr>
                <w:rFonts w:hAnsi="仿宋_GB2312" w:eastAsia="仿宋_GB2312"/>
                <w:sz w:val="28"/>
                <w:szCs w:val="28"/>
              </w:rPr>
              <w:t>拉疲劳</w:t>
            </w:r>
          </w:p>
        </w:tc>
        <w:tc>
          <w:tcPr>
            <w:tcW w:w="4261" w:type="dxa"/>
            <w:shd w:val="clear" w:color="auto" w:fill="auto"/>
          </w:tcPr>
          <w:p w14:paraId="277B5122">
            <w:pPr>
              <w:spacing w:line="520" w:lineRule="exact"/>
              <w:ind w:left="-126" w:leftChars="-315" w:hanging="882" w:hangingChars="315"/>
              <w:jc w:val="center"/>
              <w:rPr>
                <w:rFonts w:eastAsia="仿宋_GB2312"/>
                <w:bCs/>
                <w:sz w:val="28"/>
                <w:szCs w:val="28"/>
              </w:rPr>
            </w:pPr>
            <w:r>
              <w:rPr>
                <w:rFonts w:hint="eastAsia" w:eastAsia="仿宋_GB2312"/>
                <w:sz w:val="28"/>
                <w:szCs w:val="28"/>
              </w:rPr>
              <w:t xml:space="preserve">      </w:t>
            </w:r>
            <w:r>
              <w:rPr>
                <w:rFonts w:eastAsia="仿宋_GB2312"/>
                <w:sz w:val="28"/>
                <w:szCs w:val="28"/>
              </w:rPr>
              <w:t>GB/T 35465.1</w:t>
            </w:r>
          </w:p>
        </w:tc>
      </w:tr>
      <w:tr w14:paraId="556DA4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shd w:val="clear" w:color="auto" w:fill="auto"/>
          </w:tcPr>
          <w:p w14:paraId="712B15E2">
            <w:pPr>
              <w:spacing w:line="520" w:lineRule="exact"/>
              <w:jc w:val="center"/>
              <w:rPr>
                <w:rFonts w:eastAsia="仿宋_GB2312"/>
                <w:sz w:val="28"/>
                <w:szCs w:val="28"/>
              </w:rPr>
            </w:pPr>
            <w:r>
              <w:rPr>
                <w:rFonts w:hAnsi="仿宋_GB2312" w:eastAsia="仿宋_GB2312"/>
                <w:sz w:val="28"/>
                <w:szCs w:val="28"/>
              </w:rPr>
              <w:t>磨损</w:t>
            </w:r>
          </w:p>
        </w:tc>
        <w:tc>
          <w:tcPr>
            <w:tcW w:w="4261" w:type="dxa"/>
            <w:shd w:val="clear" w:color="auto" w:fill="auto"/>
          </w:tcPr>
          <w:p w14:paraId="568371A4">
            <w:pPr>
              <w:spacing w:line="520" w:lineRule="exact"/>
              <w:ind w:left="-126" w:leftChars="-315" w:hanging="882" w:hangingChars="315"/>
              <w:jc w:val="center"/>
              <w:rPr>
                <w:rFonts w:eastAsia="仿宋_GB2312"/>
                <w:sz w:val="28"/>
                <w:szCs w:val="28"/>
              </w:rPr>
            </w:pPr>
            <w:r>
              <w:rPr>
                <w:rFonts w:hint="eastAsia" w:eastAsia="仿宋_GB2312"/>
                <w:sz w:val="28"/>
                <w:szCs w:val="28"/>
              </w:rPr>
              <w:t xml:space="preserve">    </w:t>
            </w:r>
            <w:r>
              <w:rPr>
                <w:rFonts w:eastAsia="仿宋_GB2312"/>
                <w:sz w:val="28"/>
                <w:szCs w:val="28"/>
              </w:rPr>
              <w:t>ASTM G99</w:t>
            </w:r>
          </w:p>
        </w:tc>
      </w:tr>
    </w:tbl>
    <w:p w14:paraId="07E05561">
      <w:pPr>
        <w:spacing w:line="520" w:lineRule="exact"/>
        <w:rPr>
          <w:rFonts w:eastAsia="楷体_GB2312"/>
        </w:rPr>
      </w:pPr>
    </w:p>
    <w:p w14:paraId="484E1B05">
      <w:pPr>
        <w:numPr>
          <w:ilvl w:val="0"/>
          <w:numId w:val="4"/>
        </w:numPr>
        <w:spacing w:line="520" w:lineRule="exact"/>
        <w:ind w:firstLine="640" w:firstLineChars="200"/>
        <w:rPr>
          <w:rFonts w:eastAsia="楷体_GB2312"/>
        </w:rPr>
      </w:pPr>
      <w:r>
        <w:rPr>
          <w:rFonts w:eastAsia="楷体_GB2312"/>
        </w:rPr>
        <w:t>清洁和灭菌工艺</w:t>
      </w:r>
    </w:p>
    <w:p w14:paraId="66C12B69">
      <w:pPr>
        <w:spacing w:line="520" w:lineRule="exact"/>
        <w:ind w:firstLine="640" w:firstLineChars="200"/>
        <w:rPr>
          <w:rFonts w:eastAsia="仿宋_GB2312"/>
          <w:bCs/>
        </w:rPr>
      </w:pPr>
      <w:r>
        <w:rPr>
          <w:rFonts w:eastAsia="仿宋_GB2312"/>
        </w:rPr>
        <w:t>增材制造聚醚醚酮植入物的灭菌和包装需使用符合YY/T 0640标准第9章和第10章的相关规定。</w:t>
      </w:r>
    </w:p>
    <w:p w14:paraId="3F5448FB">
      <w:pPr>
        <w:spacing w:line="520" w:lineRule="exact"/>
        <w:ind w:firstLine="640" w:firstLineChars="200"/>
        <w:rPr>
          <w:rFonts w:eastAsia="仿宋_GB2312"/>
          <w:bCs/>
        </w:rPr>
      </w:pPr>
      <w:r>
        <w:rPr>
          <w:rFonts w:eastAsia="仿宋_GB2312"/>
        </w:rPr>
        <w:t>在清洗、灭菌过程中，需考虑包括多孔微结构的产品的孔隙率、比表面积对工艺有效性的影响，提供相应的验证资料。对于以聚醚醚酮为主体的复合材料植入物，还需确认所使用的清洗、灭菌方法对复合材料的适用性。</w:t>
      </w:r>
    </w:p>
    <w:p w14:paraId="24A87B65">
      <w:pPr>
        <w:pStyle w:val="10"/>
        <w:numPr>
          <w:ilvl w:val="0"/>
          <w:numId w:val="2"/>
        </w:numPr>
        <w:spacing w:line="520" w:lineRule="exact"/>
        <w:ind w:firstLine="640"/>
        <w:rPr>
          <w:rFonts w:eastAsia="黑体"/>
        </w:rPr>
      </w:pPr>
      <w:r>
        <w:rPr>
          <w:rFonts w:eastAsia="黑体"/>
        </w:rPr>
        <w:t>影响安全有效的其他因素</w:t>
      </w:r>
    </w:p>
    <w:p w14:paraId="0CA3DA26">
      <w:pPr>
        <w:numPr>
          <w:ilvl w:val="0"/>
          <w:numId w:val="5"/>
        </w:numPr>
        <w:spacing w:line="520" w:lineRule="exact"/>
        <w:ind w:firstLine="640" w:firstLineChars="200"/>
        <w:rPr>
          <w:rFonts w:eastAsia="楷体_GB2312"/>
        </w:rPr>
      </w:pPr>
      <w:r>
        <w:rPr>
          <w:rFonts w:eastAsia="楷体_GB2312"/>
        </w:rPr>
        <w:t>个性化手术</w:t>
      </w:r>
    </w:p>
    <w:p w14:paraId="46396FD3">
      <w:pPr>
        <w:spacing w:line="520" w:lineRule="exact"/>
        <w:ind w:firstLine="640" w:firstLineChars="200"/>
        <w:rPr>
          <w:rFonts w:eastAsia="仿宋_GB2312"/>
          <w:bCs/>
        </w:rPr>
      </w:pPr>
      <w:r>
        <w:rPr>
          <w:rFonts w:eastAsia="仿宋_GB2312"/>
        </w:rPr>
        <w:t>植入物在临床应用前可借助数字模型或实物模型对手术植入物过程进行模拟，确保其可植入性。</w:t>
      </w:r>
    </w:p>
    <w:p w14:paraId="59B22AA5">
      <w:pPr>
        <w:spacing w:line="520" w:lineRule="exact"/>
        <w:ind w:firstLine="640" w:firstLineChars="200"/>
        <w:rPr>
          <w:rFonts w:eastAsia="仿宋_GB2312"/>
          <w:bCs/>
        </w:rPr>
      </w:pPr>
      <w:r>
        <w:rPr>
          <w:rFonts w:eastAsia="仿宋_GB2312"/>
        </w:rPr>
        <w:t>临床手术风险主要来自于手术植入过程中定位的准确性，手术定位取决于医生操作和配套的个性化手术导板的使用，因此术前还需考察增材制造聚醚醚酮植入物是否有配套手术工具。</w:t>
      </w:r>
    </w:p>
    <w:p w14:paraId="0168F8FB">
      <w:pPr>
        <w:spacing w:line="520" w:lineRule="exact"/>
        <w:ind w:firstLine="200"/>
        <w:rPr>
          <w:rFonts w:eastAsia="仿宋_GB2312"/>
          <w:color w:val="000000"/>
          <w:szCs w:val="32"/>
        </w:rPr>
      </w:pPr>
    </w:p>
    <w:p w14:paraId="6960D9C3">
      <w:pPr>
        <w:spacing w:line="520" w:lineRule="exact"/>
        <w:ind w:firstLine="640" w:firstLineChars="200"/>
        <w:rPr>
          <w:rFonts w:eastAsia="仿宋_GB2312"/>
          <w:color w:val="000000"/>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仿宋 Std R">
    <w:altName w:val="仿宋"/>
    <w:panose1 w:val="00000000000000000000"/>
    <w:charset w:val="86"/>
    <w:family w:val="roman"/>
    <w:pitch w:val="default"/>
    <w:sig w:usb0="00000000" w:usb1="00000000" w:usb2="00000016" w:usb3="00000000" w:csb0="00060007" w:csb1="00000000"/>
  </w:font>
  <w:font w:name="DejaVu Sans">
    <w:altName w:val="Times New Roman"/>
    <w:panose1 w:val="00000000000000000000"/>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C6E23">
    <w:pPr>
      <w:pStyle w:val="4"/>
    </w:pPr>
    <w:r>
      <w:pict>
        <v:shape id="_x0000_s2050" o:spid="_x0000_s2050" o:spt="202" type="#_x0000_t202" style="position:absolute;left:0pt;margin-left:205.95pt;margin-top:0pt;height:144pt;width:144pt;mso-position-horizontal-relative:margin;mso-wrap-style:none;z-index:251659264;mso-width-relative:page;mso-height-relative:page;" filled="f" stroked="f" coordsize="21600,21600" o:gfxdata="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o3LCN9UAAAAIAQAADwAAAAAAAAABACAAAAA4AAAAZHJzL2Rvd25yZXYueG1sUEsBAhQAFAAAAAgA&#10;h07iQErbzf8SAgAAEwQAAA4AAAAAAAAAAQAgAAAAOgEAAGRycy9lMm9Eb2MueG1sUEsFBgAAAAAG&#10;AAYAWQEAAL4FAAAAAA==&#10;">
          <v:path/>
          <v:fill on="f" focussize="0,0"/>
          <v:stroke on="f" weight="0.5pt" joinstyle="miter"/>
          <v:imagedata o:title=""/>
          <o:lock v:ext="edit"/>
          <v:textbox inset="0mm,0mm,0mm,0mm" style="mso-fit-shape-to-text:t;">
            <w:txbxContent>
              <w:p w14:paraId="2C718486">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475C1"/>
    <w:multiLevelType w:val="multilevel"/>
    <w:tmpl w:val="021475C1"/>
    <w:lvl w:ilvl="0" w:tentative="0">
      <w:start w:val="3"/>
      <w:numFmt w:val="japaneseCounting"/>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
    <w:nsid w:val="61BF15DE"/>
    <w:multiLevelType w:val="singleLevel"/>
    <w:tmpl w:val="61BF15DE"/>
    <w:lvl w:ilvl="0" w:tentative="0">
      <w:start w:val="1"/>
      <w:numFmt w:val="chineseCounting"/>
      <w:suff w:val="nothing"/>
      <w:lvlText w:val="%1、"/>
      <w:lvlJc w:val="left"/>
      <w:pPr>
        <w:ind w:left="0" w:firstLine="420"/>
      </w:pPr>
      <w:rPr>
        <w:rFonts w:hint="eastAsia"/>
      </w:rPr>
    </w:lvl>
  </w:abstractNum>
  <w:abstractNum w:abstractNumId="2">
    <w:nsid w:val="61BF15F5"/>
    <w:multiLevelType w:val="singleLevel"/>
    <w:tmpl w:val="61BF15F5"/>
    <w:lvl w:ilvl="0" w:tentative="0">
      <w:start w:val="1"/>
      <w:numFmt w:val="chineseCounting"/>
      <w:suff w:val="nothing"/>
      <w:lvlText w:val="（%1）"/>
      <w:lvlJc w:val="left"/>
      <w:pPr>
        <w:ind w:left="0" w:firstLine="420"/>
      </w:pPr>
      <w:rPr>
        <w:rFonts w:hint="eastAsia"/>
      </w:rPr>
    </w:lvl>
  </w:abstractNum>
  <w:abstractNum w:abstractNumId="3">
    <w:nsid w:val="61BF16F0"/>
    <w:multiLevelType w:val="singleLevel"/>
    <w:tmpl w:val="61BF16F0"/>
    <w:lvl w:ilvl="0" w:tentative="0">
      <w:start w:val="1"/>
      <w:numFmt w:val="chineseCounting"/>
      <w:suff w:val="nothing"/>
      <w:lvlText w:val="（%1）"/>
      <w:lvlJc w:val="left"/>
      <w:pPr>
        <w:ind w:left="0" w:firstLine="420"/>
      </w:pPr>
      <w:rPr>
        <w:rFonts w:hint="eastAsia"/>
      </w:rPr>
    </w:lvl>
  </w:abstractNum>
  <w:abstractNum w:abstractNumId="4">
    <w:nsid w:val="61BF183E"/>
    <w:multiLevelType w:val="singleLevel"/>
    <w:tmpl w:val="61BF183E"/>
    <w:lvl w:ilvl="0" w:tentative="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Mjc4ZWNlYTRhZGZlNDJkNWZkYTEzODFhZmZlZWMifQ=="/>
  </w:docVars>
  <w:rsids>
    <w:rsidRoot w:val="00787F7E"/>
    <w:rsid w:val="0007686E"/>
    <w:rsid w:val="000E5335"/>
    <w:rsid w:val="00145167"/>
    <w:rsid w:val="0015622E"/>
    <w:rsid w:val="001C3A87"/>
    <w:rsid w:val="001E0961"/>
    <w:rsid w:val="00242375"/>
    <w:rsid w:val="00244DF7"/>
    <w:rsid w:val="00277473"/>
    <w:rsid w:val="00291759"/>
    <w:rsid w:val="00294D2B"/>
    <w:rsid w:val="002B24A0"/>
    <w:rsid w:val="002F2978"/>
    <w:rsid w:val="0030368E"/>
    <w:rsid w:val="003137C1"/>
    <w:rsid w:val="00332DE8"/>
    <w:rsid w:val="003450A4"/>
    <w:rsid w:val="00355421"/>
    <w:rsid w:val="00365AB2"/>
    <w:rsid w:val="00410598"/>
    <w:rsid w:val="00435AC6"/>
    <w:rsid w:val="00440708"/>
    <w:rsid w:val="004410B9"/>
    <w:rsid w:val="004C4DBC"/>
    <w:rsid w:val="004E39ED"/>
    <w:rsid w:val="005041BA"/>
    <w:rsid w:val="00534F4C"/>
    <w:rsid w:val="005A1410"/>
    <w:rsid w:val="005A204F"/>
    <w:rsid w:val="006A1165"/>
    <w:rsid w:val="006C00CB"/>
    <w:rsid w:val="006E68A9"/>
    <w:rsid w:val="006E7148"/>
    <w:rsid w:val="00716619"/>
    <w:rsid w:val="00745098"/>
    <w:rsid w:val="007646FC"/>
    <w:rsid w:val="00787F7E"/>
    <w:rsid w:val="007904F6"/>
    <w:rsid w:val="007D341A"/>
    <w:rsid w:val="00815364"/>
    <w:rsid w:val="00821079"/>
    <w:rsid w:val="00845C30"/>
    <w:rsid w:val="00937F0E"/>
    <w:rsid w:val="009E2514"/>
    <w:rsid w:val="009F209D"/>
    <w:rsid w:val="00A23EC2"/>
    <w:rsid w:val="00A25C1A"/>
    <w:rsid w:val="00A73BFE"/>
    <w:rsid w:val="00B41578"/>
    <w:rsid w:val="00B66355"/>
    <w:rsid w:val="00B9118A"/>
    <w:rsid w:val="00BC2983"/>
    <w:rsid w:val="00BC7C84"/>
    <w:rsid w:val="00BD300F"/>
    <w:rsid w:val="00BE669C"/>
    <w:rsid w:val="00C0562D"/>
    <w:rsid w:val="00C25F69"/>
    <w:rsid w:val="00C40950"/>
    <w:rsid w:val="00CB4CCD"/>
    <w:rsid w:val="00D32614"/>
    <w:rsid w:val="00D36F91"/>
    <w:rsid w:val="00D4450D"/>
    <w:rsid w:val="00DD740E"/>
    <w:rsid w:val="00E07E6A"/>
    <w:rsid w:val="00E11D78"/>
    <w:rsid w:val="00E72EF4"/>
    <w:rsid w:val="00EB1A04"/>
    <w:rsid w:val="00EC523A"/>
    <w:rsid w:val="00ED0226"/>
    <w:rsid w:val="00EE261B"/>
    <w:rsid w:val="00EE4EBB"/>
    <w:rsid w:val="00F31CB3"/>
    <w:rsid w:val="00F81D1A"/>
    <w:rsid w:val="00FB46B2"/>
    <w:rsid w:val="00FF0F38"/>
    <w:rsid w:val="6B737129"/>
    <w:rsid w:val="76A404F5"/>
    <w:rsid w:val="DEF70035"/>
    <w:rsid w:val="DFFFE17D"/>
    <w:rsid w:val="ED776AC6"/>
    <w:rsid w:val="EF9F915E"/>
    <w:rsid w:val="FBB7C68F"/>
    <w:rsid w:val="FDF752B8"/>
    <w:rsid w:val="FF7F9E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2"/>
    <w:semiHidden/>
    <w:unhideWhenUsed/>
    <w:uiPriority w:val="99"/>
    <w:rPr>
      <w:sz w:val="18"/>
      <w:szCs w:val="18"/>
    </w:r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annotation subject"/>
    <w:basedOn w:val="2"/>
    <w:next w:val="2"/>
    <w:link w:val="15"/>
    <w:semiHidden/>
    <w:unhideWhenUsed/>
    <w:uiPriority w:val="99"/>
    <w:rPr>
      <w:b/>
      <w:bCs/>
    </w:rPr>
  </w:style>
  <w:style w:type="character" w:styleId="9">
    <w:name w:val="annotation reference"/>
    <w:basedOn w:val="8"/>
    <w:semiHidden/>
    <w:unhideWhenUsed/>
    <w:uiPriority w:val="99"/>
    <w:rPr>
      <w:sz w:val="21"/>
      <w:szCs w:val="21"/>
    </w:rPr>
  </w:style>
  <w:style w:type="paragraph" w:customStyle="1" w:styleId="10">
    <w:name w:val="列出段落1"/>
    <w:basedOn w:val="1"/>
    <w:link w:val="11"/>
    <w:qFormat/>
    <w:uiPriority w:val="34"/>
    <w:pPr>
      <w:ind w:firstLine="420" w:firstLineChars="200"/>
    </w:pPr>
    <w:rPr>
      <w:rFonts w:eastAsia="仿宋_GB2312"/>
      <w:szCs w:val="32"/>
    </w:rPr>
  </w:style>
  <w:style w:type="character" w:customStyle="1" w:styleId="11">
    <w:name w:val="列出段落 Char"/>
    <w:basedOn w:val="8"/>
    <w:link w:val="10"/>
    <w:qFormat/>
    <w:uiPriority w:val="34"/>
    <w:rPr>
      <w:rFonts w:ascii="Times New Roman" w:hAnsi="Times New Roman" w:eastAsia="仿宋_GB2312" w:cs="Times New Roman"/>
      <w:sz w:val="32"/>
      <w:szCs w:val="32"/>
    </w:rPr>
  </w:style>
  <w:style w:type="character" w:customStyle="1" w:styleId="12">
    <w:name w:val="批注框文本 Char"/>
    <w:basedOn w:val="8"/>
    <w:link w:val="3"/>
    <w:semiHidden/>
    <w:uiPriority w:val="99"/>
    <w:rPr>
      <w:rFonts w:ascii="Times New Roman" w:hAnsi="Times New Roman" w:eastAsia="Adobe 仿宋 Std R" w:cs="Times New Roman"/>
      <w:kern w:val="2"/>
      <w:sz w:val="18"/>
      <w:szCs w:val="18"/>
    </w:rPr>
  </w:style>
  <w:style w:type="paragraph" w:styleId="13">
    <w:name w:val="List Paragraph"/>
    <w:basedOn w:val="1"/>
    <w:unhideWhenUsed/>
    <w:uiPriority w:val="99"/>
    <w:pPr>
      <w:ind w:firstLine="420" w:firstLineChars="200"/>
    </w:pPr>
  </w:style>
  <w:style w:type="character" w:customStyle="1" w:styleId="14">
    <w:name w:val="批注文字 Char"/>
    <w:basedOn w:val="8"/>
    <w:link w:val="2"/>
    <w:semiHidden/>
    <w:uiPriority w:val="99"/>
    <w:rPr>
      <w:rFonts w:ascii="Times New Roman" w:hAnsi="Times New Roman" w:eastAsia="Adobe 仿宋 Std R" w:cs="Times New Roman"/>
      <w:kern w:val="2"/>
      <w:sz w:val="32"/>
      <w:szCs w:val="24"/>
    </w:rPr>
  </w:style>
  <w:style w:type="character" w:customStyle="1" w:styleId="15">
    <w:name w:val="批注主题 Char"/>
    <w:basedOn w:val="14"/>
    <w:link w:val="6"/>
    <w:semiHidden/>
    <w:uiPriority w:val="99"/>
    <w:rPr>
      <w:rFonts w:ascii="Times New Roman" w:hAnsi="Times New Roman" w:eastAsia="Adobe 仿宋 Std R" w:cs="Times New Roman"/>
      <w:b/>
      <w:bCs/>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FC4913-ADF5-43E3-82EB-77FB28E45CA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8409</Words>
  <Characters>9207</Characters>
  <Lines>67</Lines>
  <Paragraphs>19</Paragraphs>
  <TotalTime>22</TotalTime>
  <ScaleCrop>false</ScaleCrop>
  <LinksUpToDate>false</LinksUpToDate>
  <CharactersWithSpaces>9305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2022-01-12T05:16:00Z</dcterms:created>
  <dc:creator>董利华</dc:creator>
  <cp:lastModifiedBy>tf</cp:lastModifiedBy>
  <dcterms:modified xsi:type="dcterms:W3CDTF">2024-11-15T07:42:17Z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71C845879EDD4950A0BF4D9FC84CBEBC_12</vt:lpwstr>
  </property>
</Properties>
</file>