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02" w:rsidRPr="0065418E" w:rsidRDefault="00BE2402" w:rsidP="007B4B78">
      <w:pPr>
        <w:spacing w:line="520" w:lineRule="exact"/>
        <w:jc w:val="left"/>
        <w:rPr>
          <w:rFonts w:eastAsia="仿宋_GB2312" w:hint="eastAsia"/>
          <w:szCs w:val="32"/>
        </w:rPr>
        <w:sectPr w:rsidR="00BE2402" w:rsidRPr="0065418E" w:rsidSect="00FE6D89">
          <w:footerReference w:type="even" r:id="rId9"/>
          <w:footerReference w:type="default" r:id="rId10"/>
          <w:type w:val="continuous"/>
          <w:pgSz w:w="16838" w:h="11906" w:orient="landscape"/>
          <w:pgMar w:top="1588" w:right="2098" w:bottom="1588" w:left="2098" w:header="851" w:footer="992" w:gutter="0"/>
          <w:cols w:space="425"/>
          <w:docGrid w:type="lines" w:linePitch="435"/>
        </w:sectPr>
      </w:pPr>
    </w:p>
    <w:p w:rsidR="00BE2402" w:rsidRPr="0065418E" w:rsidRDefault="00BE2402" w:rsidP="00BE2402">
      <w:pPr>
        <w:rPr>
          <w:rFonts w:eastAsia="黑体"/>
          <w:szCs w:val="32"/>
        </w:rPr>
      </w:pPr>
      <w:r w:rsidRPr="0065418E">
        <w:rPr>
          <w:rFonts w:eastAsia="黑体"/>
          <w:szCs w:val="32"/>
        </w:rPr>
        <w:t>附件</w:t>
      </w:r>
      <w:r w:rsidR="00A572C9">
        <w:rPr>
          <w:rFonts w:eastAsia="黑体" w:hint="eastAsia"/>
          <w:szCs w:val="32"/>
        </w:rPr>
        <w:t>1</w:t>
      </w:r>
    </w:p>
    <w:p w:rsidR="007B4B78" w:rsidRPr="0065418E" w:rsidRDefault="007B4B78" w:rsidP="007B4B78">
      <w:pPr>
        <w:spacing w:line="560" w:lineRule="atLeast"/>
        <w:rPr>
          <w:rFonts w:eastAsia="黑体"/>
          <w:color w:val="000000"/>
          <w:szCs w:val="32"/>
        </w:rPr>
      </w:pPr>
    </w:p>
    <w:p w:rsidR="007B4B78" w:rsidRPr="0065418E" w:rsidRDefault="007B4B78" w:rsidP="007B4B78">
      <w:pPr>
        <w:spacing w:line="480" w:lineRule="exact"/>
        <w:jc w:val="center"/>
        <w:rPr>
          <w:rFonts w:eastAsia="仿宋_GB2312"/>
          <w:szCs w:val="32"/>
        </w:rPr>
      </w:pPr>
      <w:r w:rsidRPr="0065418E">
        <w:rPr>
          <w:rFonts w:eastAsia="方正小标宋简体"/>
          <w:color w:val="000000"/>
          <w:sz w:val="44"/>
          <w:szCs w:val="44"/>
        </w:rPr>
        <w:t>《医疗器械安全和性能基本原则》符合性技术指南</w:t>
      </w:r>
    </w:p>
    <w:p w:rsidR="007B4B78" w:rsidRPr="0065418E" w:rsidRDefault="007B4B78" w:rsidP="007B4B78">
      <w:pPr>
        <w:rPr>
          <w:rFonts w:eastAsia="仿宋_GB2312"/>
          <w:szCs w:val="32"/>
        </w:rPr>
      </w:pPr>
    </w:p>
    <w:tbl>
      <w:tblPr>
        <w:tblW w:w="152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83"/>
        <w:gridCol w:w="5252"/>
        <w:gridCol w:w="1559"/>
        <w:gridCol w:w="3111"/>
        <w:gridCol w:w="2693"/>
        <w:gridCol w:w="1701"/>
      </w:tblGrid>
      <w:tr w:rsidR="007B4B78" w:rsidRPr="0065418E" w:rsidTr="0065418E">
        <w:trPr>
          <w:trHeight w:val="525"/>
          <w:jc w:val="center"/>
        </w:trPr>
        <w:tc>
          <w:tcPr>
            <w:tcW w:w="983"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条款号</w:t>
            </w:r>
          </w:p>
        </w:tc>
        <w:tc>
          <w:tcPr>
            <w:tcW w:w="5252"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要求</w:t>
            </w:r>
          </w:p>
        </w:tc>
        <w:tc>
          <w:tcPr>
            <w:tcW w:w="1559"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适用产品</w:t>
            </w:r>
          </w:p>
        </w:tc>
        <w:tc>
          <w:tcPr>
            <w:tcW w:w="3111"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证明符合</w:t>
            </w:r>
            <w:proofErr w:type="gramStart"/>
            <w:r w:rsidRPr="0065418E">
              <w:rPr>
                <w:rFonts w:eastAsia="黑体"/>
                <w:color w:val="000000"/>
                <w:kern w:val="0"/>
                <w:sz w:val="28"/>
                <w:szCs w:val="28"/>
              </w:rPr>
              <w:t>性采用</w:t>
            </w:r>
            <w:proofErr w:type="gramEnd"/>
            <w:r w:rsidRPr="0065418E">
              <w:rPr>
                <w:rFonts w:eastAsia="黑体"/>
                <w:color w:val="000000"/>
                <w:kern w:val="0"/>
                <w:sz w:val="28"/>
                <w:szCs w:val="28"/>
              </w:rPr>
              <w:t>的方法</w:t>
            </w:r>
          </w:p>
        </w:tc>
        <w:tc>
          <w:tcPr>
            <w:tcW w:w="2693"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包含在注册申报资料中的证明符合性的客观证据</w:t>
            </w:r>
          </w:p>
        </w:tc>
        <w:tc>
          <w:tcPr>
            <w:tcW w:w="1701" w:type="dxa"/>
            <w:shd w:val="clear" w:color="auto" w:fill="auto"/>
            <w:vAlign w:val="center"/>
            <w:hideMark/>
          </w:tcPr>
          <w:p w:rsidR="007B4B78" w:rsidRPr="0065418E" w:rsidRDefault="007B4B78" w:rsidP="00C1271F">
            <w:pPr>
              <w:widowControl/>
              <w:jc w:val="center"/>
              <w:rPr>
                <w:rFonts w:eastAsia="黑体"/>
                <w:color w:val="000000"/>
                <w:kern w:val="0"/>
                <w:sz w:val="28"/>
                <w:szCs w:val="28"/>
              </w:rPr>
            </w:pPr>
            <w:r w:rsidRPr="0065418E">
              <w:rPr>
                <w:rFonts w:eastAsia="黑体"/>
                <w:color w:val="000000"/>
                <w:kern w:val="0"/>
                <w:sz w:val="28"/>
                <w:szCs w:val="28"/>
              </w:rPr>
              <w:t>不包含在注册申报资料中的证明符合性的客观证据</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w:t>
            </w:r>
          </w:p>
        </w:tc>
        <w:tc>
          <w:tcPr>
            <w:tcW w:w="14316" w:type="dxa"/>
            <w:gridSpan w:val="5"/>
            <w:shd w:val="clear" w:color="auto" w:fill="auto"/>
            <w:vAlign w:val="center"/>
          </w:tcPr>
          <w:p w:rsidR="007B4B78" w:rsidRPr="0065418E" w:rsidRDefault="007B4B78" w:rsidP="00C1271F">
            <w:pPr>
              <w:jc w:val="left"/>
              <w:rPr>
                <w:rFonts w:eastAsia="仿宋_GB2312"/>
                <w:color w:val="000000"/>
                <w:kern w:val="0"/>
                <w:sz w:val="28"/>
                <w:szCs w:val="28"/>
              </w:rPr>
            </w:pPr>
            <w:r w:rsidRPr="0065418E">
              <w:rPr>
                <w:rFonts w:eastAsia="仿宋_GB2312"/>
                <w:color w:val="000000"/>
                <w:kern w:val="0"/>
                <w:sz w:val="28"/>
                <w:szCs w:val="28"/>
              </w:rPr>
              <w:t>安全和性能的通用基本原则</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w:t>
            </w:r>
          </w:p>
        </w:tc>
        <w:tc>
          <w:tcPr>
            <w:tcW w:w="14316" w:type="dxa"/>
            <w:gridSpan w:val="5"/>
            <w:shd w:val="clear" w:color="auto" w:fill="auto"/>
            <w:vAlign w:val="center"/>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一般原则</w:t>
            </w:r>
          </w:p>
        </w:tc>
      </w:tr>
      <w:tr w:rsidR="007B4B78" w:rsidRPr="0065418E" w:rsidTr="0065418E">
        <w:trPr>
          <w:trHeight w:val="1245"/>
          <w:jc w:val="center"/>
        </w:trPr>
        <w:tc>
          <w:tcPr>
            <w:tcW w:w="983" w:type="dxa"/>
            <w:shd w:val="clear" w:color="auto" w:fill="auto"/>
            <w:vAlign w:val="center"/>
            <w:hideMark/>
          </w:tcPr>
          <w:p w:rsidR="007B4B78" w:rsidRPr="0065418E" w:rsidRDefault="007B4B78" w:rsidP="00C1271F">
            <w:pPr>
              <w:widowControl/>
              <w:jc w:val="left"/>
              <w:rPr>
                <w:color w:val="000000"/>
                <w:kern w:val="0"/>
                <w:sz w:val="28"/>
                <w:szCs w:val="28"/>
              </w:rPr>
            </w:pPr>
            <w:r w:rsidRPr="0065418E">
              <w:rPr>
                <w:color w:val="000000"/>
                <w:kern w:val="0"/>
                <w:sz w:val="28"/>
                <w:szCs w:val="28"/>
              </w:rPr>
              <w:t>A1.1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2021</w:t>
            </w:r>
            <w:r w:rsidRPr="0065418E">
              <w:rPr>
                <w:rFonts w:eastAsia="仿宋_GB2312"/>
                <w:color w:val="000000"/>
                <w:kern w:val="0"/>
                <w:sz w:val="28"/>
                <w:szCs w:val="28"/>
              </w:rPr>
              <w:t>年第</w:t>
            </w:r>
            <w:r w:rsidRPr="0065418E">
              <w:rPr>
                <w:rFonts w:eastAsia="仿宋_GB2312"/>
                <w:color w:val="000000"/>
                <w:kern w:val="0"/>
                <w:sz w:val="28"/>
                <w:szCs w:val="28"/>
              </w:rPr>
              <w:t>121</w:t>
            </w:r>
            <w:r w:rsidRPr="0065418E">
              <w:rPr>
                <w:rFonts w:eastAsia="仿宋_GB2312"/>
                <w:color w:val="000000"/>
                <w:kern w:val="0"/>
                <w:sz w:val="28"/>
                <w:szCs w:val="28"/>
              </w:rPr>
              <w:t>号公告、</w:t>
            </w:r>
            <w:r w:rsidRPr="0065418E">
              <w:rPr>
                <w:rFonts w:eastAsia="仿宋_GB2312"/>
                <w:color w:val="000000"/>
                <w:kern w:val="0"/>
                <w:sz w:val="28"/>
                <w:szCs w:val="28"/>
              </w:rPr>
              <w:t>YY/T 0316</w:t>
            </w:r>
            <w:r w:rsidRPr="0065418E">
              <w:rPr>
                <w:rFonts w:eastAsia="仿宋_GB2312"/>
                <w:color w:val="000000"/>
                <w:kern w:val="0"/>
                <w:sz w:val="28"/>
                <w:szCs w:val="28"/>
              </w:rPr>
              <w:t>、医疗器械安全和性能基本原则、</w:t>
            </w:r>
            <w:r w:rsidRPr="0065418E">
              <w:rPr>
                <w:rFonts w:eastAsia="仿宋_GB2312"/>
                <w:color w:val="000000"/>
                <w:kern w:val="0"/>
                <w:sz w:val="28"/>
                <w:szCs w:val="28"/>
              </w:rPr>
              <w:t xml:space="preserve"> </w:t>
            </w:r>
            <w:r w:rsidRPr="0065418E">
              <w:rPr>
                <w:rFonts w:eastAsia="仿宋_GB2312"/>
                <w:color w:val="000000"/>
                <w:kern w:val="0"/>
                <w:sz w:val="28"/>
                <w:szCs w:val="28"/>
              </w:rPr>
              <w:t>医疗器械产品受益</w:t>
            </w:r>
            <w:r w:rsidRPr="0065418E">
              <w:rPr>
                <w:rFonts w:eastAsia="仿宋_GB2312"/>
                <w:color w:val="000000"/>
                <w:kern w:val="0"/>
                <w:sz w:val="28"/>
                <w:szCs w:val="28"/>
              </w:rPr>
              <w:t>-</w:t>
            </w:r>
            <w:r w:rsidRPr="0065418E">
              <w:rPr>
                <w:rFonts w:eastAsia="仿宋_GB2312"/>
                <w:color w:val="000000"/>
                <w:kern w:val="0"/>
                <w:sz w:val="28"/>
                <w:szCs w:val="28"/>
              </w:rPr>
              <w:t>风险评估注册技术审查指导原则</w:t>
            </w:r>
            <w:r w:rsidRPr="0065418E">
              <w:rPr>
                <w:rFonts w:eastAsia="仿宋_GB2312"/>
                <w:color w:val="000000"/>
                <w:kern w:val="0"/>
                <w:sz w:val="28"/>
                <w:szCs w:val="28"/>
              </w:rPr>
              <w:t xml:space="preserve"> </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注册申报资料</w:t>
            </w:r>
          </w:p>
        </w:tc>
        <w:tc>
          <w:tcPr>
            <w:tcW w:w="1701" w:type="dxa"/>
            <w:shd w:val="clear" w:color="auto" w:fill="auto"/>
            <w:vAlign w:val="center"/>
            <w:hideMark/>
          </w:tcPr>
          <w:p w:rsidR="007B4B78" w:rsidRPr="0065418E" w:rsidRDefault="007B4B78" w:rsidP="0065418E">
            <w:pPr>
              <w:widowControl/>
              <w:rPr>
                <w:color w:val="000000"/>
                <w:kern w:val="0"/>
                <w:sz w:val="28"/>
                <w:szCs w:val="28"/>
              </w:rPr>
            </w:pPr>
            <w:r w:rsidRPr="0065418E">
              <w:rPr>
                <w:color w:val="000000"/>
                <w:kern w:val="0"/>
                <w:sz w:val="28"/>
                <w:szCs w:val="28"/>
              </w:rPr>
              <w:t xml:space="preserve">　</w:t>
            </w:r>
          </w:p>
        </w:tc>
      </w:tr>
      <w:tr w:rsidR="007B4B78" w:rsidRPr="0065418E" w:rsidTr="0065418E">
        <w:trPr>
          <w:trHeight w:val="1532"/>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A1.2</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r w:rsidRPr="0065418E">
              <w:rPr>
                <w:rFonts w:eastAsia="仿宋_GB2312"/>
                <w:color w:val="000000"/>
                <w:kern w:val="0"/>
                <w:sz w:val="28"/>
                <w:szCs w:val="28"/>
              </w:rPr>
              <w:t>a)</w:t>
            </w:r>
            <w:r w:rsidRPr="0065418E">
              <w:rPr>
                <w:rFonts w:eastAsia="仿宋_GB2312"/>
                <w:color w:val="000000"/>
                <w:kern w:val="0"/>
                <w:sz w:val="28"/>
                <w:szCs w:val="28"/>
              </w:rPr>
              <w:t>建立涵盖所有医疗器械风险管理计划并形成文件；</w:t>
            </w:r>
            <w:r w:rsidRPr="0065418E">
              <w:rPr>
                <w:rFonts w:eastAsia="仿宋_GB2312"/>
                <w:color w:val="000000"/>
                <w:kern w:val="0"/>
                <w:sz w:val="28"/>
                <w:szCs w:val="28"/>
              </w:rPr>
              <w:t>b)</w:t>
            </w:r>
            <w:r w:rsidRPr="0065418E">
              <w:rPr>
                <w:rFonts w:eastAsia="仿宋_GB2312"/>
                <w:color w:val="000000"/>
                <w:kern w:val="0"/>
                <w:sz w:val="28"/>
                <w:szCs w:val="28"/>
              </w:rPr>
              <w:t>识别并分析涵盖所有医疗器械的相关的已知和</w:t>
            </w:r>
            <w:proofErr w:type="gramStart"/>
            <w:r w:rsidRPr="0065418E">
              <w:rPr>
                <w:rFonts w:eastAsia="仿宋_GB2312"/>
                <w:color w:val="000000"/>
                <w:kern w:val="0"/>
                <w:sz w:val="28"/>
                <w:szCs w:val="28"/>
              </w:rPr>
              <w:t>可</w:t>
            </w:r>
            <w:proofErr w:type="gramEnd"/>
            <w:r w:rsidRPr="0065418E">
              <w:rPr>
                <w:rFonts w:eastAsia="仿宋_GB2312"/>
                <w:color w:val="000000"/>
                <w:kern w:val="0"/>
                <w:sz w:val="28"/>
                <w:szCs w:val="28"/>
              </w:rPr>
              <w:t>预见的危险（源）；</w:t>
            </w:r>
            <w:r w:rsidRPr="0065418E">
              <w:rPr>
                <w:rFonts w:eastAsia="仿宋_GB2312"/>
                <w:color w:val="000000"/>
                <w:kern w:val="0"/>
                <w:sz w:val="28"/>
                <w:szCs w:val="28"/>
              </w:rPr>
              <w:t xml:space="preserve">c) </w:t>
            </w:r>
            <w:r w:rsidRPr="0065418E">
              <w:rPr>
                <w:rFonts w:eastAsia="仿宋_GB2312"/>
                <w:color w:val="000000"/>
                <w:kern w:val="0"/>
                <w:sz w:val="28"/>
                <w:szCs w:val="28"/>
              </w:rPr>
              <w:t>估计和评价在预期使用和</w:t>
            </w:r>
            <w:proofErr w:type="gramStart"/>
            <w:r w:rsidRPr="0065418E">
              <w:rPr>
                <w:rFonts w:eastAsia="仿宋_GB2312"/>
                <w:color w:val="000000"/>
                <w:kern w:val="0"/>
                <w:sz w:val="28"/>
                <w:szCs w:val="28"/>
              </w:rPr>
              <w:t>可</w:t>
            </w:r>
            <w:proofErr w:type="gramEnd"/>
            <w:r w:rsidRPr="0065418E">
              <w:rPr>
                <w:rFonts w:eastAsia="仿宋_GB2312"/>
                <w:color w:val="000000"/>
                <w:kern w:val="0"/>
                <w:sz w:val="28"/>
                <w:szCs w:val="28"/>
              </w:rPr>
              <w:t>合理预见的</w:t>
            </w:r>
            <w:proofErr w:type="gramStart"/>
            <w:r w:rsidRPr="0065418E">
              <w:rPr>
                <w:rFonts w:eastAsia="仿宋_GB2312"/>
                <w:color w:val="000000"/>
                <w:kern w:val="0"/>
                <w:sz w:val="28"/>
                <w:szCs w:val="28"/>
              </w:rPr>
              <w:t>误使用</w:t>
            </w:r>
            <w:proofErr w:type="gramEnd"/>
            <w:r w:rsidRPr="0065418E">
              <w:rPr>
                <w:rFonts w:eastAsia="仿宋_GB2312"/>
                <w:color w:val="000000"/>
                <w:kern w:val="0"/>
                <w:sz w:val="28"/>
                <w:szCs w:val="28"/>
              </w:rPr>
              <w:t>过程中，发生的相关风险；</w:t>
            </w:r>
            <w:r w:rsidRPr="0065418E">
              <w:rPr>
                <w:rFonts w:eastAsia="仿宋_GB2312"/>
                <w:color w:val="000000"/>
                <w:kern w:val="0"/>
                <w:sz w:val="28"/>
                <w:szCs w:val="28"/>
              </w:rPr>
              <w:br/>
              <w:t>d)</w:t>
            </w:r>
            <w:r w:rsidRPr="0065418E">
              <w:rPr>
                <w:rFonts w:eastAsia="仿宋_GB2312"/>
                <w:color w:val="000000"/>
                <w:kern w:val="0"/>
                <w:sz w:val="28"/>
                <w:szCs w:val="28"/>
              </w:rPr>
              <w:t>依据</w:t>
            </w:r>
            <w:r w:rsidRPr="0065418E">
              <w:rPr>
                <w:rFonts w:eastAsia="仿宋_GB2312"/>
                <w:color w:val="000000"/>
                <w:kern w:val="0"/>
                <w:sz w:val="28"/>
                <w:szCs w:val="28"/>
              </w:rPr>
              <w:t>A1.3</w:t>
            </w:r>
            <w:r w:rsidRPr="0065418E">
              <w:rPr>
                <w:rFonts w:eastAsia="仿宋_GB2312"/>
                <w:color w:val="000000"/>
                <w:kern w:val="0"/>
                <w:sz w:val="28"/>
                <w:szCs w:val="28"/>
              </w:rPr>
              <w:t>和</w:t>
            </w:r>
            <w:r w:rsidRPr="0065418E">
              <w:rPr>
                <w:rFonts w:eastAsia="仿宋_GB2312"/>
                <w:color w:val="000000"/>
                <w:kern w:val="0"/>
                <w:sz w:val="28"/>
                <w:szCs w:val="28"/>
              </w:rPr>
              <w:t>A1.4</w:t>
            </w:r>
            <w:r w:rsidRPr="0065418E">
              <w:rPr>
                <w:rFonts w:eastAsia="仿宋_GB2312"/>
                <w:color w:val="000000"/>
                <w:kern w:val="0"/>
                <w:sz w:val="28"/>
                <w:szCs w:val="28"/>
              </w:rPr>
              <w:t>相关要求，消除或控制</w:t>
            </w:r>
            <w:r w:rsidRPr="0065418E">
              <w:rPr>
                <w:rFonts w:eastAsia="仿宋_GB2312"/>
                <w:color w:val="000000"/>
                <w:kern w:val="0"/>
                <w:sz w:val="28"/>
                <w:szCs w:val="28"/>
              </w:rPr>
              <w:t>c</w:t>
            </w:r>
            <w:r w:rsidRPr="0065418E">
              <w:rPr>
                <w:rFonts w:eastAsia="仿宋_GB2312"/>
                <w:color w:val="000000"/>
                <w:kern w:val="0"/>
                <w:sz w:val="28"/>
                <w:szCs w:val="28"/>
              </w:rPr>
              <w:t>）点所述的风险；</w:t>
            </w:r>
            <w:r w:rsidRPr="0065418E">
              <w:rPr>
                <w:rFonts w:eastAsia="仿宋_GB2312"/>
                <w:color w:val="000000"/>
                <w:kern w:val="0"/>
                <w:sz w:val="28"/>
                <w:szCs w:val="28"/>
              </w:rPr>
              <w:t xml:space="preserve">e) </w:t>
            </w:r>
            <w:r w:rsidRPr="0065418E">
              <w:rPr>
                <w:rFonts w:eastAsia="仿宋_GB2312"/>
                <w:color w:val="000000"/>
                <w:kern w:val="0"/>
                <w:sz w:val="28"/>
                <w:szCs w:val="28"/>
              </w:rPr>
              <w:t>评价生产和生产后阶段信息对综合风险、风险受益判定和风险可接受性的影响。上述评价应包括先前未识别的危险（源）或危险情况，</w:t>
            </w:r>
            <w:proofErr w:type="gramStart"/>
            <w:r w:rsidRPr="0065418E">
              <w:rPr>
                <w:rFonts w:eastAsia="仿宋_GB2312"/>
                <w:color w:val="000000"/>
                <w:kern w:val="0"/>
                <w:sz w:val="28"/>
                <w:szCs w:val="28"/>
              </w:rPr>
              <w:t>由危险</w:t>
            </w:r>
            <w:proofErr w:type="gramEnd"/>
            <w:r w:rsidRPr="0065418E">
              <w:rPr>
                <w:rFonts w:eastAsia="仿宋_GB2312"/>
                <w:color w:val="000000"/>
                <w:kern w:val="0"/>
                <w:sz w:val="28"/>
                <w:szCs w:val="28"/>
              </w:rPr>
              <w:t>情况导致的一个或多个风险对可接受性的影响，以及对先进技术水平的改变等；</w:t>
            </w:r>
            <w:r w:rsidRPr="0065418E">
              <w:rPr>
                <w:rFonts w:eastAsia="仿宋_GB2312"/>
                <w:color w:val="000000"/>
                <w:kern w:val="0"/>
                <w:sz w:val="28"/>
                <w:szCs w:val="28"/>
              </w:rPr>
              <w:t>f)</w:t>
            </w:r>
            <w:r w:rsidRPr="0065418E">
              <w:rPr>
                <w:rFonts w:eastAsia="仿宋_GB2312"/>
                <w:color w:val="000000"/>
                <w:kern w:val="0"/>
                <w:sz w:val="28"/>
                <w:szCs w:val="28"/>
              </w:rPr>
              <w:t>基于对</w:t>
            </w:r>
            <w:r w:rsidRPr="0065418E">
              <w:rPr>
                <w:rFonts w:eastAsia="仿宋_GB2312"/>
                <w:color w:val="000000"/>
                <w:kern w:val="0"/>
                <w:sz w:val="28"/>
                <w:szCs w:val="28"/>
              </w:rPr>
              <w:t>e)</w:t>
            </w:r>
            <w:r w:rsidRPr="0065418E">
              <w:rPr>
                <w:rFonts w:eastAsia="仿宋_GB2312"/>
                <w:color w:val="000000"/>
                <w:kern w:val="0"/>
                <w:sz w:val="28"/>
                <w:szCs w:val="28"/>
              </w:rPr>
              <w:t>点所述信息影响的评价，必要时修改控制措施以符合</w:t>
            </w:r>
            <w:r w:rsidRPr="0065418E">
              <w:rPr>
                <w:rFonts w:eastAsia="仿宋_GB2312"/>
                <w:color w:val="000000"/>
                <w:kern w:val="0"/>
                <w:sz w:val="28"/>
                <w:szCs w:val="28"/>
              </w:rPr>
              <w:t>A1.3</w:t>
            </w:r>
            <w:r w:rsidRPr="0065418E">
              <w:rPr>
                <w:rFonts w:eastAsia="仿宋_GB2312"/>
                <w:color w:val="000000"/>
                <w:kern w:val="0"/>
                <w:sz w:val="28"/>
                <w:szCs w:val="28"/>
              </w:rPr>
              <w:t>和</w:t>
            </w:r>
            <w:r w:rsidRPr="0065418E">
              <w:rPr>
                <w:rFonts w:eastAsia="仿宋_GB2312"/>
                <w:color w:val="000000"/>
                <w:kern w:val="0"/>
                <w:sz w:val="28"/>
                <w:szCs w:val="28"/>
              </w:rPr>
              <w:t>A1.4</w:t>
            </w:r>
            <w:r w:rsidRPr="0065418E">
              <w:rPr>
                <w:rFonts w:eastAsia="仿宋_GB2312"/>
                <w:color w:val="000000"/>
                <w:kern w:val="0"/>
                <w:sz w:val="28"/>
                <w:szCs w:val="28"/>
              </w:rPr>
              <w:t>相关要求。</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121</w:t>
            </w:r>
            <w:r w:rsidRPr="0065418E">
              <w:rPr>
                <w:rFonts w:eastAsia="仿宋_GB2312"/>
                <w:color w:val="000000"/>
                <w:kern w:val="0"/>
                <w:sz w:val="28"/>
                <w:szCs w:val="28"/>
              </w:rPr>
              <w:t>号公告、</w:t>
            </w:r>
            <w:r w:rsidRPr="0065418E">
              <w:rPr>
                <w:rFonts w:eastAsia="仿宋_GB2312"/>
                <w:color w:val="000000"/>
                <w:kern w:val="0"/>
                <w:sz w:val="28"/>
                <w:szCs w:val="28"/>
              </w:rPr>
              <w:t>YY/T 0316</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风险管理计划</w:t>
            </w:r>
          </w:p>
        </w:tc>
      </w:tr>
      <w:tr w:rsidR="0065418E" w:rsidRPr="0065418E" w:rsidTr="0065418E">
        <w:trPr>
          <w:trHeight w:val="688"/>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A1.3</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医疗器械的申请人在设计和生产过程中采取的风险控制措施，应遵循安全原则，采用先进技术。需要降低风险时，申请人应控制风险，确保每个危险（源）相关的剩余风险和总体剩余风险是可接受的。在选择最合适的解决方案时，申请人应按以下优先顺序进行：</w:t>
            </w:r>
            <w:r w:rsidRPr="0065418E">
              <w:rPr>
                <w:rFonts w:eastAsia="仿宋_GB2312"/>
                <w:color w:val="000000"/>
                <w:kern w:val="0"/>
                <w:sz w:val="28"/>
                <w:szCs w:val="28"/>
              </w:rPr>
              <w:t xml:space="preserve">a) </w:t>
            </w:r>
            <w:r w:rsidRPr="0065418E">
              <w:rPr>
                <w:rFonts w:eastAsia="仿宋_GB2312"/>
                <w:color w:val="000000"/>
                <w:kern w:val="0"/>
                <w:sz w:val="28"/>
                <w:szCs w:val="28"/>
              </w:rPr>
              <w:t>通过安全设计和生产消除或适当降低风险；</w:t>
            </w:r>
            <w:r w:rsidRPr="0065418E">
              <w:rPr>
                <w:rFonts w:eastAsia="仿宋_GB2312"/>
                <w:color w:val="000000"/>
                <w:kern w:val="0"/>
                <w:sz w:val="28"/>
                <w:szCs w:val="28"/>
              </w:rPr>
              <w:t xml:space="preserve">b) </w:t>
            </w:r>
            <w:r w:rsidRPr="0065418E">
              <w:rPr>
                <w:rFonts w:eastAsia="仿宋_GB2312"/>
                <w:color w:val="000000"/>
                <w:kern w:val="0"/>
                <w:sz w:val="28"/>
                <w:szCs w:val="28"/>
              </w:rPr>
              <w:t>适用时，对无法消除的风险采取充分的防护措施，包括必要的警报；</w:t>
            </w:r>
            <w:r w:rsidRPr="0065418E">
              <w:rPr>
                <w:rFonts w:eastAsia="仿宋_GB2312"/>
                <w:color w:val="000000"/>
                <w:kern w:val="0"/>
                <w:sz w:val="28"/>
                <w:szCs w:val="28"/>
              </w:rPr>
              <w:t xml:space="preserve">c) </w:t>
            </w:r>
            <w:r w:rsidRPr="0065418E">
              <w:rPr>
                <w:rFonts w:eastAsia="仿宋_GB2312"/>
                <w:color w:val="000000"/>
                <w:kern w:val="0"/>
                <w:sz w:val="28"/>
                <w:szCs w:val="28"/>
              </w:rPr>
              <w:t>提供安全信息（警告</w:t>
            </w:r>
            <w:r w:rsidRPr="0065418E">
              <w:rPr>
                <w:rFonts w:eastAsia="仿宋_GB2312"/>
                <w:color w:val="000000"/>
                <w:kern w:val="0"/>
                <w:sz w:val="28"/>
                <w:szCs w:val="28"/>
              </w:rPr>
              <w:t>/</w:t>
            </w:r>
            <w:r w:rsidRPr="0065418E">
              <w:rPr>
                <w:rFonts w:eastAsia="仿宋_GB2312"/>
                <w:color w:val="000000"/>
                <w:kern w:val="0"/>
                <w:sz w:val="28"/>
                <w:szCs w:val="28"/>
              </w:rPr>
              <w:t>预防措施</w:t>
            </w:r>
            <w:r w:rsidRPr="0065418E">
              <w:rPr>
                <w:rFonts w:eastAsia="仿宋_GB2312"/>
                <w:color w:val="000000"/>
                <w:kern w:val="0"/>
                <w:sz w:val="28"/>
                <w:szCs w:val="28"/>
              </w:rPr>
              <w:t>/</w:t>
            </w:r>
            <w:r w:rsidRPr="0065418E">
              <w:rPr>
                <w:rFonts w:eastAsia="仿宋_GB2312"/>
                <w:color w:val="000000"/>
                <w:kern w:val="0"/>
                <w:sz w:val="28"/>
                <w:szCs w:val="28"/>
              </w:rPr>
              <w:t>禁忌证），适当时，向使用者提供培训。</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YY/T 0316</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风险管理资料、说明书和标签</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A1.4</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申请人应告知使用者所有相关的剩余风险。</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6</w:t>
            </w:r>
            <w:r w:rsidRPr="0065418E">
              <w:rPr>
                <w:rFonts w:eastAsia="仿宋_GB2312"/>
                <w:color w:val="000000"/>
                <w:kern w:val="0"/>
                <w:sz w:val="28"/>
                <w:szCs w:val="28"/>
              </w:rPr>
              <w:t>号令、其他适用的标准及指导原则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标签、说明书、风险管理资料</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204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A1.5</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在消除或降低与使用有关的风险时，申请人应该：</w:t>
            </w:r>
            <w:r w:rsidRPr="0065418E">
              <w:rPr>
                <w:rFonts w:eastAsia="仿宋_GB2312"/>
                <w:color w:val="000000"/>
                <w:kern w:val="0"/>
                <w:sz w:val="28"/>
                <w:szCs w:val="28"/>
              </w:rPr>
              <w:br/>
              <w:t xml:space="preserve">a) </w:t>
            </w:r>
            <w:r w:rsidRPr="0065418E">
              <w:rPr>
                <w:rFonts w:eastAsia="仿宋_GB2312"/>
                <w:color w:val="000000"/>
                <w:kern w:val="0"/>
                <w:sz w:val="28"/>
                <w:szCs w:val="28"/>
              </w:rPr>
              <w:t>适当降低医疗器械的特性（如人体工程学</w:t>
            </w:r>
            <w:r w:rsidRPr="0065418E">
              <w:rPr>
                <w:rFonts w:eastAsia="仿宋_GB2312"/>
                <w:color w:val="000000"/>
                <w:kern w:val="0"/>
                <w:sz w:val="28"/>
                <w:szCs w:val="28"/>
              </w:rPr>
              <w:t>/</w:t>
            </w:r>
            <w:r w:rsidRPr="0065418E">
              <w:rPr>
                <w:rFonts w:eastAsia="仿宋_GB2312"/>
                <w:color w:val="000000"/>
                <w:kern w:val="0"/>
                <w:sz w:val="28"/>
                <w:szCs w:val="28"/>
              </w:rPr>
              <w:t>可用性）和预期使用环境（如灰尘和湿度）可能带来的风险；</w:t>
            </w:r>
            <w:r w:rsidRPr="0065418E">
              <w:rPr>
                <w:rFonts w:eastAsia="仿宋_GB2312"/>
                <w:color w:val="000000"/>
                <w:kern w:val="0"/>
                <w:sz w:val="28"/>
                <w:szCs w:val="28"/>
              </w:rPr>
              <w:br/>
              <w:t xml:space="preserve">b) </w:t>
            </w:r>
            <w:r w:rsidRPr="0065418E">
              <w:rPr>
                <w:rFonts w:eastAsia="仿宋_GB2312"/>
                <w:color w:val="000000"/>
                <w:kern w:val="0"/>
                <w:sz w:val="28"/>
                <w:szCs w:val="28"/>
              </w:rPr>
              <w:t>考虑预期使用者的技术知识、经验、教育背景、培训、身体状况（如适用）以及使用环境。</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YY/T 0316</w:t>
            </w:r>
            <w:r w:rsidRPr="0065418E">
              <w:rPr>
                <w:rFonts w:eastAsia="仿宋_GB2312"/>
                <w:color w:val="000000"/>
                <w:kern w:val="0"/>
                <w:sz w:val="28"/>
                <w:szCs w:val="28"/>
              </w:rPr>
              <w:t>、</w:t>
            </w:r>
            <w:r w:rsidRPr="0065418E">
              <w:rPr>
                <w:rFonts w:eastAsia="仿宋_GB2312"/>
                <w:color w:val="000000"/>
                <w:kern w:val="0"/>
                <w:sz w:val="28"/>
                <w:szCs w:val="28"/>
              </w:rPr>
              <w:t>IEC62366</w:t>
            </w:r>
            <w:r w:rsidRPr="0065418E">
              <w:rPr>
                <w:rFonts w:eastAsia="仿宋_GB2312"/>
                <w:color w:val="000000"/>
                <w:kern w:val="0"/>
                <w:sz w:val="28"/>
                <w:szCs w:val="28"/>
              </w:rPr>
              <w:t>系列标准、</w:t>
            </w:r>
            <w:r w:rsidRPr="0065418E">
              <w:rPr>
                <w:rFonts w:eastAsia="仿宋_GB2312"/>
                <w:color w:val="000000"/>
                <w:kern w:val="0"/>
                <w:sz w:val="28"/>
                <w:szCs w:val="28"/>
              </w:rPr>
              <w:t>YY/T 9706.106</w:t>
            </w:r>
            <w:r w:rsidRPr="0065418E">
              <w:rPr>
                <w:rFonts w:eastAsia="仿宋_GB2312"/>
                <w:color w:val="000000"/>
                <w:kern w:val="0"/>
                <w:sz w:val="28"/>
                <w:szCs w:val="28"/>
              </w:rPr>
              <w:t>、</w:t>
            </w:r>
            <w:r w:rsidRPr="0065418E">
              <w:rPr>
                <w:rFonts w:eastAsia="仿宋_GB2312"/>
                <w:color w:val="000000"/>
                <w:kern w:val="0"/>
                <w:sz w:val="28"/>
                <w:szCs w:val="28"/>
              </w:rPr>
              <w:t>GB/T 14710</w:t>
            </w:r>
            <w:r w:rsidRPr="0065418E">
              <w:rPr>
                <w:rFonts w:eastAsia="仿宋_GB2312"/>
                <w:color w:val="000000"/>
                <w:kern w:val="0"/>
                <w:sz w:val="28"/>
                <w:szCs w:val="28"/>
              </w:rPr>
              <w:t>、其他适用的标准及指导原则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风险管理资料、说明书（限定使用环境以及预期使用者要求等）、使用稳定性研究（应考虑预期使用环境最不利的情形等）、可用性研究</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p>
        </w:tc>
      </w:tr>
      <w:tr w:rsidR="0065418E"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A1.6</w:t>
            </w:r>
          </w:p>
        </w:tc>
        <w:tc>
          <w:tcPr>
            <w:tcW w:w="5252"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在申请人规定的生命周期内，在正常使用、维护和校准（如适用）情况下，外力不应对医疗器械的特性和性能造成不利影响，以致损害患者、使用者及他人的健康和安全。</w:t>
            </w:r>
          </w:p>
        </w:tc>
        <w:tc>
          <w:tcPr>
            <w:tcW w:w="1559"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可重复使用医疗器械、一次性使用植入医疗器械</w:t>
            </w:r>
          </w:p>
        </w:tc>
        <w:tc>
          <w:tcPr>
            <w:tcW w:w="311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有源医疗器械使用期限注册技术审查指导原则、其他适用的标准指导原则</w:t>
            </w:r>
          </w:p>
        </w:tc>
        <w:tc>
          <w:tcPr>
            <w:tcW w:w="2693"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使用稳定性研究、灭菌耐受性研究</w:t>
            </w:r>
          </w:p>
        </w:tc>
        <w:tc>
          <w:tcPr>
            <w:tcW w:w="170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A1.7</w:t>
            </w:r>
          </w:p>
        </w:tc>
        <w:tc>
          <w:tcPr>
            <w:tcW w:w="5252"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医疗器械的设计、生产和包装，包括申请人所提供的说明和信息，应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1559"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无源植入性医疗器械稳定性研究指导原则、</w:t>
            </w:r>
            <w:r w:rsidRPr="0065418E">
              <w:rPr>
                <w:rFonts w:eastAsia="仿宋_GB2312"/>
                <w:color w:val="000000"/>
                <w:kern w:val="0"/>
                <w:sz w:val="28"/>
                <w:szCs w:val="28"/>
              </w:rPr>
              <w:t>GB/T 14710</w:t>
            </w:r>
            <w:r w:rsidRPr="0065418E">
              <w:rPr>
                <w:rFonts w:eastAsia="仿宋_GB2312"/>
                <w:color w:val="000000"/>
                <w:kern w:val="0"/>
                <w:sz w:val="28"/>
                <w:szCs w:val="28"/>
              </w:rPr>
              <w:t>、</w:t>
            </w:r>
            <w:r w:rsidRPr="0065418E">
              <w:rPr>
                <w:rFonts w:eastAsia="仿宋_GB2312"/>
                <w:color w:val="000000"/>
                <w:kern w:val="0"/>
                <w:sz w:val="28"/>
                <w:szCs w:val="28"/>
              </w:rPr>
              <w:t>GB/T 4857</w:t>
            </w:r>
            <w:r w:rsidRPr="0065418E">
              <w:rPr>
                <w:rFonts w:eastAsia="仿宋_GB2312"/>
                <w:color w:val="000000"/>
                <w:kern w:val="0"/>
                <w:sz w:val="28"/>
                <w:szCs w:val="28"/>
              </w:rPr>
              <w:t>系列标准、</w:t>
            </w:r>
            <w:r w:rsidRPr="0065418E">
              <w:rPr>
                <w:rFonts w:eastAsia="仿宋_GB2312"/>
                <w:color w:val="000000"/>
                <w:kern w:val="0"/>
                <w:sz w:val="28"/>
                <w:szCs w:val="28"/>
              </w:rPr>
              <w:t>6</w:t>
            </w:r>
            <w:r w:rsidRPr="0065418E">
              <w:rPr>
                <w:rFonts w:eastAsia="仿宋_GB2312"/>
                <w:color w:val="000000"/>
                <w:kern w:val="0"/>
                <w:sz w:val="28"/>
                <w:szCs w:val="28"/>
              </w:rPr>
              <w:t>号令、其他适用的标准或指导原则</w:t>
            </w:r>
          </w:p>
        </w:tc>
        <w:tc>
          <w:tcPr>
            <w:tcW w:w="2693"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货架有效期研究、运输稳定性研究、说明书和标签</w:t>
            </w:r>
          </w:p>
        </w:tc>
        <w:tc>
          <w:tcPr>
            <w:tcW w:w="170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A1.8</w:t>
            </w:r>
          </w:p>
        </w:tc>
        <w:tc>
          <w:tcPr>
            <w:tcW w:w="5252"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在货架有效期内、开封后的使用期间，以及运输或送货期间，医疗器械应具有可接受的稳定性。</w:t>
            </w:r>
          </w:p>
        </w:tc>
        <w:tc>
          <w:tcPr>
            <w:tcW w:w="1559"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GB/T 14710</w:t>
            </w:r>
            <w:r w:rsidRPr="0065418E">
              <w:rPr>
                <w:rFonts w:eastAsia="仿宋_GB2312"/>
                <w:color w:val="000000"/>
                <w:kern w:val="0"/>
                <w:sz w:val="28"/>
                <w:szCs w:val="28"/>
              </w:rPr>
              <w:t>、</w:t>
            </w:r>
            <w:r w:rsidRPr="0065418E">
              <w:rPr>
                <w:rFonts w:eastAsia="仿宋_GB2312"/>
                <w:color w:val="000000"/>
                <w:kern w:val="0"/>
                <w:sz w:val="28"/>
                <w:szCs w:val="28"/>
              </w:rPr>
              <w:t>GB/T 4857</w:t>
            </w:r>
            <w:r w:rsidRPr="0065418E">
              <w:rPr>
                <w:rFonts w:eastAsia="仿宋_GB2312"/>
                <w:color w:val="000000"/>
                <w:kern w:val="0"/>
                <w:sz w:val="28"/>
                <w:szCs w:val="28"/>
              </w:rPr>
              <w:t>系列标准、</w:t>
            </w:r>
            <w:r w:rsidRPr="0065418E">
              <w:rPr>
                <w:rFonts w:eastAsia="仿宋_GB2312"/>
                <w:color w:val="000000"/>
                <w:kern w:val="0"/>
                <w:sz w:val="28"/>
                <w:szCs w:val="28"/>
              </w:rPr>
              <w:t>YY/T 0681</w:t>
            </w:r>
            <w:r w:rsidRPr="0065418E">
              <w:rPr>
                <w:rFonts w:eastAsia="仿宋_GB2312"/>
                <w:color w:val="000000"/>
                <w:kern w:val="0"/>
                <w:sz w:val="28"/>
                <w:szCs w:val="28"/>
              </w:rPr>
              <w:t>系列标准、</w:t>
            </w:r>
            <w:r w:rsidRPr="0065418E">
              <w:rPr>
                <w:rFonts w:eastAsia="仿宋_GB2312"/>
                <w:color w:val="000000"/>
                <w:kern w:val="0"/>
                <w:sz w:val="28"/>
                <w:szCs w:val="28"/>
              </w:rPr>
              <w:t>ISO 11607</w:t>
            </w:r>
            <w:r w:rsidRPr="0065418E">
              <w:rPr>
                <w:rFonts w:eastAsia="仿宋_GB2312"/>
                <w:color w:val="000000"/>
                <w:kern w:val="0"/>
                <w:sz w:val="28"/>
                <w:szCs w:val="28"/>
              </w:rPr>
              <w:t>系列标准、无源植入医疗器械稳定性研究指导原则、其他适用的标准或指导原则</w:t>
            </w:r>
          </w:p>
        </w:tc>
        <w:tc>
          <w:tcPr>
            <w:tcW w:w="2693"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稳定性研究</w:t>
            </w:r>
          </w:p>
        </w:tc>
        <w:tc>
          <w:tcPr>
            <w:tcW w:w="170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A1.9</w:t>
            </w:r>
          </w:p>
        </w:tc>
        <w:tc>
          <w:tcPr>
            <w:tcW w:w="5252"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在正常使用条件下，基于当前先进技术水平，比较医疗器械性能带来的受益，所有已知的、可预见的风险以及任何不良副作用应最小化且可接受。</w:t>
            </w:r>
          </w:p>
        </w:tc>
        <w:tc>
          <w:tcPr>
            <w:tcW w:w="1559"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121</w:t>
            </w:r>
            <w:r w:rsidRPr="0065418E">
              <w:rPr>
                <w:rFonts w:eastAsia="仿宋_GB2312"/>
                <w:color w:val="000000"/>
                <w:kern w:val="0"/>
                <w:sz w:val="28"/>
                <w:szCs w:val="28"/>
              </w:rPr>
              <w:t>号公告、</w:t>
            </w:r>
            <w:r w:rsidRPr="0065418E">
              <w:rPr>
                <w:rFonts w:eastAsia="仿宋_GB2312"/>
                <w:color w:val="000000"/>
                <w:kern w:val="0"/>
                <w:sz w:val="28"/>
                <w:szCs w:val="28"/>
              </w:rPr>
              <w:t>YY/T 0316</w:t>
            </w:r>
          </w:p>
        </w:tc>
        <w:tc>
          <w:tcPr>
            <w:tcW w:w="2693"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风险管理资料</w:t>
            </w:r>
          </w:p>
        </w:tc>
        <w:tc>
          <w:tcPr>
            <w:tcW w:w="170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A2</w:t>
            </w:r>
          </w:p>
        </w:tc>
        <w:tc>
          <w:tcPr>
            <w:tcW w:w="14316" w:type="dxa"/>
            <w:gridSpan w:val="5"/>
            <w:shd w:val="clear" w:color="auto" w:fill="auto"/>
            <w:vAlign w:val="center"/>
          </w:tcPr>
          <w:p w:rsidR="007B4B78" w:rsidRPr="0065418E" w:rsidRDefault="007B4B78" w:rsidP="0065418E">
            <w:pPr>
              <w:spacing w:line="320" w:lineRule="exact"/>
              <w:rPr>
                <w:rFonts w:eastAsia="仿宋_GB2312"/>
                <w:color w:val="000000"/>
                <w:kern w:val="0"/>
                <w:sz w:val="28"/>
                <w:szCs w:val="28"/>
              </w:rPr>
            </w:pPr>
            <w:r w:rsidRPr="0065418E">
              <w:rPr>
                <w:rFonts w:eastAsia="仿宋_GB2312"/>
                <w:color w:val="000000"/>
                <w:kern w:val="0"/>
                <w:sz w:val="28"/>
                <w:szCs w:val="28"/>
              </w:rPr>
              <w:t>临床评价</w:t>
            </w:r>
          </w:p>
        </w:tc>
      </w:tr>
      <w:tr w:rsidR="007B4B78" w:rsidRPr="0065418E" w:rsidTr="0065418E">
        <w:trPr>
          <w:trHeight w:val="748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A2.1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基于监管要求，医疗器械可能需要进行临床评价（如适用）。所谓临床评价，就是对临床数据进行评估，确定医疗器械具有可接受的风险受益比，包括以下几种形式：</w:t>
            </w:r>
            <w:r w:rsidRPr="0065418E">
              <w:rPr>
                <w:rFonts w:eastAsia="仿宋_GB2312"/>
                <w:color w:val="000000"/>
                <w:kern w:val="0"/>
                <w:sz w:val="28"/>
                <w:szCs w:val="28"/>
              </w:rPr>
              <w:br/>
              <w:t xml:space="preserve">a) </w:t>
            </w:r>
            <w:r w:rsidRPr="0065418E">
              <w:rPr>
                <w:rFonts w:eastAsia="仿宋_GB2312"/>
                <w:color w:val="000000"/>
                <w:kern w:val="0"/>
                <w:sz w:val="28"/>
                <w:szCs w:val="28"/>
              </w:rPr>
              <w:t>临床试验报告</w:t>
            </w:r>
            <w:r w:rsidRPr="0065418E">
              <w:rPr>
                <w:rFonts w:eastAsia="仿宋_GB2312"/>
                <w:color w:val="000000"/>
                <w:kern w:val="0"/>
                <w:sz w:val="28"/>
                <w:szCs w:val="28"/>
              </w:rPr>
              <w:br/>
              <w:t xml:space="preserve">b) </w:t>
            </w:r>
            <w:r w:rsidRPr="0065418E">
              <w:rPr>
                <w:rFonts w:eastAsia="仿宋_GB2312"/>
                <w:color w:val="000000"/>
                <w:kern w:val="0"/>
                <w:sz w:val="28"/>
                <w:szCs w:val="28"/>
              </w:rPr>
              <w:t>临床文献资料</w:t>
            </w:r>
            <w:r w:rsidRPr="0065418E">
              <w:rPr>
                <w:rFonts w:eastAsia="仿宋_GB2312"/>
                <w:color w:val="000000"/>
                <w:kern w:val="0"/>
                <w:sz w:val="28"/>
                <w:szCs w:val="28"/>
              </w:rPr>
              <w:br/>
              <w:t xml:space="preserve">c) </w:t>
            </w:r>
            <w:r w:rsidRPr="0065418E">
              <w:rPr>
                <w:rFonts w:eastAsia="仿宋_GB2312"/>
                <w:color w:val="000000"/>
                <w:kern w:val="0"/>
                <w:sz w:val="28"/>
                <w:szCs w:val="28"/>
              </w:rPr>
              <w:t>临床经验数据</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需要进行临床评价的医疗器械</w:t>
            </w:r>
          </w:p>
        </w:tc>
        <w:tc>
          <w:tcPr>
            <w:tcW w:w="311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医疗器械临床评价技术指导原则、医疗器械临床试验质量管理规范、决策是否开展医疗器械临床试验技术指导原则、医疗器械临床评价等同性论证技术指导原则、医疗器械临床试验设计技术指导原则、接受医疗器械境外临床试验数据指导原则、真实世界数据用于医疗器械临床评价技术指导原则（试行）、医疗器械注册申报临床评价报告技术指导原则、医疗器械临床试验数据递交要求注册审查指导原则、需进行临床试验审批的第三类医疗器械目录、《医疗器械分类目录》子目录相关产品临床评价推荐路径、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临床评价资料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0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A2.2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临床试验的实施应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需进行临床试验的医疗器械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临床试验质量管理规范、决策是否开展医疗器械临床试验技术指导原则、医疗器械临床试验设计技术指导原则、接受医疗器械境外临床试验数据指导原则、医疗器械注册申报临床评价报告技术指导原则、医疗器械临床试验数据递交要求注册审查指导原则、需进行临床试验审批的第三类医疗器械目录、《医疗器械分类目录》子目录相关产品临床评价推荐路径、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临床评价资料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A3</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化学、物理和生物学特性</w:t>
            </w:r>
          </w:p>
        </w:tc>
      </w:tr>
      <w:tr w:rsidR="007B4B78" w:rsidRPr="0065418E" w:rsidTr="0065418E">
        <w:trPr>
          <w:trHeight w:val="1597"/>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A3.1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关于医疗器械的化学、物理和生物学特性，应特别注意以下几点：</w:t>
            </w:r>
            <w:r w:rsidRPr="0065418E">
              <w:rPr>
                <w:rFonts w:eastAsia="仿宋_GB2312"/>
                <w:color w:val="000000"/>
                <w:kern w:val="0"/>
                <w:sz w:val="28"/>
                <w:szCs w:val="28"/>
              </w:rPr>
              <w:br w:type="page"/>
              <w:t xml:space="preserve">a) </w:t>
            </w:r>
            <w:r w:rsidRPr="0065418E">
              <w:rPr>
                <w:rFonts w:eastAsia="仿宋_GB2312"/>
                <w:color w:val="000000"/>
                <w:kern w:val="0"/>
                <w:sz w:val="28"/>
                <w:szCs w:val="28"/>
              </w:rPr>
              <w:t>所用材料和组成成分的选择，需特别考虑：</w:t>
            </w:r>
            <w:r w:rsidRPr="0065418E">
              <w:rPr>
                <w:rFonts w:eastAsia="仿宋_GB2312"/>
                <w:color w:val="000000"/>
                <w:kern w:val="0"/>
                <w:sz w:val="28"/>
                <w:szCs w:val="28"/>
              </w:rPr>
              <w:br w:type="page"/>
              <w:t>-</w:t>
            </w:r>
            <w:r w:rsidRPr="0065418E">
              <w:rPr>
                <w:rFonts w:eastAsia="仿宋_GB2312"/>
                <w:color w:val="000000"/>
                <w:kern w:val="0"/>
                <w:sz w:val="28"/>
                <w:szCs w:val="28"/>
              </w:rPr>
              <w:t>毒性；</w:t>
            </w:r>
            <w:r w:rsidRPr="0065418E">
              <w:rPr>
                <w:rFonts w:eastAsia="仿宋_GB2312"/>
                <w:color w:val="000000"/>
                <w:kern w:val="0"/>
                <w:sz w:val="28"/>
                <w:szCs w:val="28"/>
              </w:rPr>
              <w:br w:type="page"/>
              <w:t>-</w:t>
            </w:r>
            <w:r w:rsidRPr="0065418E">
              <w:rPr>
                <w:rFonts w:eastAsia="仿宋_GB2312"/>
                <w:color w:val="000000"/>
                <w:kern w:val="0"/>
                <w:sz w:val="28"/>
                <w:szCs w:val="28"/>
              </w:rPr>
              <w:t>生物相容性；</w:t>
            </w:r>
            <w:r w:rsidRPr="0065418E">
              <w:rPr>
                <w:rFonts w:eastAsia="仿宋_GB2312"/>
                <w:color w:val="000000"/>
                <w:kern w:val="0"/>
                <w:sz w:val="28"/>
                <w:szCs w:val="28"/>
              </w:rPr>
              <w:br w:type="page"/>
              <w:t>-</w:t>
            </w:r>
            <w:r w:rsidRPr="0065418E">
              <w:rPr>
                <w:rFonts w:eastAsia="仿宋_GB2312"/>
                <w:color w:val="000000"/>
                <w:kern w:val="0"/>
                <w:sz w:val="28"/>
                <w:szCs w:val="28"/>
              </w:rPr>
              <w:t>易燃性；</w:t>
            </w:r>
            <w:r w:rsidRPr="0065418E">
              <w:rPr>
                <w:rFonts w:eastAsia="仿宋_GB2312"/>
                <w:color w:val="000000"/>
                <w:kern w:val="0"/>
                <w:sz w:val="28"/>
                <w:szCs w:val="28"/>
              </w:rPr>
              <w:br w:type="page"/>
              <w:t xml:space="preserve">b) </w:t>
            </w:r>
            <w:r w:rsidRPr="0065418E">
              <w:rPr>
                <w:rFonts w:eastAsia="仿宋_GB2312"/>
                <w:color w:val="000000"/>
                <w:kern w:val="0"/>
                <w:sz w:val="28"/>
                <w:szCs w:val="28"/>
              </w:rPr>
              <w:t>工艺对材料性能的影响；</w:t>
            </w:r>
            <w:r w:rsidRPr="0065418E">
              <w:rPr>
                <w:rFonts w:eastAsia="仿宋_GB2312"/>
                <w:color w:val="000000"/>
                <w:kern w:val="0"/>
                <w:sz w:val="28"/>
                <w:szCs w:val="28"/>
              </w:rPr>
              <w:br w:type="page"/>
              <w:t xml:space="preserve">c) </w:t>
            </w:r>
            <w:r w:rsidRPr="0065418E">
              <w:rPr>
                <w:rFonts w:eastAsia="仿宋_GB2312"/>
                <w:color w:val="000000"/>
                <w:kern w:val="0"/>
                <w:sz w:val="28"/>
                <w:szCs w:val="28"/>
              </w:rPr>
              <w:t>生物物理学或者建模研究结果应事先进行验证（如适用）；</w:t>
            </w:r>
            <w:r w:rsidRPr="0065418E">
              <w:rPr>
                <w:rFonts w:eastAsia="仿宋_GB2312"/>
                <w:color w:val="000000"/>
                <w:kern w:val="0"/>
                <w:sz w:val="28"/>
                <w:szCs w:val="28"/>
              </w:rPr>
              <w:br w:type="page"/>
              <w:t xml:space="preserve">d) </w:t>
            </w:r>
            <w:r w:rsidRPr="0065418E">
              <w:rPr>
                <w:rFonts w:eastAsia="仿宋_GB2312"/>
                <w:color w:val="000000"/>
                <w:kern w:val="0"/>
                <w:sz w:val="28"/>
                <w:szCs w:val="28"/>
              </w:rPr>
              <w:t>所用材料的机械性能，如适用，应考虑强度、延展性、断裂强度、耐磨性和抗疲劳性等属性；</w:t>
            </w:r>
            <w:r w:rsidRPr="0065418E">
              <w:rPr>
                <w:rFonts w:eastAsia="仿宋_GB2312"/>
                <w:color w:val="000000"/>
                <w:kern w:val="0"/>
                <w:sz w:val="28"/>
                <w:szCs w:val="28"/>
              </w:rPr>
              <w:br w:type="page"/>
              <w:t xml:space="preserve">e) </w:t>
            </w:r>
            <w:r w:rsidRPr="0065418E">
              <w:rPr>
                <w:rFonts w:eastAsia="仿宋_GB2312"/>
                <w:color w:val="000000"/>
                <w:kern w:val="0"/>
                <w:sz w:val="28"/>
                <w:szCs w:val="28"/>
              </w:rPr>
              <w:t>表面特性；</w:t>
            </w:r>
            <w:r w:rsidRPr="0065418E">
              <w:rPr>
                <w:rFonts w:eastAsia="仿宋_GB2312"/>
                <w:color w:val="000000"/>
                <w:kern w:val="0"/>
                <w:sz w:val="28"/>
                <w:szCs w:val="28"/>
              </w:rPr>
              <w:br w:type="page"/>
              <w:t xml:space="preserve">f) </w:t>
            </w:r>
            <w:r w:rsidRPr="0065418E">
              <w:rPr>
                <w:rFonts w:eastAsia="仿宋_GB2312"/>
                <w:color w:val="000000"/>
                <w:kern w:val="0"/>
                <w:sz w:val="28"/>
                <w:szCs w:val="28"/>
              </w:rPr>
              <w:t>器械与已规定化学和</w:t>
            </w:r>
            <w:r w:rsidRPr="0065418E">
              <w:rPr>
                <w:rFonts w:eastAsia="仿宋_GB2312"/>
                <w:color w:val="000000"/>
                <w:kern w:val="0"/>
                <w:sz w:val="28"/>
                <w:szCs w:val="28"/>
              </w:rPr>
              <w:t>/</w:t>
            </w:r>
            <w:r w:rsidRPr="0065418E">
              <w:rPr>
                <w:rFonts w:eastAsia="仿宋_GB2312"/>
                <w:color w:val="000000"/>
                <w:kern w:val="0"/>
                <w:sz w:val="28"/>
                <w:szCs w:val="28"/>
              </w:rPr>
              <w:t>或物理性能的符合性</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r w:rsidRPr="0065418E">
              <w:rPr>
                <w:rFonts w:eastAsia="仿宋_GB2312"/>
                <w:color w:val="000000"/>
                <w:kern w:val="0"/>
                <w:sz w:val="28"/>
                <w:szCs w:val="28"/>
              </w:rPr>
              <w:t>(</w:t>
            </w:r>
            <w:r w:rsidRPr="0065418E">
              <w:rPr>
                <w:rFonts w:eastAsia="仿宋_GB2312"/>
                <w:color w:val="000000"/>
                <w:kern w:val="0"/>
                <w:sz w:val="28"/>
                <w:szCs w:val="28"/>
              </w:rPr>
              <w:t>不同医疗器械适用的条款不同</w:t>
            </w:r>
            <w:r w:rsidRPr="0065418E">
              <w:rPr>
                <w:rFonts w:eastAsia="仿宋_GB2312"/>
                <w:color w:val="000000"/>
                <w:kern w:val="0"/>
                <w:sz w:val="28"/>
                <w:szCs w:val="28"/>
              </w:rPr>
              <w:t>)</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GB/T 16886</w:t>
            </w:r>
            <w:r w:rsidRPr="0065418E">
              <w:rPr>
                <w:rFonts w:eastAsia="仿宋_GB2312"/>
                <w:color w:val="000000"/>
                <w:kern w:val="0"/>
                <w:sz w:val="28"/>
                <w:szCs w:val="28"/>
              </w:rPr>
              <w:t>系列标准、</w:t>
            </w:r>
            <w:r w:rsidRPr="0065418E">
              <w:rPr>
                <w:rFonts w:eastAsia="仿宋_GB2312"/>
                <w:color w:val="000000"/>
                <w:kern w:val="0"/>
                <w:sz w:val="28"/>
                <w:szCs w:val="28"/>
              </w:rPr>
              <w:t>YY/T 0758</w:t>
            </w:r>
            <w:r w:rsidRPr="0065418E">
              <w:rPr>
                <w:rFonts w:eastAsia="仿宋_GB2312"/>
                <w:color w:val="000000"/>
                <w:kern w:val="0"/>
                <w:sz w:val="28"/>
                <w:szCs w:val="28"/>
              </w:rPr>
              <w:t>、</w:t>
            </w:r>
            <w:r w:rsidRPr="0065418E">
              <w:rPr>
                <w:rFonts w:eastAsia="仿宋_GB2312"/>
                <w:color w:val="000000"/>
                <w:kern w:val="0"/>
                <w:sz w:val="28"/>
                <w:szCs w:val="28"/>
              </w:rPr>
              <w:t>YY/T 0345.1</w:t>
            </w:r>
            <w:r w:rsidRPr="0065418E">
              <w:rPr>
                <w:rFonts w:eastAsia="仿宋_GB2312"/>
                <w:color w:val="000000"/>
                <w:kern w:val="0"/>
                <w:sz w:val="28"/>
                <w:szCs w:val="28"/>
              </w:rPr>
              <w:t>、</w:t>
            </w:r>
            <w:r w:rsidRPr="0065418E">
              <w:rPr>
                <w:rFonts w:eastAsia="仿宋_GB2312"/>
                <w:color w:val="000000"/>
                <w:kern w:val="0"/>
                <w:sz w:val="28"/>
                <w:szCs w:val="28"/>
              </w:rPr>
              <w:t>YY/T 0809.4</w:t>
            </w:r>
            <w:r w:rsidRPr="0065418E">
              <w:rPr>
                <w:rFonts w:eastAsia="仿宋_GB2312"/>
                <w:color w:val="000000"/>
                <w:kern w:val="0"/>
                <w:sz w:val="28"/>
                <w:szCs w:val="28"/>
              </w:rPr>
              <w:t>、生物型股骨柄</w:t>
            </w:r>
            <w:proofErr w:type="gramStart"/>
            <w:r w:rsidRPr="0065418E">
              <w:rPr>
                <w:rFonts w:eastAsia="仿宋_GB2312"/>
                <w:color w:val="000000"/>
                <w:kern w:val="0"/>
                <w:sz w:val="28"/>
                <w:szCs w:val="28"/>
              </w:rPr>
              <w:t>柄</w:t>
            </w:r>
            <w:proofErr w:type="gramEnd"/>
            <w:r w:rsidRPr="0065418E">
              <w:rPr>
                <w:rFonts w:eastAsia="仿宋_GB2312"/>
                <w:color w:val="000000"/>
                <w:kern w:val="0"/>
                <w:sz w:val="28"/>
                <w:szCs w:val="28"/>
              </w:rPr>
              <w:t>部疲劳性能评价指导原则、其他适用的标准或指导原则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生物学特性研究、化学和物理性能（含机械性能）研究、建模研究、产品技术要求（强度指标、载明原材料等）及检测报告、燃爆风险研究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工艺验证报告，原材料采购要求、性能验证、进货检验记录等</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A3.2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有污染物和残留物的医疗器械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YY/T 1809</w:t>
            </w:r>
            <w:r w:rsidRPr="0065418E">
              <w:rPr>
                <w:rFonts w:eastAsia="仿宋_GB2312"/>
                <w:color w:val="000000"/>
                <w:kern w:val="0"/>
                <w:sz w:val="28"/>
                <w:szCs w:val="28"/>
              </w:rPr>
              <w:t>、</w:t>
            </w:r>
            <w:r w:rsidRPr="0065418E">
              <w:rPr>
                <w:rFonts w:eastAsia="仿宋_GB2312"/>
                <w:color w:val="000000"/>
                <w:kern w:val="0"/>
                <w:sz w:val="28"/>
                <w:szCs w:val="28"/>
              </w:rPr>
              <w:t>ISO 17664</w:t>
            </w:r>
            <w:r w:rsidRPr="0065418E">
              <w:rPr>
                <w:rFonts w:eastAsia="仿宋_GB2312"/>
                <w:color w:val="000000"/>
                <w:kern w:val="0"/>
                <w:sz w:val="28"/>
                <w:szCs w:val="28"/>
              </w:rPr>
              <w:t>、可重复使用医疗器械再处理说明和确认方法注册技术审查指导原则、医疗器械产品清洗过程确认检查要点指南</w:t>
            </w:r>
            <w:r w:rsidRPr="0065418E">
              <w:rPr>
                <w:rFonts w:eastAsia="仿宋_GB2312"/>
                <w:color w:val="000000"/>
                <w:kern w:val="0"/>
                <w:sz w:val="28"/>
                <w:szCs w:val="28"/>
              </w:rPr>
              <w:t>(</w:t>
            </w:r>
            <w:r w:rsidRPr="0065418E">
              <w:rPr>
                <w:rFonts w:eastAsia="仿宋_GB2312"/>
                <w:color w:val="000000"/>
                <w:kern w:val="0"/>
                <w:sz w:val="28"/>
                <w:szCs w:val="28"/>
              </w:rPr>
              <w:t>北京局，</w:t>
            </w:r>
            <w:r w:rsidRPr="0065418E">
              <w:rPr>
                <w:rFonts w:eastAsia="仿宋_GB2312"/>
                <w:color w:val="000000"/>
                <w:kern w:val="0"/>
                <w:sz w:val="28"/>
                <w:szCs w:val="28"/>
              </w:rPr>
              <w:t>2016</w:t>
            </w:r>
            <w:r w:rsidRPr="0065418E">
              <w:rPr>
                <w:rFonts w:eastAsia="仿宋_GB2312"/>
                <w:color w:val="000000"/>
                <w:kern w:val="0"/>
                <w:sz w:val="28"/>
                <w:szCs w:val="28"/>
              </w:rPr>
              <w:t>版）、适用的标准或指导原则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残留毒性研究、生物学特性研究、清洁研究资料（仅使用者清洁）、包装研究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由申请人进行的清洁确认资料、洁净间控制、确认的相关文件</w:t>
            </w:r>
          </w:p>
        </w:tc>
      </w:tr>
      <w:tr w:rsidR="007B4B78" w:rsidRPr="0065418E" w:rsidTr="0065418E">
        <w:trPr>
          <w:trHeight w:val="40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A3.3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医疗器械的设计和生产应适当降低析出物（包括滤</w:t>
            </w:r>
            <w:proofErr w:type="gramStart"/>
            <w:r w:rsidRPr="0065418E">
              <w:rPr>
                <w:rFonts w:eastAsia="仿宋_GB2312"/>
                <w:color w:val="000000"/>
                <w:kern w:val="0"/>
                <w:sz w:val="28"/>
                <w:szCs w:val="28"/>
              </w:rPr>
              <w:t>沥</w:t>
            </w:r>
            <w:proofErr w:type="gramEnd"/>
            <w:r w:rsidRPr="0065418E">
              <w:rPr>
                <w:rFonts w:eastAsia="仿宋_GB2312"/>
                <w:color w:val="000000"/>
                <w:kern w:val="0"/>
                <w:sz w:val="28"/>
                <w:szCs w:val="28"/>
              </w:rPr>
              <w:t>物和</w:t>
            </w:r>
            <w:r w:rsidRPr="0065418E">
              <w:rPr>
                <w:rFonts w:eastAsia="仿宋_GB2312"/>
                <w:color w:val="000000"/>
                <w:kern w:val="0"/>
                <w:sz w:val="28"/>
                <w:szCs w:val="28"/>
              </w:rPr>
              <w:t>/</w:t>
            </w:r>
            <w:r w:rsidRPr="0065418E">
              <w:rPr>
                <w:rFonts w:eastAsia="仿宋_GB2312"/>
                <w:color w:val="000000"/>
                <w:kern w:val="0"/>
                <w:sz w:val="28"/>
                <w:szCs w:val="28"/>
              </w:rPr>
              <w:t>或蒸发物）、降解产物、加工残留物等造成的风险。应特别注意致癌、致突变或有生殖毒性的泄漏物或滤</w:t>
            </w:r>
            <w:proofErr w:type="gramStart"/>
            <w:r w:rsidRPr="0065418E">
              <w:rPr>
                <w:rFonts w:eastAsia="仿宋_GB2312"/>
                <w:color w:val="000000"/>
                <w:kern w:val="0"/>
                <w:sz w:val="28"/>
                <w:szCs w:val="28"/>
              </w:rPr>
              <w:t>沥</w:t>
            </w:r>
            <w:proofErr w:type="gramEnd"/>
            <w:r w:rsidRPr="0065418E">
              <w:rPr>
                <w:rFonts w:eastAsia="仿宋_GB2312"/>
                <w:color w:val="000000"/>
                <w:kern w:val="0"/>
                <w:sz w:val="28"/>
                <w:szCs w:val="28"/>
              </w:rPr>
              <w:t>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与患者直接或间接接触（体表完整皮肤接触除外）的医疗器械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GB/T 16886.16</w:t>
            </w:r>
            <w:r w:rsidRPr="0065418E">
              <w:rPr>
                <w:rFonts w:eastAsia="仿宋_GB2312"/>
                <w:color w:val="000000"/>
                <w:kern w:val="0"/>
                <w:sz w:val="28"/>
                <w:szCs w:val="28"/>
              </w:rPr>
              <w:t>、</w:t>
            </w:r>
            <w:r w:rsidRPr="0065418E">
              <w:rPr>
                <w:rFonts w:eastAsia="仿宋_GB2312"/>
                <w:color w:val="000000"/>
                <w:kern w:val="0"/>
                <w:sz w:val="28"/>
                <w:szCs w:val="28"/>
              </w:rPr>
              <w:t>GB/T 16886.17</w:t>
            </w:r>
            <w:r w:rsidRPr="0065418E">
              <w:rPr>
                <w:rFonts w:eastAsia="仿宋_GB2312"/>
                <w:color w:val="000000"/>
                <w:kern w:val="0"/>
                <w:sz w:val="28"/>
                <w:szCs w:val="28"/>
              </w:rPr>
              <w:t>、</w:t>
            </w:r>
            <w:r w:rsidRPr="0065418E">
              <w:rPr>
                <w:rFonts w:eastAsia="仿宋_GB2312"/>
                <w:color w:val="000000"/>
                <w:kern w:val="0"/>
                <w:sz w:val="28"/>
                <w:szCs w:val="28"/>
              </w:rPr>
              <w:t xml:space="preserve">GB/T 16886.18 </w:t>
            </w:r>
            <w:r w:rsidRPr="0065418E">
              <w:rPr>
                <w:rFonts w:eastAsia="仿宋_GB2312"/>
                <w:color w:val="000000"/>
                <w:kern w:val="0"/>
                <w:sz w:val="28"/>
                <w:szCs w:val="28"/>
              </w:rPr>
              <w:t>、</w:t>
            </w:r>
            <w:r w:rsidRPr="0065418E">
              <w:rPr>
                <w:rFonts w:eastAsia="仿宋_GB2312"/>
                <w:color w:val="000000"/>
                <w:kern w:val="0"/>
                <w:sz w:val="28"/>
                <w:szCs w:val="28"/>
              </w:rPr>
              <w:t>YY</w:t>
            </w:r>
            <w:r w:rsidRPr="0065418E">
              <w:rPr>
                <w:rFonts w:eastAsia="仿宋_GB2312"/>
                <w:color w:val="000000"/>
                <w:kern w:val="0"/>
                <w:sz w:val="28"/>
                <w:szCs w:val="28"/>
              </w:rPr>
              <w:t>／</w:t>
            </w:r>
            <w:r w:rsidRPr="0065418E">
              <w:rPr>
                <w:rFonts w:eastAsia="仿宋_GB2312"/>
                <w:color w:val="000000"/>
                <w:kern w:val="0"/>
                <w:sz w:val="28"/>
                <w:szCs w:val="28"/>
              </w:rPr>
              <w:t>T 1550.2</w:t>
            </w:r>
            <w:r w:rsidRPr="0065418E">
              <w:rPr>
                <w:rFonts w:eastAsia="仿宋_GB2312"/>
                <w:color w:val="000000"/>
                <w:kern w:val="0"/>
                <w:sz w:val="28"/>
                <w:szCs w:val="28"/>
              </w:rPr>
              <w:t>、</w:t>
            </w:r>
            <w:r w:rsidRPr="0065418E">
              <w:rPr>
                <w:rFonts w:eastAsia="仿宋_GB2312"/>
                <w:color w:val="000000"/>
                <w:kern w:val="0"/>
                <w:sz w:val="28"/>
                <w:szCs w:val="28"/>
              </w:rPr>
              <w:t>GB/T 14233.1</w:t>
            </w:r>
            <w:r w:rsidRPr="0065418E">
              <w:rPr>
                <w:rFonts w:eastAsia="仿宋_GB2312"/>
                <w:color w:val="000000"/>
                <w:kern w:val="0"/>
                <w:sz w:val="28"/>
                <w:szCs w:val="28"/>
              </w:rPr>
              <w:t>、</w:t>
            </w:r>
            <w:r w:rsidRPr="0065418E">
              <w:rPr>
                <w:rFonts w:eastAsia="仿宋_GB2312"/>
                <w:color w:val="000000"/>
                <w:kern w:val="0"/>
                <w:sz w:val="28"/>
                <w:szCs w:val="28"/>
              </w:rPr>
              <w:t>YY/T 1809</w:t>
            </w:r>
            <w:r w:rsidRPr="0065418E">
              <w:rPr>
                <w:rFonts w:eastAsia="仿宋_GB2312"/>
                <w:color w:val="000000"/>
                <w:kern w:val="0"/>
                <w:sz w:val="28"/>
                <w:szCs w:val="28"/>
              </w:rPr>
              <w:t>、</w:t>
            </w:r>
            <w:r w:rsidRPr="0065418E">
              <w:rPr>
                <w:rFonts w:eastAsia="仿宋_GB2312"/>
                <w:color w:val="000000"/>
                <w:kern w:val="0"/>
                <w:sz w:val="28"/>
                <w:szCs w:val="28"/>
              </w:rPr>
              <w:t>ISO 17664</w:t>
            </w:r>
            <w:r w:rsidRPr="0065418E">
              <w:rPr>
                <w:rFonts w:eastAsia="仿宋_GB2312"/>
                <w:color w:val="000000"/>
                <w:kern w:val="0"/>
                <w:sz w:val="28"/>
                <w:szCs w:val="28"/>
              </w:rPr>
              <w:t>、医疗器械已知可沥滤物测定方法验证及确认注册技术审查指导、可重复使用医疗器械再处理说明和确认方法注册技术审查指导原则、医疗器械产品清洗过程确认检查要点指南、其他适用的标准或指导原则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清洁研究资料（仅使用者清洁）、残留毒性研究、生物学特性研究、产品技术要求中的化学性能及检测报告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由申请人进行的清洁确认资料</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A3.4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医疗器械的设计和生产应考虑到医疗器械及其预期使用环境的性质，适当降低物质意外进入器械所带来的风险。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预期使用环境有其他物质的（如液体、气体等）</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color w:val="000000"/>
                <w:kern w:val="0"/>
                <w:sz w:val="28"/>
                <w:szCs w:val="28"/>
              </w:rPr>
              <w:t>YY/T 1730</w:t>
            </w:r>
            <w:r w:rsidRPr="0065418E">
              <w:rPr>
                <w:rFonts w:eastAsia="仿宋_GB2312"/>
                <w:color w:val="000000"/>
                <w:kern w:val="0"/>
                <w:sz w:val="28"/>
                <w:szCs w:val="28"/>
              </w:rPr>
              <w:t>、</w:t>
            </w:r>
            <w:r w:rsidRPr="0065418E">
              <w:rPr>
                <w:rFonts w:eastAsia="仿宋_GB2312"/>
                <w:color w:val="000000"/>
                <w:kern w:val="0"/>
                <w:sz w:val="28"/>
                <w:szCs w:val="28"/>
              </w:rPr>
              <w:t>YY/T 0316</w:t>
            </w:r>
            <w:r w:rsidRPr="0065418E">
              <w:rPr>
                <w:rFonts w:eastAsia="仿宋_GB2312"/>
                <w:color w:val="000000"/>
                <w:kern w:val="0"/>
                <w:sz w:val="28"/>
                <w:szCs w:val="28"/>
              </w:rPr>
              <w:t>、其他适用的其他标准或指导原则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风险管理资料、联合使用研究、产品技术要求及检验报告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81"/>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A3.5</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医疗器械及其生产工艺的设计应能消除或适当降低对使用者和其他可能接触者的感染风险。设计应：</w:t>
            </w:r>
            <w:r w:rsidRPr="0065418E">
              <w:rPr>
                <w:rFonts w:eastAsia="仿宋_GB2312"/>
                <w:color w:val="000000"/>
                <w:kern w:val="0"/>
                <w:sz w:val="28"/>
                <w:szCs w:val="28"/>
              </w:rPr>
              <w:br w:type="page"/>
              <w:t xml:space="preserve">a) </w:t>
            </w:r>
            <w:r w:rsidRPr="0065418E">
              <w:rPr>
                <w:rFonts w:eastAsia="仿宋_GB2312"/>
                <w:color w:val="000000"/>
                <w:kern w:val="0"/>
                <w:sz w:val="28"/>
                <w:szCs w:val="28"/>
              </w:rPr>
              <w:t>操作安全，易于处理；</w:t>
            </w:r>
            <w:r w:rsidRPr="0065418E">
              <w:rPr>
                <w:rFonts w:eastAsia="仿宋_GB2312"/>
                <w:color w:val="000000"/>
                <w:kern w:val="0"/>
                <w:sz w:val="28"/>
                <w:szCs w:val="28"/>
              </w:rPr>
              <w:br w:type="page"/>
              <w:t xml:space="preserve">b) </w:t>
            </w:r>
            <w:r w:rsidRPr="0065418E">
              <w:rPr>
                <w:rFonts w:eastAsia="仿宋_GB2312"/>
                <w:color w:val="000000"/>
                <w:kern w:val="0"/>
                <w:sz w:val="28"/>
                <w:szCs w:val="28"/>
              </w:rPr>
              <w:t>尽量减少医疗器械的微生物泄漏和</w:t>
            </w:r>
            <w:r w:rsidRPr="0065418E">
              <w:rPr>
                <w:rFonts w:eastAsia="仿宋_GB2312"/>
                <w:color w:val="000000"/>
                <w:kern w:val="0"/>
                <w:sz w:val="28"/>
                <w:szCs w:val="28"/>
              </w:rPr>
              <w:t>/</w:t>
            </w:r>
            <w:r w:rsidRPr="0065418E">
              <w:rPr>
                <w:rFonts w:eastAsia="仿宋_GB2312"/>
                <w:color w:val="000000"/>
                <w:kern w:val="0"/>
                <w:sz w:val="28"/>
                <w:szCs w:val="28"/>
              </w:rPr>
              <w:t>或使用过程中的感染风险；</w:t>
            </w:r>
            <w:r w:rsidRPr="0065418E">
              <w:rPr>
                <w:rFonts w:eastAsia="仿宋_GB2312"/>
                <w:color w:val="000000"/>
                <w:kern w:val="0"/>
                <w:sz w:val="28"/>
                <w:szCs w:val="28"/>
              </w:rPr>
              <w:br w:type="page"/>
              <w:t xml:space="preserve">c) </w:t>
            </w:r>
            <w:r w:rsidRPr="0065418E">
              <w:rPr>
                <w:rFonts w:eastAsia="仿宋_GB2312"/>
                <w:color w:val="000000"/>
                <w:kern w:val="0"/>
                <w:sz w:val="28"/>
                <w:szCs w:val="28"/>
              </w:rPr>
              <w:t>防止医疗器械或其内容物（例如：标本）的微生物污染；</w:t>
            </w:r>
            <w:r w:rsidRPr="0065418E">
              <w:rPr>
                <w:rFonts w:eastAsia="仿宋_GB2312"/>
                <w:color w:val="000000"/>
                <w:kern w:val="0"/>
                <w:sz w:val="28"/>
                <w:szCs w:val="28"/>
              </w:rPr>
              <w:br w:type="page"/>
              <w:t xml:space="preserve">d) </w:t>
            </w:r>
            <w:r w:rsidRPr="0065418E">
              <w:rPr>
                <w:rFonts w:eastAsia="仿宋_GB2312"/>
                <w:color w:val="000000"/>
                <w:kern w:val="0"/>
                <w:sz w:val="28"/>
                <w:szCs w:val="28"/>
              </w:rPr>
              <w:t>尽量减少意外风险（例如：割伤和刺伤（如针刺伤）、意外物质溅入眼睛等）</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有感染风险（患者和使用者）的医疗器械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YY/T 0316 </w:t>
            </w:r>
            <w:r w:rsidRPr="0065418E">
              <w:rPr>
                <w:rFonts w:eastAsia="仿宋_GB2312"/>
                <w:color w:val="000000"/>
                <w:kern w:val="0"/>
                <w:sz w:val="28"/>
                <w:szCs w:val="28"/>
              </w:rPr>
              <w:t>、输</w:t>
            </w:r>
            <w:proofErr w:type="gramStart"/>
            <w:r w:rsidRPr="0065418E">
              <w:rPr>
                <w:rFonts w:eastAsia="仿宋_GB2312"/>
                <w:color w:val="000000"/>
                <w:kern w:val="0"/>
                <w:sz w:val="28"/>
                <w:szCs w:val="28"/>
              </w:rPr>
              <w:t>注产品</w:t>
            </w:r>
            <w:proofErr w:type="gramEnd"/>
            <w:r w:rsidRPr="0065418E">
              <w:rPr>
                <w:rFonts w:eastAsia="仿宋_GB2312"/>
                <w:color w:val="000000"/>
                <w:kern w:val="0"/>
                <w:sz w:val="28"/>
                <w:szCs w:val="28"/>
              </w:rPr>
              <w:t>针刺伤防护装置要求与评价技术审查指导原则、其他适用的标准或指导原则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清洁（仅使用者清洁）、消毒灭菌研究、风险管理、包装研究、针刺伤防护装置研究资料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由申请人进行的清洁确认资料</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灭菌和微生物污染</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医疗器械其设计应方便使用者对其进行安全清洁、消毒、灭菌和</w:t>
            </w:r>
            <w:r w:rsidRPr="0065418E">
              <w:rPr>
                <w:rFonts w:eastAsia="仿宋_GB2312"/>
                <w:color w:val="000000"/>
                <w:kern w:val="0"/>
                <w:sz w:val="28"/>
                <w:szCs w:val="28"/>
              </w:rPr>
              <w:t>/</w:t>
            </w:r>
            <w:r w:rsidRPr="0065418E">
              <w:rPr>
                <w:rFonts w:eastAsia="仿宋_GB2312"/>
                <w:color w:val="000000"/>
                <w:kern w:val="0"/>
                <w:sz w:val="28"/>
                <w:szCs w:val="28"/>
              </w:rPr>
              <w:t>或重复灭菌（必要时）。</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有感染风险（患者和使用者）的医疗器械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可重复使用医疗器械再处理说明和确认方法注册技术审查指导原则其他、适用的标准或指导原则（如有）</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清洁消毒灭菌研究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具有微生物限度要求的医疗器械，其设计、生产和包装应确保在出厂后，按照申请人规定的条件运输和贮存，符合微生物限度要求。</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具有微生物限度要求的医疗器械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YY1298-2016</w:t>
            </w: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稳定性研究、消毒研究、产品技术要求及检测报告</w:t>
            </w:r>
          </w:p>
        </w:tc>
        <w:tc>
          <w:tcPr>
            <w:tcW w:w="1701" w:type="dxa"/>
            <w:shd w:val="clear" w:color="auto" w:fill="auto"/>
            <w:vAlign w:val="center"/>
            <w:hideMark/>
          </w:tcPr>
          <w:p w:rsidR="007B4B78" w:rsidRPr="0065418E" w:rsidRDefault="007B4B78" w:rsidP="0065418E">
            <w:pPr>
              <w:widowControl/>
              <w:spacing w:line="320" w:lineRule="exact"/>
              <w:rPr>
                <w:rFonts w:eastAsia="仿宋_GB2312"/>
                <w:color w:val="000000"/>
                <w:kern w:val="0"/>
                <w:sz w:val="28"/>
                <w:szCs w:val="28"/>
              </w:rPr>
            </w:pPr>
            <w:r w:rsidRPr="0065418E">
              <w:rPr>
                <w:rFonts w:eastAsia="仿宋_GB2312"/>
                <w:color w:val="000000"/>
                <w:kern w:val="0"/>
                <w:sz w:val="28"/>
                <w:szCs w:val="28"/>
              </w:rPr>
              <w:t>生产过程中的微生物控制确认（清洁消毒）资料、包装过程确认等</w:t>
            </w:r>
          </w:p>
        </w:tc>
      </w:tr>
      <w:tr w:rsidR="007B4B78" w:rsidRPr="0065418E" w:rsidTr="0065418E">
        <w:trPr>
          <w:trHeight w:val="40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A4.3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以无菌状态交付的医疗器械，其设计、生产和包装应按照适当的程序进行，以确保在出厂时无菌。在申请人规定的条件下运输和贮存的未破损无菌包装，打开前都应保持无菌状态。应确保最终使用者可清晰地辨识包装的完整性（例如：防篡改包装）。</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无菌医疗器械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 18278.1</w:t>
            </w:r>
            <w:r w:rsidRPr="0065418E">
              <w:rPr>
                <w:rFonts w:eastAsia="仿宋_GB2312"/>
                <w:color w:val="000000"/>
                <w:kern w:val="0"/>
                <w:sz w:val="28"/>
                <w:szCs w:val="28"/>
              </w:rPr>
              <w:t>、</w:t>
            </w:r>
            <w:r w:rsidRPr="0065418E">
              <w:rPr>
                <w:rFonts w:eastAsia="仿宋_GB2312"/>
                <w:color w:val="000000"/>
                <w:kern w:val="0"/>
                <w:sz w:val="28"/>
                <w:szCs w:val="28"/>
              </w:rPr>
              <w:t>GB 18279</w:t>
            </w:r>
            <w:r w:rsidRPr="0065418E">
              <w:rPr>
                <w:rFonts w:eastAsia="仿宋_GB2312"/>
                <w:color w:val="000000"/>
                <w:kern w:val="0"/>
                <w:sz w:val="28"/>
                <w:szCs w:val="28"/>
              </w:rPr>
              <w:t>系列、</w:t>
            </w:r>
            <w:r w:rsidRPr="0065418E">
              <w:rPr>
                <w:rFonts w:eastAsia="仿宋_GB2312"/>
                <w:color w:val="000000"/>
                <w:kern w:val="0"/>
                <w:sz w:val="28"/>
                <w:szCs w:val="28"/>
              </w:rPr>
              <w:t>GB 18280</w:t>
            </w:r>
            <w:r w:rsidRPr="0065418E">
              <w:rPr>
                <w:rFonts w:eastAsia="仿宋_GB2312"/>
                <w:color w:val="000000"/>
                <w:kern w:val="0"/>
                <w:sz w:val="28"/>
                <w:szCs w:val="28"/>
              </w:rPr>
              <w:t>系列、</w:t>
            </w:r>
            <w:r w:rsidRPr="0065418E">
              <w:rPr>
                <w:rFonts w:eastAsia="仿宋_GB2312"/>
                <w:color w:val="000000"/>
                <w:kern w:val="0"/>
                <w:sz w:val="28"/>
                <w:szCs w:val="28"/>
              </w:rPr>
              <w:t>YY/T 1276</w:t>
            </w:r>
            <w:r w:rsidRPr="0065418E">
              <w:rPr>
                <w:rFonts w:eastAsia="仿宋_GB2312"/>
                <w:color w:val="000000"/>
                <w:kern w:val="0"/>
                <w:sz w:val="28"/>
                <w:szCs w:val="28"/>
              </w:rPr>
              <w:t>、</w:t>
            </w:r>
            <w:r w:rsidRPr="0065418E">
              <w:rPr>
                <w:rFonts w:eastAsia="仿宋_GB2312"/>
                <w:color w:val="000000"/>
                <w:kern w:val="0"/>
                <w:sz w:val="28"/>
                <w:szCs w:val="28"/>
              </w:rPr>
              <w:t>YY/T 1464</w:t>
            </w:r>
            <w:r w:rsidRPr="0065418E">
              <w:rPr>
                <w:rFonts w:eastAsia="仿宋_GB2312"/>
                <w:color w:val="000000"/>
                <w:kern w:val="0"/>
                <w:sz w:val="28"/>
                <w:szCs w:val="28"/>
              </w:rPr>
              <w:t>、</w:t>
            </w:r>
            <w:r w:rsidRPr="0065418E">
              <w:rPr>
                <w:rFonts w:eastAsia="仿宋_GB2312"/>
                <w:color w:val="000000"/>
                <w:kern w:val="0"/>
                <w:sz w:val="28"/>
                <w:szCs w:val="28"/>
              </w:rPr>
              <w:br/>
              <w:t>GB/T 19974</w:t>
            </w:r>
            <w:r w:rsidRPr="0065418E">
              <w:rPr>
                <w:rFonts w:eastAsia="仿宋_GB2312"/>
                <w:color w:val="000000"/>
                <w:kern w:val="0"/>
                <w:sz w:val="28"/>
                <w:szCs w:val="28"/>
              </w:rPr>
              <w:t>、</w:t>
            </w:r>
            <w:r w:rsidRPr="0065418E">
              <w:rPr>
                <w:rFonts w:eastAsia="仿宋_GB2312"/>
                <w:color w:val="000000"/>
                <w:kern w:val="0"/>
                <w:sz w:val="28"/>
                <w:szCs w:val="28"/>
              </w:rPr>
              <w:t>YY/T 1463</w:t>
            </w:r>
            <w:r w:rsidRPr="0065418E">
              <w:rPr>
                <w:rFonts w:eastAsia="仿宋_GB2312"/>
                <w:color w:val="000000"/>
                <w:kern w:val="0"/>
                <w:sz w:val="28"/>
                <w:szCs w:val="28"/>
              </w:rPr>
              <w:t>、无菌医疗器械灭菌工艺注册技术审查指导原则、其他适用的标准或指导原则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灭菌研究、稳定性研究、包装说明、产品技术要求及检测报告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包装过程确认</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无菌医疗器械应按照经验证的方法进行加工、生产、包装和灭菌，其货架有效期应按照经验证的方法确定。</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无菌医疗器械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 18278.1</w:t>
            </w:r>
            <w:r w:rsidRPr="0065418E">
              <w:rPr>
                <w:rFonts w:eastAsia="仿宋_GB2312"/>
                <w:color w:val="000000"/>
                <w:kern w:val="0"/>
                <w:sz w:val="28"/>
                <w:szCs w:val="28"/>
              </w:rPr>
              <w:t>、</w:t>
            </w:r>
            <w:r w:rsidRPr="0065418E">
              <w:rPr>
                <w:rFonts w:eastAsia="仿宋_GB2312"/>
                <w:color w:val="000000"/>
                <w:kern w:val="0"/>
                <w:sz w:val="28"/>
                <w:szCs w:val="28"/>
              </w:rPr>
              <w:t>GB 18279</w:t>
            </w:r>
            <w:r w:rsidRPr="0065418E">
              <w:rPr>
                <w:rFonts w:eastAsia="仿宋_GB2312"/>
                <w:color w:val="000000"/>
                <w:kern w:val="0"/>
                <w:sz w:val="28"/>
                <w:szCs w:val="28"/>
              </w:rPr>
              <w:t>系列、</w:t>
            </w:r>
            <w:r w:rsidRPr="0065418E">
              <w:rPr>
                <w:rFonts w:eastAsia="仿宋_GB2312"/>
                <w:color w:val="000000"/>
                <w:kern w:val="0"/>
                <w:sz w:val="28"/>
                <w:szCs w:val="28"/>
              </w:rPr>
              <w:t>GB 18280</w:t>
            </w:r>
            <w:r w:rsidRPr="0065418E">
              <w:rPr>
                <w:rFonts w:eastAsia="仿宋_GB2312"/>
                <w:color w:val="000000"/>
                <w:kern w:val="0"/>
                <w:sz w:val="28"/>
                <w:szCs w:val="28"/>
              </w:rPr>
              <w:t>系列、</w:t>
            </w:r>
            <w:r w:rsidRPr="0065418E">
              <w:rPr>
                <w:rFonts w:eastAsia="仿宋_GB2312"/>
                <w:color w:val="000000"/>
                <w:kern w:val="0"/>
                <w:sz w:val="28"/>
                <w:szCs w:val="28"/>
              </w:rPr>
              <w:t>YY/T 1276</w:t>
            </w:r>
            <w:r w:rsidRPr="0065418E">
              <w:rPr>
                <w:rFonts w:eastAsia="仿宋_GB2312"/>
                <w:color w:val="000000"/>
                <w:kern w:val="0"/>
                <w:sz w:val="28"/>
                <w:szCs w:val="28"/>
              </w:rPr>
              <w:t>、</w:t>
            </w:r>
            <w:r w:rsidRPr="0065418E">
              <w:rPr>
                <w:rFonts w:eastAsia="仿宋_GB2312"/>
                <w:color w:val="000000"/>
                <w:kern w:val="0"/>
                <w:sz w:val="28"/>
                <w:szCs w:val="28"/>
              </w:rPr>
              <w:t>YY/T 1464</w:t>
            </w:r>
            <w:r w:rsidRPr="0065418E">
              <w:rPr>
                <w:rFonts w:eastAsia="仿宋_GB2312"/>
                <w:color w:val="000000"/>
                <w:kern w:val="0"/>
                <w:sz w:val="28"/>
                <w:szCs w:val="28"/>
              </w:rPr>
              <w:t>、</w:t>
            </w:r>
            <w:r w:rsidRPr="0065418E">
              <w:rPr>
                <w:rFonts w:eastAsia="仿宋_GB2312"/>
                <w:color w:val="000000"/>
                <w:kern w:val="0"/>
                <w:sz w:val="28"/>
                <w:szCs w:val="28"/>
              </w:rPr>
              <w:br/>
              <w:t>GB/T 19974</w:t>
            </w:r>
            <w:r w:rsidRPr="0065418E">
              <w:rPr>
                <w:rFonts w:eastAsia="仿宋_GB2312"/>
                <w:color w:val="000000"/>
                <w:kern w:val="0"/>
                <w:sz w:val="28"/>
                <w:szCs w:val="28"/>
              </w:rPr>
              <w:t>、</w:t>
            </w:r>
            <w:r w:rsidRPr="0065418E">
              <w:rPr>
                <w:rFonts w:eastAsia="仿宋_GB2312"/>
                <w:color w:val="000000"/>
                <w:kern w:val="0"/>
                <w:sz w:val="28"/>
                <w:szCs w:val="28"/>
              </w:rPr>
              <w:t>YY/T 1464</w:t>
            </w:r>
            <w:r w:rsidRPr="0065418E">
              <w:rPr>
                <w:rFonts w:eastAsia="仿宋_GB2312"/>
                <w:color w:val="000000"/>
                <w:kern w:val="0"/>
                <w:sz w:val="28"/>
                <w:szCs w:val="28"/>
              </w:rPr>
              <w:t>、无菌医疗器械灭菌工艺注册技术审查指导原则、其他适用的标准或指导原则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灭菌研究、货架有效期研究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包装过程确认</w:t>
            </w:r>
          </w:p>
        </w:tc>
      </w:tr>
      <w:tr w:rsidR="007B4B78" w:rsidRPr="0065418E" w:rsidTr="0065418E">
        <w:trPr>
          <w:trHeight w:val="244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A4.5</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预期无菌使用的医疗器械（申请人灭菌或使用者灭菌），均应在适当且受控的条件和设施下生产和包装。</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无菌使用医疗器械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《医疗器械生产质量管理规范》附录《无菌医疗器械》、</w:t>
            </w:r>
            <w:r w:rsidRPr="0065418E">
              <w:rPr>
                <w:rFonts w:eastAsia="仿宋_GB2312"/>
                <w:color w:val="000000"/>
                <w:kern w:val="0"/>
                <w:sz w:val="28"/>
                <w:szCs w:val="28"/>
              </w:rPr>
              <w:t>YY0033</w:t>
            </w:r>
            <w:r w:rsidRPr="0065418E">
              <w:rPr>
                <w:rFonts w:eastAsia="仿宋_GB2312"/>
                <w:color w:val="000000"/>
                <w:kern w:val="0"/>
                <w:sz w:val="28"/>
                <w:szCs w:val="28"/>
              </w:rPr>
              <w:t>、</w:t>
            </w:r>
            <w:r w:rsidRPr="0065418E">
              <w:rPr>
                <w:rFonts w:eastAsia="仿宋_GB2312"/>
                <w:color w:val="000000"/>
                <w:kern w:val="0"/>
                <w:sz w:val="28"/>
                <w:szCs w:val="28"/>
              </w:rPr>
              <w:t>GB50457</w:t>
            </w:r>
            <w:r w:rsidRPr="0065418E">
              <w:rPr>
                <w:rFonts w:eastAsia="仿宋_GB2312"/>
                <w:color w:val="000000"/>
                <w:kern w:val="0"/>
                <w:sz w:val="28"/>
                <w:szCs w:val="28"/>
              </w:rPr>
              <w:t>、</w:t>
            </w:r>
            <w:r w:rsidRPr="0065418E">
              <w:rPr>
                <w:rFonts w:eastAsia="仿宋_GB2312"/>
                <w:color w:val="000000"/>
                <w:kern w:val="0"/>
                <w:sz w:val="28"/>
                <w:szCs w:val="28"/>
              </w:rPr>
              <w:t>YY/T 0287</w:t>
            </w:r>
            <w:r w:rsidRPr="0065418E">
              <w:rPr>
                <w:rFonts w:eastAsia="仿宋_GB2312"/>
                <w:color w:val="000000"/>
                <w:kern w:val="0"/>
                <w:sz w:val="28"/>
                <w:szCs w:val="28"/>
              </w:rPr>
              <w:t>、</w:t>
            </w:r>
            <w:r w:rsidRPr="0065418E">
              <w:rPr>
                <w:rFonts w:eastAsia="仿宋_GB2312"/>
                <w:color w:val="000000"/>
                <w:kern w:val="0"/>
                <w:sz w:val="28"/>
                <w:szCs w:val="28"/>
              </w:rPr>
              <w:t>ISO 13485</w:t>
            </w:r>
            <w:r w:rsidRPr="0065418E">
              <w:rPr>
                <w:rFonts w:eastAsia="仿宋_GB2312"/>
                <w:color w:val="000000"/>
                <w:kern w:val="0"/>
                <w:sz w:val="28"/>
                <w:szCs w:val="28"/>
              </w:rPr>
              <w:t>、其他适用的标准或指导原则</w:t>
            </w:r>
            <w:r w:rsidRPr="0065418E">
              <w:rPr>
                <w:rFonts w:eastAsia="仿宋_GB2312"/>
                <w:color w:val="000000"/>
                <w:kern w:val="0"/>
                <w:sz w:val="28"/>
                <w:szCs w:val="28"/>
              </w:rPr>
              <w:t xml:space="preserve"> </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质量体系核查报告、</w:t>
            </w:r>
            <w:r w:rsidRPr="0065418E">
              <w:rPr>
                <w:rFonts w:eastAsia="仿宋_GB2312"/>
                <w:color w:val="000000"/>
                <w:kern w:val="0"/>
                <w:sz w:val="28"/>
                <w:szCs w:val="28"/>
              </w:rPr>
              <w:t>ISO 13485</w:t>
            </w:r>
            <w:r w:rsidRPr="0065418E">
              <w:rPr>
                <w:rFonts w:eastAsia="仿宋_GB2312"/>
                <w:color w:val="000000"/>
                <w:kern w:val="0"/>
                <w:sz w:val="28"/>
                <w:szCs w:val="28"/>
              </w:rPr>
              <w:t>证书、等</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洁净间检测报告、环境质量控制标准等</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A4.6</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以非无菌状态交付，且使用前灭菌的医疗器械：</w:t>
            </w:r>
            <w:r w:rsidRPr="0065418E">
              <w:rPr>
                <w:rFonts w:eastAsia="仿宋_GB2312"/>
                <w:color w:val="000000"/>
                <w:kern w:val="0"/>
                <w:sz w:val="28"/>
                <w:szCs w:val="28"/>
              </w:rPr>
              <w:t>a)</w:t>
            </w:r>
            <w:r w:rsidRPr="0065418E">
              <w:rPr>
                <w:rFonts w:eastAsia="仿宋_GB2312"/>
                <w:color w:val="000000"/>
                <w:kern w:val="0"/>
                <w:sz w:val="28"/>
                <w:szCs w:val="28"/>
              </w:rPr>
              <w:t>包装应当尽量减少产品受到微生物污染的风险，且应适用于申请人规定的灭菌方法。</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非无菌状态交付，且使用前灭菌的医疗器械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灭菌研究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A4.7</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proofErr w:type="gramStart"/>
            <w:r w:rsidRPr="0065418E">
              <w:rPr>
                <w:rFonts w:eastAsia="仿宋_GB2312"/>
                <w:color w:val="000000"/>
                <w:kern w:val="0"/>
                <w:sz w:val="28"/>
                <w:szCs w:val="28"/>
              </w:rPr>
              <w:t>若医疗</w:t>
            </w:r>
            <w:proofErr w:type="gramEnd"/>
            <w:r w:rsidRPr="0065418E">
              <w:rPr>
                <w:rFonts w:eastAsia="仿宋_GB2312"/>
                <w:color w:val="000000"/>
                <w:kern w:val="0"/>
                <w:sz w:val="28"/>
                <w:szCs w:val="28"/>
              </w:rPr>
              <w:t>器械可以无菌和非无菌状态交付使用，应明确标识其交付状态。</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可以无菌和非无菌状态交付使用的医疗器械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标签</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环境和使用条件</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A5.1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如医疗器械预期与其他医疗器械或设备整合使用，应确保整合使用后的系统，包括连接系统，整体的安全性，且不影响器械本身的性能。整合使用上的限制应明确标识和</w:t>
            </w:r>
            <w:r w:rsidRPr="0065418E">
              <w:rPr>
                <w:rFonts w:eastAsia="仿宋_GB2312"/>
                <w:color w:val="000000"/>
                <w:kern w:val="0"/>
                <w:sz w:val="28"/>
                <w:szCs w:val="28"/>
              </w:rPr>
              <w:t>/</w:t>
            </w:r>
            <w:r w:rsidRPr="0065418E">
              <w:rPr>
                <w:rFonts w:eastAsia="仿宋_GB2312"/>
                <w:color w:val="000000"/>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预期与其他医疗器械或设备整合使用的医疗器械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GB9706.1-2020</w:t>
            </w:r>
            <w:r w:rsidRPr="0065418E">
              <w:rPr>
                <w:rFonts w:eastAsia="仿宋_GB2312"/>
                <w:color w:val="000000"/>
                <w:kern w:val="0"/>
                <w:sz w:val="28"/>
                <w:szCs w:val="28"/>
              </w:rPr>
              <w:t>、</w:t>
            </w:r>
            <w:r w:rsidRPr="0065418E">
              <w:rPr>
                <w:rFonts w:eastAsia="仿宋_GB2312"/>
                <w:color w:val="000000"/>
                <w:kern w:val="0"/>
                <w:sz w:val="28"/>
                <w:szCs w:val="28"/>
              </w:rPr>
              <w:t>GB9706.15</w:t>
            </w:r>
            <w:r w:rsidRPr="0065418E">
              <w:rPr>
                <w:rFonts w:eastAsia="仿宋_GB2312"/>
                <w:color w:val="000000"/>
                <w:kern w:val="0"/>
                <w:sz w:val="28"/>
                <w:szCs w:val="28"/>
              </w:rPr>
              <w:t>、</w:t>
            </w:r>
            <w:r w:rsidRPr="0065418E">
              <w:rPr>
                <w:rFonts w:eastAsia="仿宋_GB2312"/>
                <w:color w:val="000000"/>
                <w:kern w:val="0"/>
                <w:sz w:val="28"/>
                <w:szCs w:val="28"/>
              </w:rPr>
              <w:t>YY/T0316</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联合使用研究、风险管理资料、说明书、产品技术要求及检测报告、可用性研究。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vMerge w:val="restart"/>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A5.2</w:t>
            </w:r>
          </w:p>
        </w:tc>
        <w:tc>
          <w:tcPr>
            <w:tcW w:w="14316" w:type="dxa"/>
            <w:gridSpan w:val="5"/>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医疗器械的设计和生产应考虑预期的使用环境和使用条件，以消除或降低下列风险：</w:t>
            </w:r>
          </w:p>
        </w:tc>
      </w:tr>
      <w:tr w:rsidR="007B4B78" w:rsidRPr="0065418E" w:rsidTr="0065418E">
        <w:trPr>
          <w:trHeight w:val="42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与物理和人体工程学</w:t>
            </w:r>
            <w:r w:rsidRPr="0065418E">
              <w:rPr>
                <w:rFonts w:eastAsia="仿宋_GB2312"/>
                <w:color w:val="000000"/>
                <w:kern w:val="0"/>
                <w:sz w:val="28"/>
                <w:szCs w:val="28"/>
              </w:rPr>
              <w:t>/</w:t>
            </w:r>
            <w:r w:rsidRPr="0065418E">
              <w:rPr>
                <w:rFonts w:eastAsia="仿宋_GB2312"/>
                <w:color w:val="000000"/>
                <w:kern w:val="0"/>
                <w:sz w:val="28"/>
                <w:szCs w:val="28"/>
              </w:rPr>
              <w:t>可用性的特性有关，对使用者或他人造成损伤的风险；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YY/T 0316</w:t>
            </w:r>
            <w:r w:rsidRPr="0065418E">
              <w:rPr>
                <w:rFonts w:eastAsia="仿宋_GB2312"/>
                <w:color w:val="000000"/>
                <w:kern w:val="0"/>
                <w:sz w:val="28"/>
                <w:szCs w:val="28"/>
              </w:rPr>
              <w:t>、</w:t>
            </w:r>
            <w:r w:rsidRPr="0065418E">
              <w:rPr>
                <w:rFonts w:eastAsia="仿宋_GB2312"/>
                <w:color w:val="000000"/>
                <w:kern w:val="0"/>
                <w:sz w:val="28"/>
                <w:szCs w:val="28"/>
              </w:rPr>
              <w:t>YY/T 9706.106</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可用性研究、风险管理资料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b) </w:t>
            </w:r>
            <w:r w:rsidRPr="0065418E">
              <w:rPr>
                <w:rFonts w:eastAsia="仿宋_GB2312"/>
                <w:color w:val="000000"/>
                <w:kern w:val="0"/>
                <w:sz w:val="28"/>
                <w:szCs w:val="28"/>
              </w:rPr>
              <w:t>由于用户界面设计、人体工程学</w:t>
            </w:r>
            <w:r w:rsidRPr="0065418E">
              <w:rPr>
                <w:rFonts w:eastAsia="仿宋_GB2312"/>
                <w:color w:val="000000"/>
                <w:kern w:val="0"/>
                <w:sz w:val="28"/>
                <w:szCs w:val="28"/>
              </w:rPr>
              <w:t>/</w:t>
            </w:r>
            <w:r w:rsidRPr="0065418E">
              <w:rPr>
                <w:rFonts w:eastAsia="仿宋_GB2312"/>
                <w:color w:val="000000"/>
                <w:kern w:val="0"/>
                <w:sz w:val="28"/>
                <w:szCs w:val="28"/>
              </w:rPr>
              <w:t>可用性的特性以及预期使用环境导致的错误操作的风险；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YY/T 0316</w:t>
            </w:r>
            <w:r w:rsidRPr="0065418E">
              <w:rPr>
                <w:rFonts w:eastAsia="仿宋_GB2312"/>
                <w:color w:val="000000"/>
                <w:kern w:val="0"/>
                <w:sz w:val="28"/>
                <w:szCs w:val="28"/>
              </w:rPr>
              <w:t>、</w:t>
            </w:r>
            <w:r w:rsidRPr="0065418E">
              <w:rPr>
                <w:rFonts w:eastAsia="仿宋_GB2312"/>
                <w:color w:val="000000"/>
                <w:kern w:val="0"/>
                <w:sz w:val="28"/>
                <w:szCs w:val="28"/>
              </w:rPr>
              <w:t>YY/T 9706.106</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可用性研究、风险管理资料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c) </w:t>
            </w:r>
            <w:r w:rsidRPr="0065418E">
              <w:rPr>
                <w:rFonts w:eastAsia="仿宋_GB2312"/>
                <w:color w:val="000000"/>
                <w:kern w:val="0"/>
                <w:sz w:val="28"/>
                <w:szCs w:val="28"/>
              </w:rPr>
              <w:t>与合理可预期的外部因素或环境条件有关的风险，如磁场、外部电磁效应、静电释放、诊断和治疗带来的辐射、压力、湿度、温度和</w:t>
            </w:r>
            <w:r w:rsidRPr="0065418E">
              <w:rPr>
                <w:rFonts w:eastAsia="仿宋_GB2312"/>
                <w:color w:val="000000"/>
                <w:kern w:val="0"/>
                <w:sz w:val="28"/>
                <w:szCs w:val="28"/>
              </w:rPr>
              <w:t>/</w:t>
            </w:r>
            <w:r w:rsidRPr="0065418E">
              <w:rPr>
                <w:rFonts w:eastAsia="仿宋_GB2312"/>
                <w:color w:val="000000"/>
                <w:kern w:val="0"/>
                <w:sz w:val="28"/>
                <w:szCs w:val="28"/>
              </w:rPr>
              <w:t>或压力和加速度的变化；</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YY0505/YY 9706.102</w:t>
            </w:r>
            <w:r w:rsidRPr="0065418E">
              <w:rPr>
                <w:rFonts w:eastAsia="仿宋_GB2312"/>
                <w:color w:val="000000"/>
                <w:kern w:val="0"/>
                <w:sz w:val="28"/>
                <w:szCs w:val="28"/>
              </w:rPr>
              <w:t>、适用的其他标准或指导原则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电磁兼容报告、辐射安全研究、风险管理资料、稳定性研究、说明书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204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d) </w:t>
            </w:r>
            <w:r w:rsidRPr="0065418E">
              <w:rPr>
                <w:rFonts w:eastAsia="仿宋_GB2312"/>
                <w:color w:val="000000"/>
                <w:kern w:val="0"/>
                <w:sz w:val="28"/>
                <w:szCs w:val="28"/>
              </w:rPr>
              <w:t>正常使用条件下与固体材料、液体和其他物质，包括气体，接触而产生的风险；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正常使用条件下与固体材料、液体和其他物质接触的医疗器械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GB16174.2-2015</w:t>
            </w:r>
            <w:r w:rsidRPr="0065418E">
              <w:rPr>
                <w:rFonts w:eastAsia="仿宋_GB2312"/>
                <w:color w:val="000000"/>
                <w:kern w:val="0"/>
                <w:sz w:val="28"/>
                <w:szCs w:val="28"/>
              </w:rPr>
              <w:t>的</w:t>
            </w:r>
            <w:r w:rsidRPr="0065418E">
              <w:rPr>
                <w:rFonts w:eastAsia="仿宋_GB2312"/>
                <w:color w:val="000000"/>
                <w:kern w:val="0"/>
                <w:sz w:val="28"/>
                <w:szCs w:val="28"/>
              </w:rPr>
              <w:t>14.2</w:t>
            </w:r>
            <w:r w:rsidRPr="0065418E">
              <w:rPr>
                <w:rFonts w:eastAsia="仿宋_GB2312"/>
                <w:color w:val="000000"/>
                <w:kern w:val="0"/>
                <w:sz w:val="28"/>
                <w:szCs w:val="28"/>
              </w:rPr>
              <w:t>关于植入式医疗器械与体液接触部分的要求、其他适用的标准或指导原则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风险管理资料、联合使用研究资料、燃爆风险研究（例如富氧环境使用）、产品技术要求及检测报告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e) </w:t>
            </w:r>
            <w:r w:rsidRPr="0065418E">
              <w:rPr>
                <w:rFonts w:eastAsia="仿宋_GB2312"/>
                <w:color w:val="000000"/>
                <w:kern w:val="0"/>
                <w:sz w:val="28"/>
                <w:szCs w:val="28"/>
              </w:rPr>
              <w:t>软件与信息技术（</w:t>
            </w:r>
            <w:r w:rsidRPr="0065418E">
              <w:rPr>
                <w:rFonts w:eastAsia="仿宋_GB2312"/>
                <w:color w:val="000000"/>
                <w:kern w:val="0"/>
                <w:sz w:val="28"/>
                <w:szCs w:val="28"/>
              </w:rPr>
              <w:t>IT</w:t>
            </w:r>
            <w:r w:rsidRPr="0065418E">
              <w:rPr>
                <w:rFonts w:eastAsia="仿宋_GB2312"/>
                <w:color w:val="000000"/>
                <w:kern w:val="0"/>
                <w:sz w:val="28"/>
                <w:szCs w:val="28"/>
              </w:rPr>
              <w:t>）运行环境的兼容性造成的风险；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含有软件的医疗器械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医疗器械软件注册技术审查指导原则、适用的标准或其他指导原则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软件研究、风险管理资料、产品技术要求及检测报告、说明书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35"/>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f) </w:t>
            </w:r>
            <w:r w:rsidRPr="0065418E">
              <w:rPr>
                <w:rFonts w:eastAsia="仿宋_GB2312"/>
                <w:color w:val="000000"/>
                <w:kern w:val="0"/>
                <w:sz w:val="28"/>
                <w:szCs w:val="28"/>
              </w:rPr>
              <w:t>正常使用过程中，医疗器械非预期析出物导致的环境风险；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与患者直接或间接接触的医疗器械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GB/T 14223.2</w:t>
            </w:r>
            <w:r w:rsidRPr="0065418E">
              <w:rPr>
                <w:rFonts w:eastAsia="仿宋_GB2312"/>
                <w:color w:val="000000"/>
                <w:kern w:val="0"/>
                <w:sz w:val="28"/>
                <w:szCs w:val="28"/>
              </w:rPr>
              <w:t>、适用的其他标准或指导原则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风险管理资料、产品技术要求（化学性能）以及检测报告、生物学特性研究（可沥滤物相关）</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g) </w:t>
            </w:r>
            <w:r w:rsidRPr="0065418E">
              <w:rPr>
                <w:rFonts w:eastAsia="仿宋_GB2312"/>
                <w:color w:val="000000"/>
                <w:kern w:val="0"/>
                <w:sz w:val="28"/>
                <w:szCs w:val="28"/>
              </w:rPr>
              <w:t>样本</w:t>
            </w:r>
            <w:r w:rsidRPr="0065418E">
              <w:rPr>
                <w:rFonts w:eastAsia="仿宋_GB2312"/>
                <w:color w:val="000000"/>
                <w:kern w:val="0"/>
                <w:sz w:val="28"/>
                <w:szCs w:val="28"/>
              </w:rPr>
              <w:t>/</w:t>
            </w:r>
            <w:r w:rsidRPr="0065418E">
              <w:rPr>
                <w:rFonts w:eastAsia="仿宋_GB2312"/>
                <w:color w:val="000000"/>
                <w:kern w:val="0"/>
                <w:sz w:val="28"/>
                <w:szCs w:val="28"/>
              </w:rPr>
              <w:t>样品</w:t>
            </w:r>
            <w:r w:rsidRPr="0065418E">
              <w:rPr>
                <w:rFonts w:eastAsia="仿宋_GB2312"/>
                <w:color w:val="000000"/>
                <w:kern w:val="0"/>
                <w:sz w:val="28"/>
                <w:szCs w:val="28"/>
              </w:rPr>
              <w:t>/</w:t>
            </w:r>
            <w:r w:rsidRPr="0065418E">
              <w:rPr>
                <w:rFonts w:eastAsia="仿宋_GB2312"/>
                <w:color w:val="000000"/>
                <w:kern w:val="0"/>
                <w:sz w:val="28"/>
                <w:szCs w:val="28"/>
              </w:rPr>
              <w:t>数据不正确识别和错误结果导致的风险，比如用于分析、测试或检测的样本容器、可拆卸部件和</w:t>
            </w:r>
            <w:r w:rsidRPr="0065418E">
              <w:rPr>
                <w:rFonts w:eastAsia="仿宋_GB2312"/>
                <w:color w:val="000000"/>
                <w:kern w:val="0"/>
                <w:sz w:val="28"/>
                <w:szCs w:val="28"/>
              </w:rPr>
              <w:t>/</w:t>
            </w:r>
            <w:r w:rsidRPr="0065418E">
              <w:rPr>
                <w:rFonts w:eastAsia="仿宋_GB2312"/>
                <w:color w:val="000000"/>
                <w:kern w:val="0"/>
                <w:sz w:val="28"/>
                <w:szCs w:val="28"/>
              </w:rPr>
              <w:t>或附件，其颜色和</w:t>
            </w:r>
            <w:r w:rsidRPr="0065418E">
              <w:rPr>
                <w:rFonts w:eastAsia="仿宋_GB2312"/>
                <w:color w:val="000000"/>
                <w:kern w:val="0"/>
                <w:sz w:val="28"/>
                <w:szCs w:val="28"/>
              </w:rPr>
              <w:t>/</w:t>
            </w:r>
            <w:r w:rsidRPr="0065418E">
              <w:rPr>
                <w:rFonts w:eastAsia="仿宋_GB2312"/>
                <w:color w:val="000000"/>
                <w:kern w:val="0"/>
                <w:sz w:val="28"/>
                <w:szCs w:val="28"/>
              </w:rPr>
              <w:t>或数字编码混淆；</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需要识别样本</w:t>
            </w:r>
            <w:r w:rsidRPr="0065418E">
              <w:rPr>
                <w:rFonts w:eastAsia="仿宋_GB2312"/>
                <w:color w:val="000000"/>
                <w:kern w:val="0"/>
                <w:sz w:val="28"/>
                <w:szCs w:val="28"/>
              </w:rPr>
              <w:t>/</w:t>
            </w:r>
            <w:r w:rsidRPr="0065418E">
              <w:rPr>
                <w:rFonts w:eastAsia="仿宋_GB2312"/>
                <w:color w:val="000000"/>
                <w:kern w:val="0"/>
                <w:sz w:val="28"/>
                <w:szCs w:val="28"/>
              </w:rPr>
              <w:t>样品</w:t>
            </w:r>
            <w:r w:rsidRPr="0065418E">
              <w:rPr>
                <w:rFonts w:eastAsia="仿宋_GB2312"/>
                <w:color w:val="000000"/>
                <w:kern w:val="0"/>
                <w:sz w:val="28"/>
                <w:szCs w:val="28"/>
              </w:rPr>
              <w:t>/</w:t>
            </w:r>
            <w:r w:rsidRPr="0065418E">
              <w:rPr>
                <w:rFonts w:eastAsia="仿宋_GB2312"/>
                <w:color w:val="000000"/>
                <w:kern w:val="0"/>
                <w:sz w:val="28"/>
                <w:szCs w:val="28"/>
              </w:rPr>
              <w:t>数据的医疗器械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风险管理资料、可用性研究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h) </w:t>
            </w:r>
            <w:r w:rsidRPr="0065418E">
              <w:rPr>
                <w:rFonts w:eastAsia="仿宋_GB2312"/>
                <w:color w:val="000000"/>
                <w:kern w:val="0"/>
                <w:sz w:val="28"/>
                <w:szCs w:val="28"/>
              </w:rPr>
              <w:t>与其他用于诊断、监测或治疗的医疗器械互相干扰导致的风险。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YY0505/YY9706.102</w:t>
            </w:r>
            <w:r w:rsidRPr="0065418E">
              <w:rPr>
                <w:rFonts w:eastAsia="仿宋_GB2312"/>
                <w:color w:val="000000"/>
                <w:kern w:val="0"/>
                <w:sz w:val="28"/>
                <w:szCs w:val="28"/>
              </w:rPr>
              <w:t>、</w:t>
            </w:r>
            <w:r w:rsidRPr="0065418E">
              <w:rPr>
                <w:rFonts w:eastAsia="仿宋_GB2312"/>
                <w:color w:val="000000"/>
                <w:kern w:val="0"/>
                <w:sz w:val="28"/>
                <w:szCs w:val="28"/>
              </w:rPr>
              <w:t>GB/T18268.1</w:t>
            </w:r>
            <w:r w:rsidRPr="0065418E">
              <w:rPr>
                <w:rFonts w:eastAsia="仿宋_GB2312"/>
                <w:color w:val="000000"/>
                <w:kern w:val="0"/>
                <w:sz w:val="28"/>
                <w:szCs w:val="28"/>
              </w:rPr>
              <w:t>、</w:t>
            </w:r>
            <w:r w:rsidRPr="0065418E">
              <w:rPr>
                <w:rFonts w:eastAsia="仿宋_GB2312"/>
                <w:color w:val="000000"/>
                <w:kern w:val="0"/>
                <w:sz w:val="28"/>
                <w:szCs w:val="28"/>
              </w:rPr>
              <w:t>GB/T18268.26</w:t>
            </w:r>
            <w:r w:rsidRPr="0065418E">
              <w:rPr>
                <w:rFonts w:eastAsia="仿宋_GB2312"/>
                <w:color w:val="000000"/>
                <w:kern w:val="0"/>
                <w:sz w:val="28"/>
                <w:szCs w:val="28"/>
              </w:rPr>
              <w:t>、适用的其他标准或指导原则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风险管理资料、电磁兼容检测报告、联合使用研究（例如</w:t>
            </w:r>
            <w:r w:rsidRPr="0065418E">
              <w:rPr>
                <w:rFonts w:eastAsia="仿宋_GB2312"/>
                <w:color w:val="000000"/>
                <w:kern w:val="0"/>
                <w:sz w:val="28"/>
                <w:szCs w:val="28"/>
              </w:rPr>
              <w:t>MRI</w:t>
            </w:r>
            <w:r w:rsidRPr="0065418E">
              <w:rPr>
                <w:rFonts w:eastAsia="仿宋_GB2312"/>
                <w:color w:val="000000"/>
                <w:kern w:val="0"/>
                <w:sz w:val="28"/>
                <w:szCs w:val="28"/>
              </w:rPr>
              <w:t>兼容）</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医疗器械的设计和生产应消除或降低在正常状态及单一故障状态下燃烧和爆炸的风险，尤其是预期用途包括暴露于易燃、易爆物质或其他可</w:t>
            </w:r>
            <w:proofErr w:type="gramStart"/>
            <w:r w:rsidRPr="0065418E">
              <w:rPr>
                <w:rFonts w:eastAsia="仿宋_GB2312"/>
                <w:color w:val="000000"/>
                <w:kern w:val="0"/>
                <w:sz w:val="28"/>
                <w:szCs w:val="28"/>
              </w:rPr>
              <w:t>致燃物相关</w:t>
            </w:r>
            <w:proofErr w:type="gramEnd"/>
            <w:r w:rsidRPr="0065418E">
              <w:rPr>
                <w:rFonts w:eastAsia="仿宋_GB2312"/>
                <w:color w:val="000000"/>
                <w:kern w:val="0"/>
                <w:sz w:val="28"/>
                <w:szCs w:val="28"/>
              </w:rPr>
              <w:t>的器械联用。</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有燃爆风险的医疗器械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GB9706.1-2020</w:t>
            </w:r>
            <w:r w:rsidRPr="0065418E">
              <w:rPr>
                <w:rFonts w:eastAsia="仿宋_GB2312"/>
                <w:color w:val="000000"/>
                <w:kern w:val="0"/>
                <w:sz w:val="28"/>
                <w:szCs w:val="28"/>
              </w:rPr>
              <w:t>中</w:t>
            </w:r>
            <w:r w:rsidRPr="0065418E">
              <w:rPr>
                <w:rFonts w:eastAsia="仿宋_GB2312"/>
                <w:color w:val="000000"/>
                <w:kern w:val="0"/>
                <w:sz w:val="28"/>
                <w:szCs w:val="28"/>
              </w:rPr>
              <w:t>11</w:t>
            </w:r>
            <w:r w:rsidRPr="0065418E">
              <w:rPr>
                <w:rFonts w:eastAsia="仿宋_GB2312"/>
                <w:color w:val="000000"/>
                <w:kern w:val="0"/>
                <w:sz w:val="28"/>
                <w:szCs w:val="28"/>
              </w:rPr>
              <w:t>章、</w:t>
            </w:r>
            <w:r w:rsidRPr="0065418E">
              <w:rPr>
                <w:rFonts w:eastAsia="仿宋_GB2312"/>
                <w:color w:val="000000"/>
                <w:kern w:val="0"/>
                <w:sz w:val="28"/>
                <w:szCs w:val="28"/>
              </w:rPr>
              <w:t>GB4793.1-2007</w:t>
            </w:r>
            <w:r w:rsidRPr="0065418E">
              <w:rPr>
                <w:rFonts w:eastAsia="仿宋_GB2312"/>
                <w:color w:val="000000"/>
                <w:kern w:val="0"/>
                <w:sz w:val="28"/>
                <w:szCs w:val="28"/>
              </w:rPr>
              <w:t>的</w:t>
            </w:r>
            <w:r w:rsidRPr="0065418E">
              <w:rPr>
                <w:rFonts w:eastAsia="仿宋_GB2312"/>
                <w:color w:val="000000"/>
                <w:kern w:val="0"/>
                <w:sz w:val="28"/>
                <w:szCs w:val="28"/>
              </w:rPr>
              <w:t>13.2</w:t>
            </w:r>
            <w:r w:rsidRPr="0065418E">
              <w:rPr>
                <w:rFonts w:eastAsia="仿宋_GB2312"/>
                <w:color w:val="000000"/>
                <w:kern w:val="0"/>
                <w:sz w:val="28"/>
                <w:szCs w:val="28"/>
              </w:rPr>
              <w:t>、适用的其他标准或指导原则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风险管理资料、燃爆风险研究、检测报告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vMerge w:val="restart"/>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医疗器械的设计和生产应能确保调整、校准和维护过程能够安全有效的完成。</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对无法进行维护的医疗器械，如植入物，应尽量降低材料老化等风险；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无法进行维护的医疗器械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风险管理资料、稳定性研究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b) </w:t>
            </w:r>
            <w:r w:rsidRPr="0065418E">
              <w:rPr>
                <w:rFonts w:eastAsia="仿宋_GB2312"/>
                <w:color w:val="000000"/>
                <w:kern w:val="0"/>
                <w:sz w:val="28"/>
                <w:szCs w:val="28"/>
              </w:rPr>
              <w:t>对无法进行调整和校准的医疗器械，如某些类型的温度计，应尽量降低测量或控制机制精度的损失风险。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无法进行调整和校准的医疗器械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风险管理资料、稳定性研究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2524"/>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A5.5</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与其他医疗器械或产品联合使用的医疗器械，其设计和生产应能保证互操作性和兼容性可靠且安全。</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与其他医疗器械或产品联合使用的医疗器械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医疗器械软件注册技术审查指导原则、</w:t>
            </w:r>
            <w:r w:rsidRPr="0065418E">
              <w:rPr>
                <w:rFonts w:eastAsia="仿宋_GB2312"/>
                <w:color w:val="000000"/>
                <w:kern w:val="0"/>
                <w:sz w:val="28"/>
                <w:szCs w:val="28"/>
              </w:rPr>
              <w:t>GB16174.1-2015</w:t>
            </w:r>
            <w:r w:rsidRPr="0065418E">
              <w:rPr>
                <w:rFonts w:eastAsia="仿宋_GB2312"/>
                <w:color w:val="000000"/>
                <w:kern w:val="0"/>
                <w:sz w:val="28"/>
                <w:szCs w:val="28"/>
              </w:rPr>
              <w:t>的</w:t>
            </w:r>
            <w:r w:rsidRPr="0065418E">
              <w:rPr>
                <w:rFonts w:eastAsia="仿宋_GB2312"/>
                <w:color w:val="000000"/>
                <w:kern w:val="0"/>
                <w:sz w:val="28"/>
                <w:szCs w:val="28"/>
              </w:rPr>
              <w:t>22</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联合使用研究、互操作性研究、产品技术要求及检测报告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964"/>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A5.6</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医疗器械的设计和生产应能降低未经授权的访问风险，这种访问可能会妨碍器械正常运行，或造成安全隐患。</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有访问界面的医疗器械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医疗器械网络安全注册技术审查指导原则、其他适用的标准或指导原则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网络安全研究、产品技术要求及检测报告</w:t>
            </w:r>
            <w:r w:rsidRPr="0065418E">
              <w:rPr>
                <w:rFonts w:eastAsia="仿宋_GB2312"/>
                <w:color w:val="000000"/>
                <w:kern w:val="0"/>
                <w:sz w:val="28"/>
                <w:szCs w:val="28"/>
              </w:rPr>
              <w:t>(</w:t>
            </w:r>
            <w:r w:rsidRPr="0065418E">
              <w:rPr>
                <w:rFonts w:eastAsia="仿宋_GB2312"/>
                <w:color w:val="000000"/>
                <w:kern w:val="0"/>
                <w:sz w:val="28"/>
                <w:szCs w:val="28"/>
              </w:rPr>
              <w:t>访问控制</w:t>
            </w:r>
            <w:r w:rsidRPr="0065418E">
              <w:rPr>
                <w:rFonts w:eastAsia="仿宋_GB2312"/>
                <w:color w:val="000000"/>
                <w:kern w:val="0"/>
                <w:sz w:val="28"/>
                <w:szCs w:val="28"/>
              </w:rPr>
              <w:t>)</w:t>
            </w:r>
            <w:r w:rsidRPr="0065418E">
              <w:rPr>
                <w:rFonts w:eastAsia="仿宋_GB2312"/>
                <w:color w:val="000000"/>
                <w:kern w:val="0"/>
                <w:sz w:val="28"/>
                <w:szCs w:val="28"/>
              </w:rPr>
              <w:t>、风险管理资料、说明书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3381"/>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A5.7</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具有测量、监视或有数值显示功能的医疗器械，其设计和生产应符合人体工程学</w:t>
            </w:r>
            <w:r w:rsidRPr="0065418E">
              <w:rPr>
                <w:rFonts w:eastAsia="仿宋_GB2312"/>
                <w:color w:val="000000"/>
                <w:kern w:val="0"/>
                <w:sz w:val="28"/>
                <w:szCs w:val="28"/>
              </w:rPr>
              <w:t>/</w:t>
            </w:r>
            <w:r w:rsidRPr="0065418E">
              <w:rPr>
                <w:rFonts w:eastAsia="仿宋_GB2312"/>
                <w:color w:val="000000"/>
                <w:kern w:val="0"/>
                <w:sz w:val="28"/>
                <w:szCs w:val="28"/>
              </w:rPr>
              <w:t>可用性原则，并应顾及器械预期用途、预期使用者、使用环境。</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具有测量、监视或有数值显示功能的医疗器械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IEC62366</w:t>
            </w:r>
            <w:r w:rsidRPr="0065418E">
              <w:rPr>
                <w:rFonts w:eastAsia="仿宋_GB2312"/>
                <w:color w:val="000000"/>
                <w:kern w:val="0"/>
                <w:sz w:val="28"/>
                <w:szCs w:val="28"/>
              </w:rPr>
              <w:t>系列、</w:t>
            </w:r>
            <w:r w:rsidRPr="0065418E">
              <w:rPr>
                <w:rFonts w:eastAsia="仿宋_GB2312"/>
                <w:color w:val="000000"/>
                <w:kern w:val="0"/>
                <w:sz w:val="28"/>
                <w:szCs w:val="28"/>
              </w:rPr>
              <w:t>YY/T 9706.106</w:t>
            </w:r>
            <w:r w:rsidRPr="0065418E">
              <w:rPr>
                <w:rFonts w:eastAsia="仿宋_GB2312"/>
                <w:color w:val="000000"/>
                <w:kern w:val="0"/>
                <w:sz w:val="28"/>
                <w:szCs w:val="28"/>
              </w:rPr>
              <w:t>、</w:t>
            </w:r>
            <w:r w:rsidRPr="0065418E">
              <w:rPr>
                <w:rFonts w:eastAsia="仿宋_GB2312"/>
                <w:color w:val="000000"/>
                <w:kern w:val="0"/>
                <w:sz w:val="28"/>
                <w:szCs w:val="28"/>
              </w:rPr>
              <w:t>Applying Human Factors and Usability Engineering to Medical Devices</w:t>
            </w:r>
            <w:r w:rsidRPr="0065418E">
              <w:rPr>
                <w:rFonts w:eastAsia="仿宋_GB2312"/>
                <w:color w:val="000000"/>
                <w:kern w:val="0"/>
                <w:sz w:val="28"/>
                <w:szCs w:val="28"/>
              </w:rPr>
              <w:t>（</w:t>
            </w:r>
            <w:r w:rsidRPr="0065418E">
              <w:rPr>
                <w:rFonts w:eastAsia="仿宋_GB2312"/>
                <w:color w:val="000000"/>
                <w:kern w:val="0"/>
                <w:sz w:val="28"/>
                <w:szCs w:val="28"/>
              </w:rPr>
              <w:t>FDA</w:t>
            </w:r>
            <w:r w:rsidRPr="0065418E">
              <w:rPr>
                <w:rFonts w:eastAsia="仿宋_GB2312"/>
                <w:color w:val="000000"/>
                <w:kern w:val="0"/>
                <w:sz w:val="28"/>
                <w:szCs w:val="28"/>
              </w:rPr>
              <w:t>指南）、其他适用的标准或指导原则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可用性研究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A5.8</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医疗器械的设计和生产应便于使用者、患者或其他人员对</w:t>
            </w:r>
            <w:proofErr w:type="gramStart"/>
            <w:r w:rsidRPr="0065418E">
              <w:rPr>
                <w:rFonts w:eastAsia="仿宋_GB2312"/>
                <w:color w:val="000000"/>
                <w:kern w:val="0"/>
                <w:sz w:val="28"/>
                <w:szCs w:val="28"/>
              </w:rPr>
              <w:t>其以及</w:t>
            </w:r>
            <w:proofErr w:type="gramEnd"/>
            <w:r w:rsidRPr="0065418E">
              <w:rPr>
                <w:rFonts w:eastAsia="仿宋_GB2312"/>
                <w:color w:val="000000"/>
                <w:kern w:val="0"/>
                <w:sz w:val="28"/>
                <w:szCs w:val="28"/>
              </w:rPr>
              <w:t>相关废弃物的安全处置或再利用。使用说明书应明确安全处置或回收的程序和方法。</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6</w:t>
            </w:r>
            <w:r w:rsidRPr="0065418E">
              <w:rPr>
                <w:rFonts w:eastAsia="仿宋_GB2312"/>
                <w:color w:val="000000"/>
                <w:kern w:val="0"/>
                <w:sz w:val="28"/>
                <w:szCs w:val="28"/>
              </w:rPr>
              <w:t>号令、其他适用的标准或指导原则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A6</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对电气、机械和热风险的防护</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A6.1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医疗器械的设计和生产应具有机械相关的防护，保护使用者免于承受由诸如运动阻力、不稳定性和活动部件等引起的机械风险。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具有机械风险的医疗器械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color w:val="000000"/>
                <w:kern w:val="0"/>
                <w:sz w:val="28"/>
                <w:szCs w:val="28"/>
              </w:rPr>
              <w:t>GB4793.1</w:t>
            </w:r>
            <w:r w:rsidRPr="0065418E">
              <w:rPr>
                <w:rFonts w:eastAsia="仿宋_GB2312"/>
                <w:color w:val="000000"/>
                <w:kern w:val="0"/>
                <w:sz w:val="28"/>
                <w:szCs w:val="28"/>
              </w:rPr>
              <w:t>中机械风险、其他适用的标准或指导原则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A6.2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除非振动是器械特定性能的一部分，否则医疗器械的设计和生产应将产品振动导致的风险降到最低，应尽量采用限制振动（特别是振动源）的方法。</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具有振动风险的医疗器械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GB9706.1-2020</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A6.3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除非噪声是器械特定性能的一部分，否则医疗器械设计和生产应将产品噪声导致的风险降到最低，应尽量采用限制噪声（特别是噪声源）的方法。</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具有噪声的医疗器器械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r w:rsidRPr="0065418E">
              <w:rPr>
                <w:rFonts w:eastAsia="仿宋_GB2312"/>
                <w:color w:val="000000"/>
                <w:kern w:val="0"/>
                <w:sz w:val="28"/>
                <w:szCs w:val="28"/>
              </w:rPr>
              <w:t>GB9706.1-2020</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204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A6.4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如果医疗器械的部件在使用前或使用中需要进行连接或重新连接，其设计和生产应降低这些部件间的连接故障风险。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医疗器械的部件在使用前或使用中需要进行连接或重新连接的</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A6.5</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医疗器械的可接触部件（不包括用于供热或既定温度设置部位）及其周围环境，在正常使用时不应存在过热风险。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color w:val="000000"/>
                <w:kern w:val="0"/>
                <w:sz w:val="28"/>
                <w:szCs w:val="28"/>
              </w:rPr>
              <w:t>GB4793.6</w:t>
            </w:r>
            <w:r w:rsidRPr="0065418E">
              <w:rPr>
                <w:rFonts w:eastAsia="仿宋_GB2312"/>
                <w:color w:val="000000"/>
                <w:kern w:val="0"/>
                <w:sz w:val="28"/>
                <w:szCs w:val="28"/>
              </w:rPr>
              <w:t>中超温</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有源医疗器械及与其连接的医疗器械</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当有源医疗器械发生单一故障时，应采取适当的措施消除或降低因此而产生的风险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color w:val="000000"/>
                <w:kern w:val="0"/>
                <w:sz w:val="28"/>
                <w:szCs w:val="28"/>
              </w:rPr>
              <w:t>GB4793.1</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患者的安全依赖于内部电源供电的医疗器械，应具有检测供电状态的功能，并在电源容量不足时提供适当的提示或警告。</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患者的安全依赖于内部电源供电的医疗器械</w:t>
            </w:r>
          </w:p>
        </w:tc>
        <w:tc>
          <w:tcPr>
            <w:tcW w:w="3111" w:type="dxa"/>
            <w:shd w:val="clear" w:color="auto" w:fill="auto"/>
            <w:vAlign w:val="center"/>
            <w:hideMark/>
          </w:tcPr>
          <w:p w:rsidR="007B4B78" w:rsidRPr="0065418E" w:rsidRDefault="007B4B78" w:rsidP="0065418E">
            <w:pPr>
              <w:widowControl/>
              <w:rPr>
                <w:rFonts w:eastAsia="仿宋_GB2312"/>
                <w:kern w:val="0"/>
                <w:sz w:val="28"/>
                <w:szCs w:val="28"/>
              </w:rPr>
            </w:pPr>
            <w:r w:rsidRPr="0065418E">
              <w:rPr>
                <w:rFonts w:eastAsia="仿宋_GB2312"/>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4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A7.3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患者的安全取决于外部电源供电状态的医疗器械，应包括可显示任何电源故障的报警系统。</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患者的安全取决于外部电源供电状态的医疗器械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YY0709/YY9706.108</w:t>
            </w:r>
            <w:r w:rsidRPr="0065418E">
              <w:rPr>
                <w:rFonts w:eastAsia="仿宋_GB2312"/>
                <w:color w:val="000000"/>
                <w:kern w:val="0"/>
                <w:sz w:val="28"/>
                <w:szCs w:val="28"/>
              </w:rPr>
              <w:t>、</w:t>
            </w:r>
            <w:r w:rsidRPr="0065418E">
              <w:rPr>
                <w:rFonts w:eastAsia="仿宋_GB2312"/>
                <w:color w:val="000000"/>
                <w:kern w:val="0"/>
                <w:sz w:val="28"/>
                <w:szCs w:val="28"/>
              </w:rPr>
              <w:t>GB9706.28/GB9706.212</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用于监视患者一个或多个临床指标的医疗器械，必须配备适当报警系统，在患者健康状况恶化或危及生命时，向使用者发出警报。</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用于监视患者一个或多个临床指标的医疗器械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YY0709/YY9706.108</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产品技术要求以及检测报告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A7.5</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鉴于电磁干扰可能会损害正常运行的装置或设备，医疗器械的设计和生产应降低产生电磁干扰的风险。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YY0505/YY9706.102</w:t>
            </w:r>
            <w:r w:rsidRPr="0065418E">
              <w:rPr>
                <w:rFonts w:eastAsia="仿宋_GB2312"/>
                <w:color w:val="000000"/>
                <w:kern w:val="0"/>
                <w:sz w:val="28"/>
                <w:szCs w:val="28"/>
              </w:rPr>
              <w:t>、</w:t>
            </w:r>
            <w:r w:rsidRPr="0065418E">
              <w:rPr>
                <w:rFonts w:eastAsia="仿宋_GB2312"/>
                <w:color w:val="000000"/>
                <w:kern w:val="0"/>
                <w:sz w:val="28"/>
                <w:szCs w:val="28"/>
              </w:rPr>
              <w:t>GB/T18268.1</w:t>
            </w:r>
            <w:r w:rsidRPr="0065418E">
              <w:rPr>
                <w:rFonts w:eastAsia="仿宋_GB2312"/>
                <w:color w:val="000000"/>
                <w:kern w:val="0"/>
                <w:sz w:val="28"/>
                <w:szCs w:val="28"/>
              </w:rPr>
              <w:t>、</w:t>
            </w:r>
            <w:r w:rsidRPr="0065418E">
              <w:rPr>
                <w:rFonts w:eastAsia="仿宋_GB2312"/>
                <w:color w:val="000000"/>
                <w:kern w:val="0"/>
                <w:sz w:val="28"/>
                <w:szCs w:val="28"/>
              </w:rPr>
              <w:t>GB/T18268.26</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电磁兼容检测报告、风险管理资料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A7.6</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医疗器械的设计和生产，应确保产品具有足够的抗电磁干扰能力，以确保产品的正常运行。</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YY0505/YY9706.102</w:t>
            </w:r>
            <w:r w:rsidRPr="0065418E">
              <w:rPr>
                <w:rFonts w:eastAsia="仿宋_GB2312"/>
                <w:color w:val="000000"/>
                <w:kern w:val="0"/>
                <w:sz w:val="28"/>
                <w:szCs w:val="28"/>
              </w:rPr>
              <w:t>、</w:t>
            </w:r>
            <w:r w:rsidRPr="0065418E">
              <w:rPr>
                <w:rFonts w:eastAsia="仿宋_GB2312"/>
                <w:color w:val="000000"/>
                <w:kern w:val="0"/>
                <w:sz w:val="28"/>
                <w:szCs w:val="28"/>
              </w:rPr>
              <w:t>GB/T18268.1</w:t>
            </w:r>
            <w:r w:rsidRPr="0065418E">
              <w:rPr>
                <w:rFonts w:eastAsia="仿宋_GB2312"/>
                <w:color w:val="000000"/>
                <w:kern w:val="0"/>
                <w:sz w:val="28"/>
                <w:szCs w:val="28"/>
              </w:rPr>
              <w:t>、</w:t>
            </w:r>
            <w:r w:rsidRPr="0065418E">
              <w:rPr>
                <w:rFonts w:eastAsia="仿宋_GB2312"/>
                <w:color w:val="000000"/>
                <w:kern w:val="0"/>
                <w:sz w:val="28"/>
                <w:szCs w:val="28"/>
              </w:rPr>
              <w:t>GB/T18268.26</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电磁兼容检测报告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A7.7</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当产品按申请人的说明进行安装和维护，在正常状态和单一故障状态时，医疗器械的设计和生产应减少使用者和他人免于遭受意外电击的风险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有源医疗器械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color w:val="000000"/>
                <w:kern w:val="0"/>
                <w:sz w:val="28"/>
                <w:szCs w:val="28"/>
              </w:rPr>
              <w:t>GB4793.1</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检测报告、风险管理资料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A8</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含有软件的医疗器械以及独立软件</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A8.1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含有软件的医疗器械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GB/T 20438.1</w:t>
            </w:r>
            <w:r w:rsidRPr="0065418E">
              <w:rPr>
                <w:rFonts w:eastAsia="仿宋_GB2312"/>
                <w:color w:val="000000"/>
                <w:kern w:val="0"/>
                <w:sz w:val="28"/>
                <w:szCs w:val="28"/>
              </w:rPr>
              <w:t>、</w:t>
            </w:r>
            <w:r w:rsidRPr="0065418E">
              <w:rPr>
                <w:rFonts w:eastAsia="仿宋_GB2312"/>
                <w:color w:val="000000"/>
                <w:kern w:val="0"/>
                <w:sz w:val="28"/>
                <w:szCs w:val="28"/>
              </w:rPr>
              <w:t>GB16174.1-2015</w:t>
            </w:r>
            <w:r w:rsidRPr="0065418E">
              <w:rPr>
                <w:rFonts w:eastAsia="仿宋_GB2312"/>
                <w:color w:val="000000"/>
                <w:kern w:val="0"/>
                <w:sz w:val="28"/>
                <w:szCs w:val="28"/>
              </w:rPr>
              <w:t>的</w:t>
            </w:r>
            <w:r w:rsidRPr="0065418E">
              <w:rPr>
                <w:rFonts w:eastAsia="仿宋_GB2312"/>
                <w:color w:val="000000"/>
                <w:kern w:val="0"/>
                <w:sz w:val="28"/>
                <w:szCs w:val="28"/>
              </w:rPr>
              <w:t>19.3</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风险管理资料、软件研究、产品技术要求及检测报告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547"/>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A8.2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含有软件组件的医疗器械或独立软件，应根据先进技术进行开发、生产和维护，同时应考虑开发生存周期（如快速迭代开发、频繁更新、更新的累积效应）、风险管理（如系统、环境和数据的变化）等原则</w:t>
            </w:r>
            <w:r w:rsidRPr="0065418E">
              <w:rPr>
                <w:rFonts w:eastAsia="仿宋_GB2312"/>
                <w:color w:val="FF0000"/>
                <w:kern w:val="0"/>
                <w:sz w:val="28"/>
                <w:szCs w:val="28"/>
              </w:rPr>
              <w:t>，</w:t>
            </w:r>
            <w:r w:rsidRPr="0065418E">
              <w:rPr>
                <w:rFonts w:eastAsia="仿宋_GB2312"/>
                <w:color w:val="000000"/>
                <w:kern w:val="0"/>
                <w:sz w:val="28"/>
                <w:szCs w:val="28"/>
              </w:rPr>
              <w:t>包括信息安全（如安全地进行更新）、验证和确认（如更新管理过程）的要求。</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含有软件的医疗器械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GB/T 20438</w:t>
            </w:r>
            <w:r w:rsidRPr="0065418E">
              <w:rPr>
                <w:rFonts w:eastAsia="仿宋_GB2312"/>
                <w:color w:val="000000"/>
                <w:kern w:val="0"/>
                <w:sz w:val="28"/>
                <w:szCs w:val="28"/>
              </w:rPr>
              <w:t>系列、</w:t>
            </w:r>
            <w:r w:rsidRPr="0065418E">
              <w:rPr>
                <w:rFonts w:eastAsia="仿宋_GB2312"/>
                <w:color w:val="000000"/>
                <w:kern w:val="0"/>
                <w:sz w:val="28"/>
                <w:szCs w:val="28"/>
              </w:rPr>
              <w:t>GB/T 20918</w:t>
            </w:r>
            <w:r w:rsidRPr="0065418E">
              <w:rPr>
                <w:rFonts w:eastAsia="仿宋_GB2312"/>
                <w:color w:val="000000"/>
                <w:kern w:val="0"/>
                <w:sz w:val="28"/>
                <w:szCs w:val="28"/>
              </w:rPr>
              <w:t>等、医疗器械软件注册技术审查指导原则、其他适用的标准或指导原则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软件研究、网络安全研究、风险管理资料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A8.3</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预期与移动计算平台整合使用的软件，其设计和开发，应考虑平台本身（如屏幕尺寸和对比度、联通性、内存等）以及与其使用相关的外部因素（不同环境下的照明或噪声水平）。</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预期与移动计算平台整合使用的软件</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移动医疗器械注册技术审查指导原则、其他适用的标准或指导原则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移动医疗技术研究资料、</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A8.4</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申请人应规定软件按照预期正常运行所必须的最低要求，如硬件、</w:t>
            </w:r>
            <w:r w:rsidRPr="0065418E">
              <w:rPr>
                <w:rFonts w:eastAsia="仿宋_GB2312"/>
                <w:color w:val="000000"/>
                <w:kern w:val="0"/>
                <w:sz w:val="28"/>
                <w:szCs w:val="28"/>
              </w:rPr>
              <w:t>IT</w:t>
            </w:r>
            <w:r w:rsidRPr="0065418E">
              <w:rPr>
                <w:rFonts w:eastAsia="仿宋_GB2312"/>
                <w:color w:val="000000"/>
                <w:kern w:val="0"/>
                <w:sz w:val="28"/>
                <w:szCs w:val="28"/>
              </w:rPr>
              <w:t>网络特性和</w:t>
            </w:r>
            <w:r w:rsidRPr="0065418E">
              <w:rPr>
                <w:rFonts w:eastAsia="仿宋_GB2312"/>
                <w:color w:val="000000"/>
                <w:kern w:val="0"/>
                <w:sz w:val="28"/>
                <w:szCs w:val="28"/>
              </w:rPr>
              <w:t>IT</w:t>
            </w:r>
            <w:r w:rsidRPr="0065418E">
              <w:rPr>
                <w:rFonts w:eastAsia="仿宋_GB2312"/>
                <w:color w:val="000000"/>
                <w:kern w:val="0"/>
                <w:sz w:val="28"/>
                <w:szCs w:val="28"/>
              </w:rPr>
              <w:t>网络安全措施，包括未经授权的访问。</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含有软件的医疗器械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医疗器械网络安全注册技术审查指导原则、医疗器械软件注册技术审查指导原则、其他适用的标准或指导原则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软件研究、产品技术要求及检测报告、网络安全研究、风险管理资料、说明书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A8.5</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医疗器械的设计、生产和维护应能提供足够的网络安全水平，以防止未经授权的访问</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具有访问界面的医疗器械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医疗器械网络安全注册技术审查指导原则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网络安全研究、产品技术要求及检测报告、风险管理资料、说明书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A9</w:t>
            </w:r>
          </w:p>
        </w:tc>
        <w:tc>
          <w:tcPr>
            <w:tcW w:w="14316" w:type="dxa"/>
            <w:gridSpan w:val="5"/>
            <w:shd w:val="clear" w:color="auto" w:fill="auto"/>
            <w:vAlign w:val="center"/>
          </w:tcPr>
          <w:p w:rsidR="007B4B78" w:rsidRPr="0065418E" w:rsidRDefault="007B4B78" w:rsidP="0065418E">
            <w:pPr>
              <w:spacing w:line="400" w:lineRule="exact"/>
              <w:rPr>
                <w:rFonts w:eastAsia="仿宋_GB2312"/>
                <w:color w:val="000000"/>
                <w:kern w:val="0"/>
                <w:sz w:val="28"/>
                <w:szCs w:val="28"/>
              </w:rPr>
            </w:pPr>
            <w:r w:rsidRPr="0065418E">
              <w:rPr>
                <w:rFonts w:eastAsia="仿宋_GB2312"/>
                <w:color w:val="000000"/>
                <w:kern w:val="0"/>
                <w:sz w:val="28"/>
                <w:szCs w:val="28"/>
              </w:rPr>
              <w:t>具有诊断或测量功能的医疗器械</w:t>
            </w:r>
          </w:p>
        </w:tc>
      </w:tr>
      <w:tr w:rsidR="007B4B78" w:rsidRPr="0065418E" w:rsidTr="0065418E">
        <w:trPr>
          <w:trHeight w:val="1635"/>
          <w:jc w:val="center"/>
        </w:trPr>
        <w:tc>
          <w:tcPr>
            <w:tcW w:w="983" w:type="dxa"/>
            <w:vMerge w:val="restart"/>
            <w:shd w:val="clear" w:color="auto" w:fill="auto"/>
            <w:vAlign w:val="center"/>
            <w:hideMark/>
          </w:tcPr>
          <w:p w:rsidR="007B4B78" w:rsidRPr="0065418E" w:rsidRDefault="007B4B78" w:rsidP="00C1271F">
            <w:pPr>
              <w:widowControl/>
              <w:jc w:val="center"/>
              <w:rPr>
                <w:rFonts w:eastAsia="仿宋_GB2312"/>
                <w:color w:val="000000"/>
                <w:kern w:val="0"/>
                <w:sz w:val="28"/>
                <w:szCs w:val="28"/>
              </w:rPr>
            </w:pPr>
            <w:r w:rsidRPr="0065418E">
              <w:rPr>
                <w:rFonts w:eastAsia="仿宋_GB2312"/>
                <w:color w:val="000000"/>
                <w:kern w:val="0"/>
                <w:sz w:val="28"/>
                <w:szCs w:val="28"/>
              </w:rPr>
              <w:t>A9.1</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具有诊断或测量（包括监测）功能的医疗器械的设计和生产，应基于适当的科技方法，除其他性能外，还应确保相应的准确度、精密度和稳定性，以实现其预期目的。</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具有诊断或测量（包括监测）功能的医疗器械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适用的标准（例如</w:t>
            </w:r>
            <w:r w:rsidRPr="0065418E">
              <w:rPr>
                <w:rFonts w:eastAsia="仿宋_GB2312"/>
                <w:color w:val="000000"/>
                <w:kern w:val="0"/>
                <w:sz w:val="28"/>
                <w:szCs w:val="28"/>
              </w:rPr>
              <w:t>YY9706.247</w:t>
            </w:r>
            <w:r w:rsidRPr="0065418E">
              <w:rPr>
                <w:rFonts w:eastAsia="仿宋_GB2312"/>
                <w:color w:val="000000"/>
                <w:kern w:val="0"/>
                <w:sz w:val="28"/>
                <w:szCs w:val="28"/>
              </w:rPr>
              <w:t>）或指导原则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稳定性研究资料、测量准确性研究资料、产品技术要求、检测报告、说明书、软件研究</w:t>
            </w:r>
            <w:r w:rsidRPr="0065418E">
              <w:rPr>
                <w:rFonts w:eastAsia="仿宋_GB2312"/>
                <w:color w:val="000000"/>
                <w:kern w:val="0"/>
                <w:sz w:val="28"/>
                <w:szCs w:val="28"/>
              </w:rPr>
              <w:t>(</w:t>
            </w:r>
            <w:r w:rsidRPr="0065418E">
              <w:rPr>
                <w:rFonts w:eastAsia="仿宋_GB2312"/>
                <w:color w:val="000000"/>
                <w:kern w:val="0"/>
                <w:sz w:val="28"/>
                <w:szCs w:val="28"/>
              </w:rPr>
              <w:t>算法验证与确认</w:t>
            </w:r>
            <w:r w:rsidRPr="0065418E">
              <w:rPr>
                <w:rFonts w:eastAsia="仿宋_GB2312"/>
                <w:color w:val="000000"/>
                <w:kern w:val="0"/>
                <w:sz w:val="28"/>
                <w:szCs w:val="28"/>
              </w:rPr>
              <w:t>)</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114"/>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申请人应规定准确度限值（如适用）。</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具有诊断或测量（包括监测）功能的医疗器械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产品技术要求、检测报告</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635"/>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b) </w:t>
            </w:r>
            <w:r w:rsidRPr="0065418E">
              <w:rPr>
                <w:rFonts w:eastAsia="仿宋_GB2312"/>
                <w:color w:val="000000"/>
                <w:kern w:val="0"/>
                <w:sz w:val="28"/>
                <w:szCs w:val="28"/>
              </w:rPr>
              <w:t>为便于使用者理解和接受，数字化测量值应以标准化单位表示（如可能），推荐使用国际通用的标准计量单位，考虑到安全、使用者的熟悉程度和既往的临床实践，也可使用其他公认的计量单位。</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具有诊断或测量（包括监测）功能的医疗器械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检测报告</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c) </w:t>
            </w:r>
            <w:r w:rsidRPr="0065418E">
              <w:rPr>
                <w:rFonts w:eastAsia="仿宋_GB2312"/>
                <w:color w:val="000000"/>
                <w:kern w:val="0"/>
                <w:sz w:val="28"/>
                <w:szCs w:val="28"/>
              </w:rPr>
              <w:t>医疗器械导示器和控制器的功能应有详细的说明，若器械通过可视化系统提供与操作、操作指示或调整参数有关的说明，该类信息应能够被使用者和患者（适用时）理解。</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具有导示器和控制器的医疗器械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说明书、可用性研究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A10</w:t>
            </w:r>
          </w:p>
        </w:tc>
        <w:tc>
          <w:tcPr>
            <w:tcW w:w="14316" w:type="dxa"/>
            <w:gridSpan w:val="5"/>
            <w:shd w:val="clear" w:color="auto" w:fill="auto"/>
            <w:vAlign w:val="center"/>
          </w:tcPr>
          <w:p w:rsidR="007B4B78" w:rsidRPr="0065418E" w:rsidRDefault="007B4B78" w:rsidP="0065418E">
            <w:pPr>
              <w:spacing w:line="360" w:lineRule="exact"/>
              <w:rPr>
                <w:rFonts w:eastAsia="仿宋_GB2312"/>
                <w:color w:val="000000"/>
                <w:kern w:val="0"/>
                <w:sz w:val="28"/>
                <w:szCs w:val="28"/>
              </w:rPr>
            </w:pPr>
            <w:r w:rsidRPr="0065418E">
              <w:rPr>
                <w:rFonts w:eastAsia="仿宋_GB2312"/>
                <w:color w:val="000000"/>
                <w:kern w:val="0"/>
                <w:sz w:val="28"/>
                <w:szCs w:val="28"/>
              </w:rPr>
              <w:t>说明书和标签</w:t>
            </w:r>
          </w:p>
        </w:tc>
      </w:tr>
      <w:tr w:rsidR="0065418E"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A10.1</w:t>
            </w: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所有医疗器械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6</w:t>
            </w:r>
            <w:r w:rsidRPr="0065418E">
              <w:rPr>
                <w:rFonts w:eastAsia="仿宋_GB2312"/>
                <w:color w:val="000000"/>
                <w:kern w:val="0"/>
                <w:sz w:val="28"/>
                <w:szCs w:val="28"/>
              </w:rPr>
              <w:t>号令、适用的标准或指导原则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说明书、标签、可用性研究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A11</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辐射防护</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A11.1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医疗器械的设计、生产和包装应当考虑尽量减少使用者、他人和患者（如适用）的辐射吸收剂量，同时不影响其诊断或治疗功能。</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具有辐射的医疗器械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适用的标准（例如</w:t>
            </w:r>
            <w:r w:rsidRPr="0065418E">
              <w:rPr>
                <w:rFonts w:eastAsia="仿宋_GB2312"/>
                <w:color w:val="000000"/>
                <w:kern w:val="0"/>
                <w:sz w:val="28"/>
                <w:szCs w:val="28"/>
              </w:rPr>
              <w:t>GB15213</w:t>
            </w:r>
            <w:r w:rsidRPr="0065418E">
              <w:rPr>
                <w:rFonts w:eastAsia="仿宋_GB2312"/>
                <w:color w:val="000000"/>
                <w:kern w:val="0"/>
                <w:sz w:val="28"/>
                <w:szCs w:val="28"/>
              </w:rPr>
              <w:t>）和指导原则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产品技术要求、检测报告、辐射安全研究、说明书中关于剂量的说明</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A11.2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具有辐射或潜在辐射危害的医疗器械，其操作说明应详细说明辐射的性质，对使用者、他人或患者（若适用）的防护措施，避免误用的方法，降低运输、贮存和安装的风险。</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具有辐射或潜在辐射危害的医疗器械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w:t>
            </w:r>
            <w:r w:rsidRPr="0065418E">
              <w:rPr>
                <w:rFonts w:eastAsia="仿宋_GB2312"/>
                <w:kern w:val="0"/>
                <w:sz w:val="28"/>
                <w:szCs w:val="28"/>
              </w:rPr>
              <w:t>GB4793.1</w:t>
            </w:r>
            <w:r w:rsidRPr="0065418E">
              <w:rPr>
                <w:rFonts w:eastAsia="仿宋_GB2312"/>
                <w:kern w:val="0"/>
                <w:sz w:val="28"/>
                <w:szCs w:val="28"/>
              </w:rPr>
              <w:t>、</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辐射安全研究、检测报告、风险管理资料、说明书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A11.3</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proofErr w:type="gramStart"/>
            <w:r w:rsidRPr="0065418E">
              <w:rPr>
                <w:rFonts w:eastAsia="仿宋_GB2312"/>
                <w:color w:val="000000"/>
                <w:kern w:val="0"/>
                <w:sz w:val="28"/>
                <w:szCs w:val="28"/>
              </w:rPr>
              <w:t>若医疗</w:t>
            </w:r>
            <w:proofErr w:type="gramEnd"/>
            <w:r w:rsidRPr="0065418E">
              <w:rPr>
                <w:rFonts w:eastAsia="仿宋_GB2312"/>
                <w:color w:val="000000"/>
                <w:kern w:val="0"/>
                <w:sz w:val="28"/>
                <w:szCs w:val="28"/>
              </w:rPr>
              <w:t>器械有辐射或有潜在辐射危害，应具备辐射泄漏声光报警功能（如可行）。</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具有辐射或潜在辐射危害的医疗器械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YY0709/YY9706.108</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产品技术要求、检测报告、说明书</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A11.4</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具有辐射的医疗器械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风险管理资料、辐射安全研究、说明书和标签、产品技术要求及检测报告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A11.5</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具有辐射或潜在辐射危害且需要安装的医疗器械，应在操作说明中明确有关验收和性能测试、验收标准及维护程序的信息。</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具有辐射或潜在辐射危害且需要安装的医疗器械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说明书、辐射安全研究</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安装验收报告等</w:t>
            </w:r>
          </w:p>
        </w:tc>
      </w:tr>
      <w:tr w:rsidR="0065418E"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A11.6</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proofErr w:type="gramStart"/>
            <w:r w:rsidRPr="0065418E">
              <w:rPr>
                <w:rFonts w:eastAsia="仿宋_GB2312"/>
                <w:color w:val="000000"/>
                <w:kern w:val="0"/>
                <w:sz w:val="28"/>
                <w:szCs w:val="28"/>
              </w:rPr>
              <w:t>若医疗</w:t>
            </w:r>
            <w:proofErr w:type="gramEnd"/>
            <w:r w:rsidRPr="0065418E">
              <w:rPr>
                <w:rFonts w:eastAsia="仿宋_GB2312"/>
                <w:color w:val="000000"/>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具有辐射或潜在辐射危害且需要安装的医疗器械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辐射安全研究、产品技术要求及检测报告</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A12</w:t>
            </w:r>
          </w:p>
        </w:tc>
        <w:tc>
          <w:tcPr>
            <w:tcW w:w="14316" w:type="dxa"/>
            <w:gridSpan w:val="5"/>
            <w:shd w:val="clear" w:color="auto" w:fill="auto"/>
            <w:vAlign w:val="center"/>
          </w:tcPr>
          <w:p w:rsidR="007B4B78" w:rsidRPr="0065418E" w:rsidRDefault="007B4B78" w:rsidP="0065418E">
            <w:pPr>
              <w:spacing w:line="400" w:lineRule="exact"/>
              <w:rPr>
                <w:rFonts w:eastAsia="仿宋_GB2312"/>
                <w:color w:val="000000"/>
                <w:kern w:val="0"/>
                <w:sz w:val="28"/>
                <w:szCs w:val="28"/>
              </w:rPr>
            </w:pPr>
            <w:r w:rsidRPr="0065418E">
              <w:rPr>
                <w:rFonts w:eastAsia="仿宋_GB2312"/>
                <w:color w:val="000000"/>
                <w:kern w:val="0"/>
                <w:sz w:val="28"/>
                <w:szCs w:val="28"/>
              </w:rPr>
              <w:t>对非专业用户使用风险的防护</w:t>
            </w:r>
          </w:p>
        </w:tc>
      </w:tr>
      <w:tr w:rsidR="0065418E" w:rsidRPr="0065418E" w:rsidTr="0065418E">
        <w:trPr>
          <w:trHeight w:val="1103"/>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A12.1</w:t>
            </w:r>
          </w:p>
        </w:tc>
        <w:tc>
          <w:tcPr>
            <w:tcW w:w="5252"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对于非专业用户使用的医疗器械（如自测或</w:t>
            </w:r>
            <w:proofErr w:type="gramStart"/>
            <w:r w:rsidRPr="0065418E">
              <w:rPr>
                <w:rFonts w:eastAsia="仿宋_GB2312"/>
                <w:color w:val="000000"/>
                <w:kern w:val="0"/>
                <w:sz w:val="28"/>
                <w:szCs w:val="28"/>
              </w:rPr>
              <w:t>近患者</w:t>
            </w:r>
            <w:proofErr w:type="gramEnd"/>
            <w:r w:rsidRPr="0065418E">
              <w:rPr>
                <w:rFonts w:eastAsia="仿宋_GB2312"/>
                <w:color w:val="000000"/>
                <w:kern w:val="0"/>
                <w:sz w:val="28"/>
                <w:szCs w:val="28"/>
              </w:rPr>
              <w:t>检测），为保证医疗器械的正常使用，其设计和生产应考虑非专业用户的操作技能，以及因非专业用户技术和使用环境的不同对结果的影响。申请人提供的信息和说明应易于理解和使用，并可对结果做出解释。</w:t>
            </w:r>
          </w:p>
        </w:tc>
        <w:tc>
          <w:tcPr>
            <w:tcW w:w="1559"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非专业用户使用的医疗器械</w:t>
            </w:r>
          </w:p>
        </w:tc>
        <w:tc>
          <w:tcPr>
            <w:tcW w:w="311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IEC62366</w:t>
            </w:r>
            <w:r w:rsidRPr="0065418E">
              <w:rPr>
                <w:rFonts w:eastAsia="仿宋_GB2312"/>
                <w:color w:val="000000"/>
                <w:kern w:val="0"/>
                <w:sz w:val="28"/>
                <w:szCs w:val="28"/>
              </w:rPr>
              <w:t>系列、</w:t>
            </w:r>
            <w:r w:rsidRPr="0065418E">
              <w:rPr>
                <w:rFonts w:eastAsia="仿宋_GB2312"/>
                <w:color w:val="000000"/>
                <w:kern w:val="0"/>
                <w:sz w:val="28"/>
                <w:szCs w:val="28"/>
              </w:rPr>
              <w:t>YY/T 9706.106</w:t>
            </w:r>
            <w:r w:rsidRPr="0065418E">
              <w:rPr>
                <w:rFonts w:eastAsia="仿宋_GB2312"/>
                <w:color w:val="000000"/>
                <w:kern w:val="0"/>
                <w:sz w:val="28"/>
                <w:szCs w:val="28"/>
              </w:rPr>
              <w:t>、</w:t>
            </w:r>
            <w:r w:rsidRPr="0065418E">
              <w:rPr>
                <w:rFonts w:eastAsia="仿宋_GB2312"/>
                <w:color w:val="000000"/>
                <w:kern w:val="0"/>
                <w:sz w:val="28"/>
                <w:szCs w:val="28"/>
              </w:rPr>
              <w:t xml:space="preserve">Applying Human Factors and Usability </w:t>
            </w:r>
            <w:proofErr w:type="spellStart"/>
            <w:r w:rsidRPr="0065418E">
              <w:rPr>
                <w:rFonts w:eastAsia="仿宋_GB2312"/>
                <w:color w:val="000000"/>
                <w:kern w:val="0"/>
                <w:sz w:val="28"/>
                <w:szCs w:val="28"/>
              </w:rPr>
              <w:t>ngineering</w:t>
            </w:r>
            <w:proofErr w:type="spellEnd"/>
            <w:r w:rsidRPr="0065418E">
              <w:rPr>
                <w:rFonts w:eastAsia="仿宋_GB2312"/>
                <w:color w:val="000000"/>
                <w:kern w:val="0"/>
                <w:sz w:val="28"/>
                <w:szCs w:val="28"/>
              </w:rPr>
              <w:t xml:space="preserve"> to Medical Devices</w:t>
            </w:r>
            <w:r w:rsidRPr="0065418E">
              <w:rPr>
                <w:rFonts w:eastAsia="仿宋_GB2312"/>
                <w:color w:val="000000"/>
                <w:kern w:val="0"/>
                <w:sz w:val="28"/>
                <w:szCs w:val="28"/>
              </w:rPr>
              <w:t>（</w:t>
            </w:r>
            <w:r w:rsidRPr="0065418E">
              <w:rPr>
                <w:rFonts w:eastAsia="仿宋_GB2312"/>
                <w:color w:val="000000"/>
                <w:kern w:val="0"/>
                <w:sz w:val="28"/>
                <w:szCs w:val="28"/>
              </w:rPr>
              <w:t>FDA</w:t>
            </w:r>
            <w:r w:rsidRPr="0065418E">
              <w:rPr>
                <w:rFonts w:eastAsia="仿宋_GB2312"/>
                <w:color w:val="000000"/>
                <w:kern w:val="0"/>
                <w:sz w:val="28"/>
                <w:szCs w:val="28"/>
              </w:rPr>
              <w:t>指南）、其他适用的标准或指导原则</w:t>
            </w:r>
          </w:p>
        </w:tc>
        <w:tc>
          <w:tcPr>
            <w:tcW w:w="2693"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风险管理资料、说明书、可用性研究</w:t>
            </w:r>
          </w:p>
        </w:tc>
        <w:tc>
          <w:tcPr>
            <w:tcW w:w="1701" w:type="dxa"/>
            <w:shd w:val="clear" w:color="auto" w:fill="auto"/>
            <w:vAlign w:val="center"/>
            <w:hideMark/>
          </w:tcPr>
          <w:p w:rsidR="007B4B78" w:rsidRPr="0065418E" w:rsidRDefault="007B4B78" w:rsidP="0065418E">
            <w:pPr>
              <w:widowControl/>
              <w:spacing w:line="40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35"/>
          <w:jc w:val="center"/>
        </w:trPr>
        <w:tc>
          <w:tcPr>
            <w:tcW w:w="983" w:type="dxa"/>
            <w:vMerge w:val="restart"/>
            <w:shd w:val="clear" w:color="auto" w:fill="auto"/>
            <w:vAlign w:val="center"/>
            <w:hideMark/>
          </w:tcPr>
          <w:p w:rsidR="007B4B78" w:rsidRPr="0065418E" w:rsidRDefault="007B4B78" w:rsidP="00C1271F">
            <w:pPr>
              <w:widowControl/>
              <w:jc w:val="center"/>
              <w:rPr>
                <w:rFonts w:eastAsia="仿宋_GB2312"/>
                <w:color w:val="000000"/>
                <w:kern w:val="0"/>
                <w:sz w:val="28"/>
                <w:szCs w:val="28"/>
              </w:rPr>
            </w:pPr>
            <w:r w:rsidRPr="0065418E">
              <w:rPr>
                <w:rFonts w:eastAsia="仿宋_GB2312"/>
                <w:color w:val="000000"/>
                <w:kern w:val="0"/>
                <w:sz w:val="28"/>
                <w:szCs w:val="28"/>
              </w:rPr>
              <w:lastRenderedPageBreak/>
              <w:t>A12.2</w:t>
            </w:r>
          </w:p>
        </w:tc>
        <w:tc>
          <w:tcPr>
            <w:tcW w:w="14316" w:type="dxa"/>
            <w:gridSpan w:val="5"/>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2.12.2</w:t>
            </w:r>
            <w:r w:rsidRPr="0065418E">
              <w:rPr>
                <w:rFonts w:eastAsia="仿宋_GB2312"/>
                <w:color w:val="000000"/>
                <w:kern w:val="0"/>
                <w:sz w:val="28"/>
                <w:szCs w:val="28"/>
              </w:rPr>
              <w:t>供非专业用户使用的医疗器械（如自测或</w:t>
            </w:r>
            <w:proofErr w:type="gramStart"/>
            <w:r w:rsidRPr="0065418E">
              <w:rPr>
                <w:rFonts w:eastAsia="仿宋_GB2312"/>
                <w:color w:val="000000"/>
                <w:kern w:val="0"/>
                <w:sz w:val="28"/>
                <w:szCs w:val="28"/>
              </w:rPr>
              <w:t>近患者</w:t>
            </w:r>
            <w:proofErr w:type="gramEnd"/>
            <w:r w:rsidRPr="0065418E">
              <w:rPr>
                <w:rFonts w:eastAsia="仿宋_GB2312"/>
                <w:color w:val="000000"/>
                <w:kern w:val="0"/>
                <w:sz w:val="28"/>
                <w:szCs w:val="28"/>
              </w:rPr>
              <w:t>检测）的设计和生产应：</w:t>
            </w:r>
          </w:p>
        </w:tc>
      </w:tr>
      <w:tr w:rsidR="0065418E" w:rsidRPr="0065418E" w:rsidTr="0065418E">
        <w:trPr>
          <w:trHeight w:val="84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确保使用者可以按照使用说明书的规定安全准确的使用。</w:t>
            </w:r>
            <w:proofErr w:type="gramStart"/>
            <w:r w:rsidRPr="0065418E">
              <w:rPr>
                <w:rFonts w:eastAsia="仿宋_GB2312"/>
                <w:color w:val="000000"/>
                <w:kern w:val="0"/>
                <w:sz w:val="28"/>
                <w:szCs w:val="28"/>
              </w:rPr>
              <w:t>当无法</w:t>
            </w:r>
            <w:proofErr w:type="gramEnd"/>
            <w:r w:rsidRPr="0065418E">
              <w:rPr>
                <w:rFonts w:eastAsia="仿宋_GB2312"/>
                <w:color w:val="000000"/>
                <w:kern w:val="0"/>
                <w:sz w:val="28"/>
                <w:szCs w:val="28"/>
              </w:rPr>
              <w:t>将与说明书相关的风险降低到适当水平时，可以通过培训来降低此类风险；</w:t>
            </w:r>
          </w:p>
        </w:tc>
        <w:tc>
          <w:tcPr>
            <w:tcW w:w="1559" w:type="dxa"/>
            <w:vMerge w:val="restart"/>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非专业用户使用的医疗器械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风险管理资料、说明书、可用性研究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培训记录等</w:t>
            </w:r>
          </w:p>
        </w:tc>
      </w:tr>
      <w:tr w:rsidR="0065418E" w:rsidRPr="0065418E" w:rsidTr="0065418E">
        <w:trPr>
          <w:trHeight w:val="42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b)</w:t>
            </w:r>
            <w:r w:rsidRPr="0065418E">
              <w:rPr>
                <w:rFonts w:eastAsia="仿宋_GB2312"/>
                <w:color w:val="000000"/>
                <w:kern w:val="0"/>
                <w:sz w:val="28"/>
                <w:szCs w:val="28"/>
              </w:rPr>
              <w:t>尽可能减少非专业用户因错误操作和错误解释结果导致的风险。</w:t>
            </w:r>
          </w:p>
        </w:tc>
        <w:tc>
          <w:tcPr>
            <w:tcW w:w="1559" w:type="dxa"/>
            <w:vMerge/>
            <w:vAlign w:val="center"/>
            <w:hideMark/>
          </w:tcPr>
          <w:p w:rsidR="007B4B78" w:rsidRPr="0065418E" w:rsidRDefault="007B4B78" w:rsidP="0065418E">
            <w:pPr>
              <w:widowControl/>
              <w:spacing w:line="360" w:lineRule="exact"/>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YY/T 0316</w:t>
            </w:r>
            <w:r w:rsidRPr="0065418E">
              <w:rPr>
                <w:rFonts w:eastAsia="仿宋_GB2312"/>
                <w:color w:val="000000"/>
                <w:kern w:val="0"/>
                <w:sz w:val="28"/>
                <w:szCs w:val="28"/>
              </w:rPr>
              <w:t>、其他适用的标准及指导原则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风险管理资料、可用性研究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420"/>
          <w:jc w:val="center"/>
        </w:trPr>
        <w:tc>
          <w:tcPr>
            <w:tcW w:w="983" w:type="dxa"/>
            <w:vMerge w:val="restart"/>
            <w:shd w:val="clear" w:color="auto" w:fill="auto"/>
            <w:vAlign w:val="center"/>
            <w:hideMark/>
          </w:tcPr>
          <w:p w:rsidR="007B4B78" w:rsidRPr="0065418E" w:rsidRDefault="007B4B78" w:rsidP="00C1271F">
            <w:pPr>
              <w:widowControl/>
              <w:jc w:val="center"/>
              <w:rPr>
                <w:rFonts w:eastAsia="仿宋_GB2312"/>
                <w:color w:val="000000"/>
                <w:kern w:val="0"/>
                <w:sz w:val="28"/>
                <w:szCs w:val="28"/>
              </w:rPr>
            </w:pPr>
            <w:r w:rsidRPr="0065418E">
              <w:rPr>
                <w:rFonts w:eastAsia="仿宋_GB2312"/>
                <w:color w:val="000000"/>
                <w:kern w:val="0"/>
                <w:sz w:val="28"/>
                <w:szCs w:val="28"/>
              </w:rPr>
              <w:t>A12.3</w:t>
            </w: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供非专业用户使用的医疗器械可通过以下措施方便用户：</w:t>
            </w:r>
          </w:p>
        </w:tc>
        <w:tc>
          <w:tcPr>
            <w:tcW w:w="1559" w:type="dxa"/>
            <w:vMerge/>
            <w:vAlign w:val="center"/>
            <w:hideMark/>
          </w:tcPr>
          <w:p w:rsidR="007B4B78" w:rsidRPr="0065418E" w:rsidRDefault="007B4B78" w:rsidP="0065418E">
            <w:pPr>
              <w:widowControl/>
              <w:spacing w:line="360" w:lineRule="exact"/>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435"/>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在使用时，可以验证器械的正常运行；</w:t>
            </w:r>
          </w:p>
        </w:tc>
        <w:tc>
          <w:tcPr>
            <w:tcW w:w="1559" w:type="dxa"/>
            <w:vMerge/>
            <w:vAlign w:val="center"/>
            <w:hideMark/>
          </w:tcPr>
          <w:p w:rsidR="007B4B78" w:rsidRPr="0065418E" w:rsidRDefault="007B4B78" w:rsidP="0065418E">
            <w:pPr>
              <w:widowControl/>
              <w:spacing w:line="360" w:lineRule="exact"/>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GB9706.1</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检测报告、说明书</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42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b)</w:t>
            </w:r>
            <w:r w:rsidRPr="0065418E">
              <w:rPr>
                <w:rFonts w:eastAsia="仿宋_GB2312"/>
                <w:color w:val="000000"/>
                <w:kern w:val="0"/>
                <w:sz w:val="28"/>
                <w:szCs w:val="28"/>
              </w:rPr>
              <w:t>当器械不能正常运行或提供无效结果时，会发出警告。</w:t>
            </w:r>
          </w:p>
        </w:tc>
        <w:tc>
          <w:tcPr>
            <w:tcW w:w="1559" w:type="dxa"/>
            <w:vMerge/>
            <w:vAlign w:val="center"/>
            <w:hideMark/>
          </w:tcPr>
          <w:p w:rsidR="007B4B78" w:rsidRPr="0065418E" w:rsidRDefault="007B4B78" w:rsidP="0065418E">
            <w:pPr>
              <w:widowControl/>
              <w:spacing w:line="360" w:lineRule="exact"/>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说明书</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A13</w:t>
            </w:r>
          </w:p>
        </w:tc>
        <w:tc>
          <w:tcPr>
            <w:tcW w:w="14316" w:type="dxa"/>
            <w:gridSpan w:val="5"/>
            <w:shd w:val="clear" w:color="auto" w:fill="auto"/>
            <w:vAlign w:val="center"/>
          </w:tcPr>
          <w:p w:rsidR="007B4B78" w:rsidRPr="0065418E" w:rsidRDefault="007B4B78" w:rsidP="0065418E">
            <w:pPr>
              <w:spacing w:line="360" w:lineRule="exact"/>
              <w:rPr>
                <w:rFonts w:eastAsia="仿宋_GB2312"/>
                <w:color w:val="000000"/>
                <w:kern w:val="0"/>
                <w:sz w:val="28"/>
                <w:szCs w:val="28"/>
              </w:rPr>
            </w:pPr>
            <w:r w:rsidRPr="0065418E">
              <w:rPr>
                <w:rFonts w:eastAsia="仿宋_GB2312"/>
                <w:color w:val="000000"/>
                <w:kern w:val="0"/>
                <w:sz w:val="28"/>
                <w:szCs w:val="28"/>
              </w:rPr>
              <w:t>含有生物</w:t>
            </w:r>
            <w:proofErr w:type="gramStart"/>
            <w:r w:rsidRPr="0065418E">
              <w:rPr>
                <w:rFonts w:eastAsia="仿宋_GB2312"/>
                <w:color w:val="000000"/>
                <w:kern w:val="0"/>
                <w:sz w:val="28"/>
                <w:szCs w:val="28"/>
              </w:rPr>
              <w:t>源材料</w:t>
            </w:r>
            <w:proofErr w:type="gramEnd"/>
            <w:r w:rsidRPr="0065418E">
              <w:rPr>
                <w:rFonts w:eastAsia="仿宋_GB2312"/>
                <w:color w:val="000000"/>
                <w:kern w:val="0"/>
                <w:sz w:val="28"/>
                <w:szCs w:val="28"/>
              </w:rPr>
              <w:t>的医疗器械</w:t>
            </w:r>
          </w:p>
        </w:tc>
      </w:tr>
      <w:tr w:rsidR="007B4B78" w:rsidRPr="0065418E" w:rsidTr="0065418E">
        <w:trPr>
          <w:trHeight w:val="825"/>
          <w:jc w:val="center"/>
        </w:trPr>
        <w:tc>
          <w:tcPr>
            <w:tcW w:w="983" w:type="dxa"/>
            <w:vMerge w:val="restart"/>
            <w:shd w:val="clear" w:color="auto" w:fill="auto"/>
            <w:vAlign w:val="center"/>
            <w:hideMark/>
          </w:tcPr>
          <w:p w:rsidR="007B4B78" w:rsidRPr="0065418E" w:rsidRDefault="007B4B78" w:rsidP="00C1271F">
            <w:pPr>
              <w:widowControl/>
              <w:jc w:val="center"/>
              <w:rPr>
                <w:rFonts w:eastAsia="仿宋_GB2312"/>
                <w:color w:val="000000"/>
                <w:kern w:val="0"/>
                <w:sz w:val="28"/>
                <w:szCs w:val="28"/>
              </w:rPr>
            </w:pPr>
            <w:r w:rsidRPr="0065418E">
              <w:rPr>
                <w:rFonts w:eastAsia="仿宋_GB2312"/>
                <w:color w:val="000000"/>
                <w:kern w:val="0"/>
                <w:sz w:val="28"/>
                <w:szCs w:val="28"/>
              </w:rPr>
              <w:t>A13.1</w:t>
            </w:r>
          </w:p>
        </w:tc>
        <w:tc>
          <w:tcPr>
            <w:tcW w:w="14316" w:type="dxa"/>
            <w:gridSpan w:val="5"/>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对于含有动植物组织、细胞或其它物质，细菌来源物质或衍生物的医疗器械，若无活性或以非活性状态交付，应：</w:t>
            </w:r>
          </w:p>
        </w:tc>
      </w:tr>
      <w:tr w:rsidR="0065418E"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组织、细胞及其衍生物应来源于已受控且符合预期用途的动物种属。动物的地理来源信息应根据相关法规要求予以保留。</w:t>
            </w:r>
          </w:p>
        </w:tc>
        <w:tc>
          <w:tcPr>
            <w:tcW w:w="1559" w:type="dxa"/>
            <w:vMerge w:val="restart"/>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含有生物</w:t>
            </w:r>
            <w:proofErr w:type="gramStart"/>
            <w:r w:rsidRPr="0065418E">
              <w:rPr>
                <w:rFonts w:eastAsia="仿宋_GB2312"/>
                <w:color w:val="000000"/>
                <w:kern w:val="0"/>
                <w:sz w:val="28"/>
                <w:szCs w:val="28"/>
              </w:rPr>
              <w:t>源材料</w:t>
            </w:r>
            <w:proofErr w:type="gramEnd"/>
            <w:r w:rsidRPr="0065418E">
              <w:rPr>
                <w:rFonts w:eastAsia="仿宋_GB2312"/>
                <w:color w:val="000000"/>
                <w:kern w:val="0"/>
                <w:sz w:val="28"/>
                <w:szCs w:val="28"/>
              </w:rPr>
              <w:t>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动物源性医疗器械注册技术审查指导原则（</w:t>
            </w:r>
            <w:r w:rsidRPr="0065418E">
              <w:rPr>
                <w:rFonts w:eastAsia="仿宋_GB2312"/>
                <w:color w:val="000000"/>
                <w:kern w:val="0"/>
                <w:sz w:val="28"/>
                <w:szCs w:val="28"/>
              </w:rPr>
              <w:t>2017</w:t>
            </w:r>
            <w:r w:rsidRPr="0065418E">
              <w:rPr>
                <w:rFonts w:eastAsia="仿宋_GB2312"/>
                <w:color w:val="000000"/>
                <w:kern w:val="0"/>
                <w:sz w:val="28"/>
                <w:szCs w:val="28"/>
              </w:rPr>
              <w:t>年修订版）</w:t>
            </w:r>
            <w:r w:rsidRPr="0065418E">
              <w:rPr>
                <w:rFonts w:eastAsia="仿宋_GB2312"/>
                <w:color w:val="000000"/>
                <w:kern w:val="0"/>
                <w:sz w:val="28"/>
                <w:szCs w:val="28"/>
              </w:rPr>
              <w:t>YY/T 0771</w:t>
            </w:r>
            <w:r w:rsidRPr="0065418E">
              <w:rPr>
                <w:rFonts w:eastAsia="仿宋_GB2312"/>
                <w:color w:val="000000"/>
                <w:kern w:val="0"/>
                <w:sz w:val="28"/>
                <w:szCs w:val="28"/>
              </w:rPr>
              <w:t>系列标准、其他适用的标准或指导原则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生物安全性研究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23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b) </w:t>
            </w:r>
            <w:r w:rsidRPr="0065418E">
              <w:rPr>
                <w:rFonts w:eastAsia="仿宋_GB2312"/>
                <w:color w:val="000000"/>
                <w:kern w:val="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559"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动物源性医疗器械注册技术审查指导原则（</w:t>
            </w:r>
            <w:r w:rsidRPr="0065418E">
              <w:rPr>
                <w:rFonts w:eastAsia="仿宋_GB2312"/>
                <w:color w:val="000000"/>
                <w:kern w:val="0"/>
                <w:sz w:val="28"/>
                <w:szCs w:val="28"/>
              </w:rPr>
              <w:t>2017</w:t>
            </w:r>
            <w:r w:rsidRPr="0065418E">
              <w:rPr>
                <w:rFonts w:eastAsia="仿宋_GB2312"/>
                <w:color w:val="000000"/>
                <w:kern w:val="0"/>
                <w:sz w:val="28"/>
                <w:szCs w:val="28"/>
              </w:rPr>
              <w:t>年修订版）</w:t>
            </w:r>
            <w:r w:rsidRPr="0065418E">
              <w:rPr>
                <w:rFonts w:eastAsia="仿宋_GB2312"/>
                <w:color w:val="000000"/>
                <w:kern w:val="0"/>
                <w:sz w:val="28"/>
                <w:szCs w:val="28"/>
              </w:rPr>
              <w:t>YY/T 0771</w:t>
            </w:r>
            <w:r w:rsidRPr="0065418E">
              <w:rPr>
                <w:rFonts w:eastAsia="仿宋_GB2312"/>
                <w:color w:val="000000"/>
                <w:kern w:val="0"/>
                <w:sz w:val="28"/>
                <w:szCs w:val="28"/>
              </w:rPr>
              <w:t>系列标准、其他适用的标准或指导原则</w:t>
            </w:r>
          </w:p>
        </w:tc>
        <w:tc>
          <w:tcPr>
            <w:tcW w:w="2693"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生物安全性研究、风险管理资料</w:t>
            </w:r>
          </w:p>
        </w:tc>
        <w:tc>
          <w:tcPr>
            <w:tcW w:w="170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825"/>
          <w:jc w:val="center"/>
        </w:trPr>
        <w:tc>
          <w:tcPr>
            <w:tcW w:w="983" w:type="dxa"/>
            <w:vMerge w:val="restart"/>
            <w:shd w:val="clear" w:color="auto" w:fill="auto"/>
            <w:vAlign w:val="center"/>
            <w:hideMark/>
          </w:tcPr>
          <w:p w:rsidR="007B4B78" w:rsidRPr="0065418E" w:rsidRDefault="007B4B78" w:rsidP="00C1271F">
            <w:pPr>
              <w:widowControl/>
              <w:jc w:val="center"/>
              <w:rPr>
                <w:rFonts w:eastAsia="仿宋_GB2312"/>
                <w:color w:val="000000"/>
                <w:kern w:val="0"/>
                <w:sz w:val="28"/>
                <w:szCs w:val="28"/>
              </w:rPr>
            </w:pPr>
            <w:r w:rsidRPr="0065418E">
              <w:rPr>
                <w:rFonts w:eastAsia="仿宋_GB2312"/>
                <w:color w:val="000000"/>
                <w:kern w:val="0"/>
                <w:sz w:val="28"/>
                <w:szCs w:val="28"/>
              </w:rPr>
              <w:t>A13.2</w:t>
            </w:r>
          </w:p>
        </w:tc>
        <w:tc>
          <w:tcPr>
            <w:tcW w:w="5252"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2.13.2</w:t>
            </w:r>
            <w:r w:rsidRPr="0065418E">
              <w:rPr>
                <w:rFonts w:eastAsia="仿宋_GB2312"/>
                <w:color w:val="000000"/>
                <w:kern w:val="0"/>
                <w:sz w:val="28"/>
                <w:szCs w:val="28"/>
              </w:rPr>
              <w:t>对于监管部门而言，当医疗器械由人体来源的组织、细胞、物质或其衍生物生产时，应采取以下措施：</w:t>
            </w:r>
          </w:p>
        </w:tc>
        <w:tc>
          <w:tcPr>
            <w:tcW w:w="1559"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3111" w:type="dxa"/>
            <w:vMerge w:val="restart"/>
            <w:shd w:val="clear" w:color="auto" w:fill="auto"/>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动物源性医疗器械注册技术审查指导原则（</w:t>
            </w:r>
            <w:r w:rsidRPr="0065418E">
              <w:rPr>
                <w:rFonts w:eastAsia="仿宋_GB2312"/>
                <w:color w:val="000000"/>
                <w:kern w:val="0"/>
                <w:sz w:val="28"/>
                <w:szCs w:val="28"/>
              </w:rPr>
              <w:t>2017</w:t>
            </w:r>
            <w:r w:rsidRPr="0065418E">
              <w:rPr>
                <w:rFonts w:eastAsia="仿宋_GB2312"/>
                <w:color w:val="000000"/>
                <w:kern w:val="0"/>
                <w:sz w:val="28"/>
                <w:szCs w:val="28"/>
              </w:rPr>
              <w:t>年修订版）、其他适用的标准或指导原则</w:t>
            </w:r>
          </w:p>
        </w:tc>
        <w:tc>
          <w:tcPr>
            <w:tcW w:w="2693"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c>
          <w:tcPr>
            <w:tcW w:w="170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420"/>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a) </w:t>
            </w:r>
            <w:r w:rsidRPr="0065418E">
              <w:rPr>
                <w:rFonts w:eastAsia="仿宋_GB2312"/>
                <w:color w:val="000000"/>
                <w:kern w:val="0"/>
                <w:sz w:val="28"/>
                <w:szCs w:val="28"/>
              </w:rPr>
              <w:t>组织、细胞的捐赠、获取和检测应依据相关法规的要求进行；</w:t>
            </w:r>
          </w:p>
        </w:tc>
        <w:tc>
          <w:tcPr>
            <w:tcW w:w="1559"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3111"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2693"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生物安全性研究</w:t>
            </w:r>
          </w:p>
        </w:tc>
        <w:tc>
          <w:tcPr>
            <w:tcW w:w="170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825"/>
          <w:jc w:val="center"/>
        </w:trPr>
        <w:tc>
          <w:tcPr>
            <w:tcW w:w="983" w:type="dxa"/>
            <w:vMerge/>
            <w:vAlign w:val="center"/>
            <w:hideMark/>
          </w:tcPr>
          <w:p w:rsidR="007B4B78" w:rsidRPr="0065418E" w:rsidRDefault="007B4B78" w:rsidP="00C1271F">
            <w:pPr>
              <w:widowControl/>
              <w:jc w:val="left"/>
              <w:rPr>
                <w:rFonts w:eastAsia="仿宋_GB2312"/>
                <w:color w:val="000000"/>
                <w:kern w:val="0"/>
                <w:sz w:val="28"/>
                <w:szCs w:val="28"/>
              </w:rPr>
            </w:pPr>
          </w:p>
        </w:tc>
        <w:tc>
          <w:tcPr>
            <w:tcW w:w="5252"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b) </w:t>
            </w:r>
            <w:r w:rsidRPr="0065418E">
              <w:rPr>
                <w:rFonts w:eastAsia="仿宋_GB2312"/>
                <w:color w:val="000000"/>
                <w:kern w:val="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1559"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3111"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2693"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生物安全性研究、风险管理资料</w:t>
            </w:r>
          </w:p>
        </w:tc>
        <w:tc>
          <w:tcPr>
            <w:tcW w:w="170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546"/>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A13.3</w:t>
            </w:r>
          </w:p>
        </w:tc>
        <w:tc>
          <w:tcPr>
            <w:tcW w:w="5252"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当医疗器械使用</w:t>
            </w:r>
            <w:r w:rsidRPr="0065418E">
              <w:rPr>
                <w:rFonts w:eastAsia="仿宋_GB2312"/>
                <w:color w:val="000000"/>
                <w:kern w:val="0"/>
                <w:sz w:val="28"/>
                <w:szCs w:val="28"/>
              </w:rPr>
              <w:t>A13.1</w:t>
            </w:r>
            <w:r w:rsidRPr="0065418E">
              <w:rPr>
                <w:rFonts w:eastAsia="仿宋_GB2312"/>
                <w:color w:val="000000"/>
                <w:kern w:val="0"/>
                <w:sz w:val="28"/>
                <w:szCs w:val="28"/>
              </w:rPr>
              <w:t>、</w:t>
            </w:r>
            <w:r w:rsidRPr="0065418E">
              <w:rPr>
                <w:rFonts w:eastAsia="仿宋_GB2312"/>
                <w:color w:val="000000"/>
                <w:kern w:val="0"/>
                <w:sz w:val="28"/>
                <w:szCs w:val="28"/>
              </w:rPr>
              <w:t>A13.2</w:t>
            </w:r>
            <w:r w:rsidRPr="0065418E">
              <w:rPr>
                <w:rFonts w:eastAsia="仿宋_GB2312"/>
                <w:color w:val="000000"/>
                <w:kern w:val="0"/>
                <w:sz w:val="28"/>
                <w:szCs w:val="2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559"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3111" w:type="dxa"/>
            <w:vMerge/>
            <w:vAlign w:val="center"/>
            <w:hideMark/>
          </w:tcPr>
          <w:p w:rsidR="007B4B78" w:rsidRPr="0065418E" w:rsidRDefault="007B4B78" w:rsidP="0065418E">
            <w:pPr>
              <w:widowControl/>
              <w:spacing w:line="340" w:lineRule="exact"/>
              <w:rPr>
                <w:rFonts w:eastAsia="仿宋_GB2312"/>
                <w:color w:val="000000"/>
                <w:kern w:val="0"/>
                <w:sz w:val="28"/>
                <w:szCs w:val="28"/>
              </w:rPr>
            </w:pPr>
          </w:p>
        </w:tc>
        <w:tc>
          <w:tcPr>
            <w:tcW w:w="2693"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生物安全性研究、风险管理资料</w:t>
            </w:r>
          </w:p>
        </w:tc>
        <w:tc>
          <w:tcPr>
            <w:tcW w:w="1701" w:type="dxa"/>
            <w:shd w:val="clear" w:color="auto" w:fill="auto"/>
            <w:vAlign w:val="center"/>
            <w:hideMark/>
          </w:tcPr>
          <w:p w:rsidR="007B4B78" w:rsidRPr="0065418E" w:rsidRDefault="007B4B78" w:rsidP="0065418E">
            <w:pPr>
              <w:widowControl/>
              <w:spacing w:line="34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B</w:t>
            </w:r>
          </w:p>
        </w:tc>
        <w:tc>
          <w:tcPr>
            <w:tcW w:w="14316" w:type="dxa"/>
            <w:gridSpan w:val="5"/>
            <w:shd w:val="clear" w:color="auto" w:fill="auto"/>
            <w:vAlign w:val="center"/>
          </w:tcPr>
          <w:p w:rsidR="007B4B78" w:rsidRPr="0065418E" w:rsidRDefault="007B4B78" w:rsidP="0065418E">
            <w:pPr>
              <w:spacing w:line="360" w:lineRule="exact"/>
              <w:rPr>
                <w:rFonts w:eastAsia="仿宋_GB2312"/>
                <w:color w:val="000000"/>
                <w:kern w:val="0"/>
                <w:sz w:val="28"/>
                <w:szCs w:val="28"/>
              </w:rPr>
            </w:pPr>
            <w:r w:rsidRPr="0065418E">
              <w:rPr>
                <w:rFonts w:eastAsia="仿宋_GB2312"/>
                <w:color w:val="000000"/>
                <w:kern w:val="0"/>
                <w:sz w:val="28"/>
                <w:szCs w:val="28"/>
              </w:rPr>
              <w:t>适用于医疗器械（体外诊断类医疗器械除外）的基本原则</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B1</w:t>
            </w:r>
          </w:p>
        </w:tc>
        <w:tc>
          <w:tcPr>
            <w:tcW w:w="14316" w:type="dxa"/>
            <w:gridSpan w:val="5"/>
            <w:shd w:val="clear" w:color="auto" w:fill="auto"/>
            <w:vAlign w:val="center"/>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化学、物理和生物学特性</w:t>
            </w:r>
          </w:p>
        </w:tc>
      </w:tr>
      <w:tr w:rsidR="0065418E"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B1.1</w:t>
            </w: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根据医疗器械的预期用途，以及产品（例如某些可吸收产品）在人体的吸收、分布、代谢和排泄情况，对于医疗器械的化学、物理和生物学特性，应特别注意所用材料</w:t>
            </w:r>
            <w:r w:rsidRPr="0065418E">
              <w:rPr>
                <w:rFonts w:eastAsia="仿宋_GB2312"/>
                <w:color w:val="000000"/>
                <w:kern w:val="0"/>
                <w:sz w:val="28"/>
                <w:szCs w:val="28"/>
              </w:rPr>
              <w:t>/</w:t>
            </w:r>
            <w:r w:rsidRPr="0065418E">
              <w:rPr>
                <w:rFonts w:eastAsia="仿宋_GB2312"/>
                <w:color w:val="000000"/>
                <w:kern w:val="0"/>
                <w:sz w:val="28"/>
                <w:szCs w:val="28"/>
              </w:rPr>
              <w:t>物质与人体组织、细胞和体液之间的相容性</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在人体内的吸收、分布、代谢和排泄的医疗器械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物理和化学性能研究、生物学特性研究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B1.2</w:t>
            </w: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预期使用中接触到其他的材料、物质和气体的医疗器械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GB16174.1</w:t>
            </w:r>
            <w:r w:rsidRPr="0065418E">
              <w:rPr>
                <w:rFonts w:eastAsia="仿宋_GB2312"/>
                <w:color w:val="000000"/>
                <w:kern w:val="0"/>
                <w:sz w:val="28"/>
                <w:szCs w:val="28"/>
              </w:rPr>
              <w:t>的</w:t>
            </w:r>
            <w:r w:rsidRPr="0065418E">
              <w:rPr>
                <w:rFonts w:eastAsia="仿宋_GB2312"/>
                <w:color w:val="000000"/>
                <w:kern w:val="0"/>
                <w:sz w:val="28"/>
                <w:szCs w:val="28"/>
              </w:rPr>
              <w:t>19.5</w:t>
            </w:r>
            <w:r w:rsidRPr="0065418E">
              <w:rPr>
                <w:rFonts w:eastAsia="仿宋_GB2312"/>
                <w:color w:val="000000"/>
                <w:kern w:val="0"/>
                <w:sz w:val="28"/>
                <w:szCs w:val="28"/>
              </w:rPr>
              <w:t>、药物相容性部分可参考《药械组合医疗器械注册审查指导原则》中的相关内容、其他适用的标准或指导原则）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联合使用研究（含药物相容性研究）</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65418E" w:rsidRPr="0065418E" w:rsidTr="0065418E">
        <w:trPr>
          <w:trHeight w:val="163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B1.3</w:t>
            </w:r>
          </w:p>
        </w:tc>
        <w:tc>
          <w:tcPr>
            <w:tcW w:w="5252"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医疗器械的设计和生产，除接触完整皮肤的产品外，应适当降低释放进入患者或使用者体内的颗粒，产生与颗粒尺寸和性质相关的风险。对纳米材料应给予重点关注。</w:t>
            </w:r>
          </w:p>
        </w:tc>
        <w:tc>
          <w:tcPr>
            <w:tcW w:w="1559"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可能向患者或使用者体内释放颗粒的医疗器械</w:t>
            </w:r>
          </w:p>
        </w:tc>
        <w:tc>
          <w:tcPr>
            <w:tcW w:w="311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应用纳米材料的医疗器械安全性和有效性评价指导</w:t>
            </w:r>
            <w:proofErr w:type="gramStart"/>
            <w:r w:rsidRPr="0065418E">
              <w:rPr>
                <w:rFonts w:eastAsia="仿宋_GB2312"/>
                <w:color w:val="000000"/>
                <w:kern w:val="0"/>
                <w:sz w:val="28"/>
                <w:szCs w:val="28"/>
              </w:rPr>
              <w:t>原则第</w:t>
            </w:r>
            <w:proofErr w:type="gramEnd"/>
            <w:r w:rsidRPr="0065418E">
              <w:rPr>
                <w:rFonts w:eastAsia="仿宋_GB2312"/>
                <w:color w:val="000000"/>
                <w:kern w:val="0"/>
                <w:sz w:val="28"/>
                <w:szCs w:val="28"/>
              </w:rPr>
              <w:t>一部分：体系框架标准或指导原则、</w:t>
            </w:r>
            <w:r w:rsidRPr="0065418E">
              <w:rPr>
                <w:rFonts w:eastAsia="仿宋_GB2312"/>
                <w:color w:val="000000"/>
                <w:kern w:val="0"/>
                <w:sz w:val="28"/>
                <w:szCs w:val="28"/>
              </w:rPr>
              <w:t>GB16174.1</w:t>
            </w:r>
            <w:r w:rsidRPr="0065418E">
              <w:rPr>
                <w:rFonts w:eastAsia="仿宋_GB2312"/>
                <w:color w:val="000000"/>
                <w:kern w:val="0"/>
                <w:sz w:val="28"/>
                <w:szCs w:val="28"/>
              </w:rPr>
              <w:t>中</w:t>
            </w:r>
            <w:r w:rsidRPr="0065418E">
              <w:rPr>
                <w:rFonts w:eastAsia="仿宋_GB2312"/>
                <w:color w:val="000000"/>
                <w:kern w:val="0"/>
                <w:sz w:val="28"/>
                <w:szCs w:val="28"/>
              </w:rPr>
              <w:t>14.2</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生物学特性研究、风险管理资料</w:t>
            </w:r>
          </w:p>
        </w:tc>
        <w:tc>
          <w:tcPr>
            <w:tcW w:w="1701" w:type="dxa"/>
            <w:shd w:val="clear" w:color="auto" w:fill="auto"/>
            <w:vAlign w:val="center"/>
            <w:hideMark/>
          </w:tcPr>
          <w:p w:rsidR="007B4B78" w:rsidRPr="0065418E" w:rsidRDefault="007B4B78" w:rsidP="0065418E">
            <w:pPr>
              <w:widowControl/>
              <w:spacing w:line="360" w:lineRule="exact"/>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13598" w:type="dxa"/>
            <w:gridSpan w:val="5"/>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B2</w:t>
            </w:r>
            <w:r w:rsidRPr="0065418E">
              <w:rPr>
                <w:rFonts w:eastAsia="仿宋_GB2312"/>
                <w:color w:val="000000"/>
                <w:kern w:val="0"/>
                <w:sz w:val="28"/>
                <w:szCs w:val="28"/>
              </w:rPr>
              <w:t>辐射防护</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B2.1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用于医学影像的医疗器械具有电离辐射时，其设计和生产，在保障图像和</w:t>
            </w:r>
            <w:r w:rsidRPr="0065418E">
              <w:rPr>
                <w:rFonts w:eastAsia="仿宋_GB2312"/>
                <w:color w:val="000000"/>
                <w:kern w:val="0"/>
                <w:sz w:val="28"/>
                <w:szCs w:val="28"/>
              </w:rPr>
              <w:t>/</w:t>
            </w:r>
            <w:r w:rsidRPr="0065418E">
              <w:rPr>
                <w:rFonts w:eastAsia="仿宋_GB2312"/>
                <w:color w:val="000000"/>
                <w:kern w:val="0"/>
                <w:sz w:val="28"/>
                <w:szCs w:val="28"/>
              </w:rPr>
              <w:t>或输出质量的同时，应尽可能降低患者、使用者和其他人员的辐射吸收剂量。</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具有电离辐射的用于医学影像的医疗器械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风险管理资料、产品技术要求及检测报告、辐射安全研究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B2.2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具有电离辐射的医疗器械应能够精确预估（或监测）、显示、报告和记录治疗过程中的辐射剂量。</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具有电离辐射的医疗器械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风险管理资料、产品技术要求及检测报告、辐射安全研究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B3</w:t>
            </w:r>
          </w:p>
        </w:tc>
        <w:tc>
          <w:tcPr>
            <w:tcW w:w="14316" w:type="dxa"/>
            <w:gridSpan w:val="5"/>
            <w:shd w:val="clear" w:color="auto" w:fill="auto"/>
            <w:vAlign w:val="center"/>
          </w:tcPr>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植入医疗器械的特殊要求</w:t>
            </w:r>
          </w:p>
        </w:tc>
      </w:tr>
      <w:tr w:rsidR="007B4B78" w:rsidRPr="0065418E" w:rsidTr="0065418E">
        <w:trPr>
          <w:trHeight w:val="82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B3.1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植入医疗器械的设计和生产，应能消除或降低相关治疗风险，例如除颤器、高频手术设备的使用</w:t>
            </w:r>
          </w:p>
        </w:tc>
        <w:tc>
          <w:tcPr>
            <w:tcW w:w="1559" w:type="dxa"/>
            <w:vMerge w:val="restart"/>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植入医疗器械</w:t>
            </w:r>
          </w:p>
          <w:p w:rsidR="007B4B78" w:rsidRPr="0065418E" w:rsidRDefault="007B4B78" w:rsidP="0065418E">
            <w:pPr>
              <w:rPr>
                <w:rFonts w:eastAsia="仿宋_GB2312"/>
                <w:color w:val="000000"/>
                <w:kern w:val="0"/>
                <w:sz w:val="28"/>
                <w:szCs w:val="28"/>
              </w:rPr>
            </w:pPr>
            <w:r w:rsidRPr="0065418E">
              <w:rPr>
                <w:rFonts w:eastAsia="仿宋_GB2312"/>
                <w:color w:val="000000"/>
                <w:kern w:val="0"/>
                <w:sz w:val="28"/>
                <w:szCs w:val="28"/>
              </w:rPr>
              <w:t xml:space="preserve">　</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植入式心脏起搏器注册技术审查指导原则，</w:t>
            </w:r>
            <w:r w:rsidRPr="0065418E">
              <w:rPr>
                <w:rFonts w:eastAsia="仿宋_GB2312"/>
                <w:color w:val="000000"/>
                <w:kern w:val="0"/>
                <w:sz w:val="28"/>
                <w:szCs w:val="28"/>
              </w:rPr>
              <w:t>GB16174</w:t>
            </w:r>
            <w:r w:rsidRPr="0065418E">
              <w:rPr>
                <w:rFonts w:eastAsia="仿宋_GB2312"/>
                <w:color w:val="000000"/>
                <w:kern w:val="0"/>
                <w:sz w:val="28"/>
                <w:szCs w:val="28"/>
              </w:rPr>
              <w:t>系列标准、其他适用的标准或指导原则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风险管理资料、产品技术要求和检测报告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B3.2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可编程有源植入式医疗器械的设计和生产，应保证产品在无需手术时即可准确识别。</w:t>
            </w:r>
          </w:p>
        </w:tc>
        <w:tc>
          <w:tcPr>
            <w:tcW w:w="1559" w:type="dxa"/>
            <w:vMerge/>
            <w:shd w:val="clear" w:color="auto" w:fill="auto"/>
            <w:vAlign w:val="center"/>
            <w:hideMark/>
          </w:tcPr>
          <w:p w:rsidR="007B4B78" w:rsidRPr="0065418E" w:rsidRDefault="007B4B78" w:rsidP="0065418E">
            <w:pPr>
              <w:widowControl/>
              <w:rPr>
                <w:rFonts w:eastAsia="仿宋_GB2312"/>
                <w:color w:val="000000"/>
                <w:kern w:val="0"/>
                <w:sz w:val="28"/>
                <w:szCs w:val="28"/>
              </w:rPr>
            </w:pP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适用的标准或指导原则，例如</w:t>
            </w:r>
            <w:r w:rsidRPr="0065418E">
              <w:rPr>
                <w:rFonts w:eastAsia="仿宋_GB2312"/>
                <w:color w:val="000000"/>
                <w:kern w:val="0"/>
                <w:sz w:val="28"/>
                <w:szCs w:val="28"/>
              </w:rPr>
              <w:t>GB16174.1-2015</w:t>
            </w:r>
            <w:r w:rsidRPr="0065418E">
              <w:rPr>
                <w:rFonts w:eastAsia="仿宋_GB2312"/>
                <w:color w:val="000000"/>
                <w:kern w:val="0"/>
                <w:sz w:val="28"/>
                <w:szCs w:val="28"/>
              </w:rPr>
              <w:t>中</w:t>
            </w:r>
            <w:r w:rsidRPr="0065418E">
              <w:rPr>
                <w:rFonts w:eastAsia="仿宋_GB2312"/>
                <w:color w:val="000000"/>
                <w:kern w:val="0"/>
                <w:sz w:val="28"/>
                <w:szCs w:val="28"/>
              </w:rPr>
              <w:t>13.3</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B4</w:t>
            </w:r>
          </w:p>
        </w:tc>
        <w:tc>
          <w:tcPr>
            <w:tcW w:w="14316" w:type="dxa"/>
            <w:gridSpan w:val="5"/>
            <w:shd w:val="clear" w:color="auto" w:fill="auto"/>
            <w:vAlign w:val="center"/>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提供能量或物质的医疗器械对患者或使用者的风险防护</w:t>
            </w:r>
          </w:p>
        </w:tc>
      </w:tr>
      <w:tr w:rsidR="007B4B78" w:rsidRPr="0065418E" w:rsidTr="0065418E">
        <w:trPr>
          <w:trHeight w:val="123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lastRenderedPageBreak/>
              <w:t>B4.1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用于给患者提供能量或物质的医疗器械，其设计和生产应能精确地设定和维持输出量，以保证患者、使用者和其他人的安全。</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用于给患者提供能量或物质的医疗器械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产品技术要求、检测报告、物理性能研究、使用稳定性研究</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126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B4.2</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若输出量不足可能导致危险，医疗器械应当具有防止和</w:t>
            </w:r>
            <w:r w:rsidRPr="0065418E">
              <w:rPr>
                <w:rFonts w:eastAsia="仿宋_GB2312"/>
                <w:color w:val="000000"/>
                <w:kern w:val="0"/>
                <w:sz w:val="28"/>
                <w:szCs w:val="28"/>
              </w:rPr>
              <w:t>/</w:t>
            </w:r>
            <w:r w:rsidRPr="0065418E">
              <w:rPr>
                <w:rFonts w:eastAsia="仿宋_GB2312"/>
                <w:color w:val="000000"/>
                <w:kern w:val="0"/>
                <w:sz w:val="28"/>
                <w:szCs w:val="28"/>
              </w:rPr>
              <w:t>或指示</w:t>
            </w:r>
            <w:r w:rsidRPr="0065418E">
              <w:rPr>
                <w:rFonts w:eastAsia="仿宋_GB2312"/>
                <w:color w:val="000000"/>
                <w:kern w:val="0"/>
                <w:sz w:val="28"/>
                <w:szCs w:val="28"/>
              </w:rPr>
              <w:t>“</w:t>
            </w:r>
            <w:r w:rsidRPr="0065418E">
              <w:rPr>
                <w:rFonts w:eastAsia="仿宋_GB2312"/>
                <w:color w:val="000000"/>
                <w:kern w:val="0"/>
                <w:sz w:val="28"/>
                <w:szCs w:val="28"/>
              </w:rPr>
              <w:t>输出量不足</w:t>
            </w:r>
            <w:r w:rsidRPr="0065418E">
              <w:rPr>
                <w:rFonts w:eastAsia="仿宋_GB2312"/>
                <w:color w:val="000000"/>
                <w:kern w:val="0"/>
                <w:sz w:val="28"/>
                <w:szCs w:val="28"/>
              </w:rPr>
              <w:t>”</w:t>
            </w:r>
            <w:r w:rsidRPr="0065418E">
              <w:rPr>
                <w:rFonts w:eastAsia="仿宋_GB2312"/>
                <w:color w:val="000000"/>
                <w:kern w:val="0"/>
                <w:sz w:val="28"/>
                <w:szCs w:val="28"/>
              </w:rPr>
              <w:t>的功能。意外输出危险等级量的能量或物质作为较大风险，应采取适当的措施予以降低。</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用于给患者提供能量或物质的医疗器械</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GB9706.1-2020</w:t>
            </w:r>
            <w:r w:rsidRPr="0065418E">
              <w:rPr>
                <w:rFonts w:eastAsia="仿宋_GB2312"/>
                <w:color w:val="000000"/>
                <w:kern w:val="0"/>
                <w:sz w:val="28"/>
                <w:szCs w:val="28"/>
              </w:rPr>
              <w:t>的</w:t>
            </w:r>
            <w:r w:rsidRPr="0065418E">
              <w:rPr>
                <w:rFonts w:eastAsia="仿宋_GB2312"/>
                <w:color w:val="000000"/>
                <w:kern w:val="0"/>
                <w:sz w:val="28"/>
                <w:szCs w:val="28"/>
              </w:rPr>
              <w:t>12.4</w:t>
            </w:r>
            <w:r w:rsidRPr="0065418E">
              <w:rPr>
                <w:rFonts w:eastAsia="仿宋_GB2312"/>
                <w:color w:val="000000"/>
                <w:kern w:val="0"/>
                <w:sz w:val="28"/>
                <w:szCs w:val="28"/>
              </w:rPr>
              <w:t>、其他适用的标准或指导原则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风险管理资料、</w:t>
            </w:r>
            <w:r w:rsidRPr="0065418E">
              <w:rPr>
                <w:rFonts w:eastAsia="仿宋_GB2312"/>
                <w:kern w:val="0"/>
                <w:sz w:val="28"/>
                <w:szCs w:val="28"/>
              </w:rPr>
              <w:t>GB9706.1</w:t>
            </w:r>
            <w:r w:rsidRPr="0065418E">
              <w:rPr>
                <w:rFonts w:eastAsia="仿宋_GB2312"/>
                <w:kern w:val="0"/>
                <w:sz w:val="28"/>
                <w:szCs w:val="28"/>
              </w:rPr>
              <w:t>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tr>
      <w:tr w:rsidR="007B4B78" w:rsidRPr="0065418E" w:rsidTr="0065418E">
        <w:trPr>
          <w:trHeight w:val="420"/>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B5</w:t>
            </w:r>
          </w:p>
        </w:tc>
        <w:tc>
          <w:tcPr>
            <w:tcW w:w="14316" w:type="dxa"/>
            <w:gridSpan w:val="5"/>
            <w:shd w:val="clear" w:color="auto" w:fill="auto"/>
            <w:vAlign w:val="center"/>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含有药物成分的组合产品</w:t>
            </w:r>
          </w:p>
        </w:tc>
      </w:tr>
      <w:tr w:rsidR="007B4B78" w:rsidRPr="0065418E" w:rsidTr="0065418E">
        <w:trPr>
          <w:trHeight w:val="1245"/>
          <w:jc w:val="center"/>
        </w:trPr>
        <w:tc>
          <w:tcPr>
            <w:tcW w:w="983" w:type="dxa"/>
            <w:shd w:val="clear" w:color="auto" w:fill="auto"/>
            <w:vAlign w:val="center"/>
            <w:hideMark/>
          </w:tcPr>
          <w:p w:rsidR="007B4B78" w:rsidRPr="0065418E" w:rsidRDefault="007B4B78" w:rsidP="00C1271F">
            <w:pPr>
              <w:widowControl/>
              <w:jc w:val="left"/>
              <w:rPr>
                <w:rFonts w:eastAsia="仿宋_GB2312"/>
                <w:color w:val="000000"/>
                <w:kern w:val="0"/>
                <w:sz w:val="28"/>
                <w:szCs w:val="28"/>
              </w:rPr>
            </w:pPr>
            <w:r w:rsidRPr="0065418E">
              <w:rPr>
                <w:rFonts w:eastAsia="仿宋_GB2312"/>
                <w:color w:val="000000"/>
                <w:kern w:val="0"/>
                <w:sz w:val="28"/>
                <w:szCs w:val="28"/>
              </w:rPr>
              <w:t>B5.1</w:t>
            </w:r>
          </w:p>
        </w:tc>
        <w:tc>
          <w:tcPr>
            <w:tcW w:w="5252"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当医疗器械组成成分中含有某种物质，依据监管法规，该物质作为药用产品</w:t>
            </w:r>
            <w:r w:rsidRPr="0065418E">
              <w:rPr>
                <w:rFonts w:eastAsia="仿宋_GB2312"/>
                <w:color w:val="000000"/>
                <w:kern w:val="0"/>
                <w:sz w:val="28"/>
                <w:szCs w:val="28"/>
              </w:rPr>
              <w:t>/</w:t>
            </w:r>
            <w:r w:rsidRPr="0065418E">
              <w:rPr>
                <w:rFonts w:eastAsia="仿宋_GB2312"/>
                <w:color w:val="000000"/>
                <w:kern w:val="0"/>
                <w:sz w:val="28"/>
                <w:szCs w:val="28"/>
              </w:rPr>
              <w:t>药物进行管理，且该物质在体内为医疗器械提供辅助作用时，应将医疗器械和此物质作为一个整体，对其安全和性能进行验证，同时应验证该物质的特征、安全、质量和有效性。</w:t>
            </w:r>
          </w:p>
        </w:tc>
        <w:tc>
          <w:tcPr>
            <w:tcW w:w="1559"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药械组合产品</w:t>
            </w:r>
          </w:p>
        </w:tc>
        <w:tc>
          <w:tcPr>
            <w:tcW w:w="311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《药械组合医疗器械注册技术审查指导原则》《药械组合医疗器械药物定性、定量及体外释放研究技术审查指导原则》</w:t>
            </w:r>
          </w:p>
        </w:tc>
        <w:tc>
          <w:tcPr>
            <w:tcW w:w="2693"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非临床研究、临床评价、产品技术要求及检测报告</w:t>
            </w:r>
          </w:p>
        </w:tc>
        <w:tc>
          <w:tcPr>
            <w:tcW w:w="1701" w:type="dxa"/>
            <w:shd w:val="clear" w:color="auto" w:fill="auto"/>
            <w:vAlign w:val="center"/>
            <w:hideMark/>
          </w:tcPr>
          <w:p w:rsidR="007B4B78" w:rsidRPr="0065418E" w:rsidRDefault="007B4B78" w:rsidP="0065418E">
            <w:pPr>
              <w:widowControl/>
              <w:rPr>
                <w:rFonts w:eastAsia="仿宋_GB2312"/>
                <w:color w:val="000000"/>
                <w:kern w:val="0"/>
                <w:sz w:val="28"/>
                <w:szCs w:val="28"/>
              </w:rPr>
            </w:pPr>
            <w:r w:rsidRPr="0065418E">
              <w:rPr>
                <w:rFonts w:eastAsia="仿宋_GB2312"/>
                <w:color w:val="000000"/>
                <w:kern w:val="0"/>
                <w:sz w:val="28"/>
                <w:szCs w:val="28"/>
              </w:rPr>
              <w:t xml:space="preserve">　</w:t>
            </w:r>
          </w:p>
        </w:tc>
        <w:bookmarkStart w:id="0" w:name="_GoBack"/>
        <w:bookmarkEnd w:id="0"/>
      </w:tr>
    </w:tbl>
    <w:p w:rsidR="00A572C9" w:rsidRDefault="00A572C9" w:rsidP="00AF5D76">
      <w:pPr>
        <w:spacing w:line="360" w:lineRule="exact"/>
        <w:rPr>
          <w:rFonts w:hint="eastAsia"/>
          <w:color w:val="000000"/>
          <w:sz w:val="28"/>
          <w:szCs w:val="28"/>
        </w:rPr>
        <w:sectPr w:rsidR="00A572C9" w:rsidSect="00BE2402">
          <w:type w:val="continuous"/>
          <w:pgSz w:w="16838" w:h="11906" w:orient="landscape"/>
          <w:pgMar w:top="1588" w:right="2098" w:bottom="1588" w:left="2098" w:header="851" w:footer="992" w:gutter="0"/>
          <w:cols w:space="425"/>
          <w:docGrid w:type="linesAndChars" w:linePitch="435"/>
        </w:sectPr>
      </w:pPr>
    </w:p>
    <w:p w:rsidR="00AF5D76" w:rsidRPr="0065418E" w:rsidRDefault="00AF5D76" w:rsidP="00754934">
      <w:pPr>
        <w:spacing w:beforeLines="50" w:before="120" w:line="360" w:lineRule="exact"/>
        <w:ind w:rightChars="-62" w:right="-198"/>
        <w:rPr>
          <w:rFonts w:hint="eastAsia"/>
          <w:color w:val="000000"/>
          <w:sz w:val="28"/>
          <w:szCs w:val="28"/>
        </w:rPr>
      </w:pPr>
    </w:p>
    <w:sectPr w:rsidR="00AF5D76" w:rsidRPr="0065418E" w:rsidSect="00C0038C">
      <w:type w:val="continuous"/>
      <w:pgSz w:w="16838" w:h="11906" w:orient="landscape"/>
      <w:pgMar w:top="1588" w:right="2098" w:bottom="1588" w:left="209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A38" w:rsidRDefault="00820A38" w:rsidP="006C00CB">
      <w:r>
        <w:separator/>
      </w:r>
    </w:p>
  </w:endnote>
  <w:endnote w:type="continuationSeparator" w:id="0">
    <w:p w:rsidR="00820A38" w:rsidRDefault="00820A38"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D96CA3" w:rsidRDefault="00D96CA3" w:rsidP="00D96CA3">
        <w:pPr>
          <w:pStyle w:val="a3"/>
        </w:pPr>
        <w:r w:rsidRPr="00AF5D76">
          <w:rPr>
            <w:sz w:val="28"/>
            <w:szCs w:val="28"/>
          </w:rPr>
          <w:t xml:space="preserve">— </w:t>
        </w:r>
        <w:r w:rsidRPr="00AF5D76">
          <w:rPr>
            <w:sz w:val="28"/>
            <w:szCs w:val="28"/>
          </w:rPr>
          <w:fldChar w:fldCharType="begin"/>
        </w:r>
        <w:r w:rsidRPr="00AF5D76">
          <w:rPr>
            <w:sz w:val="28"/>
            <w:szCs w:val="28"/>
          </w:rPr>
          <w:instrText xml:space="preserve"> PAGE   \* MERGEFORMAT </w:instrText>
        </w:r>
        <w:r w:rsidRPr="00AF5D76">
          <w:rPr>
            <w:sz w:val="28"/>
            <w:szCs w:val="28"/>
          </w:rPr>
          <w:fldChar w:fldCharType="separate"/>
        </w:r>
        <w:r w:rsidR="00754934" w:rsidRPr="00754934">
          <w:rPr>
            <w:noProof/>
            <w:sz w:val="28"/>
            <w:szCs w:val="28"/>
            <w:lang w:val="zh-CN"/>
          </w:rPr>
          <w:t>28</w:t>
        </w:r>
        <w:r w:rsidRPr="00AF5D76">
          <w:rPr>
            <w:sz w:val="28"/>
            <w:szCs w:val="28"/>
          </w:rPr>
          <w:fldChar w:fldCharType="end"/>
        </w:r>
        <w:r w:rsidRPr="00AF5D76">
          <w:rPr>
            <w:sz w:val="28"/>
            <w:szCs w:val="28"/>
          </w:rPr>
          <w:t xml:space="preserve"> —</w:t>
        </w:r>
      </w:p>
    </w:sdtContent>
  </w:sdt>
  <w:p w:rsidR="00D96CA3" w:rsidRDefault="00D96CA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134" w:rsidRPr="00872134" w:rsidRDefault="00820A38" w:rsidP="0010320F">
    <w:pPr>
      <w:pStyle w:val="a3"/>
      <w:numPr>
        <w:ilvl w:val="0"/>
        <w:numId w:val="39"/>
      </w:numPr>
      <w:wordWrap w:val="0"/>
      <w:jc w:val="right"/>
      <w:rPr>
        <w:sz w:val="28"/>
        <w:szCs w:val="28"/>
      </w:rPr>
    </w:pPr>
    <w:sdt>
      <w:sdtPr>
        <w:id w:val="550886345"/>
        <w:docPartObj>
          <w:docPartGallery w:val="Page Numbers (Bottom of Page)"/>
          <w:docPartUnique/>
        </w:docPartObj>
      </w:sdtPr>
      <w:sdtEndPr>
        <w:rPr>
          <w:sz w:val="28"/>
          <w:szCs w:val="28"/>
        </w:rPr>
      </w:sdtEndPr>
      <w:sdtContent>
        <w:r w:rsidR="00872134" w:rsidRPr="00872134">
          <w:rPr>
            <w:sz w:val="28"/>
            <w:szCs w:val="28"/>
          </w:rPr>
          <w:fldChar w:fldCharType="begin"/>
        </w:r>
        <w:r w:rsidR="00872134" w:rsidRPr="00872134">
          <w:rPr>
            <w:sz w:val="28"/>
            <w:szCs w:val="28"/>
          </w:rPr>
          <w:instrText>PAGE   \* MERGEFORMAT</w:instrText>
        </w:r>
        <w:r w:rsidR="00872134" w:rsidRPr="00872134">
          <w:rPr>
            <w:sz w:val="28"/>
            <w:szCs w:val="28"/>
          </w:rPr>
          <w:fldChar w:fldCharType="separate"/>
        </w:r>
        <w:r w:rsidR="00754934" w:rsidRPr="00754934">
          <w:rPr>
            <w:noProof/>
            <w:sz w:val="28"/>
            <w:szCs w:val="28"/>
            <w:lang w:val="zh-CN"/>
          </w:rPr>
          <w:t>29</w:t>
        </w:r>
        <w:r w:rsidR="00872134" w:rsidRPr="00872134">
          <w:rPr>
            <w:sz w:val="28"/>
            <w:szCs w:val="28"/>
          </w:rPr>
          <w:fldChar w:fldCharType="end"/>
        </w:r>
      </w:sdtContent>
    </w:sdt>
    <w:r w:rsidR="00872134" w:rsidRPr="00872134">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A38" w:rsidRDefault="00820A38" w:rsidP="006C00CB">
      <w:r>
        <w:separator/>
      </w:r>
    </w:p>
  </w:footnote>
  <w:footnote w:type="continuationSeparator" w:id="0">
    <w:p w:rsidR="00820A38" w:rsidRDefault="00820A38"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9"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1"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C2E0A5E"/>
    <w:multiLevelType w:val="multilevel"/>
    <w:tmpl w:val="43B6EC44"/>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FEF2EA3"/>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7" w15:restartNumberingAfterBreak="0">
    <w:nsid w:val="327320AB"/>
    <w:multiLevelType w:val="hybridMultilevel"/>
    <w:tmpl w:val="075A778E"/>
    <w:lvl w:ilvl="0" w:tplc="5D2A7946">
      <w:start w:val="1"/>
      <w:numFmt w:val="decimal"/>
      <w:lvlText w:val="%1."/>
      <w:lvlJc w:val="left"/>
      <w:pPr>
        <w:ind w:left="360" w:hanging="360"/>
      </w:pPr>
      <w:rPr>
        <w:rFonts w:eastAsia="宋体"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533B57"/>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1"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5"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7"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569842B3"/>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0"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1"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4"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6"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52609B8"/>
    <w:multiLevelType w:val="multilevel"/>
    <w:tmpl w:val="5D445B76"/>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4"/>
  </w:num>
  <w:num w:numId="2">
    <w:abstractNumId w:val="19"/>
  </w:num>
  <w:num w:numId="3">
    <w:abstractNumId w:val="6"/>
  </w:num>
  <w:num w:numId="4">
    <w:abstractNumId w:val="22"/>
  </w:num>
  <w:num w:numId="5">
    <w:abstractNumId w:val="8"/>
  </w:num>
  <w:num w:numId="6">
    <w:abstractNumId w:val="9"/>
  </w:num>
  <w:num w:numId="7">
    <w:abstractNumId w:val="35"/>
  </w:num>
  <w:num w:numId="8">
    <w:abstractNumId w:val="39"/>
  </w:num>
  <w:num w:numId="9">
    <w:abstractNumId w:val="20"/>
  </w:num>
  <w:num w:numId="10">
    <w:abstractNumId w:val="1"/>
  </w:num>
  <w:num w:numId="11">
    <w:abstractNumId w:val="0"/>
  </w:num>
  <w:num w:numId="12">
    <w:abstractNumId w:val="32"/>
  </w:num>
  <w:num w:numId="13">
    <w:abstractNumId w:val="12"/>
  </w:num>
  <w:num w:numId="14">
    <w:abstractNumId w:val="26"/>
  </w:num>
  <w:num w:numId="15">
    <w:abstractNumId w:val="25"/>
  </w:num>
  <w:num w:numId="16">
    <w:abstractNumId w:val="31"/>
  </w:num>
  <w:num w:numId="17">
    <w:abstractNumId w:val="3"/>
  </w:num>
  <w:num w:numId="18">
    <w:abstractNumId w:val="7"/>
  </w:num>
  <w:num w:numId="19">
    <w:abstractNumId w:val="10"/>
  </w:num>
  <w:num w:numId="20">
    <w:abstractNumId w:val="30"/>
  </w:num>
  <w:num w:numId="21">
    <w:abstractNumId w:val="4"/>
  </w:num>
  <w:num w:numId="22">
    <w:abstractNumId w:val="15"/>
  </w:num>
  <w:num w:numId="23">
    <w:abstractNumId w:val="16"/>
  </w:num>
  <w:num w:numId="24">
    <w:abstractNumId w:val="37"/>
  </w:num>
  <w:num w:numId="25">
    <w:abstractNumId w:val="14"/>
  </w:num>
  <w:num w:numId="26">
    <w:abstractNumId w:val="34"/>
  </w:num>
  <w:num w:numId="27">
    <w:abstractNumId w:val="2"/>
  </w:num>
  <w:num w:numId="28">
    <w:abstractNumId w:val="28"/>
  </w:num>
  <w:num w:numId="29">
    <w:abstractNumId w:val="11"/>
  </w:num>
  <w:num w:numId="30">
    <w:abstractNumId w:val="33"/>
  </w:num>
  <w:num w:numId="31">
    <w:abstractNumId w:val="29"/>
  </w:num>
  <w:num w:numId="32">
    <w:abstractNumId w:val="27"/>
  </w:num>
  <w:num w:numId="33">
    <w:abstractNumId w:val="38"/>
  </w:num>
  <w:num w:numId="34">
    <w:abstractNumId w:val="18"/>
  </w:num>
  <w:num w:numId="35">
    <w:abstractNumId w:val="21"/>
  </w:num>
  <w:num w:numId="36">
    <w:abstractNumId w:val="36"/>
  </w:num>
  <w:num w:numId="37">
    <w:abstractNumId w:val="5"/>
  </w:num>
  <w:num w:numId="38">
    <w:abstractNumId w:val="23"/>
  </w:num>
  <w:num w:numId="39">
    <w:abstractNumId w:val="13"/>
  </w:num>
  <w:num w:numId="40">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03451"/>
    <w:rsid w:val="00020162"/>
    <w:rsid w:val="00021955"/>
    <w:rsid w:val="0002396E"/>
    <w:rsid w:val="00056A28"/>
    <w:rsid w:val="00060C10"/>
    <w:rsid w:val="0007686E"/>
    <w:rsid w:val="000A31EE"/>
    <w:rsid w:val="000B4C9B"/>
    <w:rsid w:val="000B5D87"/>
    <w:rsid w:val="000C48A1"/>
    <w:rsid w:val="000E5335"/>
    <w:rsid w:val="0010320F"/>
    <w:rsid w:val="00145167"/>
    <w:rsid w:val="0015622E"/>
    <w:rsid w:val="001832C0"/>
    <w:rsid w:val="001C3A87"/>
    <w:rsid w:val="001E0961"/>
    <w:rsid w:val="001E4E81"/>
    <w:rsid w:val="0022585F"/>
    <w:rsid w:val="00241E57"/>
    <w:rsid w:val="00242375"/>
    <w:rsid w:val="00244DF7"/>
    <w:rsid w:val="00246390"/>
    <w:rsid w:val="00275A48"/>
    <w:rsid w:val="00277473"/>
    <w:rsid w:val="00291759"/>
    <w:rsid w:val="00294D2B"/>
    <w:rsid w:val="00295369"/>
    <w:rsid w:val="002B2048"/>
    <w:rsid w:val="002B24A0"/>
    <w:rsid w:val="002D3B6C"/>
    <w:rsid w:val="002F2978"/>
    <w:rsid w:val="002F309D"/>
    <w:rsid w:val="0030368E"/>
    <w:rsid w:val="0031186D"/>
    <w:rsid w:val="003137C1"/>
    <w:rsid w:val="00332DE8"/>
    <w:rsid w:val="003450A4"/>
    <w:rsid w:val="003549E8"/>
    <w:rsid w:val="00355421"/>
    <w:rsid w:val="00365AB2"/>
    <w:rsid w:val="00410598"/>
    <w:rsid w:val="0041581E"/>
    <w:rsid w:val="00435AC6"/>
    <w:rsid w:val="00440708"/>
    <w:rsid w:val="00440AA4"/>
    <w:rsid w:val="004410B9"/>
    <w:rsid w:val="0045151A"/>
    <w:rsid w:val="00483A83"/>
    <w:rsid w:val="00493D2A"/>
    <w:rsid w:val="004B2F13"/>
    <w:rsid w:val="004C4DBC"/>
    <w:rsid w:val="004C7137"/>
    <w:rsid w:val="004E39ED"/>
    <w:rsid w:val="004E3D4B"/>
    <w:rsid w:val="004F0151"/>
    <w:rsid w:val="005041BA"/>
    <w:rsid w:val="005277E2"/>
    <w:rsid w:val="00530384"/>
    <w:rsid w:val="00534F4C"/>
    <w:rsid w:val="005609D1"/>
    <w:rsid w:val="005A1410"/>
    <w:rsid w:val="005A204F"/>
    <w:rsid w:val="005D1959"/>
    <w:rsid w:val="006014D4"/>
    <w:rsid w:val="006126F6"/>
    <w:rsid w:val="0061504E"/>
    <w:rsid w:val="0062419A"/>
    <w:rsid w:val="0065418E"/>
    <w:rsid w:val="00670933"/>
    <w:rsid w:val="006A1165"/>
    <w:rsid w:val="006C00CB"/>
    <w:rsid w:val="006E68A9"/>
    <w:rsid w:val="006E7148"/>
    <w:rsid w:val="00716619"/>
    <w:rsid w:val="007206A1"/>
    <w:rsid w:val="00725E46"/>
    <w:rsid w:val="00745098"/>
    <w:rsid w:val="00753D08"/>
    <w:rsid w:val="00754934"/>
    <w:rsid w:val="007646FC"/>
    <w:rsid w:val="00787F7E"/>
    <w:rsid w:val="007904F6"/>
    <w:rsid w:val="007B4B78"/>
    <w:rsid w:val="007D341A"/>
    <w:rsid w:val="00815364"/>
    <w:rsid w:val="00820A38"/>
    <w:rsid w:val="00821079"/>
    <w:rsid w:val="0083192A"/>
    <w:rsid w:val="00845C30"/>
    <w:rsid w:val="0087100E"/>
    <w:rsid w:val="00872134"/>
    <w:rsid w:val="008961B3"/>
    <w:rsid w:val="008A4F25"/>
    <w:rsid w:val="00920A47"/>
    <w:rsid w:val="00937F0E"/>
    <w:rsid w:val="0095790E"/>
    <w:rsid w:val="0098100B"/>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32C6C"/>
    <w:rsid w:val="00B41578"/>
    <w:rsid w:val="00B66355"/>
    <w:rsid w:val="00B9118A"/>
    <w:rsid w:val="00BC2983"/>
    <w:rsid w:val="00BC7C84"/>
    <w:rsid w:val="00BD300F"/>
    <w:rsid w:val="00BE2402"/>
    <w:rsid w:val="00BE669C"/>
    <w:rsid w:val="00C0038C"/>
    <w:rsid w:val="00C0562D"/>
    <w:rsid w:val="00C151FE"/>
    <w:rsid w:val="00C25860"/>
    <w:rsid w:val="00C25F69"/>
    <w:rsid w:val="00C40950"/>
    <w:rsid w:val="00C5010B"/>
    <w:rsid w:val="00C55908"/>
    <w:rsid w:val="00C55C2E"/>
    <w:rsid w:val="00C86C9F"/>
    <w:rsid w:val="00CA0BE6"/>
    <w:rsid w:val="00CB4CCD"/>
    <w:rsid w:val="00CB56D1"/>
    <w:rsid w:val="00CD1907"/>
    <w:rsid w:val="00CE24E2"/>
    <w:rsid w:val="00D076F0"/>
    <w:rsid w:val="00D256A9"/>
    <w:rsid w:val="00D277BD"/>
    <w:rsid w:val="00D32614"/>
    <w:rsid w:val="00D36F91"/>
    <w:rsid w:val="00D4450D"/>
    <w:rsid w:val="00D73732"/>
    <w:rsid w:val="00D865D6"/>
    <w:rsid w:val="00D93E3E"/>
    <w:rsid w:val="00D96CA3"/>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31CB3"/>
    <w:rsid w:val="00F45E55"/>
    <w:rsid w:val="00F4680C"/>
    <w:rsid w:val="00F741A3"/>
    <w:rsid w:val="00F801A1"/>
    <w:rsid w:val="00F81D1A"/>
    <w:rsid w:val="00FA36EA"/>
    <w:rsid w:val="00FB46B2"/>
    <w:rsid w:val="00FC6BE6"/>
    <w:rsid w:val="00FE6D89"/>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1980B"/>
  <w15:docId w15:val="{1E2EE282-84FD-4250-950E-E5E95212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4C7137"/>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4C7137"/>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4C7137"/>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4C7137"/>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20">
    <w:name w:val="标题 2 字符"/>
    <w:basedOn w:val="a0"/>
    <w:link w:val="2"/>
    <w:uiPriority w:val="9"/>
    <w:rsid w:val="004C7137"/>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4C7137"/>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4C7137"/>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4C7137"/>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4C7137"/>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semiHidden/>
    <w:unhideWhenUsed/>
    <w:rsid w:val="00410598"/>
    <w:rPr>
      <w:sz w:val="18"/>
      <w:szCs w:val="18"/>
    </w:rPr>
  </w:style>
  <w:style w:type="character" w:customStyle="1" w:styleId="a8">
    <w:name w:val="批注框文本 字符"/>
    <w:basedOn w:val="a0"/>
    <w:link w:val="a7"/>
    <w:uiPriority w:val="99"/>
    <w:semiHidden/>
    <w:rsid w:val="00410598"/>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1C3A87"/>
    <w:pPr>
      <w:ind w:firstLineChars="200" w:firstLine="420"/>
    </w:pPr>
  </w:style>
  <w:style w:type="character" w:customStyle="1" w:styleId="aa">
    <w:name w:val="列出段落 字符"/>
    <w:link w:val="a9"/>
    <w:uiPriority w:val="34"/>
    <w:rsid w:val="00056A28"/>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FB46B2"/>
    <w:rPr>
      <w:sz w:val="21"/>
      <w:szCs w:val="21"/>
    </w:rPr>
  </w:style>
  <w:style w:type="paragraph" w:styleId="ac">
    <w:name w:val="annotation text"/>
    <w:basedOn w:val="a"/>
    <w:link w:val="ad"/>
    <w:unhideWhenUsed/>
    <w:rsid w:val="00FB46B2"/>
    <w:pPr>
      <w:jc w:val="left"/>
    </w:pPr>
  </w:style>
  <w:style w:type="character" w:customStyle="1" w:styleId="ad">
    <w:name w:val="批注文字 字符"/>
    <w:basedOn w:val="a0"/>
    <w:link w:val="ac"/>
    <w:rsid w:val="00FB46B2"/>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FB46B2"/>
    <w:rPr>
      <w:b/>
      <w:bCs/>
    </w:rPr>
  </w:style>
  <w:style w:type="character" w:customStyle="1" w:styleId="af">
    <w:name w:val="批注主题 字符"/>
    <w:basedOn w:val="ad"/>
    <w:link w:val="ae"/>
    <w:uiPriority w:val="99"/>
    <w:rsid w:val="00FB46B2"/>
    <w:rPr>
      <w:rFonts w:ascii="Times New Roman" w:eastAsia="Adobe 仿宋 Std R" w:hAnsi="Times New Roman" w:cs="Times New Roman"/>
      <w:b/>
      <w:bCs/>
      <w:kern w:val="2"/>
      <w:sz w:val="32"/>
      <w:szCs w:val="24"/>
    </w:rPr>
  </w:style>
  <w:style w:type="paragraph" w:customStyle="1" w:styleId="af0">
    <w:basedOn w:val="a"/>
    <w:next w:val="a9"/>
    <w:uiPriority w:val="34"/>
    <w:qFormat/>
    <w:rsid w:val="00E7330F"/>
    <w:pPr>
      <w:ind w:firstLineChars="200" w:firstLine="420"/>
    </w:pPr>
    <w:rPr>
      <w:rFonts w:eastAsia="宋体"/>
      <w:sz w:val="21"/>
    </w:rPr>
  </w:style>
  <w:style w:type="paragraph" w:styleId="af1">
    <w:name w:val="Body Text"/>
    <w:basedOn w:val="a"/>
    <w:link w:val="af2"/>
    <w:rsid w:val="004C7137"/>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4C7137"/>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4C7137"/>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4C7137"/>
    <w:rPr>
      <w:rFonts w:ascii="Cambria" w:eastAsia="仿宋_GB2312" w:hAnsi="Cambria" w:cs="Times New Roman"/>
      <w:b/>
      <w:bCs/>
      <w:snapToGrid w:val="0"/>
      <w:kern w:val="28"/>
      <w:sz w:val="32"/>
      <w:szCs w:val="32"/>
      <w:lang w:val="zh-CN"/>
    </w:rPr>
  </w:style>
  <w:style w:type="character" w:styleId="af5">
    <w:name w:val="page number"/>
    <w:basedOn w:val="a0"/>
    <w:rsid w:val="004C7137"/>
  </w:style>
  <w:style w:type="paragraph" w:customStyle="1" w:styleId="12">
    <w:name w:val="修订1"/>
    <w:hidden/>
    <w:uiPriority w:val="99"/>
    <w:semiHidden/>
    <w:qFormat/>
    <w:rsid w:val="004C7137"/>
    <w:rPr>
      <w:rFonts w:ascii="Times New Roman" w:eastAsia="仿宋_GB2312" w:hAnsi="Times New Roman" w:cs="Times New Roman"/>
      <w:snapToGrid w:val="0"/>
      <w:kern w:val="2"/>
      <w:sz w:val="21"/>
      <w:szCs w:val="32"/>
    </w:rPr>
  </w:style>
  <w:style w:type="paragraph" w:styleId="af6">
    <w:name w:val="Plain Text"/>
    <w:basedOn w:val="a"/>
    <w:link w:val="af7"/>
    <w:rsid w:val="004C7137"/>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4C7137"/>
    <w:rPr>
      <w:rFonts w:asciiTheme="minorEastAsia" w:hAnsi="Courier New" w:cs="Courier New"/>
      <w:snapToGrid w:val="0"/>
      <w:sz w:val="32"/>
      <w:szCs w:val="32"/>
    </w:rPr>
  </w:style>
  <w:style w:type="table" w:styleId="af8">
    <w:name w:val="Table Grid"/>
    <w:basedOn w:val="a1"/>
    <w:uiPriority w:val="59"/>
    <w:qFormat/>
    <w:rsid w:val="004C7137"/>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4C7137"/>
    <w:rPr>
      <w:color w:val="808080"/>
    </w:rPr>
  </w:style>
  <w:style w:type="table" w:customStyle="1" w:styleId="TableNormal1">
    <w:name w:val="Table Normal1"/>
    <w:uiPriority w:val="2"/>
    <w:semiHidden/>
    <w:unhideWhenUsed/>
    <w:qFormat/>
    <w:rsid w:val="004C7137"/>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4C7137"/>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4C7137"/>
    <w:rPr>
      <w:i/>
      <w:iCs/>
    </w:rPr>
  </w:style>
  <w:style w:type="paragraph" w:styleId="afb">
    <w:name w:val="footnote text"/>
    <w:basedOn w:val="a"/>
    <w:link w:val="afc"/>
    <w:unhideWhenUsed/>
    <w:rsid w:val="004C7137"/>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4C7137"/>
    <w:rPr>
      <w:rFonts w:ascii="Times New Roman" w:eastAsia="仿宋_GB2312" w:hAnsi="Times New Roman" w:cs="Times New Roman"/>
      <w:snapToGrid w:val="0"/>
      <w:sz w:val="18"/>
      <w:szCs w:val="18"/>
    </w:rPr>
  </w:style>
  <w:style w:type="character" w:styleId="afd">
    <w:name w:val="footnote reference"/>
    <w:basedOn w:val="a0"/>
    <w:semiHidden/>
    <w:unhideWhenUsed/>
    <w:rsid w:val="004C7137"/>
    <w:rPr>
      <w:vertAlign w:val="superscript"/>
    </w:rPr>
  </w:style>
  <w:style w:type="paragraph" w:styleId="afe">
    <w:name w:val="endnote text"/>
    <w:basedOn w:val="a"/>
    <w:link w:val="aff"/>
    <w:semiHidden/>
    <w:unhideWhenUsed/>
    <w:rsid w:val="004C7137"/>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4C7137"/>
    <w:rPr>
      <w:rFonts w:ascii="Times New Roman" w:eastAsia="仿宋_GB2312" w:hAnsi="Times New Roman" w:cs="Times New Roman"/>
      <w:snapToGrid w:val="0"/>
      <w:sz w:val="32"/>
      <w:szCs w:val="32"/>
    </w:rPr>
  </w:style>
  <w:style w:type="paragraph" w:customStyle="1" w:styleId="Aff0">
    <w:name w:val="正文A"/>
    <w:qFormat/>
    <w:rsid w:val="004C7137"/>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4C7137"/>
    <w:rPr>
      <w:rFonts w:ascii="Times New Roman" w:eastAsia="仿宋_GB2312" w:hAnsi="Times New Roman" w:cs="Times New Roman"/>
      <w:snapToGrid w:val="0"/>
      <w:sz w:val="32"/>
      <w:szCs w:val="32"/>
    </w:rPr>
  </w:style>
  <w:style w:type="paragraph" w:styleId="aff2">
    <w:name w:val="caption"/>
    <w:basedOn w:val="a"/>
    <w:next w:val="a"/>
    <w:uiPriority w:val="35"/>
    <w:unhideWhenUsed/>
    <w:qFormat/>
    <w:rsid w:val="007B4B78"/>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528D3F-8149-47AB-84F0-2577787C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2149</Words>
  <Characters>12253</Characters>
  <Application>Microsoft Office Word</Application>
  <DocSecurity>0</DocSecurity>
  <Lines>102</Lines>
  <Paragraphs>28</Paragraphs>
  <ScaleCrop>false</ScaleCrop>
  <Company>Microsoft</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8</cp:revision>
  <cp:lastPrinted>2022-06-30T02:05:00Z</cp:lastPrinted>
  <dcterms:created xsi:type="dcterms:W3CDTF">2022-07-13T01:05:00Z</dcterms:created>
  <dcterms:modified xsi:type="dcterms:W3CDTF">2022-07-13T09:02:00Z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