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5E6" w:rsidRDefault="00B955E6" w:rsidP="00B955E6">
      <w:pPr>
        <w:pStyle w:val="a7"/>
        <w:spacing w:line="520" w:lineRule="exact"/>
        <w:rPr>
          <w:rFonts w:ascii="Times New Roman" w:eastAsia="黑体" w:hAnsi="Times New Roman" w:cs="Times New Roman"/>
          <w:sz w:val="32"/>
          <w:szCs w:val="32"/>
        </w:rPr>
      </w:pPr>
      <w:bookmarkStart w:id="0" w:name="zhengwen"/>
      <w:r w:rsidRPr="00B955E6">
        <w:rPr>
          <w:rFonts w:ascii="Times New Roman" w:eastAsia="黑体" w:hAnsi="Times New Roman" w:cs="Times New Roman"/>
          <w:sz w:val="32"/>
          <w:szCs w:val="32"/>
        </w:rPr>
        <w:t>附件</w:t>
      </w:r>
      <w:r w:rsidRPr="00B955E6">
        <w:rPr>
          <w:rFonts w:ascii="Times New Roman" w:eastAsia="黑体" w:hAnsi="Times New Roman" w:cs="Times New Roman"/>
          <w:sz w:val="32"/>
          <w:szCs w:val="32"/>
        </w:rPr>
        <w:t>5</w:t>
      </w:r>
    </w:p>
    <w:p w:rsidR="00B955E6" w:rsidRPr="00B955E6" w:rsidRDefault="00B955E6" w:rsidP="00B955E6">
      <w:pPr>
        <w:pStyle w:val="a7"/>
        <w:spacing w:line="520" w:lineRule="exact"/>
        <w:rPr>
          <w:rFonts w:ascii="Times New Roman" w:eastAsia="黑体" w:hAnsi="Times New Roman" w:cs="Times New Roman"/>
          <w:sz w:val="32"/>
          <w:szCs w:val="32"/>
        </w:rPr>
      </w:pPr>
    </w:p>
    <w:p w:rsidR="0034448F" w:rsidRDefault="00CB2AB8" w:rsidP="00CB2AB8">
      <w:pPr>
        <w:pStyle w:val="a7"/>
        <w:spacing w:line="520" w:lineRule="exact"/>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血管夹产品注册审查指导原则</w:t>
      </w:r>
    </w:p>
    <w:p w:rsidR="0034448F" w:rsidRDefault="0034448F" w:rsidP="00CB2AB8">
      <w:pPr>
        <w:spacing w:line="520" w:lineRule="exact"/>
        <w:ind w:firstLineChars="200" w:firstLine="640"/>
        <w:jc w:val="center"/>
        <w:rPr>
          <w:rFonts w:eastAsia="仿宋"/>
          <w:sz w:val="32"/>
          <w:szCs w:val="32"/>
        </w:rPr>
      </w:pPr>
    </w:p>
    <w:p w:rsidR="0034448F" w:rsidRDefault="00CB2AB8" w:rsidP="00CB2AB8">
      <w:pPr>
        <w:pStyle w:val="1"/>
        <w:spacing w:line="520" w:lineRule="exact"/>
        <w:ind w:firstLine="640"/>
        <w:rPr>
          <w:rFonts w:ascii="Times New Roman" w:eastAsia="仿宋_GB2312" w:hAnsi="Times New Roman"/>
          <w:color w:val="000000"/>
          <w:sz w:val="32"/>
          <w:szCs w:val="32"/>
        </w:rPr>
      </w:pPr>
      <w:bookmarkStart w:id="1" w:name="_Toc433187257"/>
      <w:r>
        <w:rPr>
          <w:rFonts w:ascii="Times New Roman" w:eastAsia="仿宋_GB2312" w:hAnsi="Times New Roman"/>
          <w:color w:val="000000"/>
          <w:sz w:val="32"/>
          <w:szCs w:val="32"/>
        </w:rPr>
        <w:t>本指导原则旨在提供系统规范的指南性文件，用于指导注册申请人进行注册申报，同时也为技术审评部门提供技术指导。</w:t>
      </w:r>
    </w:p>
    <w:p w:rsidR="0034448F" w:rsidRDefault="00CB2AB8" w:rsidP="00CB2AB8">
      <w:pPr>
        <w:pStyle w:val="1"/>
        <w:spacing w:line="52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是对血管夹产品注册申报资料的一般要求，申请人应依据具体产品的特性对注册申报资料的内容进行充实和细化。申请人还应依据具体产品的特性确定其中的具体内容是否适用，若不适用，需具体阐述其理由及相应的科学依据。</w:t>
      </w:r>
    </w:p>
    <w:p w:rsidR="0034448F" w:rsidRDefault="00CB2AB8" w:rsidP="00CB2AB8">
      <w:pPr>
        <w:pStyle w:val="a5"/>
        <w:spacing w:before="55" w:line="520" w:lineRule="exact"/>
        <w:ind w:firstLine="641"/>
        <w:jc w:val="both"/>
        <w:rPr>
          <w:rFonts w:ascii="Times New Roman" w:eastAsia="仿宋_GB2312" w:hAnsi="Times New Roman" w:cs="Times New Roman"/>
        </w:rPr>
      </w:pPr>
      <w:r>
        <w:rPr>
          <w:rFonts w:ascii="Times New Roman" w:eastAsia="仿宋_GB2312" w:hAnsi="Times New Roman" w:cs="Times New Roman"/>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34448F" w:rsidRDefault="00CB2AB8" w:rsidP="00CB2AB8">
      <w:pPr>
        <w:pStyle w:val="a7"/>
        <w:overflowPunct w:val="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本指导原则是在现行法规、标准体系以及当前认知水平下制定的，随着法规和标准的不断完善，以及科学技术的不断发展，本指导原则相关内容也将进行适时地调整。所列出或引用的标准、指导原则、文件等，其最新版本适用于本指导原则。</w:t>
      </w:r>
    </w:p>
    <w:bookmarkEnd w:id="1"/>
    <w:p w:rsidR="0034448F" w:rsidRDefault="00CB2AB8" w:rsidP="00CB2AB8">
      <w:pPr>
        <w:pStyle w:val="a7"/>
        <w:spacing w:line="520" w:lineRule="exact"/>
        <w:ind w:firstLineChars="200" w:firstLine="640"/>
        <w:rPr>
          <w:rFonts w:ascii="Times New Roman" w:eastAsia="黑体" w:hAnsi="Times New Roman" w:cs="Times New Roman"/>
          <w:color w:val="000000"/>
          <w:sz w:val="32"/>
          <w:szCs w:val="32"/>
        </w:rPr>
      </w:pPr>
      <w:r>
        <w:rPr>
          <w:rFonts w:ascii="Times New Roman" w:eastAsia="黑体" w:hAnsi="Times New Roman" w:cs="Times New Roman"/>
          <w:color w:val="000000"/>
          <w:sz w:val="32"/>
          <w:szCs w:val="32"/>
        </w:rPr>
        <w:t>一、适用范围</w:t>
      </w:r>
    </w:p>
    <w:p w:rsidR="0034448F" w:rsidRDefault="00CB2AB8" w:rsidP="00CB2AB8">
      <w:pPr>
        <w:pStyle w:val="a7"/>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bCs/>
          <w:color w:val="000000"/>
          <w:sz w:val="32"/>
          <w:szCs w:val="32"/>
        </w:rPr>
        <w:t>本指导原则所适用的产品一次性使用无菌血管夹（以下称血管夹）主要用于临时阻断血管</w:t>
      </w:r>
      <w:r>
        <w:rPr>
          <w:rFonts w:ascii="Times New Roman" w:eastAsia="仿宋_GB2312" w:hAnsi="Times New Roman" w:cs="Times New Roman"/>
          <w:bCs/>
          <w:sz w:val="32"/>
          <w:szCs w:val="32"/>
        </w:rPr>
        <w:t>或心血管组织，</w:t>
      </w:r>
      <w:r>
        <w:rPr>
          <w:rFonts w:ascii="Times New Roman" w:eastAsia="仿宋_GB2312" w:hAnsi="Times New Roman" w:cs="Times New Roman"/>
          <w:bCs/>
          <w:color w:val="000000"/>
          <w:sz w:val="32"/>
          <w:szCs w:val="32"/>
        </w:rPr>
        <w:t>应用于人体后不被降解吸收，术中临时使用，术后即刻取出。</w:t>
      </w:r>
    </w:p>
    <w:p w:rsidR="0034448F" w:rsidRDefault="00CB2AB8" w:rsidP="00CB2AB8">
      <w:pPr>
        <w:pStyle w:val="a7"/>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sz w:val="32"/>
          <w:szCs w:val="32"/>
        </w:rPr>
        <w:t>本指导原则不适用于按照</w:t>
      </w:r>
      <w:r>
        <w:rPr>
          <w:rFonts w:ascii="Times New Roman" w:eastAsia="仿宋_GB2312" w:hAnsi="Times New Roman" w:cs="Times New Roman"/>
          <w:color w:val="000000"/>
          <w:kern w:val="0"/>
          <w:sz w:val="32"/>
          <w:szCs w:val="32"/>
        </w:rPr>
        <w:t>III</w:t>
      </w:r>
      <w:r>
        <w:rPr>
          <w:rFonts w:ascii="Times New Roman" w:eastAsia="仿宋_GB2312" w:hAnsi="Times New Roman" w:cs="Times New Roman"/>
          <w:sz w:val="32"/>
          <w:szCs w:val="32"/>
        </w:rPr>
        <w:t>类医疗器械管理的产</w:t>
      </w:r>
      <w:bookmarkStart w:id="2" w:name="_GoBack"/>
      <w:bookmarkEnd w:id="2"/>
      <w:r>
        <w:rPr>
          <w:rFonts w:ascii="Times New Roman" w:eastAsia="仿宋_GB2312" w:hAnsi="Times New Roman" w:cs="Times New Roman"/>
          <w:sz w:val="32"/>
          <w:szCs w:val="32"/>
        </w:rPr>
        <w:t>品，也不</w:t>
      </w:r>
      <w:r>
        <w:rPr>
          <w:rFonts w:ascii="Times New Roman" w:eastAsia="仿宋_GB2312" w:hAnsi="Times New Roman" w:cs="Times New Roman"/>
          <w:sz w:val="32"/>
          <w:szCs w:val="32"/>
        </w:rPr>
        <w:lastRenderedPageBreak/>
        <w:t>适用于永久植入类器械的产品，如闭合夹、止血夹、可吸收</w:t>
      </w:r>
      <w:r>
        <w:rPr>
          <w:rFonts w:ascii="Times New Roman" w:eastAsia="仿宋_GB2312" w:hAnsi="Times New Roman" w:cs="Times New Roman"/>
          <w:sz w:val="32"/>
          <w:szCs w:val="32"/>
        </w:rPr>
        <w:t>/</w:t>
      </w:r>
      <w:r>
        <w:rPr>
          <w:rFonts w:ascii="Times New Roman" w:eastAsia="仿宋_GB2312" w:hAnsi="Times New Roman" w:cs="Times New Roman"/>
          <w:sz w:val="32"/>
          <w:szCs w:val="32"/>
        </w:rPr>
        <w:t>不可吸收的结扎夹等。</w:t>
      </w:r>
      <w:bookmarkStart w:id="3" w:name="_Toc433187258"/>
      <w:r>
        <w:rPr>
          <w:rFonts w:ascii="Times New Roman" w:eastAsia="仿宋_GB2312" w:hAnsi="Times New Roman" w:cs="Times New Roman"/>
          <w:sz w:val="32"/>
          <w:szCs w:val="32"/>
        </w:rPr>
        <w:t>显微血管夹可参照本指导原则执行。</w:t>
      </w:r>
    </w:p>
    <w:p w:rsidR="0034448F" w:rsidRDefault="00CB2AB8" w:rsidP="00CB2AB8">
      <w:pPr>
        <w:pStyle w:val="a7"/>
        <w:overflowPunct w:val="0"/>
        <w:spacing w:line="520" w:lineRule="exact"/>
        <w:ind w:firstLineChars="200" w:firstLine="640"/>
        <w:rPr>
          <w:rFonts w:ascii="Times New Roman" w:eastAsia="仿宋" w:hAnsi="Times New Roman" w:cs="Times New Roman"/>
          <w:bCs/>
          <w:sz w:val="32"/>
          <w:szCs w:val="32"/>
        </w:rPr>
      </w:pPr>
      <w:r>
        <w:rPr>
          <w:rFonts w:ascii="Times New Roman" w:eastAsia="黑体" w:hAnsi="Times New Roman" w:cs="Times New Roman"/>
          <w:color w:val="000000"/>
          <w:sz w:val="32"/>
          <w:szCs w:val="32"/>
        </w:rPr>
        <w:t>二、</w:t>
      </w:r>
      <w:bookmarkStart w:id="4" w:name="_Toc433187259"/>
      <w:bookmarkEnd w:id="3"/>
      <w:r>
        <w:rPr>
          <w:rFonts w:ascii="Times New Roman" w:eastAsia="黑体" w:hAnsi="Times New Roman" w:cs="Times New Roman"/>
          <w:color w:val="000000"/>
          <w:sz w:val="32"/>
          <w:szCs w:val="32"/>
        </w:rPr>
        <w:t>注册审查要点</w:t>
      </w:r>
    </w:p>
    <w:p w:rsidR="0034448F" w:rsidRDefault="00CB2AB8" w:rsidP="00CB2AB8">
      <w:pPr>
        <w:numPr>
          <w:ilvl w:val="0"/>
          <w:numId w:val="1"/>
        </w:numPr>
        <w:spacing w:line="520" w:lineRule="exact"/>
        <w:ind w:rightChars="-32" w:right="-67" w:firstLineChars="200" w:firstLine="640"/>
        <w:rPr>
          <w:rFonts w:eastAsia="楷体_GB2312"/>
          <w:color w:val="000000"/>
          <w:sz w:val="32"/>
          <w:szCs w:val="32"/>
        </w:rPr>
      </w:pPr>
      <w:r>
        <w:rPr>
          <w:rFonts w:eastAsia="楷体_GB2312"/>
          <w:color w:val="000000"/>
          <w:sz w:val="32"/>
          <w:szCs w:val="32"/>
        </w:rPr>
        <w:t>监管信息</w:t>
      </w:r>
    </w:p>
    <w:p w:rsidR="0034448F" w:rsidRDefault="00CB2AB8" w:rsidP="00CB2AB8">
      <w:pPr>
        <w:spacing w:line="520" w:lineRule="exact"/>
        <w:ind w:firstLineChars="200" w:firstLine="640"/>
        <w:rPr>
          <w:rFonts w:eastAsia="仿宋_GB2312"/>
          <w:color w:val="000000"/>
          <w:spacing w:val="-1"/>
          <w:sz w:val="32"/>
          <w:szCs w:val="32"/>
        </w:rPr>
      </w:pPr>
      <w:r>
        <w:rPr>
          <w:rFonts w:eastAsia="仿宋_GB2312"/>
          <w:sz w:val="32"/>
        </w:rPr>
        <w:t>申请人应提供申请表、</w:t>
      </w:r>
      <w:r>
        <w:rPr>
          <w:rFonts w:eastAsia="仿宋_GB2312"/>
          <w:spacing w:val="-1"/>
          <w:sz w:val="32"/>
          <w:szCs w:val="32"/>
        </w:rPr>
        <w:t>既往沟通记录（</w:t>
      </w:r>
      <w:r>
        <w:rPr>
          <w:rFonts w:eastAsia="仿宋_GB2312"/>
          <w:sz w:val="32"/>
          <w:szCs w:val="32"/>
        </w:rPr>
        <w:t>如不适用，应当明确声明申报产品没有既往申报和</w:t>
      </w:r>
      <w:r>
        <w:rPr>
          <w:rFonts w:eastAsia="仿宋_GB2312"/>
          <w:sz w:val="32"/>
          <w:szCs w:val="32"/>
        </w:rPr>
        <w:t>/</w:t>
      </w:r>
      <w:r>
        <w:rPr>
          <w:rFonts w:eastAsia="仿宋_GB2312"/>
          <w:sz w:val="32"/>
          <w:szCs w:val="32"/>
        </w:rPr>
        <w:t>或申报前沟通</w:t>
      </w:r>
      <w:r>
        <w:rPr>
          <w:rFonts w:eastAsia="仿宋_GB2312"/>
          <w:spacing w:val="-1"/>
          <w:sz w:val="32"/>
          <w:szCs w:val="32"/>
        </w:rPr>
        <w:t>）、主文档授权信（如适用）、关联文件及其他管理信息等。</w:t>
      </w:r>
    </w:p>
    <w:p w:rsidR="0034448F" w:rsidRDefault="00CB2AB8" w:rsidP="00CB2AB8">
      <w:pPr>
        <w:spacing w:line="520" w:lineRule="exact"/>
        <w:ind w:firstLine="629"/>
        <w:rPr>
          <w:rFonts w:eastAsia="仿宋_GB2312"/>
          <w:color w:val="000000"/>
          <w:sz w:val="32"/>
          <w:szCs w:val="32"/>
        </w:rPr>
      </w:pPr>
      <w:r>
        <w:rPr>
          <w:rFonts w:eastAsia="仿宋_GB2312"/>
          <w:color w:val="000000"/>
          <w:sz w:val="32"/>
          <w:szCs w:val="32"/>
        </w:rPr>
        <w:t>1.</w:t>
      </w:r>
      <w:r>
        <w:rPr>
          <w:rFonts w:eastAsia="仿宋_GB2312"/>
          <w:color w:val="000000"/>
          <w:sz w:val="32"/>
          <w:szCs w:val="32"/>
        </w:rPr>
        <w:t>产品名称及分类编码</w:t>
      </w:r>
    </w:p>
    <w:p w:rsidR="0034448F" w:rsidRDefault="00CB2AB8" w:rsidP="00CB2AB8">
      <w:pPr>
        <w:spacing w:line="520" w:lineRule="exact"/>
        <w:ind w:firstLineChars="200" w:firstLine="640"/>
        <w:rPr>
          <w:rFonts w:eastAsia="仿宋_GB2312"/>
          <w:bCs/>
          <w:color w:val="000000"/>
          <w:sz w:val="32"/>
          <w:szCs w:val="32"/>
        </w:rPr>
      </w:pPr>
      <w:r>
        <w:rPr>
          <w:rFonts w:eastAsia="仿宋_GB2312"/>
          <w:bCs/>
          <w:color w:val="000000"/>
          <w:sz w:val="32"/>
          <w:szCs w:val="32"/>
        </w:rPr>
        <w:t>产品名称应符合《医疗器械通用名称命名规则》、《无源手术器械通用名称命名指导原则》及《神经和心血管手术器械通用名称命名指导原则》，由一个核心词和三个以内特征词组成，以体现产品的特性、使用特点和预期用途。常见的产品名称举例：一次性使用无菌血管夹、一次性使用无菌止血夹、一次性使用无菌心血管止血夹等。</w:t>
      </w:r>
    </w:p>
    <w:p w:rsidR="0034448F" w:rsidRDefault="00CB2AB8" w:rsidP="00CB2AB8">
      <w:pPr>
        <w:spacing w:line="520" w:lineRule="exact"/>
        <w:ind w:firstLineChars="200" w:firstLine="640"/>
        <w:rPr>
          <w:rFonts w:eastAsia="仿宋_GB2312"/>
          <w:bCs/>
          <w:sz w:val="32"/>
          <w:szCs w:val="32"/>
        </w:rPr>
      </w:pPr>
      <w:r>
        <w:rPr>
          <w:rFonts w:eastAsia="仿宋_GB2312"/>
          <w:color w:val="000000"/>
          <w:sz w:val="32"/>
          <w:szCs w:val="32"/>
        </w:rPr>
        <w:t>根据《医疗器械分类目录》是按照第</w:t>
      </w:r>
      <w:r>
        <w:rPr>
          <w:rFonts w:eastAsia="仿宋_GB2312"/>
          <w:color w:val="000000"/>
          <w:kern w:val="0"/>
          <w:sz w:val="32"/>
          <w:szCs w:val="32"/>
        </w:rPr>
        <w:t>II</w:t>
      </w:r>
      <w:r>
        <w:rPr>
          <w:rFonts w:eastAsia="仿宋_GB2312"/>
          <w:color w:val="000000"/>
          <w:sz w:val="32"/>
          <w:szCs w:val="32"/>
        </w:rPr>
        <w:t>类医疗器械管理的</w:t>
      </w:r>
      <w:r>
        <w:rPr>
          <w:rFonts w:eastAsia="仿宋_GB2312"/>
          <w:bCs/>
          <w:color w:val="000000"/>
          <w:sz w:val="32"/>
          <w:szCs w:val="32"/>
        </w:rPr>
        <w:t>心血管手术器械，分类编码为</w:t>
      </w:r>
      <w:r>
        <w:rPr>
          <w:rFonts w:eastAsia="仿宋_GB2312"/>
          <w:color w:val="000000"/>
          <w:kern w:val="0"/>
          <w:sz w:val="32"/>
          <w:szCs w:val="32"/>
        </w:rPr>
        <w:t>03-05-02</w:t>
      </w:r>
      <w:r>
        <w:rPr>
          <w:rFonts w:eastAsia="仿宋_GB2312"/>
          <w:sz w:val="32"/>
          <w:szCs w:val="32"/>
        </w:rPr>
        <w:t>。</w:t>
      </w:r>
    </w:p>
    <w:p w:rsidR="0034448F" w:rsidRDefault="00CB2AB8" w:rsidP="00CB2AB8">
      <w:pPr>
        <w:spacing w:line="520" w:lineRule="exact"/>
        <w:ind w:firstLine="629"/>
        <w:rPr>
          <w:rFonts w:eastAsia="仿宋_GB2312"/>
          <w:color w:val="000000"/>
          <w:sz w:val="32"/>
          <w:szCs w:val="32"/>
        </w:rPr>
      </w:pPr>
      <w:r>
        <w:rPr>
          <w:rFonts w:eastAsia="仿宋_GB2312"/>
          <w:color w:val="000000"/>
          <w:sz w:val="32"/>
          <w:szCs w:val="32"/>
        </w:rPr>
        <w:t>2.</w:t>
      </w:r>
      <w:r>
        <w:rPr>
          <w:rFonts w:eastAsia="仿宋_GB2312"/>
          <w:color w:val="000000"/>
          <w:sz w:val="32"/>
          <w:szCs w:val="32"/>
        </w:rPr>
        <w:t>型号、规格</w:t>
      </w:r>
    </w:p>
    <w:p w:rsidR="0034448F" w:rsidRDefault="00CB2AB8" w:rsidP="00CB2AB8">
      <w:pPr>
        <w:spacing w:line="520" w:lineRule="exact"/>
        <w:ind w:firstLineChars="200" w:firstLine="640"/>
        <w:rPr>
          <w:rFonts w:eastAsia="楷体_GB2312"/>
          <w:bCs/>
          <w:color w:val="000000"/>
          <w:sz w:val="32"/>
          <w:szCs w:val="32"/>
        </w:rPr>
      </w:pPr>
      <w:r>
        <w:rPr>
          <w:rFonts w:eastAsia="仿宋_GB2312"/>
          <w:sz w:val="32"/>
          <w:szCs w:val="32"/>
        </w:rPr>
        <w:t>产品可按尺寸、适用血管类型等不同分为若干型号及规格。</w:t>
      </w:r>
    </w:p>
    <w:p w:rsidR="0034448F" w:rsidRDefault="00CB2AB8" w:rsidP="00CB2AB8">
      <w:pPr>
        <w:spacing w:line="520" w:lineRule="exact"/>
        <w:ind w:firstLineChars="200" w:firstLine="640"/>
        <w:rPr>
          <w:rFonts w:eastAsia="楷体_GB2312"/>
          <w:bCs/>
          <w:color w:val="000000"/>
          <w:sz w:val="32"/>
          <w:szCs w:val="32"/>
        </w:rPr>
      </w:pPr>
      <w:r>
        <w:rPr>
          <w:rFonts w:eastAsia="仿宋_GB2312"/>
          <w:color w:val="000000"/>
          <w:sz w:val="32"/>
          <w:szCs w:val="32"/>
        </w:rPr>
        <w:t>3.</w:t>
      </w:r>
      <w:r>
        <w:rPr>
          <w:rFonts w:eastAsia="仿宋_GB2312"/>
          <w:color w:val="000000"/>
          <w:sz w:val="32"/>
          <w:szCs w:val="32"/>
        </w:rPr>
        <w:t>注册单元划分的原则和实例</w:t>
      </w:r>
    </w:p>
    <w:p w:rsidR="0034448F" w:rsidRDefault="00CB2AB8" w:rsidP="00CB2AB8">
      <w:pPr>
        <w:spacing w:line="520" w:lineRule="exact"/>
        <w:ind w:firstLineChars="200" w:firstLine="640"/>
        <w:rPr>
          <w:rFonts w:eastAsia="仿宋_GB2312"/>
          <w:color w:val="000000"/>
          <w:sz w:val="32"/>
          <w:szCs w:val="32"/>
        </w:rPr>
      </w:pPr>
      <w:r>
        <w:rPr>
          <w:rFonts w:eastAsia="仿宋_GB2312"/>
          <w:color w:val="000000"/>
          <w:sz w:val="32"/>
          <w:szCs w:val="32"/>
        </w:rPr>
        <w:t>注册单元的划分应参照《总局关于发布医疗器械注册单元划分指导原则的通告》，原则上以产品</w:t>
      </w:r>
      <w:r>
        <w:rPr>
          <w:rFonts w:eastAsia="仿宋_GB2312"/>
          <w:sz w:val="32"/>
          <w:szCs w:val="32"/>
        </w:rPr>
        <w:t>的原材料</w:t>
      </w:r>
      <w:r>
        <w:rPr>
          <w:rFonts w:eastAsia="仿宋_GB2312"/>
          <w:color w:val="000000"/>
          <w:sz w:val="32"/>
          <w:szCs w:val="32"/>
        </w:rPr>
        <w:t>、技术原理、结构组成、性能指标和适用范围等因素作为划分依据。</w:t>
      </w:r>
    </w:p>
    <w:p w:rsidR="0034448F" w:rsidRDefault="00CB2AB8" w:rsidP="00CB2AB8">
      <w:pPr>
        <w:spacing w:line="520" w:lineRule="exact"/>
        <w:ind w:firstLineChars="200" w:firstLine="640"/>
        <w:rPr>
          <w:rFonts w:eastAsia="楷体_GB2312"/>
          <w:bCs/>
          <w:color w:val="000000"/>
          <w:sz w:val="32"/>
          <w:szCs w:val="32"/>
        </w:rPr>
      </w:pPr>
      <w:r>
        <w:rPr>
          <w:rFonts w:eastAsia="仿宋_GB2312"/>
          <w:color w:val="000000"/>
          <w:sz w:val="32"/>
          <w:szCs w:val="32"/>
        </w:rPr>
        <w:t>例：相同材质的双夹和单夹可作为同一注册单元；</w:t>
      </w:r>
      <w:r>
        <w:rPr>
          <w:rFonts w:eastAsia="仿宋_GB2312"/>
          <w:sz w:val="32"/>
          <w:szCs w:val="32"/>
        </w:rPr>
        <w:t>产品技术结构不同应划分为不同注册单元</w:t>
      </w:r>
      <w:r>
        <w:rPr>
          <w:rFonts w:eastAsia="仿宋_GB2312"/>
          <w:color w:val="000000"/>
          <w:sz w:val="32"/>
          <w:szCs w:val="32"/>
        </w:rPr>
        <w:t>。</w:t>
      </w:r>
    </w:p>
    <w:p w:rsidR="0034448F" w:rsidRDefault="00CB2AB8" w:rsidP="00CB2AB8">
      <w:pPr>
        <w:spacing w:line="520" w:lineRule="exact"/>
        <w:ind w:firstLineChars="200" w:firstLine="640"/>
        <w:rPr>
          <w:rFonts w:eastAsia="楷体_GB2312"/>
          <w:bCs/>
          <w:color w:val="000000"/>
          <w:sz w:val="32"/>
          <w:szCs w:val="32"/>
        </w:rPr>
      </w:pPr>
      <w:r>
        <w:rPr>
          <w:rFonts w:eastAsia="楷体_GB2312"/>
          <w:bCs/>
          <w:color w:val="000000"/>
          <w:sz w:val="32"/>
          <w:szCs w:val="32"/>
        </w:rPr>
        <w:lastRenderedPageBreak/>
        <w:t>（二）</w:t>
      </w:r>
      <w:bookmarkEnd w:id="0"/>
      <w:bookmarkEnd w:id="4"/>
      <w:r>
        <w:rPr>
          <w:rFonts w:eastAsia="楷体_GB2312"/>
          <w:bCs/>
          <w:color w:val="000000"/>
          <w:sz w:val="32"/>
          <w:szCs w:val="32"/>
        </w:rPr>
        <w:t>综述资料</w:t>
      </w:r>
    </w:p>
    <w:p w:rsidR="0034448F" w:rsidRDefault="00CB2AB8" w:rsidP="00CB2AB8">
      <w:pPr>
        <w:spacing w:line="520" w:lineRule="exact"/>
        <w:ind w:firstLine="629"/>
        <w:rPr>
          <w:rFonts w:eastAsia="仿宋_GB2312"/>
          <w:color w:val="000000"/>
          <w:sz w:val="32"/>
          <w:szCs w:val="32"/>
        </w:rPr>
      </w:pPr>
      <w:r>
        <w:rPr>
          <w:rFonts w:eastAsia="仿宋_GB2312"/>
          <w:color w:val="000000"/>
          <w:sz w:val="32"/>
          <w:szCs w:val="32"/>
        </w:rPr>
        <w:t>1.</w:t>
      </w:r>
      <w:r>
        <w:rPr>
          <w:rFonts w:eastAsia="仿宋_GB2312"/>
          <w:color w:val="000000"/>
          <w:sz w:val="32"/>
          <w:szCs w:val="32"/>
        </w:rPr>
        <w:t>产品的结构和组成</w:t>
      </w:r>
    </w:p>
    <w:p w:rsidR="0034448F" w:rsidRDefault="00CB2AB8" w:rsidP="00CB2AB8">
      <w:pPr>
        <w:spacing w:line="520" w:lineRule="exact"/>
        <w:ind w:firstLineChars="200" w:firstLine="640"/>
        <w:rPr>
          <w:rFonts w:eastAsia="仿宋_GB2312"/>
          <w:color w:val="000000"/>
          <w:sz w:val="32"/>
          <w:szCs w:val="32"/>
        </w:rPr>
      </w:pPr>
      <w:r>
        <w:rPr>
          <w:rFonts w:eastAsia="仿宋_GB2312"/>
          <w:color w:val="000000"/>
          <w:sz w:val="32"/>
          <w:szCs w:val="32"/>
        </w:rPr>
        <w:t>产品结构</w:t>
      </w:r>
      <w:r>
        <w:rPr>
          <w:rFonts w:eastAsia="仿宋_GB2312"/>
          <w:sz w:val="32"/>
          <w:szCs w:val="32"/>
        </w:rPr>
        <w:t>一般</w:t>
      </w:r>
      <w:r>
        <w:rPr>
          <w:rFonts w:eastAsia="仿宋_GB2312"/>
          <w:color w:val="000000"/>
          <w:sz w:val="32"/>
          <w:szCs w:val="32"/>
        </w:rPr>
        <w:t>由夹片、弹簧和套管</w:t>
      </w:r>
      <w:r>
        <w:rPr>
          <w:rFonts w:eastAsia="仿宋_GB2312"/>
          <w:color w:val="000000"/>
          <w:sz w:val="32"/>
          <w:szCs w:val="32"/>
        </w:rPr>
        <w:t>/</w:t>
      </w:r>
      <w:r>
        <w:rPr>
          <w:rFonts w:eastAsia="仿宋_GB2312"/>
          <w:color w:val="000000"/>
          <w:sz w:val="32"/>
          <w:szCs w:val="32"/>
        </w:rPr>
        <w:t>销钉及其它用于术中临时夹闭血管用的附件组成。产品组成形式可为单夹或双夹。以无菌形式提供，一次性使用。除此以外，在结构及组成中还应明确产品与人体接触的组件的材质，如金属材料常见材质有纯钛、钛合金及不锈钢等，高分子材料常见的材质有医用聚碳酸酯（</w:t>
      </w:r>
      <w:r>
        <w:rPr>
          <w:rFonts w:eastAsia="仿宋_GB2312"/>
          <w:color w:val="000000"/>
          <w:sz w:val="32"/>
          <w:szCs w:val="32"/>
        </w:rPr>
        <w:t>PC</w:t>
      </w:r>
      <w:r>
        <w:rPr>
          <w:rFonts w:eastAsia="仿宋_GB2312"/>
          <w:color w:val="000000"/>
          <w:sz w:val="32"/>
          <w:szCs w:val="32"/>
        </w:rPr>
        <w:t>）、医用聚丙烯（</w:t>
      </w:r>
      <w:r>
        <w:rPr>
          <w:rFonts w:eastAsia="仿宋_GB2312"/>
          <w:color w:val="000000"/>
          <w:sz w:val="32"/>
          <w:szCs w:val="32"/>
        </w:rPr>
        <w:t>PP</w:t>
      </w:r>
      <w:r>
        <w:rPr>
          <w:rFonts w:eastAsia="仿宋_GB2312"/>
          <w:color w:val="000000"/>
          <w:sz w:val="32"/>
          <w:szCs w:val="32"/>
        </w:rPr>
        <w:t>）和医用聚甲醛（</w:t>
      </w:r>
      <w:r>
        <w:rPr>
          <w:rFonts w:eastAsia="仿宋_GB2312"/>
          <w:color w:val="000000"/>
          <w:sz w:val="32"/>
          <w:szCs w:val="32"/>
        </w:rPr>
        <w:t>POM</w:t>
      </w:r>
      <w:r>
        <w:rPr>
          <w:rFonts w:eastAsia="仿宋_GB2312"/>
          <w:color w:val="000000"/>
          <w:sz w:val="32"/>
          <w:szCs w:val="32"/>
        </w:rPr>
        <w:t>）等。</w:t>
      </w:r>
    </w:p>
    <w:p w:rsidR="0034448F" w:rsidRDefault="00CB2AB8" w:rsidP="00CB2AB8">
      <w:pPr>
        <w:spacing w:line="520" w:lineRule="exact"/>
        <w:ind w:firstLine="629"/>
        <w:rPr>
          <w:rFonts w:eastAsia="仿宋_GB2312"/>
          <w:color w:val="000000"/>
          <w:sz w:val="32"/>
          <w:szCs w:val="32"/>
        </w:rPr>
      </w:pPr>
      <w:r>
        <w:rPr>
          <w:rFonts w:eastAsia="仿宋_GB2312"/>
          <w:color w:val="000000"/>
          <w:sz w:val="32"/>
          <w:szCs w:val="32"/>
        </w:rPr>
        <w:t>2.</w:t>
      </w:r>
      <w:r>
        <w:rPr>
          <w:rFonts w:eastAsia="仿宋_GB2312"/>
          <w:color w:val="000000"/>
          <w:sz w:val="32"/>
          <w:szCs w:val="32"/>
        </w:rPr>
        <w:t>产品工作原理</w:t>
      </w:r>
    </w:p>
    <w:p w:rsidR="0034448F" w:rsidRDefault="00CB2AB8" w:rsidP="00CB2AB8">
      <w:pPr>
        <w:spacing w:line="520" w:lineRule="exact"/>
        <w:ind w:firstLineChars="200" w:firstLine="640"/>
        <w:rPr>
          <w:rFonts w:eastAsia="仿宋_GB2312"/>
          <w:color w:val="000000"/>
          <w:sz w:val="32"/>
          <w:szCs w:val="32"/>
        </w:rPr>
      </w:pPr>
      <w:r>
        <w:rPr>
          <w:rFonts w:eastAsia="仿宋_GB2312"/>
          <w:color w:val="000000"/>
          <w:sz w:val="32"/>
          <w:szCs w:val="32"/>
        </w:rPr>
        <w:t>血管夹产品的夹片内侧设有突起的花纹，上下夹片中间设有旋转孔，夹片可以通过旋转孔绕着套管</w:t>
      </w:r>
      <w:r>
        <w:rPr>
          <w:rFonts w:eastAsia="仿宋_GB2312"/>
          <w:color w:val="000000"/>
          <w:sz w:val="32"/>
          <w:szCs w:val="32"/>
        </w:rPr>
        <w:t>/</w:t>
      </w:r>
      <w:r>
        <w:rPr>
          <w:rFonts w:eastAsia="仿宋_GB2312"/>
          <w:color w:val="000000"/>
          <w:sz w:val="32"/>
          <w:szCs w:val="32"/>
        </w:rPr>
        <w:t>销钉转动，在弹簧的作用下夹片将血管夹紧，从而达到临时夹闭血管或</w:t>
      </w:r>
      <w:r>
        <w:rPr>
          <w:rFonts w:eastAsia="仿宋_GB2312"/>
          <w:bCs/>
          <w:sz w:val="32"/>
          <w:szCs w:val="32"/>
        </w:rPr>
        <w:t>血管组织</w:t>
      </w:r>
      <w:r>
        <w:rPr>
          <w:rFonts w:eastAsia="仿宋_GB2312"/>
          <w:color w:val="000000"/>
          <w:sz w:val="32"/>
          <w:szCs w:val="32"/>
        </w:rPr>
        <w:t>的作用。</w:t>
      </w:r>
    </w:p>
    <w:p w:rsidR="0034448F" w:rsidRDefault="00CB2AB8" w:rsidP="00CB2AB8">
      <w:pPr>
        <w:spacing w:line="520" w:lineRule="exact"/>
        <w:ind w:firstLineChars="200" w:firstLine="640"/>
        <w:rPr>
          <w:rFonts w:eastAsia="楷体_GB2312"/>
          <w:bCs/>
          <w:color w:val="000000"/>
          <w:sz w:val="32"/>
          <w:szCs w:val="32"/>
        </w:rPr>
      </w:pPr>
      <w:r>
        <w:rPr>
          <w:rFonts w:eastAsia="仿宋_GB2312"/>
          <w:color w:val="000000"/>
          <w:sz w:val="32"/>
          <w:szCs w:val="32"/>
        </w:rPr>
        <w:t>3.</w:t>
      </w:r>
      <w:r>
        <w:rPr>
          <w:rFonts w:eastAsia="仿宋_GB2312"/>
          <w:color w:val="000000"/>
          <w:sz w:val="32"/>
          <w:szCs w:val="32"/>
        </w:rPr>
        <w:t>产品的适用范围</w:t>
      </w:r>
      <w:r>
        <w:rPr>
          <w:rFonts w:eastAsia="仿宋_GB2312"/>
          <w:color w:val="000000"/>
          <w:sz w:val="32"/>
          <w:szCs w:val="32"/>
        </w:rPr>
        <w:t>/</w:t>
      </w:r>
      <w:r>
        <w:rPr>
          <w:rFonts w:eastAsia="仿宋_GB2312"/>
          <w:color w:val="000000"/>
          <w:sz w:val="32"/>
          <w:szCs w:val="32"/>
        </w:rPr>
        <w:t>禁忌证</w:t>
      </w:r>
    </w:p>
    <w:p w:rsidR="0034448F" w:rsidRDefault="00CB2AB8" w:rsidP="00CB2AB8">
      <w:pPr>
        <w:spacing w:line="520" w:lineRule="exact"/>
        <w:ind w:firstLineChars="200" w:firstLine="640"/>
        <w:rPr>
          <w:rFonts w:eastAsia="仿宋_GB2312"/>
          <w:bCs/>
          <w:color w:val="000000"/>
          <w:sz w:val="32"/>
          <w:szCs w:val="32"/>
        </w:rPr>
      </w:pPr>
      <w:r>
        <w:rPr>
          <w:rFonts w:eastAsia="仿宋_GB2312"/>
          <w:sz w:val="32"/>
          <w:szCs w:val="32"/>
        </w:rPr>
        <w:t>适用范围：</w:t>
      </w:r>
      <w:r>
        <w:rPr>
          <w:rFonts w:eastAsia="仿宋_GB2312"/>
          <w:bCs/>
          <w:color w:val="000000"/>
          <w:sz w:val="32"/>
          <w:szCs w:val="32"/>
        </w:rPr>
        <w:t>适用于外科手术时临时夹闭血管</w:t>
      </w:r>
      <w:r>
        <w:rPr>
          <w:rFonts w:eastAsia="仿宋_GB2312"/>
          <w:bCs/>
          <w:sz w:val="32"/>
          <w:szCs w:val="32"/>
        </w:rPr>
        <w:t>或心血管组织</w:t>
      </w:r>
      <w:r>
        <w:rPr>
          <w:rFonts w:eastAsia="仿宋_GB2312"/>
          <w:bCs/>
          <w:color w:val="000000"/>
          <w:sz w:val="32"/>
          <w:szCs w:val="32"/>
        </w:rPr>
        <w:t>，术后即刻取出，无菌提供，一次性使用。本产品由专业的临床医护人员使用。</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禁忌证：</w:t>
      </w:r>
      <w:r>
        <w:rPr>
          <w:rFonts w:eastAsia="仿宋_GB2312"/>
          <w:bCs/>
          <w:sz w:val="32"/>
          <w:szCs w:val="32"/>
        </w:rPr>
        <w:t>明确说明该器械不适宜的某些疾病、情况或特定的人群及部位</w:t>
      </w:r>
      <w:r>
        <w:rPr>
          <w:rFonts w:eastAsia="仿宋_GB2312"/>
          <w:bCs/>
          <w:color w:val="000000"/>
          <w:sz w:val="32"/>
          <w:szCs w:val="32"/>
        </w:rPr>
        <w:t>。</w:t>
      </w:r>
    </w:p>
    <w:p w:rsidR="0034448F" w:rsidRDefault="00CB2AB8" w:rsidP="00CB2AB8">
      <w:pPr>
        <w:spacing w:line="520" w:lineRule="exact"/>
        <w:ind w:firstLineChars="200" w:firstLine="640"/>
        <w:rPr>
          <w:rFonts w:eastAsia="楷体_GB2312"/>
          <w:bCs/>
          <w:color w:val="000000"/>
          <w:sz w:val="32"/>
          <w:szCs w:val="32"/>
        </w:rPr>
      </w:pPr>
      <w:r>
        <w:rPr>
          <w:rFonts w:eastAsia="仿宋_GB2312"/>
          <w:color w:val="000000"/>
          <w:sz w:val="32"/>
          <w:szCs w:val="32"/>
        </w:rPr>
        <w:t>4.</w:t>
      </w:r>
      <w:r>
        <w:rPr>
          <w:rFonts w:eastAsia="仿宋_GB2312"/>
          <w:color w:val="000000"/>
          <w:sz w:val="32"/>
          <w:szCs w:val="32"/>
        </w:rPr>
        <w:t>产品的不良事件历史记录</w:t>
      </w:r>
    </w:p>
    <w:p w:rsidR="0034448F" w:rsidRDefault="00CB2AB8" w:rsidP="00CB2AB8">
      <w:pPr>
        <w:spacing w:line="520" w:lineRule="exact"/>
        <w:ind w:firstLineChars="200" w:firstLine="640"/>
        <w:rPr>
          <w:rFonts w:eastAsia="楷体_GB2312"/>
          <w:bCs/>
          <w:color w:val="000000"/>
          <w:sz w:val="32"/>
          <w:szCs w:val="32"/>
        </w:rPr>
      </w:pPr>
      <w:r>
        <w:rPr>
          <w:rFonts w:eastAsia="仿宋_GB2312"/>
          <w:sz w:val="32"/>
          <w:szCs w:val="32"/>
        </w:rPr>
        <w:t>参考国家药品不良反应监测中心数据库最新的检索结果和国家药品监督管理局医疗器械产品召回数据，暂未见相关报道。</w:t>
      </w:r>
    </w:p>
    <w:p w:rsidR="0034448F" w:rsidRDefault="00CB2AB8" w:rsidP="00CB2AB8">
      <w:pPr>
        <w:spacing w:line="520" w:lineRule="exact"/>
        <w:ind w:firstLine="629"/>
        <w:rPr>
          <w:rFonts w:eastAsia="仿宋_GB2312"/>
          <w:color w:val="000000"/>
          <w:sz w:val="32"/>
          <w:szCs w:val="32"/>
        </w:rPr>
      </w:pPr>
      <w:bookmarkStart w:id="5" w:name="_Toc81253087"/>
      <w:r>
        <w:rPr>
          <w:rFonts w:eastAsia="仿宋_GB2312"/>
          <w:color w:val="000000"/>
          <w:sz w:val="32"/>
          <w:szCs w:val="32"/>
        </w:rPr>
        <w:t>5.</w:t>
      </w:r>
      <w:r>
        <w:rPr>
          <w:rFonts w:eastAsia="仿宋_GB2312"/>
          <w:color w:val="000000"/>
          <w:sz w:val="32"/>
          <w:szCs w:val="32"/>
        </w:rPr>
        <w:t>研发背景</w:t>
      </w:r>
      <w:bookmarkEnd w:id="5"/>
    </w:p>
    <w:p w:rsidR="0034448F" w:rsidRDefault="00CB2AB8" w:rsidP="00CB2AB8">
      <w:pPr>
        <w:spacing w:line="520" w:lineRule="exact"/>
        <w:ind w:firstLineChars="200" w:firstLine="640"/>
        <w:rPr>
          <w:rFonts w:eastAsia="楷体_GB2312"/>
          <w:bCs/>
          <w:color w:val="000000"/>
          <w:sz w:val="32"/>
          <w:szCs w:val="32"/>
        </w:rPr>
      </w:pPr>
      <w:r>
        <w:rPr>
          <w:rFonts w:eastAsia="仿宋_GB2312"/>
          <w:color w:val="000000"/>
          <w:sz w:val="32"/>
          <w:szCs w:val="32"/>
        </w:rPr>
        <w:t>阐述申请注册产品的研发背景和目的。如有参考的同类产</w:t>
      </w:r>
      <w:r>
        <w:rPr>
          <w:rFonts w:eastAsia="仿宋_GB2312"/>
          <w:color w:val="000000"/>
          <w:sz w:val="32"/>
          <w:szCs w:val="32"/>
        </w:rPr>
        <w:lastRenderedPageBreak/>
        <w:t>品或前代产品，宜提供其上市情况；同时列表比较说明与同类产品在工作原理、结构组成、原材料、性能指标、灭菌方式、适用范围等方面的异同。</w:t>
      </w:r>
    </w:p>
    <w:p w:rsidR="0034448F" w:rsidRDefault="00CB2AB8" w:rsidP="00CB2AB8">
      <w:pPr>
        <w:spacing w:line="520" w:lineRule="exact"/>
        <w:ind w:firstLineChars="200" w:firstLine="640"/>
        <w:rPr>
          <w:rFonts w:eastAsia="仿宋_GB2312"/>
          <w:sz w:val="32"/>
          <w:szCs w:val="32"/>
        </w:rPr>
      </w:pPr>
      <w:r>
        <w:rPr>
          <w:rFonts w:eastAsia="楷体_GB2312"/>
          <w:color w:val="000000"/>
          <w:sz w:val="32"/>
          <w:szCs w:val="32"/>
        </w:rPr>
        <w:t>（三）非临床资料</w:t>
      </w:r>
    </w:p>
    <w:p w:rsidR="0034448F" w:rsidRDefault="00CB2AB8" w:rsidP="00CB2AB8">
      <w:pPr>
        <w:spacing w:line="520" w:lineRule="exact"/>
        <w:ind w:firstLineChars="200" w:firstLine="640"/>
        <w:rPr>
          <w:rFonts w:eastAsia="仿宋_GB2312"/>
          <w:bCs/>
          <w:color w:val="000000"/>
          <w:sz w:val="32"/>
          <w:szCs w:val="32"/>
        </w:rPr>
      </w:pPr>
      <w:r>
        <w:rPr>
          <w:rFonts w:eastAsia="仿宋_GB2312" w:hint="eastAsia"/>
          <w:color w:val="000000"/>
          <w:sz w:val="32"/>
          <w:szCs w:val="32"/>
        </w:rPr>
        <w:t>1</w:t>
      </w:r>
      <w:r>
        <w:rPr>
          <w:rFonts w:eastAsia="仿宋_GB2312"/>
          <w:color w:val="000000"/>
          <w:sz w:val="32"/>
          <w:szCs w:val="32"/>
        </w:rPr>
        <w:t>.</w:t>
      </w:r>
      <w:r>
        <w:rPr>
          <w:rFonts w:eastAsia="仿宋_GB2312"/>
          <w:color w:val="000000"/>
          <w:sz w:val="32"/>
          <w:szCs w:val="32"/>
        </w:rPr>
        <w:t>产品的主要风险</w:t>
      </w:r>
    </w:p>
    <w:p w:rsidR="0034448F" w:rsidRDefault="00CB2AB8" w:rsidP="00CB2AB8">
      <w:pPr>
        <w:spacing w:line="520" w:lineRule="exact"/>
        <w:ind w:firstLineChars="200" w:firstLine="640"/>
        <w:rPr>
          <w:rFonts w:eastAsia="仿宋"/>
          <w:bCs/>
          <w:sz w:val="32"/>
          <w:szCs w:val="32"/>
        </w:rPr>
      </w:pPr>
      <w:r>
        <w:rPr>
          <w:rFonts w:eastAsia="仿宋_GB2312" w:hint="eastAsia"/>
          <w:color w:val="000000"/>
          <w:kern w:val="0"/>
          <w:sz w:val="32"/>
          <w:szCs w:val="32"/>
        </w:rPr>
        <w:t>1</w:t>
      </w:r>
      <w:r>
        <w:rPr>
          <w:rFonts w:eastAsia="仿宋_GB2312"/>
          <w:color w:val="000000"/>
          <w:kern w:val="0"/>
          <w:sz w:val="32"/>
          <w:szCs w:val="32"/>
        </w:rPr>
        <w:t>.1</w:t>
      </w:r>
      <w:r>
        <w:rPr>
          <w:rFonts w:eastAsia="仿宋_GB2312"/>
          <w:bCs/>
          <w:color w:val="000000"/>
          <w:sz w:val="32"/>
          <w:szCs w:val="32"/>
        </w:rPr>
        <w:t>风险分析方法</w:t>
      </w:r>
    </w:p>
    <w:p w:rsidR="0034448F" w:rsidRDefault="00CB2AB8" w:rsidP="00CB2AB8">
      <w:pPr>
        <w:spacing w:line="520" w:lineRule="exact"/>
        <w:ind w:firstLineChars="200" w:firstLine="640"/>
        <w:rPr>
          <w:rFonts w:eastAsia="仿宋"/>
          <w:bCs/>
          <w:sz w:val="32"/>
          <w:szCs w:val="32"/>
        </w:rPr>
      </w:pPr>
      <w:r>
        <w:rPr>
          <w:rFonts w:eastAsia="仿宋_GB2312" w:hint="eastAsia"/>
          <w:bCs/>
          <w:sz w:val="32"/>
          <w:szCs w:val="32"/>
        </w:rPr>
        <w:t>1</w:t>
      </w:r>
      <w:r>
        <w:rPr>
          <w:rFonts w:eastAsia="仿宋_GB2312"/>
          <w:bCs/>
          <w:sz w:val="32"/>
          <w:szCs w:val="32"/>
        </w:rPr>
        <w:t>.1.1</w:t>
      </w:r>
      <w:r>
        <w:rPr>
          <w:rFonts w:eastAsia="仿宋_GB2312"/>
          <w:bCs/>
          <w:color w:val="000000"/>
          <w:sz w:val="32"/>
          <w:szCs w:val="32"/>
        </w:rPr>
        <w:t>风险分析过程：要考虑合理的可预见的情况，它们包括：正常使用条件下和非正常使用条件下；</w:t>
      </w:r>
    </w:p>
    <w:p w:rsidR="0034448F" w:rsidRDefault="00CB2AB8" w:rsidP="00CB2AB8">
      <w:pPr>
        <w:spacing w:line="520" w:lineRule="exact"/>
        <w:ind w:firstLineChars="200" w:firstLine="640"/>
        <w:rPr>
          <w:rFonts w:eastAsia="仿宋"/>
          <w:bCs/>
          <w:sz w:val="32"/>
          <w:szCs w:val="32"/>
        </w:rPr>
      </w:pPr>
      <w:r>
        <w:rPr>
          <w:rFonts w:eastAsia="仿宋_GB2312" w:hint="eastAsia"/>
          <w:bCs/>
          <w:sz w:val="32"/>
          <w:szCs w:val="32"/>
        </w:rPr>
        <w:t>1</w:t>
      </w:r>
      <w:r>
        <w:rPr>
          <w:rFonts w:eastAsia="仿宋_GB2312"/>
          <w:bCs/>
          <w:sz w:val="32"/>
          <w:szCs w:val="32"/>
        </w:rPr>
        <w:t>.1.2</w:t>
      </w:r>
      <w:r>
        <w:rPr>
          <w:rFonts w:eastAsia="仿宋_GB2312"/>
          <w:bCs/>
          <w:color w:val="000000"/>
          <w:sz w:val="32"/>
          <w:szCs w:val="32"/>
        </w:rPr>
        <w:t>危险（源）的识别应包括：对于患者的危害、对于操作者的危害和对于环境的危害；</w:t>
      </w:r>
    </w:p>
    <w:p w:rsidR="0034448F" w:rsidRDefault="00CB2AB8" w:rsidP="00CB2AB8">
      <w:pPr>
        <w:spacing w:line="520" w:lineRule="exact"/>
        <w:ind w:firstLineChars="200" w:firstLine="640"/>
        <w:rPr>
          <w:rFonts w:eastAsia="仿宋"/>
          <w:bCs/>
          <w:sz w:val="32"/>
          <w:szCs w:val="32"/>
        </w:rPr>
      </w:pPr>
      <w:r>
        <w:rPr>
          <w:rFonts w:eastAsia="仿宋_GB2312" w:hint="eastAsia"/>
          <w:bCs/>
          <w:sz w:val="32"/>
          <w:szCs w:val="32"/>
        </w:rPr>
        <w:t>1</w:t>
      </w:r>
      <w:r>
        <w:rPr>
          <w:rFonts w:eastAsia="仿宋_GB2312"/>
          <w:bCs/>
          <w:sz w:val="32"/>
          <w:szCs w:val="32"/>
        </w:rPr>
        <w:t>.1.3</w:t>
      </w:r>
      <w:r>
        <w:rPr>
          <w:rFonts w:eastAsia="仿宋_GB2312"/>
          <w:bCs/>
          <w:color w:val="000000"/>
          <w:sz w:val="32"/>
          <w:szCs w:val="32"/>
        </w:rPr>
        <w:t>风险形成的初始原因应包括：原材料选择不当，设计、生产风险，运输与防护不当等；人为因素包括不合理的操作；适用错误；综合危害；环境条件；</w:t>
      </w:r>
    </w:p>
    <w:p w:rsidR="0034448F" w:rsidRDefault="00CB2AB8" w:rsidP="00CB2AB8">
      <w:pPr>
        <w:spacing w:line="520" w:lineRule="exact"/>
        <w:ind w:firstLineChars="200" w:firstLine="640"/>
        <w:rPr>
          <w:rFonts w:eastAsia="仿宋"/>
          <w:bCs/>
          <w:sz w:val="32"/>
          <w:szCs w:val="32"/>
        </w:rPr>
      </w:pPr>
      <w:r>
        <w:rPr>
          <w:rFonts w:eastAsia="仿宋_GB2312" w:hint="eastAsia"/>
          <w:bCs/>
          <w:sz w:val="32"/>
          <w:szCs w:val="32"/>
        </w:rPr>
        <w:t>1</w:t>
      </w:r>
      <w:r>
        <w:rPr>
          <w:rFonts w:eastAsia="仿宋_GB2312"/>
          <w:bCs/>
          <w:sz w:val="32"/>
          <w:szCs w:val="32"/>
        </w:rPr>
        <w:t>.1.4</w:t>
      </w:r>
      <w:r>
        <w:rPr>
          <w:rFonts w:eastAsia="仿宋_GB2312"/>
          <w:bCs/>
          <w:color w:val="000000"/>
          <w:sz w:val="32"/>
          <w:szCs w:val="32"/>
        </w:rPr>
        <w:t>风险判定及分析考虑的问题包括：产品原材料生物学危害；产品质量是否会导致使用中出现不正常结果；操作信息，包括警示性语言、注意事项以及使用方法的准确性；留置使用可能存在的危害等。</w:t>
      </w:r>
    </w:p>
    <w:p w:rsidR="0034448F" w:rsidRDefault="00CB2AB8" w:rsidP="00CB2AB8">
      <w:pPr>
        <w:spacing w:line="520" w:lineRule="exact"/>
        <w:ind w:firstLineChars="200" w:firstLine="640"/>
        <w:rPr>
          <w:rFonts w:eastAsia="仿宋"/>
          <w:bCs/>
          <w:sz w:val="32"/>
          <w:szCs w:val="32"/>
        </w:rPr>
      </w:pPr>
      <w:r>
        <w:rPr>
          <w:rFonts w:eastAsia="仿宋_GB2312" w:hint="eastAsia"/>
          <w:color w:val="000000"/>
          <w:kern w:val="0"/>
          <w:sz w:val="32"/>
          <w:szCs w:val="32"/>
        </w:rPr>
        <w:t>1</w:t>
      </w:r>
      <w:r>
        <w:rPr>
          <w:rFonts w:eastAsia="仿宋_GB2312"/>
          <w:color w:val="000000"/>
          <w:kern w:val="0"/>
          <w:sz w:val="32"/>
          <w:szCs w:val="32"/>
        </w:rPr>
        <w:t>.2</w:t>
      </w:r>
      <w:r>
        <w:rPr>
          <w:rFonts w:eastAsia="仿宋_GB2312"/>
          <w:bCs/>
          <w:color w:val="000000"/>
          <w:sz w:val="32"/>
          <w:szCs w:val="32"/>
        </w:rPr>
        <w:t>风险分析清单</w:t>
      </w:r>
    </w:p>
    <w:p w:rsidR="0034448F" w:rsidRDefault="00CB2AB8" w:rsidP="00CB2AB8">
      <w:pPr>
        <w:spacing w:line="520" w:lineRule="exact"/>
        <w:ind w:firstLineChars="200" w:firstLine="640"/>
        <w:rPr>
          <w:rFonts w:eastAsia="仿宋"/>
          <w:bCs/>
          <w:sz w:val="32"/>
          <w:szCs w:val="32"/>
        </w:rPr>
      </w:pPr>
      <w:r>
        <w:rPr>
          <w:rFonts w:eastAsia="仿宋_GB2312"/>
          <w:bCs/>
          <w:color w:val="000000"/>
          <w:sz w:val="32"/>
          <w:szCs w:val="32"/>
        </w:rPr>
        <w:t>血管夹的风险管理报告应符合</w:t>
      </w:r>
      <w:r>
        <w:rPr>
          <w:rFonts w:eastAsia="仿宋_GB2312"/>
          <w:color w:val="000000"/>
          <w:kern w:val="0"/>
          <w:sz w:val="32"/>
          <w:szCs w:val="32"/>
        </w:rPr>
        <w:t>YY/T 0316-2016</w:t>
      </w:r>
      <w:r>
        <w:rPr>
          <w:rFonts w:eastAsia="仿宋"/>
          <w:bCs/>
          <w:sz w:val="32"/>
          <w:szCs w:val="32"/>
        </w:rPr>
        <w:t xml:space="preserve"> </w:t>
      </w:r>
      <w:r>
        <w:rPr>
          <w:rFonts w:eastAsia="仿宋_GB2312"/>
          <w:bCs/>
          <w:color w:val="000000"/>
          <w:sz w:val="32"/>
          <w:szCs w:val="32"/>
        </w:rPr>
        <w:t>《医疗器械</w:t>
      </w:r>
      <w:r>
        <w:rPr>
          <w:rFonts w:eastAsia="仿宋_GB2312"/>
          <w:bCs/>
          <w:color w:val="000000"/>
          <w:sz w:val="32"/>
          <w:szCs w:val="32"/>
        </w:rPr>
        <w:t xml:space="preserve"> </w:t>
      </w:r>
      <w:r>
        <w:rPr>
          <w:rFonts w:eastAsia="仿宋_GB2312"/>
          <w:bCs/>
          <w:color w:val="000000"/>
          <w:sz w:val="32"/>
          <w:szCs w:val="32"/>
        </w:rPr>
        <w:t>风险管理对医疗器械的应用》的有关要求，审查要点包括：</w:t>
      </w:r>
    </w:p>
    <w:p w:rsidR="0034448F" w:rsidRDefault="00CB2AB8" w:rsidP="00CB2AB8">
      <w:pPr>
        <w:spacing w:line="520" w:lineRule="exact"/>
        <w:ind w:firstLineChars="200" w:firstLine="640"/>
        <w:rPr>
          <w:rFonts w:eastAsia="仿宋"/>
          <w:bCs/>
          <w:sz w:val="32"/>
          <w:szCs w:val="32"/>
        </w:rPr>
      </w:pPr>
      <w:r>
        <w:rPr>
          <w:rFonts w:eastAsia="仿宋_GB2312" w:hint="eastAsia"/>
          <w:bCs/>
          <w:sz w:val="32"/>
          <w:szCs w:val="32"/>
        </w:rPr>
        <w:t>1</w:t>
      </w:r>
      <w:r>
        <w:rPr>
          <w:rFonts w:eastAsia="仿宋_GB2312"/>
          <w:bCs/>
          <w:sz w:val="32"/>
          <w:szCs w:val="32"/>
        </w:rPr>
        <w:t>.2.1</w:t>
      </w:r>
      <w:r>
        <w:rPr>
          <w:rFonts w:eastAsia="仿宋_GB2312"/>
          <w:bCs/>
          <w:color w:val="000000"/>
          <w:sz w:val="32"/>
          <w:szCs w:val="32"/>
        </w:rPr>
        <w:t>产品有关的安全性特征判定可参考</w:t>
      </w:r>
      <w:r>
        <w:rPr>
          <w:rFonts w:eastAsia="仿宋_GB2312"/>
          <w:color w:val="000000"/>
          <w:kern w:val="0"/>
          <w:sz w:val="32"/>
          <w:szCs w:val="32"/>
        </w:rPr>
        <w:t>YY/T 0316-2016</w:t>
      </w:r>
      <w:r>
        <w:rPr>
          <w:rFonts w:eastAsia="仿宋_GB2312"/>
          <w:bCs/>
          <w:color w:val="000000"/>
          <w:sz w:val="32"/>
          <w:szCs w:val="32"/>
        </w:rPr>
        <w:t>的附录</w:t>
      </w:r>
      <w:r>
        <w:rPr>
          <w:rFonts w:eastAsia="仿宋_GB2312"/>
          <w:color w:val="000000"/>
          <w:kern w:val="0"/>
          <w:sz w:val="32"/>
          <w:szCs w:val="32"/>
        </w:rPr>
        <w:t>C</w:t>
      </w:r>
      <w:r>
        <w:rPr>
          <w:rFonts w:eastAsia="仿宋"/>
          <w:bCs/>
          <w:sz w:val="32"/>
          <w:szCs w:val="32"/>
        </w:rPr>
        <w:t>；</w:t>
      </w:r>
    </w:p>
    <w:p w:rsidR="0034448F" w:rsidRDefault="00CB2AB8" w:rsidP="00CB2AB8">
      <w:pPr>
        <w:spacing w:line="520" w:lineRule="exact"/>
        <w:ind w:firstLineChars="200" w:firstLine="640"/>
        <w:rPr>
          <w:rFonts w:eastAsia="仿宋"/>
          <w:bCs/>
          <w:sz w:val="32"/>
          <w:szCs w:val="32"/>
        </w:rPr>
      </w:pPr>
      <w:r>
        <w:rPr>
          <w:rFonts w:eastAsia="仿宋_GB2312" w:hint="eastAsia"/>
          <w:bCs/>
          <w:sz w:val="32"/>
          <w:szCs w:val="32"/>
        </w:rPr>
        <w:t>1</w:t>
      </w:r>
      <w:r>
        <w:rPr>
          <w:rFonts w:eastAsia="仿宋_GB2312"/>
          <w:bCs/>
          <w:sz w:val="32"/>
          <w:szCs w:val="32"/>
        </w:rPr>
        <w:t>.2.2</w:t>
      </w:r>
      <w:r>
        <w:rPr>
          <w:rFonts w:eastAsia="仿宋_GB2312"/>
          <w:bCs/>
          <w:color w:val="000000"/>
          <w:sz w:val="32"/>
          <w:szCs w:val="32"/>
        </w:rPr>
        <w:t>危险</w:t>
      </w:r>
      <w:r>
        <w:rPr>
          <w:rFonts w:eastAsia="仿宋_GB2312"/>
          <w:bCs/>
          <w:color w:val="000000"/>
          <w:sz w:val="32"/>
          <w:szCs w:val="32"/>
        </w:rPr>
        <w:t>(</w:t>
      </w:r>
      <w:r>
        <w:rPr>
          <w:rFonts w:eastAsia="仿宋_GB2312"/>
          <w:bCs/>
          <w:color w:val="000000"/>
          <w:sz w:val="32"/>
          <w:szCs w:val="32"/>
        </w:rPr>
        <w:t>源</w:t>
      </w:r>
      <w:r>
        <w:rPr>
          <w:rFonts w:eastAsia="仿宋_GB2312"/>
          <w:bCs/>
          <w:color w:val="000000"/>
          <w:sz w:val="32"/>
          <w:szCs w:val="32"/>
        </w:rPr>
        <w:t>)</w:t>
      </w:r>
      <w:r>
        <w:rPr>
          <w:rFonts w:eastAsia="仿宋_GB2312"/>
          <w:bCs/>
          <w:color w:val="000000"/>
          <w:sz w:val="32"/>
          <w:szCs w:val="32"/>
        </w:rPr>
        <w:t>、可预见的事件序列和危险情况判断可参考</w:t>
      </w:r>
      <w:r>
        <w:rPr>
          <w:rFonts w:eastAsia="仿宋_GB2312"/>
          <w:color w:val="000000"/>
          <w:kern w:val="0"/>
          <w:sz w:val="32"/>
          <w:szCs w:val="32"/>
        </w:rPr>
        <w:t>YY/T 0316-2016</w:t>
      </w:r>
      <w:r>
        <w:rPr>
          <w:rFonts w:eastAsia="仿宋_GB2312"/>
          <w:bCs/>
          <w:color w:val="000000"/>
          <w:sz w:val="32"/>
          <w:szCs w:val="32"/>
        </w:rPr>
        <w:t>附录</w:t>
      </w:r>
      <w:r>
        <w:rPr>
          <w:rFonts w:eastAsia="仿宋_GB2312"/>
          <w:color w:val="000000"/>
          <w:kern w:val="0"/>
          <w:sz w:val="32"/>
          <w:szCs w:val="32"/>
        </w:rPr>
        <w:t>E</w:t>
      </w:r>
      <w:r>
        <w:rPr>
          <w:rFonts w:eastAsia="仿宋_GB2312"/>
          <w:color w:val="000000"/>
          <w:kern w:val="0"/>
          <w:sz w:val="32"/>
          <w:szCs w:val="32"/>
        </w:rPr>
        <w:t>、</w:t>
      </w:r>
      <w:r>
        <w:rPr>
          <w:rFonts w:eastAsia="仿宋_GB2312"/>
          <w:color w:val="000000"/>
          <w:kern w:val="0"/>
          <w:sz w:val="32"/>
          <w:szCs w:val="32"/>
        </w:rPr>
        <w:t>I</w:t>
      </w:r>
      <w:r>
        <w:rPr>
          <w:rFonts w:eastAsia="仿宋"/>
          <w:bCs/>
          <w:sz w:val="32"/>
          <w:szCs w:val="32"/>
        </w:rPr>
        <w:t>；</w:t>
      </w:r>
    </w:p>
    <w:p w:rsidR="0034448F" w:rsidRDefault="00CB2AB8" w:rsidP="00CB2AB8">
      <w:pPr>
        <w:spacing w:line="520" w:lineRule="exact"/>
        <w:ind w:firstLineChars="200" w:firstLine="640"/>
        <w:rPr>
          <w:rFonts w:eastAsia="仿宋"/>
          <w:bCs/>
          <w:sz w:val="32"/>
          <w:szCs w:val="32"/>
        </w:rPr>
      </w:pPr>
      <w:r>
        <w:rPr>
          <w:rFonts w:eastAsia="仿宋_GB2312" w:hint="eastAsia"/>
          <w:bCs/>
          <w:sz w:val="32"/>
          <w:szCs w:val="32"/>
        </w:rPr>
        <w:lastRenderedPageBreak/>
        <w:t>1</w:t>
      </w:r>
      <w:r>
        <w:rPr>
          <w:rFonts w:eastAsia="仿宋_GB2312"/>
          <w:bCs/>
          <w:sz w:val="32"/>
          <w:szCs w:val="32"/>
        </w:rPr>
        <w:t>.2.3</w:t>
      </w:r>
      <w:r>
        <w:rPr>
          <w:rFonts w:eastAsia="仿宋_GB2312"/>
          <w:bCs/>
          <w:color w:val="000000"/>
          <w:sz w:val="32"/>
          <w:szCs w:val="32"/>
        </w:rPr>
        <w:t>风险控制的方案与实施、综合剩余风险的可接受性评价及生产和生产后监视相关方法可参考</w:t>
      </w:r>
      <w:r>
        <w:rPr>
          <w:rFonts w:eastAsia="仿宋_GB2312"/>
          <w:color w:val="000000"/>
          <w:kern w:val="0"/>
          <w:sz w:val="32"/>
          <w:szCs w:val="32"/>
        </w:rPr>
        <w:t>YY/T 0316-2016</w:t>
      </w:r>
      <w:r>
        <w:rPr>
          <w:rFonts w:eastAsia="仿宋_GB2312"/>
          <w:bCs/>
          <w:color w:val="000000"/>
          <w:sz w:val="32"/>
          <w:szCs w:val="32"/>
        </w:rPr>
        <w:t>附录</w:t>
      </w:r>
      <w:r>
        <w:rPr>
          <w:rFonts w:eastAsia="仿宋_GB2312"/>
          <w:color w:val="000000"/>
          <w:kern w:val="0"/>
          <w:sz w:val="32"/>
          <w:szCs w:val="32"/>
        </w:rPr>
        <w:t>F</w:t>
      </w:r>
      <w:r>
        <w:rPr>
          <w:rFonts w:eastAsia="仿宋_GB2312"/>
          <w:color w:val="000000"/>
          <w:kern w:val="0"/>
          <w:sz w:val="32"/>
          <w:szCs w:val="32"/>
        </w:rPr>
        <w:t>、</w:t>
      </w:r>
      <w:r>
        <w:rPr>
          <w:rFonts w:eastAsia="仿宋_GB2312"/>
          <w:color w:val="000000"/>
          <w:kern w:val="0"/>
          <w:sz w:val="32"/>
          <w:szCs w:val="32"/>
        </w:rPr>
        <w:t>G</w:t>
      </w:r>
      <w:r>
        <w:rPr>
          <w:rFonts w:eastAsia="仿宋_GB2312"/>
          <w:color w:val="000000"/>
          <w:kern w:val="0"/>
          <w:sz w:val="32"/>
          <w:szCs w:val="32"/>
        </w:rPr>
        <w:t>、</w:t>
      </w:r>
      <w:r>
        <w:rPr>
          <w:rFonts w:eastAsia="仿宋_GB2312"/>
          <w:color w:val="000000"/>
          <w:kern w:val="0"/>
          <w:sz w:val="32"/>
          <w:szCs w:val="32"/>
        </w:rPr>
        <w:t>J</w:t>
      </w:r>
      <w:r>
        <w:rPr>
          <w:rFonts w:eastAsia="仿宋"/>
          <w:bCs/>
          <w:sz w:val="32"/>
          <w:szCs w:val="32"/>
        </w:rPr>
        <w:t>；</w:t>
      </w:r>
    </w:p>
    <w:p w:rsidR="0034448F" w:rsidRDefault="00CB2AB8" w:rsidP="00CB2AB8">
      <w:pPr>
        <w:spacing w:line="520" w:lineRule="exact"/>
        <w:ind w:firstLineChars="200" w:firstLine="640"/>
        <w:rPr>
          <w:rFonts w:eastAsia="仿宋"/>
          <w:bCs/>
          <w:sz w:val="32"/>
          <w:szCs w:val="32"/>
        </w:rPr>
      </w:pPr>
      <w:r>
        <w:rPr>
          <w:rFonts w:eastAsia="仿宋_GB2312" w:hint="eastAsia"/>
          <w:bCs/>
          <w:sz w:val="32"/>
          <w:szCs w:val="32"/>
        </w:rPr>
        <w:t>1</w:t>
      </w:r>
      <w:r>
        <w:rPr>
          <w:rFonts w:eastAsia="仿宋_GB2312"/>
          <w:bCs/>
          <w:sz w:val="32"/>
          <w:szCs w:val="32"/>
        </w:rPr>
        <w:t>.2.4</w:t>
      </w:r>
      <w:r>
        <w:rPr>
          <w:rFonts w:eastAsia="仿宋_GB2312"/>
          <w:bCs/>
          <w:color w:val="000000"/>
          <w:sz w:val="32"/>
          <w:szCs w:val="32"/>
        </w:rPr>
        <w:t>风险可接收准则，降低风险的措施及采取措施后风险的可接受程度，是否有新的风险产生。</w:t>
      </w:r>
    </w:p>
    <w:p w:rsidR="00CB2AB8" w:rsidRPr="00732DE4" w:rsidRDefault="00CB2AB8" w:rsidP="00732DE4">
      <w:pPr>
        <w:spacing w:line="520" w:lineRule="exact"/>
        <w:ind w:firstLineChars="200" w:firstLine="640"/>
        <w:rPr>
          <w:rFonts w:eastAsia="仿宋_GB2312"/>
          <w:bCs/>
          <w:color w:val="000000"/>
          <w:sz w:val="32"/>
          <w:szCs w:val="32"/>
        </w:rPr>
      </w:pPr>
      <w:r>
        <w:rPr>
          <w:rFonts w:eastAsia="仿宋_GB2312"/>
          <w:bCs/>
          <w:color w:val="000000"/>
          <w:sz w:val="32"/>
          <w:szCs w:val="32"/>
        </w:rPr>
        <w:t>以下依据</w:t>
      </w:r>
      <w:r>
        <w:rPr>
          <w:rFonts w:eastAsia="仿宋_GB2312"/>
          <w:color w:val="000000"/>
          <w:kern w:val="0"/>
          <w:sz w:val="32"/>
          <w:szCs w:val="32"/>
        </w:rPr>
        <w:t>YY/T 0316-2016</w:t>
      </w:r>
      <w:r>
        <w:rPr>
          <w:rFonts w:eastAsia="仿宋_GB2312"/>
          <w:bCs/>
          <w:color w:val="000000"/>
          <w:sz w:val="32"/>
          <w:szCs w:val="32"/>
        </w:rPr>
        <w:t>中附录</w:t>
      </w:r>
      <w:r>
        <w:rPr>
          <w:rFonts w:eastAsia="仿宋_GB2312"/>
          <w:color w:val="000000"/>
          <w:kern w:val="0"/>
          <w:sz w:val="32"/>
          <w:szCs w:val="32"/>
        </w:rPr>
        <w:t>E</w:t>
      </w:r>
      <w:r>
        <w:rPr>
          <w:rFonts w:eastAsia="仿宋"/>
          <w:bCs/>
          <w:sz w:val="32"/>
          <w:szCs w:val="32"/>
        </w:rPr>
        <w:t>（</w:t>
      </w:r>
      <w:r>
        <w:rPr>
          <w:rFonts w:eastAsia="仿宋_GB2312"/>
          <w:bCs/>
          <w:color w:val="000000"/>
          <w:sz w:val="32"/>
          <w:szCs w:val="32"/>
        </w:rPr>
        <w:t>表</w:t>
      </w:r>
      <w:r>
        <w:rPr>
          <w:rFonts w:eastAsia="仿宋_GB2312"/>
          <w:color w:val="000000"/>
          <w:kern w:val="0"/>
          <w:sz w:val="32"/>
          <w:szCs w:val="32"/>
        </w:rPr>
        <w:t>E.1</w:t>
      </w:r>
      <w:r>
        <w:rPr>
          <w:rFonts w:eastAsia="仿宋"/>
          <w:bCs/>
          <w:sz w:val="32"/>
          <w:szCs w:val="32"/>
        </w:rPr>
        <w:t>）</w:t>
      </w:r>
      <w:r>
        <w:rPr>
          <w:rFonts w:eastAsia="仿宋_GB2312"/>
          <w:bCs/>
          <w:color w:val="000000"/>
          <w:sz w:val="32"/>
          <w:szCs w:val="32"/>
        </w:rPr>
        <w:t>从六个方面列举了血管夹产品在进行风险分析时应考虑的主要危险（源），企业还应根据自身产品特点确定其他危险（源）。针对产品的各项风险，企业应采取应对措施，确保风险降到可接受的程度。</w:t>
      </w:r>
    </w:p>
    <w:p w:rsidR="00CB2AB8" w:rsidRDefault="00CB2AB8" w:rsidP="00CB2AB8">
      <w:pPr>
        <w:spacing w:line="520" w:lineRule="exact"/>
        <w:jc w:val="center"/>
        <w:rPr>
          <w:rFonts w:eastAsia="黑体"/>
          <w:bCs/>
          <w:color w:val="000000"/>
          <w:sz w:val="28"/>
          <w:szCs w:val="28"/>
        </w:rPr>
      </w:pPr>
    </w:p>
    <w:p w:rsidR="0034448F" w:rsidRDefault="00CB2AB8" w:rsidP="00CB2AB8">
      <w:pPr>
        <w:spacing w:line="520" w:lineRule="exact"/>
        <w:jc w:val="center"/>
        <w:rPr>
          <w:rFonts w:eastAsia="黑体"/>
          <w:bCs/>
          <w:color w:val="000000"/>
          <w:sz w:val="28"/>
          <w:szCs w:val="28"/>
        </w:rPr>
      </w:pPr>
      <w:r>
        <w:rPr>
          <w:rFonts w:eastAsia="黑体"/>
          <w:bCs/>
          <w:color w:val="000000"/>
          <w:sz w:val="28"/>
          <w:szCs w:val="28"/>
        </w:rPr>
        <w:t>表</w:t>
      </w:r>
      <w:r>
        <w:rPr>
          <w:rFonts w:eastAsia="仿宋_GB2312" w:hint="eastAsia"/>
          <w:color w:val="000000"/>
          <w:kern w:val="0"/>
          <w:sz w:val="32"/>
          <w:szCs w:val="32"/>
        </w:rPr>
        <w:t>1</w:t>
      </w:r>
      <w:r>
        <w:rPr>
          <w:rFonts w:eastAsia="黑体"/>
          <w:bCs/>
          <w:color w:val="000000"/>
          <w:sz w:val="28"/>
          <w:szCs w:val="28"/>
        </w:rPr>
        <w:t xml:space="preserve">  </w:t>
      </w:r>
      <w:r>
        <w:rPr>
          <w:rFonts w:eastAsia="黑体"/>
          <w:bCs/>
          <w:color w:val="000000"/>
          <w:sz w:val="28"/>
          <w:szCs w:val="28"/>
        </w:rPr>
        <w:t>风险分析时应考虑的主要危险（源）示例</w:t>
      </w:r>
    </w:p>
    <w:tbl>
      <w:tblPr>
        <w:tblW w:w="861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11"/>
        <w:gridCol w:w="6405"/>
      </w:tblGrid>
      <w:tr w:rsidR="0034448F" w:rsidTr="00732DE4">
        <w:trPr>
          <w:trHeight w:val="515"/>
          <w:jc w:val="center"/>
        </w:trPr>
        <w:tc>
          <w:tcPr>
            <w:tcW w:w="2211" w:type="dxa"/>
            <w:tcBorders>
              <w:top w:val="single" w:sz="4" w:space="0" w:color="auto"/>
              <w:left w:val="single" w:sz="4" w:space="0" w:color="auto"/>
              <w:bottom w:val="single" w:sz="4" w:space="0" w:color="auto"/>
              <w:right w:val="single" w:sz="4" w:space="0" w:color="auto"/>
            </w:tcBorders>
            <w:vAlign w:val="center"/>
          </w:tcPr>
          <w:p w:rsidR="0034448F" w:rsidRDefault="00CB2AB8" w:rsidP="00CB2AB8">
            <w:pPr>
              <w:spacing w:line="520" w:lineRule="exact"/>
              <w:jc w:val="center"/>
              <w:rPr>
                <w:rFonts w:eastAsia="仿宋_GB2312"/>
                <w:bCs/>
                <w:sz w:val="28"/>
                <w:szCs w:val="28"/>
              </w:rPr>
            </w:pPr>
            <w:r>
              <w:rPr>
                <w:rFonts w:eastAsia="仿宋_GB2312"/>
                <w:bCs/>
                <w:sz w:val="28"/>
                <w:szCs w:val="28"/>
              </w:rPr>
              <w:t>风险类别</w:t>
            </w:r>
          </w:p>
        </w:tc>
        <w:tc>
          <w:tcPr>
            <w:tcW w:w="6405" w:type="dxa"/>
            <w:tcBorders>
              <w:top w:val="single" w:sz="4" w:space="0" w:color="auto"/>
              <w:left w:val="single" w:sz="4" w:space="0" w:color="auto"/>
              <w:bottom w:val="single" w:sz="4" w:space="0" w:color="auto"/>
              <w:right w:val="single" w:sz="4" w:space="0" w:color="auto"/>
            </w:tcBorders>
            <w:vAlign w:val="center"/>
          </w:tcPr>
          <w:p w:rsidR="0034448F" w:rsidRDefault="00CB2AB8" w:rsidP="00CB2AB8">
            <w:pPr>
              <w:spacing w:line="520" w:lineRule="exact"/>
              <w:jc w:val="center"/>
              <w:rPr>
                <w:rFonts w:eastAsia="仿宋_GB2312"/>
                <w:bCs/>
                <w:sz w:val="28"/>
                <w:szCs w:val="28"/>
              </w:rPr>
            </w:pPr>
            <w:r>
              <w:rPr>
                <w:rFonts w:eastAsia="仿宋_GB2312"/>
                <w:bCs/>
                <w:sz w:val="28"/>
                <w:szCs w:val="28"/>
              </w:rPr>
              <w:t>具体示例</w:t>
            </w:r>
          </w:p>
        </w:tc>
      </w:tr>
      <w:tr w:rsidR="0034448F" w:rsidTr="00732DE4">
        <w:trPr>
          <w:trHeight w:val="515"/>
          <w:jc w:val="center"/>
        </w:trPr>
        <w:tc>
          <w:tcPr>
            <w:tcW w:w="2211" w:type="dxa"/>
            <w:tcBorders>
              <w:top w:val="single" w:sz="4" w:space="0" w:color="auto"/>
              <w:left w:val="single" w:sz="4" w:space="0" w:color="auto"/>
              <w:bottom w:val="single" w:sz="4" w:space="0" w:color="auto"/>
              <w:right w:val="single" w:sz="4" w:space="0" w:color="auto"/>
            </w:tcBorders>
            <w:vAlign w:val="center"/>
          </w:tcPr>
          <w:p w:rsidR="0034448F" w:rsidRDefault="00CB2AB8" w:rsidP="00CB2AB8">
            <w:pPr>
              <w:snapToGrid w:val="0"/>
              <w:spacing w:line="520" w:lineRule="exact"/>
              <w:jc w:val="center"/>
              <w:rPr>
                <w:rFonts w:eastAsia="仿宋_GB2312"/>
                <w:color w:val="000000"/>
                <w:sz w:val="28"/>
                <w:szCs w:val="21"/>
              </w:rPr>
            </w:pPr>
            <w:r>
              <w:rPr>
                <w:rFonts w:eastAsia="仿宋_GB2312"/>
                <w:color w:val="000000"/>
                <w:sz w:val="28"/>
                <w:szCs w:val="21"/>
              </w:rPr>
              <w:t>设计不当风险</w:t>
            </w:r>
          </w:p>
        </w:tc>
        <w:tc>
          <w:tcPr>
            <w:tcW w:w="6405" w:type="dxa"/>
            <w:tcBorders>
              <w:top w:val="single" w:sz="4" w:space="0" w:color="auto"/>
              <w:left w:val="single" w:sz="4" w:space="0" w:color="auto"/>
              <w:bottom w:val="single" w:sz="4" w:space="0" w:color="auto"/>
              <w:right w:val="single" w:sz="4" w:space="0" w:color="auto"/>
            </w:tcBorders>
            <w:vAlign w:val="center"/>
          </w:tcPr>
          <w:p w:rsidR="0034448F" w:rsidRDefault="00CB2AB8" w:rsidP="00CB2AB8">
            <w:pPr>
              <w:spacing w:line="520" w:lineRule="exact"/>
              <w:rPr>
                <w:rFonts w:eastAsia="仿宋_GB2312"/>
                <w:bCs/>
                <w:sz w:val="28"/>
                <w:szCs w:val="28"/>
              </w:rPr>
            </w:pPr>
            <w:r>
              <w:rPr>
                <w:rFonts w:eastAsia="仿宋_GB2312"/>
                <w:bCs/>
                <w:sz w:val="28"/>
                <w:szCs w:val="28"/>
              </w:rPr>
              <w:t>1.</w:t>
            </w:r>
            <w:r>
              <w:rPr>
                <w:rFonts w:eastAsia="仿宋_GB2312"/>
                <w:bCs/>
                <w:sz w:val="28"/>
                <w:szCs w:val="28"/>
              </w:rPr>
              <w:t>夹持力过大将血管壁损伤。</w:t>
            </w:r>
          </w:p>
          <w:p w:rsidR="0034448F" w:rsidRDefault="00CB2AB8" w:rsidP="00CB2AB8">
            <w:pPr>
              <w:snapToGrid w:val="0"/>
              <w:spacing w:line="520" w:lineRule="exact"/>
              <w:rPr>
                <w:rFonts w:eastAsia="仿宋_GB2312"/>
                <w:color w:val="000000"/>
                <w:sz w:val="28"/>
                <w:szCs w:val="21"/>
              </w:rPr>
            </w:pPr>
            <w:r>
              <w:rPr>
                <w:rFonts w:eastAsia="仿宋_GB2312"/>
                <w:bCs/>
                <w:sz w:val="28"/>
                <w:szCs w:val="28"/>
              </w:rPr>
              <w:t>2.</w:t>
            </w:r>
            <w:r>
              <w:rPr>
                <w:rFonts w:eastAsia="仿宋_GB2312"/>
                <w:bCs/>
                <w:sz w:val="28"/>
                <w:szCs w:val="28"/>
              </w:rPr>
              <w:t>夹持力过小，一次性血管夹无法有效闭合血管或松动脱落造成出血。</w:t>
            </w:r>
          </w:p>
        </w:tc>
      </w:tr>
      <w:tr w:rsidR="0034448F" w:rsidTr="00732DE4">
        <w:trPr>
          <w:trHeight w:val="515"/>
          <w:jc w:val="center"/>
        </w:trPr>
        <w:tc>
          <w:tcPr>
            <w:tcW w:w="2211" w:type="dxa"/>
            <w:tcBorders>
              <w:top w:val="single" w:sz="4" w:space="0" w:color="auto"/>
              <w:left w:val="single" w:sz="4" w:space="0" w:color="auto"/>
              <w:bottom w:val="single" w:sz="4" w:space="0" w:color="auto"/>
              <w:right w:val="single" w:sz="4" w:space="0" w:color="auto"/>
            </w:tcBorders>
            <w:vAlign w:val="center"/>
          </w:tcPr>
          <w:p w:rsidR="0034448F" w:rsidRDefault="00CB2AB8" w:rsidP="00CB2AB8">
            <w:pPr>
              <w:snapToGrid w:val="0"/>
              <w:spacing w:line="520" w:lineRule="exact"/>
              <w:jc w:val="center"/>
              <w:rPr>
                <w:rFonts w:eastAsia="仿宋_GB2312"/>
                <w:color w:val="000000"/>
                <w:sz w:val="28"/>
                <w:szCs w:val="21"/>
              </w:rPr>
            </w:pPr>
            <w:r>
              <w:rPr>
                <w:rFonts w:eastAsia="仿宋_GB2312"/>
                <w:color w:val="000000"/>
                <w:sz w:val="28"/>
                <w:szCs w:val="21"/>
              </w:rPr>
              <w:t>生物相容性风险</w:t>
            </w:r>
          </w:p>
        </w:tc>
        <w:tc>
          <w:tcPr>
            <w:tcW w:w="6405" w:type="dxa"/>
            <w:tcBorders>
              <w:top w:val="single" w:sz="4" w:space="0" w:color="auto"/>
              <w:left w:val="single" w:sz="4" w:space="0" w:color="auto"/>
              <w:bottom w:val="single" w:sz="4" w:space="0" w:color="auto"/>
              <w:right w:val="single" w:sz="4" w:space="0" w:color="auto"/>
            </w:tcBorders>
            <w:vAlign w:val="center"/>
          </w:tcPr>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选用不适当的材料；</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原材料或原材料来源变化；</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灭菌未确认或未按已确认的参数灭菌；</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未能按运输储存要求对产品进行防护，造成产品破损，污染产品；</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生产、加工过程中使用的清洗剂、助剂等；</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超过有效期使用；</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包装不符合要求或老化；</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产品重复使用导致患者受到感染和</w:t>
            </w:r>
            <w:r>
              <w:rPr>
                <w:rFonts w:eastAsia="仿宋_GB2312"/>
                <w:color w:val="000000"/>
                <w:sz w:val="28"/>
                <w:szCs w:val="21"/>
              </w:rPr>
              <w:t>/</w:t>
            </w:r>
            <w:r>
              <w:rPr>
                <w:rFonts w:eastAsia="仿宋_GB2312"/>
                <w:color w:val="000000"/>
                <w:sz w:val="28"/>
                <w:szCs w:val="21"/>
              </w:rPr>
              <w:t>或手术失败；</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lastRenderedPageBreak/>
              <w:t>使用完后，未按医疗垃圾处理；</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未按要求对生产环境进行控制。</w:t>
            </w:r>
          </w:p>
        </w:tc>
      </w:tr>
      <w:tr w:rsidR="0034448F" w:rsidTr="00732DE4">
        <w:trPr>
          <w:trHeight w:val="515"/>
          <w:jc w:val="center"/>
        </w:trPr>
        <w:tc>
          <w:tcPr>
            <w:tcW w:w="2211" w:type="dxa"/>
            <w:tcBorders>
              <w:top w:val="single" w:sz="4" w:space="0" w:color="auto"/>
              <w:left w:val="single" w:sz="4" w:space="0" w:color="auto"/>
              <w:bottom w:val="single" w:sz="4" w:space="0" w:color="auto"/>
              <w:right w:val="single" w:sz="4" w:space="0" w:color="auto"/>
            </w:tcBorders>
            <w:vAlign w:val="center"/>
          </w:tcPr>
          <w:p w:rsidR="0034448F" w:rsidRDefault="00CB2AB8" w:rsidP="00CB2AB8">
            <w:pPr>
              <w:snapToGrid w:val="0"/>
              <w:spacing w:line="520" w:lineRule="exact"/>
              <w:jc w:val="center"/>
              <w:rPr>
                <w:rFonts w:eastAsia="仿宋_GB2312"/>
                <w:color w:val="000000"/>
                <w:sz w:val="28"/>
                <w:szCs w:val="21"/>
              </w:rPr>
            </w:pPr>
            <w:r>
              <w:rPr>
                <w:rFonts w:eastAsia="仿宋_GB2312"/>
                <w:color w:val="000000"/>
                <w:sz w:val="28"/>
                <w:szCs w:val="21"/>
              </w:rPr>
              <w:lastRenderedPageBreak/>
              <w:t>制造过程风险</w:t>
            </w:r>
          </w:p>
        </w:tc>
        <w:tc>
          <w:tcPr>
            <w:tcW w:w="6405" w:type="dxa"/>
            <w:tcBorders>
              <w:top w:val="single" w:sz="4" w:space="0" w:color="auto"/>
              <w:left w:val="single" w:sz="4" w:space="0" w:color="auto"/>
              <w:bottom w:val="single" w:sz="4" w:space="0" w:color="auto"/>
              <w:right w:val="single" w:sz="4" w:space="0" w:color="auto"/>
            </w:tcBorders>
            <w:vAlign w:val="center"/>
          </w:tcPr>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采购不当；零部件加工精度不当，部件互换性差；装配调整不当；不合格品未被检出；包装不当；灭菌有效性未被充分确认</w:t>
            </w:r>
            <w:r>
              <w:rPr>
                <w:rFonts w:eastAsia="仿宋_GB2312"/>
                <w:color w:val="000000"/>
                <w:sz w:val="28"/>
                <w:szCs w:val="21"/>
              </w:rPr>
              <w:t>/</w:t>
            </w:r>
            <w:r>
              <w:rPr>
                <w:rFonts w:eastAsia="仿宋_GB2312"/>
                <w:color w:val="000000"/>
                <w:sz w:val="28"/>
                <w:szCs w:val="21"/>
              </w:rPr>
              <w:t>验证。</w:t>
            </w:r>
          </w:p>
        </w:tc>
      </w:tr>
      <w:tr w:rsidR="0034448F" w:rsidTr="00732DE4">
        <w:trPr>
          <w:trHeight w:val="515"/>
          <w:jc w:val="center"/>
        </w:trPr>
        <w:tc>
          <w:tcPr>
            <w:tcW w:w="2211" w:type="dxa"/>
            <w:tcBorders>
              <w:top w:val="single" w:sz="4" w:space="0" w:color="auto"/>
              <w:left w:val="single" w:sz="4" w:space="0" w:color="auto"/>
              <w:bottom w:val="single" w:sz="4" w:space="0" w:color="auto"/>
              <w:right w:val="single" w:sz="4" w:space="0" w:color="auto"/>
            </w:tcBorders>
            <w:vAlign w:val="center"/>
          </w:tcPr>
          <w:p w:rsidR="0034448F" w:rsidRDefault="00CB2AB8" w:rsidP="00CB2AB8">
            <w:pPr>
              <w:snapToGrid w:val="0"/>
              <w:spacing w:line="520" w:lineRule="exact"/>
              <w:jc w:val="center"/>
              <w:rPr>
                <w:rFonts w:eastAsia="仿宋_GB2312"/>
                <w:color w:val="000000"/>
                <w:sz w:val="28"/>
                <w:szCs w:val="21"/>
              </w:rPr>
            </w:pPr>
            <w:r>
              <w:rPr>
                <w:rFonts w:eastAsia="仿宋_GB2312"/>
                <w:color w:val="000000"/>
                <w:sz w:val="28"/>
                <w:szCs w:val="21"/>
              </w:rPr>
              <w:t>运输和贮藏风险</w:t>
            </w:r>
          </w:p>
        </w:tc>
        <w:tc>
          <w:tcPr>
            <w:tcW w:w="6405" w:type="dxa"/>
            <w:tcBorders>
              <w:top w:val="single" w:sz="4" w:space="0" w:color="auto"/>
              <w:left w:val="single" w:sz="4" w:space="0" w:color="auto"/>
              <w:bottom w:val="single" w:sz="4" w:space="0" w:color="auto"/>
              <w:right w:val="single" w:sz="4" w:space="0" w:color="auto"/>
            </w:tcBorders>
            <w:vAlign w:val="center"/>
          </w:tcPr>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不恰当的包装；污染；贮藏环境条件不当。</w:t>
            </w:r>
          </w:p>
        </w:tc>
      </w:tr>
      <w:tr w:rsidR="0034448F" w:rsidTr="00732DE4">
        <w:trPr>
          <w:trHeight w:val="515"/>
          <w:jc w:val="center"/>
        </w:trPr>
        <w:tc>
          <w:tcPr>
            <w:tcW w:w="2211" w:type="dxa"/>
            <w:tcBorders>
              <w:top w:val="single" w:sz="4" w:space="0" w:color="auto"/>
              <w:left w:val="single" w:sz="4" w:space="0" w:color="auto"/>
              <w:bottom w:val="single" w:sz="4" w:space="0" w:color="auto"/>
              <w:right w:val="single" w:sz="4" w:space="0" w:color="auto"/>
            </w:tcBorders>
            <w:vAlign w:val="center"/>
          </w:tcPr>
          <w:p w:rsidR="0034448F" w:rsidRDefault="00CB2AB8" w:rsidP="00CB2AB8">
            <w:pPr>
              <w:snapToGrid w:val="0"/>
              <w:spacing w:line="520" w:lineRule="exact"/>
              <w:jc w:val="center"/>
              <w:rPr>
                <w:rFonts w:eastAsia="仿宋_GB2312"/>
                <w:color w:val="000000"/>
                <w:sz w:val="28"/>
                <w:szCs w:val="21"/>
              </w:rPr>
            </w:pPr>
            <w:r>
              <w:rPr>
                <w:rFonts w:eastAsia="仿宋_GB2312"/>
                <w:color w:val="000000"/>
                <w:sz w:val="28"/>
                <w:szCs w:val="21"/>
              </w:rPr>
              <w:t>处置和废弃风险</w:t>
            </w:r>
          </w:p>
        </w:tc>
        <w:tc>
          <w:tcPr>
            <w:tcW w:w="6405" w:type="dxa"/>
            <w:tcBorders>
              <w:top w:val="single" w:sz="4" w:space="0" w:color="auto"/>
              <w:left w:val="single" w:sz="4" w:space="0" w:color="auto"/>
              <w:bottom w:val="single" w:sz="4" w:space="0" w:color="auto"/>
              <w:right w:val="single" w:sz="4" w:space="0" w:color="auto"/>
            </w:tcBorders>
            <w:vAlign w:val="center"/>
          </w:tcPr>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没提供信息或提供信息不充分；使用错误。</w:t>
            </w:r>
          </w:p>
        </w:tc>
      </w:tr>
      <w:tr w:rsidR="0034448F" w:rsidTr="00732DE4">
        <w:trPr>
          <w:trHeight w:val="1710"/>
          <w:jc w:val="center"/>
        </w:trPr>
        <w:tc>
          <w:tcPr>
            <w:tcW w:w="2211" w:type="dxa"/>
            <w:tcBorders>
              <w:top w:val="single" w:sz="4" w:space="0" w:color="auto"/>
              <w:left w:val="single" w:sz="4" w:space="0" w:color="auto"/>
              <w:bottom w:val="single" w:sz="4" w:space="0" w:color="auto"/>
              <w:right w:val="single" w:sz="4" w:space="0" w:color="auto"/>
            </w:tcBorders>
            <w:vAlign w:val="center"/>
          </w:tcPr>
          <w:p w:rsidR="0034448F" w:rsidRDefault="00CB2AB8" w:rsidP="00CB2AB8">
            <w:pPr>
              <w:snapToGrid w:val="0"/>
              <w:spacing w:line="520" w:lineRule="exact"/>
              <w:jc w:val="center"/>
              <w:rPr>
                <w:rFonts w:eastAsia="仿宋_GB2312"/>
                <w:color w:val="000000"/>
                <w:sz w:val="28"/>
                <w:szCs w:val="21"/>
              </w:rPr>
            </w:pPr>
            <w:r>
              <w:rPr>
                <w:rFonts w:eastAsia="仿宋_GB2312"/>
                <w:color w:val="000000"/>
                <w:sz w:val="28"/>
                <w:szCs w:val="21"/>
              </w:rPr>
              <w:t>使用风险</w:t>
            </w:r>
          </w:p>
        </w:tc>
        <w:tc>
          <w:tcPr>
            <w:tcW w:w="6405" w:type="dxa"/>
            <w:tcBorders>
              <w:top w:val="single" w:sz="4" w:space="0" w:color="auto"/>
              <w:left w:val="single" w:sz="4" w:space="0" w:color="auto"/>
              <w:bottom w:val="single" w:sz="4" w:space="0" w:color="auto"/>
              <w:right w:val="single" w:sz="4" w:space="0" w:color="auto"/>
            </w:tcBorders>
            <w:vAlign w:val="center"/>
          </w:tcPr>
          <w:p w:rsidR="0034448F" w:rsidRDefault="00CB2AB8" w:rsidP="00CB2AB8">
            <w:pPr>
              <w:snapToGrid w:val="0"/>
              <w:spacing w:line="520" w:lineRule="exact"/>
              <w:rPr>
                <w:rFonts w:eastAsia="仿宋_GB2312"/>
                <w:color w:val="000000"/>
                <w:sz w:val="28"/>
                <w:szCs w:val="21"/>
              </w:rPr>
            </w:pPr>
            <w:r>
              <w:rPr>
                <w:rFonts w:eastAsia="仿宋_GB2312"/>
                <w:bCs/>
                <w:sz w:val="28"/>
                <w:szCs w:val="28"/>
              </w:rPr>
              <w:t>由不熟练、未经培训的人员使用；</w:t>
            </w:r>
          </w:p>
          <w:p w:rsidR="0034448F" w:rsidRDefault="00CB2AB8" w:rsidP="00CB2AB8">
            <w:pPr>
              <w:snapToGrid w:val="0"/>
              <w:spacing w:line="520" w:lineRule="exact"/>
              <w:rPr>
                <w:rFonts w:eastAsia="仿宋_GB2312"/>
                <w:bCs/>
                <w:sz w:val="28"/>
                <w:szCs w:val="28"/>
              </w:rPr>
            </w:pPr>
            <w:r>
              <w:rPr>
                <w:rFonts w:eastAsia="仿宋_GB2312"/>
                <w:bCs/>
                <w:sz w:val="28"/>
                <w:szCs w:val="28"/>
              </w:rPr>
              <w:t>使用完后，操作者未立即取出；</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标记：包装标记不当，如会产生重复使用的危害，引起交叉感染；</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对一次性使用的医疗器械很可能再次使用的危害警告不适当，造成重复使用；</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不完整的使用说明书，造成操作错误；</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性能特征不恰当的描述，造成错误使用；</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不适当的预期使用规范，造成错误使用；</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操作说明书的遗失，造成错误使用；</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非预期使用；</w:t>
            </w:r>
          </w:p>
          <w:p w:rsidR="0034448F" w:rsidRDefault="00CB2AB8" w:rsidP="00CB2AB8">
            <w:pPr>
              <w:snapToGrid w:val="0"/>
              <w:spacing w:line="520" w:lineRule="exact"/>
              <w:rPr>
                <w:rFonts w:eastAsia="仿宋_GB2312"/>
                <w:color w:val="000000"/>
                <w:sz w:val="28"/>
                <w:szCs w:val="21"/>
              </w:rPr>
            </w:pPr>
            <w:r>
              <w:rPr>
                <w:rFonts w:eastAsia="仿宋_GB2312"/>
                <w:color w:val="000000"/>
                <w:sz w:val="28"/>
                <w:szCs w:val="21"/>
              </w:rPr>
              <w:t>使用者未按规范程序使用。</w:t>
            </w:r>
          </w:p>
        </w:tc>
      </w:tr>
    </w:tbl>
    <w:p w:rsidR="0034448F" w:rsidRDefault="00CB2AB8" w:rsidP="00CB2AB8">
      <w:pPr>
        <w:spacing w:line="520" w:lineRule="exact"/>
        <w:ind w:firstLineChars="200" w:firstLine="640"/>
        <w:rPr>
          <w:rFonts w:eastAsia="楷体_GB2312"/>
          <w:bCs/>
          <w:color w:val="000000"/>
          <w:sz w:val="32"/>
          <w:szCs w:val="32"/>
        </w:rPr>
      </w:pPr>
      <w:r>
        <w:rPr>
          <w:rFonts w:eastAsia="仿宋_GB2312" w:hint="eastAsia"/>
          <w:color w:val="000000"/>
          <w:sz w:val="32"/>
          <w:szCs w:val="32"/>
        </w:rPr>
        <w:t>2</w:t>
      </w:r>
      <w:r>
        <w:rPr>
          <w:rFonts w:eastAsia="仿宋_GB2312"/>
          <w:color w:val="000000"/>
          <w:sz w:val="32"/>
          <w:szCs w:val="32"/>
        </w:rPr>
        <w:t>.</w:t>
      </w:r>
      <w:r>
        <w:rPr>
          <w:rFonts w:eastAsia="仿宋_GB2312"/>
          <w:color w:val="000000"/>
          <w:sz w:val="32"/>
          <w:szCs w:val="32"/>
        </w:rPr>
        <w:t>产品的研究要求</w:t>
      </w:r>
    </w:p>
    <w:p w:rsidR="0034448F" w:rsidRDefault="00CB2AB8" w:rsidP="00CB2AB8">
      <w:pPr>
        <w:spacing w:line="520" w:lineRule="exact"/>
        <w:ind w:firstLineChars="200" w:firstLine="640"/>
        <w:rPr>
          <w:rFonts w:eastAsia="仿宋_GB2312"/>
          <w:bCs/>
          <w:color w:val="000000"/>
          <w:sz w:val="32"/>
          <w:szCs w:val="32"/>
        </w:rPr>
      </w:pPr>
      <w:r>
        <w:rPr>
          <w:rFonts w:eastAsia="仿宋_GB2312" w:hint="eastAsia"/>
          <w:color w:val="000000"/>
          <w:sz w:val="32"/>
          <w:szCs w:val="32"/>
        </w:rPr>
        <w:t>2</w:t>
      </w:r>
      <w:r>
        <w:rPr>
          <w:rFonts w:eastAsia="仿宋_GB2312"/>
          <w:color w:val="000000"/>
          <w:sz w:val="32"/>
          <w:szCs w:val="32"/>
        </w:rPr>
        <w:t>.1</w:t>
      </w:r>
      <w:r>
        <w:rPr>
          <w:rFonts w:eastAsia="仿宋_GB2312"/>
          <w:bCs/>
          <w:color w:val="000000"/>
          <w:sz w:val="32"/>
          <w:szCs w:val="32"/>
        </w:rPr>
        <w:t>产品性能研究</w:t>
      </w:r>
    </w:p>
    <w:p w:rsidR="0034448F" w:rsidRDefault="00CB2AB8" w:rsidP="00CB2AB8">
      <w:pPr>
        <w:spacing w:line="520" w:lineRule="exact"/>
        <w:ind w:firstLineChars="200" w:firstLine="640"/>
        <w:rPr>
          <w:rFonts w:eastAsia="仿宋_GB2312"/>
          <w:bCs/>
          <w:color w:val="000000"/>
          <w:sz w:val="32"/>
          <w:szCs w:val="32"/>
        </w:rPr>
      </w:pPr>
      <w:r>
        <w:rPr>
          <w:rFonts w:eastAsia="仿宋_GB2312"/>
          <w:bCs/>
          <w:color w:val="000000"/>
          <w:sz w:val="32"/>
          <w:szCs w:val="32"/>
        </w:rPr>
        <w:t>应当提供产品性能研究资料，包括有效性、安全性指标以及与质量控制相关的其它指标的确定依据，所采用的标准或方法、采用的理由及理论基础。此外应根据产品</w:t>
      </w:r>
      <w:r>
        <w:rPr>
          <w:rFonts w:eastAsia="仿宋_GB2312"/>
          <w:bCs/>
          <w:sz w:val="32"/>
          <w:szCs w:val="32"/>
        </w:rPr>
        <w:t>原材料的性能特</w:t>
      </w:r>
      <w:r>
        <w:rPr>
          <w:rFonts w:eastAsia="仿宋_GB2312"/>
          <w:bCs/>
          <w:sz w:val="32"/>
          <w:szCs w:val="32"/>
        </w:rPr>
        <w:lastRenderedPageBreak/>
        <w:t>点，</w:t>
      </w:r>
      <w:r>
        <w:rPr>
          <w:rFonts w:eastAsia="仿宋_GB2312"/>
          <w:bCs/>
          <w:color w:val="000000"/>
          <w:sz w:val="32"/>
          <w:szCs w:val="32"/>
        </w:rPr>
        <w:t>制定适合产品的技术指标和检验方法，并说明依据。</w:t>
      </w:r>
    </w:p>
    <w:p w:rsidR="0034448F" w:rsidRDefault="00CB2AB8" w:rsidP="00CB2AB8">
      <w:pPr>
        <w:spacing w:line="520" w:lineRule="exact"/>
        <w:ind w:firstLineChars="200" w:firstLine="640"/>
        <w:rPr>
          <w:rFonts w:eastAsia="仿宋_GB2312"/>
          <w:bCs/>
          <w:color w:val="000000"/>
          <w:sz w:val="32"/>
          <w:szCs w:val="32"/>
        </w:rPr>
      </w:pPr>
      <w:r>
        <w:rPr>
          <w:rFonts w:eastAsia="仿宋_GB2312"/>
          <w:bCs/>
          <w:color w:val="000000"/>
          <w:sz w:val="32"/>
          <w:szCs w:val="32"/>
        </w:rPr>
        <w:t>常见的技术指标包括以下几点（不限于此）：</w:t>
      </w:r>
      <w:r>
        <w:rPr>
          <w:rFonts w:eastAsia="仿宋_GB2312"/>
          <w:bCs/>
          <w:color w:val="000000"/>
          <w:sz w:val="32"/>
          <w:szCs w:val="32"/>
        </w:rPr>
        <w:t xml:space="preserve"> </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.1.1</w:t>
      </w:r>
      <w:r>
        <w:rPr>
          <w:rFonts w:eastAsia="仿宋_GB2312"/>
          <w:color w:val="000000"/>
          <w:sz w:val="32"/>
          <w:szCs w:val="32"/>
        </w:rPr>
        <w:t>外</w:t>
      </w:r>
      <w:r>
        <w:rPr>
          <w:rFonts w:eastAsia="仿宋_GB2312"/>
          <w:sz w:val="32"/>
          <w:szCs w:val="32"/>
        </w:rPr>
        <w:t>观：血管夹各组件外观、表面结构；</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.1.2</w:t>
      </w:r>
      <w:r>
        <w:rPr>
          <w:rFonts w:eastAsia="仿宋_GB2312"/>
          <w:sz w:val="32"/>
          <w:szCs w:val="32"/>
        </w:rPr>
        <w:t>规格尺寸及允差：血管夹</w:t>
      </w:r>
      <w:r>
        <w:rPr>
          <w:rFonts w:eastAsia="仿宋_GB2312"/>
          <w:bCs/>
          <w:sz w:val="32"/>
          <w:szCs w:val="32"/>
        </w:rPr>
        <w:t>应明确尺寸及允差；</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.1.3</w:t>
      </w:r>
      <w:r>
        <w:rPr>
          <w:rFonts w:eastAsia="仿宋_GB2312"/>
          <w:sz w:val="32"/>
          <w:szCs w:val="32"/>
        </w:rPr>
        <w:t>表面粗糙度、硬度、韧性、耐腐蚀性：金属夹适用；</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.1.4</w:t>
      </w:r>
      <w:r>
        <w:rPr>
          <w:rFonts w:eastAsia="仿宋_GB2312"/>
          <w:sz w:val="32"/>
          <w:szCs w:val="32"/>
        </w:rPr>
        <w:t>反复开合无断裂：高分子夹适用；</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.1.5</w:t>
      </w:r>
      <w:r>
        <w:rPr>
          <w:rFonts w:eastAsia="仿宋_GB2312"/>
          <w:sz w:val="32"/>
          <w:szCs w:val="32"/>
        </w:rPr>
        <w:t>头端偏移量：应明确两夹片头端偏移量；</w:t>
      </w:r>
    </w:p>
    <w:p w:rsidR="0034448F" w:rsidRDefault="00CB2AB8" w:rsidP="00CB2AB8">
      <w:pPr>
        <w:pStyle w:val="1"/>
        <w:overflowPunct w:val="0"/>
        <w:spacing w:line="520" w:lineRule="exact"/>
        <w:ind w:firstLine="640"/>
        <w:rPr>
          <w:rFonts w:ascii="Times New Roman" w:eastAsia="仿宋_GB2312" w:hAnsi="Times New Roman"/>
          <w:sz w:val="32"/>
          <w:szCs w:val="32"/>
        </w:rPr>
      </w:pPr>
      <w:r>
        <w:rPr>
          <w:rFonts w:ascii="Times New Roman" w:eastAsia="仿宋_GB2312" w:hAnsi="Times New Roman" w:hint="eastAsia"/>
          <w:sz w:val="32"/>
          <w:szCs w:val="32"/>
        </w:rPr>
        <w:t>2</w:t>
      </w:r>
      <w:r>
        <w:rPr>
          <w:rFonts w:ascii="Times New Roman" w:eastAsia="仿宋_GB2312" w:hAnsi="Times New Roman"/>
          <w:sz w:val="32"/>
          <w:szCs w:val="32"/>
        </w:rPr>
        <w:t>.1.6</w:t>
      </w:r>
      <w:r>
        <w:rPr>
          <w:rFonts w:ascii="Times New Roman" w:eastAsia="仿宋_GB2312" w:hAnsi="Times New Roman"/>
          <w:sz w:val="32"/>
          <w:szCs w:val="32"/>
        </w:rPr>
        <w:t>夹闭性能：</w:t>
      </w:r>
    </w:p>
    <w:p w:rsidR="0034448F" w:rsidRDefault="00CB2AB8" w:rsidP="00CB2AB8">
      <w:pPr>
        <w:pStyle w:val="1"/>
        <w:overflowPunct w:val="0"/>
        <w:spacing w:line="520" w:lineRule="exact"/>
        <w:ind w:firstLine="640"/>
        <w:rPr>
          <w:rFonts w:ascii="Times New Roman" w:eastAsia="仿宋_GB2312" w:hAnsi="Times New Roman"/>
          <w:bCs/>
          <w:sz w:val="32"/>
          <w:szCs w:val="32"/>
        </w:rPr>
      </w:pPr>
      <w:r>
        <w:rPr>
          <w:rFonts w:ascii="Times New Roman" w:eastAsia="仿宋_GB2312" w:hAnsi="Times New Roman" w:hint="eastAsia"/>
          <w:bCs/>
          <w:sz w:val="32"/>
          <w:szCs w:val="32"/>
        </w:rPr>
        <w:t>2</w:t>
      </w:r>
      <w:r>
        <w:rPr>
          <w:rFonts w:ascii="Times New Roman" w:eastAsia="仿宋_GB2312" w:hAnsi="Times New Roman"/>
          <w:bCs/>
          <w:sz w:val="32"/>
          <w:szCs w:val="32"/>
        </w:rPr>
        <w:t>.1.6.1</w:t>
      </w:r>
      <w:r>
        <w:rPr>
          <w:rFonts w:ascii="Times New Roman" w:eastAsia="仿宋_GB2312" w:hAnsi="Times New Roman"/>
          <w:bCs/>
          <w:sz w:val="32"/>
          <w:szCs w:val="32"/>
        </w:rPr>
        <w:t>夹持稳定性：血管夹夹闭血管或模拟血管后应稳定牢固，不会轻易滑脱；</w:t>
      </w:r>
    </w:p>
    <w:p w:rsidR="0034448F" w:rsidRDefault="00CB2AB8" w:rsidP="00CB2AB8">
      <w:pPr>
        <w:pStyle w:val="a7"/>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2</w:t>
      </w:r>
      <w:r>
        <w:rPr>
          <w:rFonts w:ascii="Times New Roman" w:eastAsia="仿宋_GB2312" w:hAnsi="Times New Roman" w:cs="Times New Roman"/>
          <w:bCs/>
          <w:sz w:val="32"/>
          <w:szCs w:val="32"/>
        </w:rPr>
        <w:t>.1.6.2</w:t>
      </w:r>
      <w:r>
        <w:rPr>
          <w:rFonts w:ascii="Times New Roman" w:eastAsia="仿宋_GB2312" w:hAnsi="Times New Roman" w:cs="Times New Roman"/>
          <w:bCs/>
          <w:sz w:val="32"/>
          <w:szCs w:val="32"/>
        </w:rPr>
        <w:t>夹持持久性：夹闭后的一段时间内（如</w:t>
      </w:r>
      <w:r>
        <w:rPr>
          <w:rFonts w:ascii="Times New Roman" w:eastAsia="仿宋_GB2312" w:hAnsi="Times New Roman" w:cs="Times New Roman"/>
          <w:bCs/>
          <w:sz w:val="32"/>
          <w:szCs w:val="32"/>
        </w:rPr>
        <w:t>24</w:t>
      </w:r>
      <w:r>
        <w:rPr>
          <w:rFonts w:ascii="Times New Roman" w:eastAsia="仿宋_GB2312" w:hAnsi="Times New Roman" w:cs="Times New Roman"/>
          <w:bCs/>
          <w:sz w:val="32"/>
          <w:szCs w:val="32"/>
        </w:rPr>
        <w:t>小时），血管夹未松开或断裂；</w:t>
      </w:r>
    </w:p>
    <w:p w:rsidR="0034448F" w:rsidRDefault="00CB2AB8" w:rsidP="00CB2AB8">
      <w:pPr>
        <w:spacing w:line="520" w:lineRule="exact"/>
        <w:ind w:firstLineChars="200" w:firstLine="640"/>
        <w:rPr>
          <w:rFonts w:eastAsia="仿宋_GB2312"/>
          <w:sz w:val="32"/>
          <w:szCs w:val="32"/>
        </w:rPr>
      </w:pPr>
      <w:r>
        <w:rPr>
          <w:rFonts w:eastAsia="仿宋_GB2312" w:hint="eastAsia"/>
          <w:bCs/>
          <w:sz w:val="32"/>
          <w:szCs w:val="32"/>
        </w:rPr>
        <w:t>2</w:t>
      </w:r>
      <w:r>
        <w:rPr>
          <w:rFonts w:eastAsia="仿宋_GB2312"/>
          <w:bCs/>
          <w:sz w:val="32"/>
          <w:szCs w:val="32"/>
        </w:rPr>
        <w:t>.1.6.3</w:t>
      </w:r>
      <w:r>
        <w:rPr>
          <w:rFonts w:eastAsia="仿宋_GB2312"/>
          <w:bCs/>
          <w:sz w:val="32"/>
          <w:szCs w:val="32"/>
        </w:rPr>
        <w:t>耐压性：在一定水压下，夹闭后的模拟血管（如硅胶管）无泄漏，经持久性</w:t>
      </w:r>
      <w:r>
        <w:rPr>
          <w:rFonts w:eastAsia="仿宋_GB2312" w:hint="eastAsia"/>
          <w:bCs/>
          <w:sz w:val="32"/>
          <w:szCs w:val="32"/>
        </w:rPr>
        <w:t>试验</w:t>
      </w:r>
      <w:r>
        <w:rPr>
          <w:rFonts w:eastAsia="仿宋_GB2312"/>
          <w:bCs/>
          <w:sz w:val="32"/>
          <w:szCs w:val="32"/>
        </w:rPr>
        <w:t>后再测耐压性。</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.1.7</w:t>
      </w:r>
      <w:r>
        <w:rPr>
          <w:rFonts w:eastAsia="仿宋_GB2312"/>
          <w:sz w:val="32"/>
          <w:szCs w:val="32"/>
        </w:rPr>
        <w:t>夹持力：应验证各型号规格血管夹适用的血管类型、管径范围；</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.1.8</w:t>
      </w:r>
      <w:r>
        <w:rPr>
          <w:rFonts w:eastAsia="仿宋_GB2312"/>
          <w:sz w:val="32"/>
          <w:szCs w:val="32"/>
        </w:rPr>
        <w:t>化学性能：高分子材料应包括但不限于还原物质、重金属含量、酸碱度、蒸发残渣、紫外吸光度、</w:t>
      </w:r>
      <w:r>
        <w:rPr>
          <w:rFonts w:eastAsia="仿宋_GB2312"/>
          <w:bCs/>
          <w:sz w:val="32"/>
          <w:szCs w:val="32"/>
        </w:rPr>
        <w:t>环氧乙烷残留量（如适用）</w:t>
      </w:r>
      <w:r>
        <w:rPr>
          <w:rFonts w:eastAsia="仿宋_GB2312"/>
          <w:sz w:val="32"/>
          <w:szCs w:val="32"/>
        </w:rPr>
        <w:t>；金属材料应包括但不限于耐腐蚀性、</w:t>
      </w:r>
      <w:r>
        <w:rPr>
          <w:rFonts w:eastAsia="仿宋_GB2312"/>
          <w:bCs/>
          <w:sz w:val="32"/>
          <w:szCs w:val="32"/>
        </w:rPr>
        <w:t>环氧乙烷残留量（如适用）。</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.1.9</w:t>
      </w:r>
      <w:r>
        <w:rPr>
          <w:rFonts w:eastAsia="仿宋_GB2312"/>
          <w:sz w:val="32"/>
          <w:szCs w:val="32"/>
        </w:rPr>
        <w:t>无菌；</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.1.10</w:t>
      </w:r>
      <w:r>
        <w:rPr>
          <w:rFonts w:eastAsia="仿宋_GB2312"/>
          <w:sz w:val="32"/>
          <w:szCs w:val="32"/>
        </w:rPr>
        <w:t>细菌内毒素；</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.2</w:t>
      </w:r>
      <w:r>
        <w:rPr>
          <w:rFonts w:eastAsia="仿宋_GB2312"/>
          <w:sz w:val="32"/>
          <w:szCs w:val="32"/>
        </w:rPr>
        <w:t>生物相容性评价研究</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生物相容性评价资料应包括：</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lastRenderedPageBreak/>
        <w:t>2</w:t>
      </w:r>
      <w:r>
        <w:rPr>
          <w:rFonts w:eastAsia="仿宋_GB2312"/>
          <w:sz w:val="32"/>
          <w:szCs w:val="32"/>
        </w:rPr>
        <w:t>.2.1</w:t>
      </w:r>
      <w:r>
        <w:rPr>
          <w:rFonts w:eastAsia="仿宋_GB2312"/>
          <w:sz w:val="32"/>
          <w:szCs w:val="32"/>
        </w:rPr>
        <w:t>生物相容性评价的依据、项目和方法；</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.2.2</w:t>
      </w:r>
      <w:r>
        <w:rPr>
          <w:rFonts w:eastAsia="仿宋_GB2312"/>
          <w:sz w:val="32"/>
          <w:szCs w:val="32"/>
        </w:rPr>
        <w:t>产品所用材料的描述及与人体接触的性质；</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.2.3</w:t>
      </w:r>
      <w:r>
        <w:rPr>
          <w:rFonts w:eastAsia="仿宋_GB2312"/>
          <w:sz w:val="32"/>
          <w:szCs w:val="32"/>
        </w:rPr>
        <w:t>实施或豁免生物学试验的理由和论证；</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.2.4</w:t>
      </w:r>
      <w:r>
        <w:rPr>
          <w:rFonts w:eastAsia="仿宋_GB2312"/>
          <w:sz w:val="32"/>
          <w:szCs w:val="32"/>
        </w:rPr>
        <w:t>对于现有数据或试验结果的评价。</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应按照</w:t>
      </w:r>
      <w:r>
        <w:rPr>
          <w:rFonts w:eastAsia="仿宋_GB2312"/>
          <w:sz w:val="32"/>
          <w:szCs w:val="32"/>
        </w:rPr>
        <w:t>GB/T 16886</w:t>
      </w:r>
      <w:r>
        <w:rPr>
          <w:rFonts w:eastAsia="仿宋_GB2312"/>
          <w:sz w:val="32"/>
          <w:szCs w:val="32"/>
        </w:rPr>
        <w:t>《医疗器械生物学评价》系列标准进行生物相容性进行评价，本产品与人体接触部位为血路，接触时间为短期（</w:t>
      </w:r>
      <w:r>
        <w:rPr>
          <w:rFonts w:eastAsia="仿宋_GB2312"/>
          <w:sz w:val="32"/>
          <w:szCs w:val="32"/>
        </w:rPr>
        <w:t>≤24h</w:t>
      </w:r>
      <w:r>
        <w:rPr>
          <w:rFonts w:eastAsia="仿宋_GB2312"/>
          <w:sz w:val="32"/>
          <w:szCs w:val="32"/>
        </w:rPr>
        <w:t>）。评价项目至少应包括细胞毒性、致敏、皮内反应、全身毒性（急性）、血液相容性五项生物学作用的评价。如不同材质的血管夹适用国家、行业强制性标准中有关生物相容性的要求，应参照执行。</w:t>
      </w:r>
    </w:p>
    <w:p w:rsidR="0034448F" w:rsidRDefault="00CB2AB8" w:rsidP="00CB2AB8">
      <w:pPr>
        <w:spacing w:line="520" w:lineRule="exact"/>
        <w:ind w:firstLineChars="200" w:firstLine="640"/>
        <w:rPr>
          <w:rFonts w:eastAsia="仿宋_GB2312"/>
          <w:color w:val="000000"/>
          <w:sz w:val="32"/>
          <w:szCs w:val="32"/>
        </w:rPr>
      </w:pPr>
      <w:r>
        <w:rPr>
          <w:rFonts w:eastAsia="仿宋_GB2312"/>
          <w:bCs/>
          <w:kern w:val="0"/>
          <w:sz w:val="32"/>
          <w:szCs w:val="32"/>
        </w:rPr>
        <w:t>若经过充分评价认为某些项目不需要开展生物学试验，</w:t>
      </w:r>
      <w:r>
        <w:rPr>
          <w:rFonts w:eastAsia="仿宋_GB2312"/>
          <w:bCs/>
          <w:color w:val="000000"/>
          <w:kern w:val="0"/>
          <w:sz w:val="32"/>
          <w:szCs w:val="32"/>
        </w:rPr>
        <w:t>应提交评价过程和所有可证明产品在某些生物学项目安全性的支持资料。</w:t>
      </w:r>
    </w:p>
    <w:p w:rsidR="0034448F" w:rsidRDefault="00CB2AB8" w:rsidP="00CB2AB8">
      <w:pPr>
        <w:spacing w:line="52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color w:val="000000"/>
          <w:sz w:val="32"/>
          <w:szCs w:val="32"/>
        </w:rPr>
        <w:t>.3</w:t>
      </w:r>
      <w:r>
        <w:rPr>
          <w:rFonts w:eastAsia="仿宋_GB2312"/>
          <w:color w:val="000000"/>
          <w:sz w:val="32"/>
          <w:szCs w:val="32"/>
        </w:rPr>
        <w:t>灭菌研究</w:t>
      </w:r>
    </w:p>
    <w:p w:rsidR="0034448F" w:rsidRDefault="00CB2AB8" w:rsidP="00CB2AB8">
      <w:pPr>
        <w:spacing w:line="52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color w:val="000000"/>
          <w:sz w:val="32"/>
          <w:szCs w:val="32"/>
        </w:rPr>
        <w:t>.3.1</w:t>
      </w:r>
      <w:r>
        <w:rPr>
          <w:rFonts w:eastAsia="仿宋_GB2312"/>
          <w:sz w:val="32"/>
          <w:szCs w:val="32"/>
        </w:rPr>
        <w:t>灭菌工艺</w:t>
      </w:r>
    </w:p>
    <w:p w:rsidR="0034448F" w:rsidRDefault="00CB2AB8" w:rsidP="00CB2AB8">
      <w:pPr>
        <w:spacing w:line="520" w:lineRule="exact"/>
        <w:ind w:firstLineChars="200" w:firstLine="640"/>
        <w:rPr>
          <w:rFonts w:eastAsia="仿宋_GB2312"/>
          <w:sz w:val="32"/>
          <w:szCs w:val="32"/>
        </w:rPr>
      </w:pPr>
      <w:r>
        <w:rPr>
          <w:rFonts w:eastAsia="仿宋_GB2312"/>
          <w:color w:val="000000"/>
          <w:sz w:val="32"/>
          <w:szCs w:val="32"/>
        </w:rPr>
        <w:t>应</w:t>
      </w:r>
      <w:r>
        <w:rPr>
          <w:rFonts w:eastAsia="仿宋_GB2312"/>
          <w:sz w:val="32"/>
          <w:szCs w:val="32"/>
        </w:rPr>
        <w:t>参考</w:t>
      </w:r>
      <w:r>
        <w:rPr>
          <w:rFonts w:eastAsia="仿宋_GB2312"/>
          <w:sz w:val="32"/>
          <w:szCs w:val="32"/>
        </w:rPr>
        <w:t xml:space="preserve"> GB 18280.1</w:t>
      </w:r>
      <w:r>
        <w:rPr>
          <w:rFonts w:eastAsia="仿宋_GB2312"/>
          <w:sz w:val="32"/>
          <w:szCs w:val="32"/>
        </w:rPr>
        <w:t>《医疗保健产品灭菌辐射第</w:t>
      </w:r>
      <w:r>
        <w:rPr>
          <w:rFonts w:eastAsia="仿宋_GB2312"/>
          <w:sz w:val="32"/>
          <w:szCs w:val="32"/>
        </w:rPr>
        <w:t xml:space="preserve"> 1 </w:t>
      </w:r>
      <w:r>
        <w:rPr>
          <w:rFonts w:eastAsia="仿宋_GB2312"/>
          <w:sz w:val="32"/>
          <w:szCs w:val="32"/>
        </w:rPr>
        <w:t>部分：医疗器械灭菌过程的开发、确认和常规控制要求》、</w:t>
      </w:r>
      <w:r>
        <w:rPr>
          <w:rFonts w:eastAsia="仿宋_GB2312"/>
          <w:sz w:val="32"/>
          <w:szCs w:val="32"/>
        </w:rPr>
        <w:t>GB 18279.1</w:t>
      </w:r>
      <w:r>
        <w:rPr>
          <w:rFonts w:eastAsia="仿宋_GB2312"/>
          <w:sz w:val="32"/>
          <w:szCs w:val="32"/>
        </w:rPr>
        <w:t>《医疗保健产品灭菌</w:t>
      </w:r>
      <w:r>
        <w:rPr>
          <w:rFonts w:eastAsia="仿宋_GB2312"/>
          <w:sz w:val="32"/>
          <w:szCs w:val="32"/>
        </w:rPr>
        <w:t xml:space="preserve"> </w:t>
      </w:r>
      <w:r>
        <w:rPr>
          <w:rFonts w:eastAsia="仿宋_GB2312"/>
          <w:sz w:val="32"/>
          <w:szCs w:val="32"/>
        </w:rPr>
        <w:t>环氧乙烷</w:t>
      </w:r>
      <w:r>
        <w:rPr>
          <w:rFonts w:eastAsia="仿宋_GB2312"/>
          <w:sz w:val="32"/>
          <w:szCs w:val="32"/>
        </w:rPr>
        <w:t xml:space="preserve"> </w:t>
      </w:r>
      <w:r>
        <w:rPr>
          <w:rFonts w:eastAsia="仿宋_GB2312"/>
          <w:sz w:val="32"/>
          <w:szCs w:val="32"/>
        </w:rPr>
        <w:t>第</w:t>
      </w:r>
      <w:r>
        <w:rPr>
          <w:rFonts w:eastAsia="仿宋_GB2312"/>
          <w:sz w:val="32"/>
          <w:szCs w:val="32"/>
        </w:rPr>
        <w:t xml:space="preserve"> 1 </w:t>
      </w:r>
      <w:r>
        <w:rPr>
          <w:rFonts w:eastAsia="仿宋_GB2312"/>
          <w:sz w:val="32"/>
          <w:szCs w:val="32"/>
        </w:rPr>
        <w:t>部分</w:t>
      </w:r>
      <w:r>
        <w:rPr>
          <w:rFonts w:eastAsia="仿宋_GB2312"/>
          <w:sz w:val="32"/>
          <w:szCs w:val="32"/>
        </w:rPr>
        <w:t xml:space="preserve"> </w:t>
      </w:r>
      <w:r>
        <w:rPr>
          <w:rFonts w:eastAsia="仿宋_GB2312"/>
          <w:sz w:val="32"/>
          <w:szCs w:val="32"/>
        </w:rPr>
        <w:t>医疗器械灭菌过程的开发、确认和</w:t>
      </w:r>
      <w:r>
        <w:rPr>
          <w:rFonts w:eastAsia="仿宋_GB2312"/>
          <w:sz w:val="32"/>
          <w:szCs w:val="32"/>
        </w:rPr>
        <w:t>.</w:t>
      </w:r>
      <w:r>
        <w:rPr>
          <w:rFonts w:eastAsia="仿宋_GB2312"/>
          <w:sz w:val="32"/>
          <w:szCs w:val="32"/>
        </w:rPr>
        <w:t>常规控制的要求》和</w:t>
      </w:r>
      <w:r>
        <w:rPr>
          <w:rFonts w:eastAsia="仿宋_GB2312"/>
          <w:sz w:val="32"/>
          <w:szCs w:val="32"/>
        </w:rPr>
        <w:t xml:space="preserve"> GB/T 16886.7</w:t>
      </w:r>
      <w:r>
        <w:rPr>
          <w:rFonts w:eastAsia="仿宋_GB2312"/>
          <w:sz w:val="32"/>
          <w:szCs w:val="32"/>
        </w:rPr>
        <w:t>《医疗器械生物学评价第</w:t>
      </w:r>
      <w:r>
        <w:rPr>
          <w:rFonts w:eastAsia="仿宋_GB2312"/>
          <w:sz w:val="32"/>
          <w:szCs w:val="32"/>
        </w:rPr>
        <w:t xml:space="preserve"> 7 </w:t>
      </w:r>
      <w:r>
        <w:rPr>
          <w:rFonts w:eastAsia="仿宋_GB2312"/>
          <w:sz w:val="32"/>
          <w:szCs w:val="32"/>
        </w:rPr>
        <w:t>部分：环氧乙烷灭菌残留量》等相应规定，提交产品包装及灭菌方法选择的依据，经过确认并进行常规控制，并应开展以下方面的确认：</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产品与灭菌过程的适应性：应考察灭菌工艺对于血管夹产品的影响；</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lastRenderedPageBreak/>
        <w:t>2</w:t>
      </w:r>
      <w:r>
        <w:rPr>
          <w:rFonts w:eastAsia="仿宋_GB2312"/>
          <w:sz w:val="32"/>
          <w:szCs w:val="32"/>
        </w:rPr>
        <w:t>.3.1.1</w:t>
      </w:r>
      <w:r>
        <w:rPr>
          <w:rFonts w:eastAsia="仿宋_GB2312"/>
          <w:sz w:val="32"/>
          <w:szCs w:val="32"/>
        </w:rPr>
        <w:t>包装与灭菌过程的适应性；</w:t>
      </w:r>
    </w:p>
    <w:p w:rsidR="0034448F" w:rsidRDefault="00CB2AB8" w:rsidP="00CB2AB8">
      <w:pPr>
        <w:spacing w:line="520" w:lineRule="exact"/>
        <w:ind w:firstLineChars="200" w:firstLine="640"/>
        <w:rPr>
          <w:rFonts w:eastAsia="仿宋_GB2312"/>
          <w:color w:val="000000"/>
          <w:sz w:val="32"/>
          <w:szCs w:val="32"/>
        </w:rPr>
      </w:pPr>
      <w:r>
        <w:rPr>
          <w:rFonts w:eastAsia="仿宋_GB2312" w:hint="eastAsia"/>
          <w:sz w:val="32"/>
          <w:szCs w:val="32"/>
        </w:rPr>
        <w:t>2</w:t>
      </w:r>
      <w:r>
        <w:rPr>
          <w:rFonts w:eastAsia="仿宋_GB2312"/>
          <w:sz w:val="32"/>
          <w:szCs w:val="32"/>
        </w:rPr>
        <w:t>.3.1.2</w:t>
      </w:r>
      <w:r>
        <w:rPr>
          <w:rFonts w:eastAsia="仿宋_GB2312"/>
          <w:sz w:val="32"/>
          <w:szCs w:val="32"/>
        </w:rPr>
        <w:t>应明确灭菌工艺（方法和参数）和无菌保证水平（</w:t>
      </w:r>
      <w:r>
        <w:rPr>
          <w:rFonts w:eastAsia="仿宋_GB2312"/>
          <w:sz w:val="32"/>
          <w:szCs w:val="32"/>
        </w:rPr>
        <w:t>SAL</w:t>
      </w:r>
      <w:r>
        <w:rPr>
          <w:rFonts w:eastAsia="仿宋_GB2312"/>
          <w:sz w:val="32"/>
          <w:szCs w:val="32"/>
        </w:rPr>
        <w:t>），并提供灭菌确认报告，无菌保证水平（</w:t>
      </w:r>
      <w:r>
        <w:rPr>
          <w:rFonts w:eastAsia="仿宋_GB2312"/>
          <w:sz w:val="32"/>
          <w:szCs w:val="32"/>
        </w:rPr>
        <w:t>SAL</w:t>
      </w:r>
      <w:r>
        <w:rPr>
          <w:rFonts w:eastAsia="仿宋_GB2312"/>
          <w:sz w:val="32"/>
          <w:szCs w:val="32"/>
        </w:rPr>
        <w:t>）应不高于</w:t>
      </w:r>
      <w:r>
        <w:rPr>
          <w:rFonts w:eastAsia="仿宋_GB2312"/>
          <w:sz w:val="32"/>
          <w:szCs w:val="32"/>
        </w:rPr>
        <w:t xml:space="preserve"> 1×10</w:t>
      </w:r>
      <w:r>
        <w:rPr>
          <w:rFonts w:eastAsia="仿宋_GB2312"/>
          <w:sz w:val="32"/>
          <w:szCs w:val="32"/>
          <w:vertAlign w:val="superscript"/>
        </w:rPr>
        <w:t>-6</w:t>
      </w:r>
      <w:r>
        <w:rPr>
          <w:rFonts w:eastAsia="仿宋_GB2312"/>
          <w:color w:val="000000"/>
          <w:sz w:val="32"/>
          <w:szCs w:val="32"/>
        </w:rPr>
        <w:t>。</w:t>
      </w:r>
    </w:p>
    <w:p w:rsidR="0034448F" w:rsidRDefault="00CB2AB8" w:rsidP="00CB2AB8">
      <w:pPr>
        <w:spacing w:line="520" w:lineRule="exact"/>
        <w:ind w:firstLineChars="200" w:firstLine="640"/>
        <w:rPr>
          <w:rFonts w:eastAsia="仿宋_GB2312"/>
          <w:color w:val="000000"/>
          <w:sz w:val="32"/>
          <w:szCs w:val="32"/>
        </w:rPr>
      </w:pPr>
      <w:r>
        <w:rPr>
          <w:rFonts w:eastAsia="仿宋_GB2312" w:hint="eastAsia"/>
          <w:sz w:val="32"/>
          <w:szCs w:val="32"/>
        </w:rPr>
        <w:t>2</w:t>
      </w:r>
      <w:r>
        <w:rPr>
          <w:rFonts w:eastAsia="仿宋_GB2312"/>
          <w:sz w:val="32"/>
          <w:szCs w:val="32"/>
        </w:rPr>
        <w:t xml:space="preserve">.3.2 </w:t>
      </w:r>
      <w:r>
        <w:rPr>
          <w:rFonts w:eastAsia="仿宋_GB2312"/>
          <w:sz w:val="32"/>
          <w:szCs w:val="32"/>
        </w:rPr>
        <w:t>残留毒性：如灭菌使用的方法容易出现残留，应当明确残留物信息及采取的处理方法，并提供研究资料。</w:t>
      </w:r>
    </w:p>
    <w:p w:rsidR="0034448F" w:rsidRDefault="00CB2AB8" w:rsidP="00CB2AB8">
      <w:pPr>
        <w:spacing w:line="52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color w:val="000000"/>
          <w:sz w:val="32"/>
          <w:szCs w:val="32"/>
        </w:rPr>
        <w:t>.4</w:t>
      </w:r>
      <w:r>
        <w:rPr>
          <w:rFonts w:eastAsia="仿宋_GB2312"/>
          <w:color w:val="000000"/>
          <w:sz w:val="32"/>
          <w:szCs w:val="32"/>
        </w:rPr>
        <w:t>产品有效期和包装研究</w:t>
      </w:r>
    </w:p>
    <w:p w:rsidR="0034448F" w:rsidRDefault="00CB2AB8" w:rsidP="00CB2AB8">
      <w:pPr>
        <w:spacing w:line="520" w:lineRule="exact"/>
        <w:ind w:firstLineChars="200" w:firstLine="640"/>
        <w:rPr>
          <w:rFonts w:eastAsia="仿宋_GB2312"/>
          <w:color w:val="000000"/>
          <w:sz w:val="28"/>
          <w:szCs w:val="28"/>
        </w:rPr>
      </w:pPr>
      <w:r>
        <w:rPr>
          <w:rFonts w:eastAsia="仿宋_GB2312" w:hint="eastAsia"/>
          <w:color w:val="000000"/>
          <w:sz w:val="32"/>
          <w:szCs w:val="32"/>
        </w:rPr>
        <w:t>2</w:t>
      </w:r>
      <w:r>
        <w:rPr>
          <w:rFonts w:eastAsia="仿宋_GB2312"/>
          <w:color w:val="000000"/>
          <w:sz w:val="32"/>
          <w:szCs w:val="32"/>
        </w:rPr>
        <w:t>.4.1</w:t>
      </w:r>
      <w:r>
        <w:rPr>
          <w:rFonts w:eastAsia="仿宋_GB2312"/>
          <w:sz w:val="32"/>
          <w:szCs w:val="32"/>
        </w:rPr>
        <w:t>产品有效期</w:t>
      </w:r>
    </w:p>
    <w:p w:rsidR="0034448F" w:rsidRDefault="00CB2AB8" w:rsidP="00CB2AB8">
      <w:pPr>
        <w:spacing w:line="520" w:lineRule="exact"/>
        <w:ind w:firstLineChars="200" w:firstLine="640"/>
        <w:rPr>
          <w:rFonts w:eastAsia="仿宋_GB2312"/>
          <w:color w:val="000000"/>
          <w:sz w:val="32"/>
        </w:rPr>
      </w:pPr>
      <w:r>
        <w:rPr>
          <w:rFonts w:eastAsia="仿宋_GB2312"/>
          <w:bCs/>
          <w:sz w:val="32"/>
          <w:szCs w:val="32"/>
        </w:rPr>
        <w:t>产品有效期验证可采用实时老化或加速老化的研究。实时老化的研究是唯一能够反映产品在规定储存条件下实际稳定性要求的方法，应遵循极限试验和过载试验原则。加速老化研究试验的具体要求可参考</w:t>
      </w:r>
      <w:r>
        <w:rPr>
          <w:rFonts w:eastAsia="仿宋_GB2312"/>
          <w:bCs/>
          <w:sz w:val="32"/>
          <w:szCs w:val="32"/>
        </w:rPr>
        <w:t>YY/T 0681</w:t>
      </w:r>
      <w:r>
        <w:rPr>
          <w:rFonts w:eastAsia="仿宋_GB2312"/>
          <w:bCs/>
          <w:sz w:val="32"/>
          <w:szCs w:val="32"/>
        </w:rPr>
        <w:t>《无菌医疗器械包装试验方法》系列标准或《医疗器械无菌屏障系统加速老化的标准指南》。</w:t>
      </w:r>
    </w:p>
    <w:p w:rsidR="0034448F" w:rsidRDefault="00CB2AB8" w:rsidP="00CB2AB8">
      <w:pPr>
        <w:spacing w:line="520" w:lineRule="exact"/>
        <w:ind w:firstLineChars="200" w:firstLine="640"/>
        <w:rPr>
          <w:rFonts w:eastAsia="仿宋_GB2312"/>
          <w:color w:val="000000"/>
          <w:sz w:val="32"/>
        </w:rPr>
      </w:pPr>
      <w:r>
        <w:rPr>
          <w:rFonts w:eastAsia="仿宋_GB2312" w:hint="eastAsia"/>
          <w:color w:val="000000"/>
          <w:sz w:val="32"/>
          <w:szCs w:val="32"/>
        </w:rPr>
        <w:t>2</w:t>
      </w:r>
      <w:r>
        <w:rPr>
          <w:rFonts w:eastAsia="仿宋_GB2312"/>
          <w:color w:val="000000"/>
          <w:sz w:val="32"/>
          <w:szCs w:val="32"/>
        </w:rPr>
        <w:t>.4.2</w:t>
      </w:r>
      <w:r>
        <w:rPr>
          <w:rFonts w:eastAsia="仿宋_GB2312"/>
          <w:sz w:val="32"/>
          <w:szCs w:val="32"/>
        </w:rPr>
        <w:t>产品包装完整性</w:t>
      </w:r>
    </w:p>
    <w:p w:rsidR="0034448F" w:rsidRDefault="00CB2AB8" w:rsidP="00CB2AB8">
      <w:pPr>
        <w:spacing w:line="520" w:lineRule="exact"/>
        <w:ind w:firstLineChars="200" w:firstLine="640"/>
        <w:rPr>
          <w:rFonts w:eastAsia="仿宋_GB2312"/>
          <w:bCs/>
          <w:sz w:val="32"/>
          <w:szCs w:val="32"/>
        </w:rPr>
      </w:pPr>
      <w:r>
        <w:rPr>
          <w:rFonts w:eastAsia="仿宋_GB2312"/>
          <w:bCs/>
          <w:sz w:val="32"/>
          <w:szCs w:val="32"/>
        </w:rPr>
        <w:t>产品包装验证可根据</w:t>
      </w:r>
      <w:r>
        <w:rPr>
          <w:rFonts w:eastAsia="仿宋_GB2312"/>
          <w:bCs/>
          <w:sz w:val="32"/>
          <w:szCs w:val="32"/>
        </w:rPr>
        <w:t>GB/T 19633</w:t>
      </w:r>
      <w:r>
        <w:rPr>
          <w:rFonts w:eastAsia="仿宋_GB2312"/>
          <w:bCs/>
          <w:sz w:val="32"/>
          <w:szCs w:val="32"/>
        </w:rPr>
        <w:t>《最终灭菌医疗器械的包装》系列标准等，提交产品的包装验证报告。在进行加速老化试验研究时应注意：产品选择的环境条件的老化机制应与宣称的运输储存条件下真实发生的产品老化的机制相匹配一致。对于在加速老化研究中可能导致产品变性而不适于选择加速老化试验方法研究其包装的有效期验证，应以实时老化方法测定和验证。</w:t>
      </w:r>
    </w:p>
    <w:p w:rsidR="0034448F" w:rsidRDefault="00CB2AB8" w:rsidP="00CB2AB8">
      <w:pPr>
        <w:spacing w:line="52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color w:val="000000"/>
          <w:sz w:val="32"/>
          <w:szCs w:val="32"/>
        </w:rPr>
        <w:t>.5</w:t>
      </w:r>
      <w:r>
        <w:rPr>
          <w:rFonts w:eastAsia="仿宋_GB2312"/>
          <w:color w:val="000000"/>
          <w:sz w:val="32"/>
          <w:szCs w:val="32"/>
        </w:rPr>
        <w:t>其他资料</w:t>
      </w:r>
    </w:p>
    <w:p w:rsidR="0034448F" w:rsidRDefault="00CB2AB8" w:rsidP="00CB2AB8">
      <w:pPr>
        <w:spacing w:line="520" w:lineRule="exact"/>
        <w:ind w:firstLineChars="200" w:firstLine="640"/>
        <w:rPr>
          <w:rFonts w:eastAsia="楷体_GB2312"/>
          <w:bCs/>
          <w:color w:val="000000"/>
          <w:sz w:val="32"/>
          <w:szCs w:val="32"/>
        </w:rPr>
      </w:pPr>
      <w:r>
        <w:rPr>
          <w:rFonts w:eastAsia="仿宋_GB2312"/>
          <w:color w:val="000000"/>
          <w:sz w:val="32"/>
          <w:szCs w:val="32"/>
        </w:rPr>
        <w:t>证明产品安全性、有效性的其他研究资料。</w:t>
      </w:r>
    </w:p>
    <w:p w:rsidR="0034448F" w:rsidRDefault="00CB2AB8" w:rsidP="00CB2AB8">
      <w:pPr>
        <w:spacing w:line="520" w:lineRule="exact"/>
        <w:ind w:firstLineChars="200" w:firstLine="640"/>
        <w:rPr>
          <w:rFonts w:eastAsia="仿宋_GB2312"/>
          <w:bCs/>
          <w:color w:val="000000"/>
          <w:sz w:val="32"/>
          <w:szCs w:val="32"/>
        </w:rPr>
      </w:pPr>
      <w:r>
        <w:rPr>
          <w:rFonts w:eastAsia="仿宋_GB2312" w:hint="eastAsia"/>
          <w:bCs/>
          <w:color w:val="000000"/>
          <w:sz w:val="32"/>
          <w:szCs w:val="32"/>
        </w:rPr>
        <w:t>3</w:t>
      </w:r>
      <w:r>
        <w:rPr>
          <w:rFonts w:eastAsia="仿宋_GB2312"/>
          <w:bCs/>
          <w:color w:val="000000"/>
          <w:sz w:val="32"/>
          <w:szCs w:val="32"/>
        </w:rPr>
        <w:t>.</w:t>
      </w:r>
      <w:r>
        <w:rPr>
          <w:rFonts w:eastAsia="仿宋_GB2312"/>
          <w:bCs/>
          <w:color w:val="000000"/>
          <w:sz w:val="32"/>
          <w:szCs w:val="32"/>
        </w:rPr>
        <w:t>产品技术要求的主要性能指标</w:t>
      </w:r>
    </w:p>
    <w:p w:rsidR="0034448F" w:rsidRDefault="00CB2AB8" w:rsidP="00CB2AB8">
      <w:pPr>
        <w:spacing w:line="520" w:lineRule="exact"/>
        <w:ind w:firstLineChars="200" w:firstLine="640"/>
        <w:rPr>
          <w:rFonts w:eastAsia="仿宋_GB2312"/>
          <w:sz w:val="32"/>
          <w:szCs w:val="32"/>
        </w:rPr>
      </w:pPr>
      <w:r>
        <w:rPr>
          <w:rFonts w:eastAsia="仿宋_GB2312"/>
          <w:bCs/>
          <w:sz w:val="32"/>
          <w:szCs w:val="32"/>
        </w:rPr>
        <w:lastRenderedPageBreak/>
        <w:t>注册申请人应结合产品的技术特征和临床使用情况来编制技术要求。产品技术要求中应明</w:t>
      </w:r>
      <w:r>
        <w:rPr>
          <w:rFonts w:eastAsia="仿宋_GB2312"/>
          <w:color w:val="000000"/>
          <w:sz w:val="32"/>
          <w:szCs w:val="32"/>
        </w:rPr>
        <w:t>确规格型号及其划分的说明（动脉夹及静脉夹应予以区分）、产品性能指标及试验方法等，建议提供产品示意图。产品技术要求中的内容引用国家标准、行业标准或中国药典的，应保证其适用性，并注明相应标准的编号、年号及《中国药典》的版本号，其</w:t>
      </w:r>
      <w:r>
        <w:rPr>
          <w:rFonts w:eastAsia="仿宋_GB2312"/>
          <w:bCs/>
          <w:sz w:val="32"/>
          <w:szCs w:val="32"/>
        </w:rPr>
        <w:t>中强制性标准需全面执行。随着标准的起草修订工作，适用的标准应随之更新。</w:t>
      </w:r>
    </w:p>
    <w:p w:rsidR="0034448F" w:rsidRDefault="00CB2AB8" w:rsidP="00CB2AB8">
      <w:pPr>
        <w:spacing w:line="520" w:lineRule="exact"/>
        <w:ind w:firstLineChars="200" w:firstLine="640"/>
        <w:rPr>
          <w:rFonts w:eastAsia="仿宋_GB2312"/>
          <w:bCs/>
          <w:color w:val="000000"/>
          <w:sz w:val="28"/>
          <w:szCs w:val="28"/>
        </w:rPr>
      </w:pPr>
      <w:r>
        <w:rPr>
          <w:rFonts w:eastAsia="仿宋_GB2312"/>
          <w:bCs/>
          <w:sz w:val="32"/>
          <w:szCs w:val="32"/>
        </w:rPr>
        <w:t>产品技术要求应包括但不局限于以下内容：</w:t>
      </w:r>
    </w:p>
    <w:p w:rsidR="0034448F" w:rsidRDefault="00CB2AB8" w:rsidP="00CB2AB8">
      <w:pPr>
        <w:spacing w:line="520" w:lineRule="exact"/>
        <w:ind w:firstLineChars="200" w:firstLine="640"/>
        <w:rPr>
          <w:rFonts w:eastAsia="仿宋_GB2312"/>
          <w:bCs/>
          <w:sz w:val="32"/>
          <w:szCs w:val="32"/>
        </w:rPr>
      </w:pPr>
      <w:r>
        <w:rPr>
          <w:rFonts w:eastAsia="仿宋_GB2312" w:hint="eastAsia"/>
          <w:color w:val="000000"/>
          <w:sz w:val="32"/>
          <w:szCs w:val="32"/>
        </w:rPr>
        <w:t>3</w:t>
      </w:r>
      <w:r>
        <w:rPr>
          <w:rFonts w:eastAsia="仿宋_GB2312"/>
          <w:color w:val="000000"/>
          <w:sz w:val="32"/>
          <w:szCs w:val="32"/>
        </w:rPr>
        <w:t>.1</w:t>
      </w:r>
      <w:r>
        <w:rPr>
          <w:rFonts w:eastAsia="仿宋_GB2312"/>
          <w:bCs/>
          <w:color w:val="000000"/>
          <w:sz w:val="32"/>
          <w:szCs w:val="32"/>
        </w:rPr>
        <w:t>物理性能：外观、</w:t>
      </w:r>
      <w:r>
        <w:rPr>
          <w:rFonts w:eastAsia="仿宋_GB2312"/>
          <w:color w:val="000000"/>
          <w:sz w:val="32"/>
          <w:szCs w:val="32"/>
        </w:rPr>
        <w:t>规格尺寸及允差、</w:t>
      </w:r>
      <w:r>
        <w:rPr>
          <w:rFonts w:eastAsia="仿宋_GB2312"/>
          <w:bCs/>
          <w:sz w:val="32"/>
          <w:szCs w:val="32"/>
        </w:rPr>
        <w:t>硬度（金属夹适用）、表面粗糙度（金属夹适用）、</w:t>
      </w:r>
      <w:r>
        <w:rPr>
          <w:rFonts w:eastAsia="仿宋_GB2312"/>
          <w:color w:val="000000"/>
          <w:sz w:val="32"/>
          <w:szCs w:val="32"/>
        </w:rPr>
        <w:t>韧性（金属夹适用）、耐腐蚀性（金属夹适用）、反复开合无断裂（高分子夹适用）、头端偏移量（申请人应为血管夹上下两片头端偏差做出相应规定）、</w:t>
      </w:r>
      <w:r>
        <w:rPr>
          <w:rFonts w:eastAsia="仿宋_GB2312"/>
          <w:bCs/>
          <w:sz w:val="32"/>
          <w:szCs w:val="32"/>
        </w:rPr>
        <w:t>夹持稳定性、夹持持久性、夹闭血管后的耐压性能（不泄露）、</w:t>
      </w:r>
      <w:r>
        <w:rPr>
          <w:rFonts w:eastAsia="仿宋_GB2312"/>
          <w:sz w:val="32"/>
          <w:szCs w:val="32"/>
        </w:rPr>
        <w:t>夹持力（申请人应对不同规格、型号的产品，制定夹持力性能指标）。</w:t>
      </w:r>
    </w:p>
    <w:p w:rsidR="0034448F" w:rsidRDefault="00CB2AB8" w:rsidP="00CB2AB8">
      <w:pPr>
        <w:spacing w:line="520" w:lineRule="exact"/>
        <w:ind w:firstLineChars="200" w:firstLine="640"/>
        <w:rPr>
          <w:rFonts w:eastAsia="仿宋_GB2312"/>
          <w:sz w:val="32"/>
          <w:szCs w:val="32"/>
        </w:rPr>
      </w:pPr>
      <w:r>
        <w:rPr>
          <w:rFonts w:eastAsia="仿宋_GB2312" w:hint="eastAsia"/>
          <w:color w:val="000000"/>
          <w:sz w:val="32"/>
          <w:szCs w:val="32"/>
        </w:rPr>
        <w:t>3</w:t>
      </w:r>
      <w:r>
        <w:rPr>
          <w:rFonts w:eastAsia="仿宋_GB2312"/>
          <w:color w:val="000000"/>
          <w:sz w:val="32"/>
          <w:szCs w:val="32"/>
        </w:rPr>
        <w:t>.2</w:t>
      </w:r>
      <w:r>
        <w:rPr>
          <w:rFonts w:eastAsia="仿宋_GB2312"/>
          <w:sz w:val="32"/>
          <w:szCs w:val="32"/>
        </w:rPr>
        <w:t>化学性能：高分子材料应包括但不限于还原物质、重金属含量、酸碱度、蒸发残渣、紫外吸光度、</w:t>
      </w:r>
      <w:r>
        <w:rPr>
          <w:rFonts w:eastAsia="仿宋_GB2312"/>
          <w:bCs/>
          <w:sz w:val="32"/>
          <w:szCs w:val="32"/>
        </w:rPr>
        <w:t>环氧乙烷残留量（如适用）</w:t>
      </w:r>
      <w:r>
        <w:rPr>
          <w:rFonts w:eastAsia="仿宋_GB2312"/>
          <w:sz w:val="32"/>
          <w:szCs w:val="32"/>
        </w:rPr>
        <w:t>；金属材料应包括但不限于耐腐蚀性、</w:t>
      </w:r>
      <w:r>
        <w:rPr>
          <w:rFonts w:eastAsia="仿宋_GB2312"/>
          <w:bCs/>
          <w:sz w:val="32"/>
          <w:szCs w:val="32"/>
        </w:rPr>
        <w:t>环氧乙烷残留量（如适用）。</w:t>
      </w:r>
    </w:p>
    <w:p w:rsidR="0034448F" w:rsidRDefault="00CB2AB8" w:rsidP="00CB2AB8">
      <w:pPr>
        <w:spacing w:line="520" w:lineRule="exact"/>
        <w:ind w:firstLineChars="200" w:firstLine="640"/>
        <w:rPr>
          <w:rFonts w:eastAsia="仿宋_GB2312"/>
          <w:sz w:val="32"/>
          <w:szCs w:val="32"/>
        </w:rPr>
      </w:pPr>
      <w:r>
        <w:rPr>
          <w:rFonts w:eastAsia="仿宋_GB2312" w:hint="eastAsia"/>
          <w:color w:val="000000"/>
          <w:sz w:val="32"/>
          <w:szCs w:val="32"/>
        </w:rPr>
        <w:t>3</w:t>
      </w:r>
      <w:r>
        <w:rPr>
          <w:rFonts w:eastAsia="仿宋_GB2312"/>
          <w:color w:val="000000"/>
          <w:sz w:val="32"/>
          <w:szCs w:val="32"/>
        </w:rPr>
        <w:t>.3</w:t>
      </w:r>
      <w:r>
        <w:rPr>
          <w:rFonts w:eastAsia="仿宋_GB2312"/>
          <w:color w:val="000000"/>
          <w:sz w:val="32"/>
          <w:szCs w:val="32"/>
        </w:rPr>
        <w:t>无菌；</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.4</w:t>
      </w:r>
      <w:r>
        <w:rPr>
          <w:rFonts w:eastAsia="仿宋_GB2312"/>
          <w:sz w:val="32"/>
          <w:szCs w:val="32"/>
        </w:rPr>
        <w:t>热原；</w:t>
      </w:r>
    </w:p>
    <w:p w:rsidR="0034448F" w:rsidRDefault="00CB2AB8" w:rsidP="00CB2AB8">
      <w:pPr>
        <w:spacing w:line="520" w:lineRule="exact"/>
        <w:ind w:firstLineChars="200" w:firstLine="640"/>
        <w:rPr>
          <w:rFonts w:eastAsia="仿宋_GB2312"/>
          <w:bCs/>
          <w:color w:val="000000"/>
          <w:sz w:val="32"/>
          <w:szCs w:val="32"/>
        </w:rPr>
      </w:pPr>
      <w:r>
        <w:rPr>
          <w:rFonts w:eastAsia="仿宋_GB2312" w:hint="eastAsia"/>
          <w:bCs/>
          <w:color w:val="000000"/>
          <w:sz w:val="32"/>
          <w:szCs w:val="32"/>
        </w:rPr>
        <w:t>4</w:t>
      </w:r>
      <w:r>
        <w:rPr>
          <w:rFonts w:eastAsia="仿宋_GB2312"/>
          <w:bCs/>
          <w:color w:val="000000"/>
          <w:sz w:val="32"/>
          <w:szCs w:val="32"/>
        </w:rPr>
        <w:t>.</w:t>
      </w:r>
      <w:r>
        <w:rPr>
          <w:rFonts w:eastAsia="仿宋_GB2312"/>
          <w:bCs/>
          <w:color w:val="000000"/>
          <w:sz w:val="32"/>
          <w:szCs w:val="32"/>
        </w:rPr>
        <w:t>同一注册单元内注册检验典型性产品确定原则和实例</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4</w:t>
      </w:r>
      <w:r>
        <w:rPr>
          <w:rFonts w:eastAsia="仿宋_GB2312"/>
          <w:sz w:val="32"/>
          <w:szCs w:val="32"/>
        </w:rPr>
        <w:t>.1</w:t>
      </w:r>
      <w:r>
        <w:rPr>
          <w:rFonts w:eastAsia="仿宋_GB2312"/>
          <w:sz w:val="32"/>
          <w:szCs w:val="32"/>
        </w:rPr>
        <w:t>典型产品应是同一注册单元内能够代表本单元内其他产品安全性和有效性的产品。</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4</w:t>
      </w:r>
      <w:r>
        <w:rPr>
          <w:rFonts w:eastAsia="仿宋_GB2312"/>
          <w:sz w:val="32"/>
          <w:szCs w:val="32"/>
        </w:rPr>
        <w:t>.2</w:t>
      </w:r>
      <w:r>
        <w:rPr>
          <w:rFonts w:eastAsia="仿宋_GB2312"/>
          <w:sz w:val="32"/>
          <w:szCs w:val="32"/>
        </w:rPr>
        <w:t>应考虑功能最齐全、结构最复杂、风险最高的产品。（如：</w:t>
      </w:r>
      <w:r>
        <w:rPr>
          <w:rFonts w:eastAsia="仿宋_GB2312"/>
          <w:sz w:val="32"/>
          <w:szCs w:val="32"/>
        </w:rPr>
        <w:lastRenderedPageBreak/>
        <w:t>单夹、双夹）</w:t>
      </w:r>
    </w:p>
    <w:p w:rsidR="0034448F" w:rsidRDefault="00CB2AB8" w:rsidP="00CB2AB8">
      <w:pPr>
        <w:spacing w:line="520" w:lineRule="exact"/>
        <w:ind w:firstLineChars="200" w:firstLine="640"/>
        <w:rPr>
          <w:rFonts w:eastAsia="仿宋_GB2312"/>
          <w:sz w:val="32"/>
          <w:szCs w:val="32"/>
        </w:rPr>
      </w:pPr>
      <w:r>
        <w:rPr>
          <w:rFonts w:eastAsia="仿宋_GB2312" w:hint="eastAsia"/>
          <w:sz w:val="32"/>
          <w:szCs w:val="32"/>
        </w:rPr>
        <w:t>4</w:t>
      </w:r>
      <w:r>
        <w:rPr>
          <w:rFonts w:eastAsia="仿宋_GB2312"/>
          <w:sz w:val="32"/>
          <w:szCs w:val="32"/>
        </w:rPr>
        <w:t>.3</w:t>
      </w:r>
      <w:r>
        <w:rPr>
          <w:rFonts w:eastAsia="仿宋_GB2312"/>
          <w:sz w:val="32"/>
          <w:szCs w:val="32"/>
        </w:rPr>
        <w:t>注册单元内各种产品的主要安全指标、性能指标不能被某一产品全部涵盖时，则应选择涵盖安全指标、性能指标最多的产品作为典型产品，同时还应考虑其他产品中未被典型产品所涵盖的安全指标及性能指标。</w:t>
      </w:r>
    </w:p>
    <w:p w:rsidR="0034448F" w:rsidRDefault="00CB2AB8" w:rsidP="00CB2AB8">
      <w:pPr>
        <w:spacing w:line="520" w:lineRule="exact"/>
        <w:ind w:firstLineChars="200" w:firstLine="640"/>
        <w:rPr>
          <w:rFonts w:eastAsia="楷体_GB2312"/>
          <w:bCs/>
          <w:color w:val="000000"/>
          <w:sz w:val="32"/>
          <w:szCs w:val="32"/>
        </w:rPr>
      </w:pPr>
      <w:r>
        <w:rPr>
          <w:rFonts w:eastAsia="楷体_GB2312"/>
          <w:color w:val="000000"/>
          <w:sz w:val="32"/>
          <w:szCs w:val="32"/>
        </w:rPr>
        <w:t>（四）临床评价资料</w:t>
      </w:r>
    </w:p>
    <w:p w:rsidR="0034448F" w:rsidRDefault="00CB2AB8" w:rsidP="00CB2AB8">
      <w:pPr>
        <w:spacing w:line="520" w:lineRule="exact"/>
        <w:ind w:firstLineChars="200" w:firstLine="640"/>
        <w:rPr>
          <w:rFonts w:eastAsia="仿宋_GB2312"/>
          <w:color w:val="000000"/>
          <w:sz w:val="32"/>
          <w:szCs w:val="32"/>
        </w:rPr>
      </w:pPr>
      <w:r>
        <w:rPr>
          <w:rFonts w:eastAsia="仿宋_GB2312"/>
          <w:color w:val="000000"/>
          <w:sz w:val="32"/>
          <w:szCs w:val="32"/>
        </w:rPr>
        <w:t>血管夹产品适用于《国家药监局关于发布免于临床评价医疗器械目录的通告</w:t>
      </w:r>
      <w:r>
        <w:rPr>
          <w:rFonts w:eastAsia="仿宋_GB2312"/>
          <w:sz w:val="32"/>
          <w:szCs w:val="32"/>
        </w:rPr>
        <w:t>》附件中分类编码为</w:t>
      </w:r>
      <w:r>
        <w:rPr>
          <w:rFonts w:eastAsia="仿宋_GB2312"/>
          <w:sz w:val="32"/>
          <w:szCs w:val="32"/>
        </w:rPr>
        <w:t>03</w:t>
      </w:r>
      <w:r>
        <w:rPr>
          <w:rFonts w:eastAsia="仿宋_GB2312"/>
          <w:color w:val="000000"/>
          <w:sz w:val="32"/>
          <w:szCs w:val="32"/>
        </w:rPr>
        <w:t>子目录下</w:t>
      </w:r>
      <w:r>
        <w:rPr>
          <w:rFonts w:eastAsia="仿宋_GB2312"/>
          <w:color w:val="000000"/>
          <w:sz w:val="32"/>
          <w:szCs w:val="32"/>
        </w:rPr>
        <w:t>Ⅱ</w:t>
      </w:r>
      <w:r>
        <w:rPr>
          <w:rFonts w:eastAsia="仿宋_GB2312"/>
          <w:color w:val="000000"/>
          <w:sz w:val="32"/>
          <w:szCs w:val="32"/>
        </w:rPr>
        <w:t>类无源产品均免于进行临床试验的情形。按照《医疗器械注册与备案管理办法》第三十四条第二款要求，可以免于提交临床评价资料。</w:t>
      </w:r>
    </w:p>
    <w:p w:rsidR="0034448F" w:rsidRDefault="00CB2AB8" w:rsidP="00CB2AB8">
      <w:pPr>
        <w:spacing w:line="520" w:lineRule="exact"/>
        <w:ind w:firstLineChars="200" w:firstLine="640"/>
        <w:rPr>
          <w:rFonts w:eastAsia="仿宋_GB2312"/>
          <w:color w:val="000000"/>
          <w:sz w:val="32"/>
          <w:szCs w:val="32"/>
        </w:rPr>
      </w:pPr>
      <w:r>
        <w:rPr>
          <w:rFonts w:eastAsia="仿宋_GB2312"/>
          <w:color w:val="000000"/>
          <w:sz w:val="32"/>
          <w:szCs w:val="32"/>
        </w:rPr>
        <w:t>对于不符合豁免条件，如新型作用机理、药械组合产品等，申请人应按照《国家药监局关于发布医疗器械临床评价技术指导原则等</w:t>
      </w:r>
      <w:r>
        <w:rPr>
          <w:rFonts w:eastAsia="仿宋_GB2312"/>
          <w:color w:val="000000"/>
          <w:sz w:val="32"/>
          <w:szCs w:val="32"/>
        </w:rPr>
        <w:t>5</w:t>
      </w:r>
      <w:r>
        <w:rPr>
          <w:rFonts w:eastAsia="仿宋_GB2312"/>
          <w:color w:val="000000"/>
          <w:sz w:val="32"/>
          <w:szCs w:val="32"/>
        </w:rPr>
        <w:t>项技术指导原则的通告》的有关要求提交相应临床评价资料。</w:t>
      </w:r>
    </w:p>
    <w:p w:rsidR="0034448F" w:rsidRDefault="00CB2AB8" w:rsidP="00CB2AB8">
      <w:pPr>
        <w:spacing w:line="520" w:lineRule="exact"/>
        <w:ind w:firstLineChars="200" w:firstLine="640"/>
        <w:rPr>
          <w:rFonts w:eastAsia="楷体_GB2312"/>
          <w:bCs/>
          <w:color w:val="000000"/>
          <w:sz w:val="32"/>
          <w:szCs w:val="32"/>
        </w:rPr>
      </w:pPr>
      <w:r>
        <w:rPr>
          <w:rFonts w:eastAsia="楷体_GB2312"/>
          <w:sz w:val="32"/>
          <w:szCs w:val="32"/>
        </w:rPr>
        <w:t>（五）产品说明书和标签样稿</w:t>
      </w:r>
    </w:p>
    <w:p w:rsidR="0034448F" w:rsidRDefault="00CB2AB8" w:rsidP="00CB2AB8">
      <w:pPr>
        <w:spacing w:line="520" w:lineRule="exact"/>
        <w:ind w:firstLineChars="200" w:firstLine="640"/>
        <w:rPr>
          <w:rFonts w:eastAsia="仿宋_GB2312"/>
          <w:color w:val="000000"/>
          <w:sz w:val="32"/>
          <w:szCs w:val="32"/>
        </w:rPr>
      </w:pPr>
      <w:r>
        <w:rPr>
          <w:rFonts w:eastAsia="仿宋_GB2312"/>
          <w:color w:val="000000"/>
          <w:sz w:val="32"/>
          <w:szCs w:val="32"/>
        </w:rPr>
        <w:t>产品的</w:t>
      </w:r>
      <w:r>
        <w:rPr>
          <w:rFonts w:eastAsia="仿宋_GB2312"/>
          <w:sz w:val="32"/>
          <w:szCs w:val="32"/>
        </w:rPr>
        <w:t>说明书、标签和包装标识</w:t>
      </w:r>
      <w:r>
        <w:rPr>
          <w:rFonts w:eastAsia="仿宋_GB2312"/>
          <w:color w:val="000000"/>
          <w:sz w:val="32"/>
          <w:szCs w:val="32"/>
        </w:rPr>
        <w:t>应符合《医疗器械说明书和标签管理规定》的规定和</w:t>
      </w:r>
      <w:r>
        <w:rPr>
          <w:rFonts w:eastAsia="仿宋_GB2312"/>
          <w:color w:val="000000"/>
          <w:sz w:val="32"/>
          <w:szCs w:val="32"/>
        </w:rPr>
        <w:t>YY/T 0466.1-2016</w:t>
      </w:r>
      <w:r>
        <w:rPr>
          <w:rFonts w:eastAsia="仿宋_GB2312"/>
          <w:color w:val="000000"/>
          <w:sz w:val="32"/>
          <w:szCs w:val="32"/>
        </w:rPr>
        <w:t>《医疗器械</w:t>
      </w:r>
      <w:r>
        <w:rPr>
          <w:rFonts w:eastAsia="仿宋_GB2312"/>
          <w:color w:val="000000"/>
          <w:sz w:val="32"/>
          <w:szCs w:val="32"/>
        </w:rPr>
        <w:t xml:space="preserve"> </w:t>
      </w:r>
      <w:r>
        <w:rPr>
          <w:rFonts w:eastAsia="仿宋_GB2312"/>
          <w:color w:val="000000"/>
          <w:sz w:val="32"/>
          <w:szCs w:val="32"/>
        </w:rPr>
        <w:t>用于医疗器械标签、标记和提供信息的符号</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部分：通用要求》等相关要求，与此同时应注意以下要求：</w:t>
      </w:r>
    </w:p>
    <w:p w:rsidR="0034448F" w:rsidRDefault="00CB2AB8" w:rsidP="00CB2AB8">
      <w:pPr>
        <w:overflowPunct w:val="0"/>
        <w:spacing w:line="520" w:lineRule="exact"/>
        <w:ind w:firstLineChars="200" w:firstLine="640"/>
        <w:rPr>
          <w:rFonts w:eastAsia="仿宋_GB2312"/>
          <w:bCs/>
          <w:sz w:val="32"/>
          <w:szCs w:val="32"/>
        </w:rPr>
      </w:pPr>
      <w:r>
        <w:rPr>
          <w:rFonts w:eastAsia="仿宋_GB2312"/>
          <w:bCs/>
          <w:sz w:val="32"/>
          <w:szCs w:val="32"/>
        </w:rPr>
        <w:t>1.</w:t>
      </w:r>
      <w:r>
        <w:rPr>
          <w:rFonts w:eastAsia="仿宋_GB2312"/>
          <w:bCs/>
          <w:sz w:val="32"/>
          <w:szCs w:val="32"/>
        </w:rPr>
        <w:t>不同型号规格推荐夹闭的血管类型、管径；</w:t>
      </w:r>
    </w:p>
    <w:p w:rsidR="0034448F" w:rsidRDefault="00CB2AB8" w:rsidP="00CB2AB8">
      <w:pPr>
        <w:overflowPunct w:val="0"/>
        <w:spacing w:line="520" w:lineRule="exact"/>
        <w:ind w:firstLineChars="200" w:firstLine="640"/>
        <w:rPr>
          <w:rFonts w:eastAsia="仿宋_GB2312"/>
          <w:bCs/>
          <w:sz w:val="32"/>
          <w:szCs w:val="32"/>
        </w:rPr>
      </w:pPr>
      <w:r>
        <w:rPr>
          <w:rFonts w:eastAsia="仿宋_GB2312"/>
          <w:bCs/>
          <w:sz w:val="32"/>
          <w:szCs w:val="32"/>
        </w:rPr>
        <w:t>2.</w:t>
      </w:r>
      <w:r>
        <w:rPr>
          <w:rFonts w:eastAsia="仿宋_GB2312"/>
          <w:bCs/>
          <w:sz w:val="32"/>
          <w:szCs w:val="32"/>
        </w:rPr>
        <w:t>产品图示；</w:t>
      </w:r>
    </w:p>
    <w:p w:rsidR="0034448F" w:rsidRDefault="00CB2AB8" w:rsidP="00CB2AB8">
      <w:pPr>
        <w:overflowPunct w:val="0"/>
        <w:spacing w:line="520" w:lineRule="exact"/>
        <w:ind w:firstLineChars="200" w:firstLine="640"/>
        <w:rPr>
          <w:rFonts w:eastAsia="仿宋_GB2312"/>
          <w:bCs/>
          <w:sz w:val="32"/>
          <w:szCs w:val="32"/>
        </w:rPr>
      </w:pPr>
      <w:r>
        <w:rPr>
          <w:rFonts w:eastAsia="仿宋_GB2312"/>
          <w:bCs/>
          <w:sz w:val="32"/>
          <w:szCs w:val="32"/>
        </w:rPr>
        <w:t>3.</w:t>
      </w:r>
      <w:r>
        <w:rPr>
          <w:rFonts w:eastAsia="仿宋_GB2312"/>
          <w:bCs/>
          <w:sz w:val="32"/>
          <w:szCs w:val="32"/>
        </w:rPr>
        <w:t>禁忌证：明确说明该器械不适宜的某些疾病、情况或特定的人群及部位</w:t>
      </w:r>
      <w:r>
        <w:rPr>
          <w:rFonts w:eastAsia="仿宋_GB2312"/>
          <w:bCs/>
          <w:color w:val="000000"/>
          <w:sz w:val="32"/>
          <w:szCs w:val="32"/>
        </w:rPr>
        <w:t>；</w:t>
      </w:r>
    </w:p>
    <w:p w:rsidR="0034448F" w:rsidRDefault="00CB2AB8" w:rsidP="00CB2AB8">
      <w:pPr>
        <w:overflowPunct w:val="0"/>
        <w:spacing w:line="520" w:lineRule="exact"/>
        <w:ind w:firstLineChars="200" w:firstLine="640"/>
        <w:rPr>
          <w:rFonts w:eastAsia="仿宋_GB2312"/>
          <w:bCs/>
          <w:sz w:val="32"/>
          <w:szCs w:val="32"/>
        </w:rPr>
      </w:pPr>
      <w:r>
        <w:rPr>
          <w:rFonts w:eastAsia="仿宋_GB2312"/>
          <w:bCs/>
          <w:sz w:val="32"/>
          <w:szCs w:val="32"/>
        </w:rPr>
        <w:t>4.</w:t>
      </w:r>
      <w:r>
        <w:rPr>
          <w:rFonts w:eastAsia="仿宋_GB2312"/>
          <w:bCs/>
          <w:sz w:val="32"/>
          <w:szCs w:val="32"/>
        </w:rPr>
        <w:t>警示信息：应列出适用于血管夹的警告。警告中包括器械</w:t>
      </w:r>
      <w:r>
        <w:rPr>
          <w:rFonts w:eastAsia="仿宋_GB2312"/>
          <w:bCs/>
          <w:sz w:val="32"/>
          <w:szCs w:val="32"/>
        </w:rPr>
        <w:lastRenderedPageBreak/>
        <w:t>相关的严重不良事件或潜在的安全危害，并且还应包含可能的后果；</w:t>
      </w:r>
    </w:p>
    <w:p w:rsidR="0034448F" w:rsidRDefault="00CB2AB8" w:rsidP="00CB2AB8">
      <w:pPr>
        <w:overflowPunct w:val="0"/>
        <w:spacing w:line="520" w:lineRule="exact"/>
        <w:ind w:firstLineChars="200" w:firstLine="640"/>
        <w:rPr>
          <w:rFonts w:eastAsia="仿宋_GB2312"/>
          <w:bCs/>
          <w:sz w:val="32"/>
          <w:szCs w:val="32"/>
        </w:rPr>
      </w:pPr>
      <w:r>
        <w:rPr>
          <w:rFonts w:eastAsia="仿宋_GB2312"/>
          <w:bCs/>
          <w:sz w:val="32"/>
          <w:szCs w:val="32"/>
        </w:rPr>
        <w:t>5.</w:t>
      </w:r>
      <w:r>
        <w:rPr>
          <w:rFonts w:eastAsia="仿宋_GB2312"/>
          <w:bCs/>
          <w:sz w:val="32"/>
          <w:szCs w:val="32"/>
        </w:rPr>
        <w:t>注意事项：应列出适用于血管夹的注意事项。如临床医生应判定选择合适的规格夹闭目标血管等。与警告事项相同，注意事项中也应说明可能的后果情况；</w:t>
      </w:r>
    </w:p>
    <w:p w:rsidR="0034448F" w:rsidRDefault="00CB2AB8" w:rsidP="00CB2AB8">
      <w:pPr>
        <w:overflowPunct w:val="0"/>
        <w:spacing w:line="520" w:lineRule="exact"/>
        <w:ind w:firstLineChars="200" w:firstLine="640"/>
        <w:rPr>
          <w:rFonts w:eastAsia="仿宋_GB2312"/>
          <w:bCs/>
          <w:sz w:val="32"/>
          <w:szCs w:val="32"/>
        </w:rPr>
      </w:pPr>
      <w:r>
        <w:rPr>
          <w:rFonts w:eastAsia="仿宋_GB2312"/>
          <w:bCs/>
          <w:sz w:val="32"/>
          <w:szCs w:val="32"/>
        </w:rPr>
        <w:t>6.</w:t>
      </w:r>
      <w:r>
        <w:rPr>
          <w:rFonts w:eastAsia="仿宋_GB2312"/>
          <w:bCs/>
          <w:sz w:val="32"/>
          <w:szCs w:val="32"/>
        </w:rPr>
        <w:t>灭菌方式：应标明产品的灭菌方式，其中射线灭菌应标明射线种类。</w:t>
      </w:r>
    </w:p>
    <w:p w:rsidR="0034448F" w:rsidRDefault="00CB2AB8" w:rsidP="00CB2AB8">
      <w:pPr>
        <w:snapToGrid w:val="0"/>
        <w:spacing w:line="520" w:lineRule="exact"/>
        <w:ind w:firstLineChars="200" w:firstLine="640"/>
        <w:rPr>
          <w:rFonts w:eastAsia="仿宋_GB2312"/>
          <w:color w:val="000000"/>
          <w:sz w:val="32"/>
          <w:szCs w:val="32"/>
        </w:rPr>
      </w:pPr>
      <w:r>
        <w:rPr>
          <w:rFonts w:eastAsia="仿宋_GB2312"/>
          <w:color w:val="000000"/>
          <w:sz w:val="32"/>
          <w:szCs w:val="32"/>
        </w:rPr>
        <w:t>7.</w:t>
      </w:r>
      <w:r>
        <w:rPr>
          <w:rFonts w:eastAsia="仿宋_GB2312"/>
          <w:color w:val="000000"/>
          <w:sz w:val="32"/>
          <w:szCs w:val="32"/>
        </w:rPr>
        <w:t>注明产品主要原材料，应有对材料过敏者禁止使用的提示。</w:t>
      </w:r>
    </w:p>
    <w:p w:rsidR="0034448F" w:rsidRDefault="00CB2AB8" w:rsidP="00CB2AB8">
      <w:pPr>
        <w:snapToGrid w:val="0"/>
        <w:spacing w:line="520" w:lineRule="exact"/>
        <w:ind w:firstLineChars="200" w:firstLine="640"/>
        <w:rPr>
          <w:rFonts w:eastAsia="仿宋_GB2312"/>
          <w:color w:val="000000"/>
          <w:sz w:val="32"/>
          <w:szCs w:val="32"/>
        </w:rPr>
      </w:pPr>
      <w:r>
        <w:rPr>
          <w:rFonts w:eastAsia="仿宋_GB2312"/>
          <w:color w:val="000000"/>
          <w:sz w:val="32"/>
          <w:szCs w:val="32"/>
        </w:rPr>
        <w:t>8.</w:t>
      </w:r>
      <w:r>
        <w:rPr>
          <w:rFonts w:eastAsia="仿宋_GB2312"/>
          <w:color w:val="000000"/>
          <w:sz w:val="32"/>
          <w:szCs w:val="32"/>
        </w:rPr>
        <w:t>使用前检查包装是否完好，如有破损，严禁使用。</w:t>
      </w:r>
    </w:p>
    <w:p w:rsidR="0034448F" w:rsidRDefault="00CB2AB8" w:rsidP="00CB2AB8">
      <w:pPr>
        <w:snapToGrid w:val="0"/>
        <w:spacing w:line="520" w:lineRule="exact"/>
        <w:ind w:firstLineChars="200" w:firstLine="640"/>
        <w:rPr>
          <w:rFonts w:eastAsia="仿宋_GB2312"/>
          <w:color w:val="000000"/>
          <w:sz w:val="32"/>
          <w:szCs w:val="32"/>
        </w:rPr>
      </w:pPr>
      <w:r>
        <w:rPr>
          <w:rFonts w:eastAsia="仿宋_GB2312"/>
          <w:color w:val="000000"/>
          <w:sz w:val="32"/>
          <w:szCs w:val="32"/>
        </w:rPr>
        <w:t>9.</w:t>
      </w:r>
      <w:r>
        <w:rPr>
          <w:rFonts w:eastAsia="仿宋_GB2312"/>
          <w:color w:val="000000"/>
          <w:sz w:val="32"/>
          <w:szCs w:val="32"/>
        </w:rPr>
        <w:t>产品有效期若是通过加速老化试验获得，应标明。</w:t>
      </w:r>
    </w:p>
    <w:p w:rsidR="0034448F" w:rsidRDefault="00CB2AB8" w:rsidP="00CB2AB8">
      <w:pPr>
        <w:snapToGrid w:val="0"/>
        <w:spacing w:line="520" w:lineRule="exact"/>
        <w:ind w:firstLineChars="200" w:firstLine="640"/>
        <w:rPr>
          <w:rFonts w:eastAsia="仿宋_GB2312"/>
          <w:color w:val="000000"/>
          <w:sz w:val="32"/>
          <w:szCs w:val="32"/>
        </w:rPr>
      </w:pPr>
      <w:r>
        <w:rPr>
          <w:rFonts w:eastAsia="仿宋_GB2312"/>
          <w:color w:val="000000"/>
          <w:sz w:val="32"/>
          <w:szCs w:val="32"/>
        </w:rPr>
        <w:t>10.</w:t>
      </w:r>
      <w:r>
        <w:rPr>
          <w:rFonts w:eastAsia="仿宋_GB2312"/>
          <w:color w:val="000000"/>
          <w:sz w:val="32"/>
          <w:szCs w:val="32"/>
        </w:rPr>
        <w:t>一次性使用产品应当注明，并明确禁止重复使用。</w:t>
      </w:r>
    </w:p>
    <w:p w:rsidR="0034448F" w:rsidRDefault="00CB2AB8" w:rsidP="00CB2AB8">
      <w:pPr>
        <w:snapToGrid w:val="0"/>
        <w:spacing w:line="520" w:lineRule="exact"/>
        <w:ind w:firstLineChars="200" w:firstLine="640"/>
        <w:rPr>
          <w:rFonts w:eastAsia="仿宋_GB2312"/>
          <w:color w:val="000000"/>
          <w:sz w:val="32"/>
          <w:szCs w:val="32"/>
        </w:rPr>
      </w:pPr>
      <w:r>
        <w:rPr>
          <w:rFonts w:eastAsia="仿宋_GB2312"/>
          <w:color w:val="000000"/>
          <w:sz w:val="32"/>
          <w:szCs w:val="32"/>
        </w:rPr>
        <w:t>11.</w:t>
      </w:r>
      <w:r>
        <w:rPr>
          <w:rFonts w:eastAsia="仿宋_GB2312"/>
          <w:color w:val="000000"/>
          <w:sz w:val="32"/>
          <w:szCs w:val="32"/>
        </w:rPr>
        <w:t>产品使用后，应按照《医疗废物管理条例》的要求处理。</w:t>
      </w:r>
    </w:p>
    <w:p w:rsidR="0034448F" w:rsidRDefault="00CB2AB8" w:rsidP="00CB2AB8">
      <w:pPr>
        <w:spacing w:line="520" w:lineRule="exact"/>
        <w:ind w:firstLineChars="200" w:firstLine="640"/>
        <w:rPr>
          <w:rFonts w:eastAsia="楷体_GB2312"/>
          <w:bCs/>
          <w:color w:val="000000"/>
          <w:sz w:val="32"/>
          <w:szCs w:val="32"/>
        </w:rPr>
      </w:pPr>
      <w:r>
        <w:rPr>
          <w:rFonts w:eastAsia="楷体_GB2312"/>
          <w:sz w:val="32"/>
          <w:szCs w:val="32"/>
        </w:rPr>
        <w:t>（六）</w:t>
      </w:r>
      <w:r>
        <w:rPr>
          <w:rFonts w:eastAsia="楷体_GB2312" w:hint="eastAsia"/>
          <w:sz w:val="32"/>
          <w:szCs w:val="32"/>
        </w:rPr>
        <w:t>质量管理体系文件</w:t>
      </w:r>
    </w:p>
    <w:p w:rsidR="0034448F" w:rsidRDefault="00CB2AB8" w:rsidP="00CB2AB8">
      <w:pPr>
        <w:spacing w:line="520" w:lineRule="exact"/>
        <w:ind w:firstLineChars="200" w:firstLine="640"/>
        <w:rPr>
          <w:rFonts w:eastAsia="仿宋_GB2312"/>
          <w:sz w:val="32"/>
          <w:szCs w:val="32"/>
        </w:rPr>
      </w:pPr>
      <w:r>
        <w:rPr>
          <w:rFonts w:eastAsia="仿宋_GB2312"/>
          <w:kern w:val="0"/>
          <w:sz w:val="32"/>
          <w:szCs w:val="32"/>
        </w:rPr>
        <w:t>1.</w:t>
      </w:r>
      <w:r>
        <w:rPr>
          <w:rFonts w:eastAsia="仿宋_GB2312"/>
          <w:sz w:val="32"/>
          <w:szCs w:val="32"/>
        </w:rPr>
        <w:t>生产工艺过程及过程控制点</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注册申请人应根据申报产品的实际情况，以流程图的形式对生产工艺过程进行详细描述，并根据流程图逐一描述其中的过程控制点。工艺流程图中的关键工序和特殊工艺应以特殊图型表示。</w:t>
      </w:r>
    </w:p>
    <w:p w:rsidR="0034448F" w:rsidRDefault="00CB2AB8" w:rsidP="00CB2AB8">
      <w:pPr>
        <w:pStyle w:val="a5"/>
        <w:spacing w:line="520" w:lineRule="exact"/>
        <w:ind w:left="0" w:firstLineChars="200"/>
        <w:jc w:val="both"/>
        <w:rPr>
          <w:rFonts w:ascii="Times New Roman" w:eastAsia="仿宋_GB2312" w:hAnsi="Times New Roman" w:cs="Times New Roman"/>
        </w:rPr>
      </w:pPr>
      <w:r>
        <w:rPr>
          <w:rFonts w:ascii="Times New Roman" w:eastAsia="仿宋_GB2312" w:hAnsi="Times New Roman" w:cs="Times New Roman"/>
        </w:rPr>
        <w:t>2.</w:t>
      </w:r>
      <w:r>
        <w:rPr>
          <w:rFonts w:ascii="Times New Roman" w:eastAsia="仿宋_GB2312" w:hAnsi="Times New Roman" w:cs="Times New Roman"/>
        </w:rPr>
        <w:t>研制、生产场地情况概述</w:t>
      </w:r>
    </w:p>
    <w:p w:rsidR="0034448F" w:rsidRDefault="00CB2AB8" w:rsidP="00CB2AB8">
      <w:pPr>
        <w:pStyle w:val="a5"/>
        <w:spacing w:line="520" w:lineRule="exact"/>
        <w:ind w:left="0" w:firstLineChars="200"/>
        <w:jc w:val="both"/>
        <w:rPr>
          <w:rFonts w:ascii="Times New Roman" w:eastAsia="仿宋_GB2312" w:hAnsi="Times New Roman" w:cs="Times New Roman"/>
        </w:rPr>
      </w:pPr>
      <w:r>
        <w:rPr>
          <w:rFonts w:ascii="Times New Roman" w:eastAsia="仿宋_GB2312" w:hAnsi="Times New Roman" w:cs="Times New Roman"/>
        </w:rPr>
        <w:t>注册申请人应当对与申报产品有关的研制场地和生产场地情况进行概述，主要包括以下内容：</w:t>
      </w:r>
    </w:p>
    <w:p w:rsidR="0034448F" w:rsidRDefault="00CB2AB8" w:rsidP="00CB2AB8">
      <w:pPr>
        <w:pStyle w:val="a5"/>
        <w:spacing w:line="520" w:lineRule="exact"/>
        <w:ind w:left="0" w:firstLineChars="200"/>
        <w:jc w:val="both"/>
        <w:rPr>
          <w:rFonts w:ascii="Times New Roman" w:eastAsia="仿宋_GB2312" w:hAnsi="Times New Roman" w:cs="Times New Roman"/>
        </w:rPr>
      </w:pPr>
      <w:r>
        <w:rPr>
          <w:rFonts w:ascii="Times New Roman" w:eastAsia="仿宋_GB2312" w:hAnsi="Times New Roman" w:cs="Times New Roman"/>
        </w:rPr>
        <w:t>研制场地：地址、位置、面积、研制环境条件、研制设备、验证设备、人员等。</w:t>
      </w:r>
    </w:p>
    <w:p w:rsidR="0034448F" w:rsidRDefault="00CB2AB8" w:rsidP="00CB2AB8">
      <w:pPr>
        <w:pStyle w:val="a5"/>
        <w:spacing w:line="520" w:lineRule="exact"/>
        <w:ind w:left="0" w:firstLineChars="200"/>
        <w:jc w:val="both"/>
        <w:rPr>
          <w:rFonts w:ascii="Times New Roman" w:eastAsia="仿宋_GB2312" w:hAnsi="Times New Roman" w:cs="Times New Roman"/>
        </w:rPr>
      </w:pPr>
      <w:r>
        <w:rPr>
          <w:rFonts w:ascii="Times New Roman" w:eastAsia="仿宋_GB2312" w:hAnsi="Times New Roman" w:cs="Times New Roman"/>
        </w:rPr>
        <w:t>生产场地：地址、位置、面积、生产环境条件、生产设备、</w:t>
      </w:r>
      <w:r>
        <w:rPr>
          <w:rFonts w:ascii="Times New Roman" w:eastAsia="仿宋_GB2312" w:hAnsi="Times New Roman" w:cs="Times New Roman"/>
        </w:rPr>
        <w:lastRenderedPageBreak/>
        <w:t>工艺装备、监视和测量装置、人员等。</w:t>
      </w:r>
    </w:p>
    <w:p w:rsidR="0034448F" w:rsidRDefault="00CB2AB8" w:rsidP="00CB2AB8">
      <w:pPr>
        <w:pStyle w:val="a5"/>
        <w:spacing w:line="520" w:lineRule="exact"/>
        <w:ind w:left="0" w:firstLineChars="200"/>
        <w:jc w:val="both"/>
        <w:rPr>
          <w:rFonts w:ascii="Times New Roman" w:eastAsia="仿宋_GB2312" w:hAnsi="Times New Roman" w:cs="Times New Roman"/>
        </w:rPr>
      </w:pPr>
      <w:r>
        <w:rPr>
          <w:rFonts w:ascii="Times New Roman" w:eastAsia="仿宋_GB2312" w:hAnsi="Times New Roman" w:cs="Times New Roman"/>
        </w:rPr>
        <w:t>如申报产品具有多个研制、生产场地，则对每一研制、生产场地的情况均应进行概述。</w:t>
      </w:r>
    </w:p>
    <w:p w:rsidR="0034448F" w:rsidRDefault="00CB2AB8" w:rsidP="00CB2AB8">
      <w:pPr>
        <w:snapToGrid w:val="0"/>
        <w:spacing w:line="520" w:lineRule="exact"/>
        <w:ind w:firstLineChars="200" w:firstLine="640"/>
        <w:rPr>
          <w:rFonts w:eastAsia="黑体"/>
          <w:color w:val="000000"/>
          <w:sz w:val="32"/>
          <w:szCs w:val="32"/>
        </w:rPr>
      </w:pPr>
      <w:r>
        <w:rPr>
          <w:rFonts w:eastAsia="黑体"/>
          <w:color w:val="000000"/>
          <w:sz w:val="32"/>
          <w:szCs w:val="32"/>
        </w:rPr>
        <w:t>三、参考文献</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医疗器械监督管理条例</w:t>
      </w:r>
      <w:r>
        <w:rPr>
          <w:rFonts w:eastAsia="仿宋_GB2312"/>
          <w:sz w:val="32"/>
          <w:szCs w:val="32"/>
        </w:rPr>
        <w:t>[</w:t>
      </w:r>
      <w:r>
        <w:rPr>
          <w:rFonts w:eastAsia="仿宋_GB2312" w:hint="eastAsia"/>
          <w:sz w:val="32"/>
          <w:szCs w:val="32"/>
        </w:rPr>
        <w:t>Z</w:t>
      </w:r>
      <w:r>
        <w:rPr>
          <w:rFonts w:eastAsia="仿宋_GB2312"/>
          <w:sz w:val="32"/>
          <w:szCs w:val="32"/>
        </w:rPr>
        <w:t>].</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医疗器械注册与备案管理办法</w:t>
      </w:r>
      <w:r>
        <w:rPr>
          <w:rFonts w:eastAsia="仿宋_GB2312"/>
          <w:sz w:val="32"/>
          <w:szCs w:val="32"/>
        </w:rPr>
        <w:t>[</w:t>
      </w:r>
      <w:r>
        <w:rPr>
          <w:rFonts w:eastAsia="仿宋_GB2312" w:hint="eastAsia"/>
          <w:sz w:val="32"/>
          <w:szCs w:val="32"/>
        </w:rPr>
        <w:t>Z</w:t>
      </w:r>
      <w:r>
        <w:rPr>
          <w:rFonts w:eastAsia="仿宋_GB2312"/>
          <w:sz w:val="32"/>
          <w:szCs w:val="32"/>
        </w:rPr>
        <w:t>].</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[3]</w:t>
      </w:r>
      <w:r>
        <w:rPr>
          <w:rFonts w:eastAsia="仿宋_GB2312"/>
          <w:sz w:val="32"/>
          <w:szCs w:val="32"/>
        </w:rPr>
        <w:t>医疗器械说明书和标签管理规定</w:t>
      </w:r>
      <w:r>
        <w:rPr>
          <w:rFonts w:eastAsia="仿宋_GB2312"/>
          <w:sz w:val="32"/>
          <w:szCs w:val="32"/>
        </w:rPr>
        <w:t>[</w:t>
      </w:r>
      <w:r>
        <w:rPr>
          <w:rFonts w:eastAsia="仿宋_GB2312" w:hint="eastAsia"/>
          <w:sz w:val="32"/>
          <w:szCs w:val="32"/>
        </w:rPr>
        <w:t>Z</w:t>
      </w:r>
      <w:r>
        <w:rPr>
          <w:rFonts w:eastAsia="仿宋_GB2312"/>
          <w:sz w:val="32"/>
          <w:szCs w:val="32"/>
        </w:rPr>
        <w:t>].</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[4]</w:t>
      </w:r>
      <w:r>
        <w:rPr>
          <w:rFonts w:eastAsia="仿宋_GB2312"/>
          <w:color w:val="000000"/>
          <w:sz w:val="32"/>
          <w:szCs w:val="32"/>
        </w:rPr>
        <w:t>国家药监局关于发布免于临床评价医疗器械目录的通告</w:t>
      </w:r>
      <w:r>
        <w:rPr>
          <w:rFonts w:eastAsia="仿宋_GB2312"/>
          <w:sz w:val="32"/>
          <w:szCs w:val="32"/>
        </w:rPr>
        <w:t>[</w:t>
      </w:r>
      <w:r>
        <w:rPr>
          <w:rFonts w:eastAsia="仿宋_GB2312" w:hint="eastAsia"/>
          <w:sz w:val="32"/>
          <w:szCs w:val="32"/>
        </w:rPr>
        <w:t>Z</w:t>
      </w:r>
      <w:r>
        <w:rPr>
          <w:rFonts w:eastAsia="仿宋_GB2312"/>
          <w:sz w:val="32"/>
          <w:szCs w:val="32"/>
        </w:rPr>
        <w:t>].</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[5]</w:t>
      </w:r>
      <w:r>
        <w:rPr>
          <w:rFonts w:eastAsia="仿宋_GB2312"/>
          <w:color w:val="000000"/>
          <w:sz w:val="32"/>
          <w:szCs w:val="32"/>
        </w:rPr>
        <w:t>国家药监局关于发布医疗器械临床评价技术指导原则等</w:t>
      </w:r>
      <w:r>
        <w:rPr>
          <w:rFonts w:eastAsia="仿宋_GB2312"/>
          <w:color w:val="000000"/>
          <w:sz w:val="32"/>
          <w:szCs w:val="32"/>
        </w:rPr>
        <w:t>5</w:t>
      </w:r>
      <w:r>
        <w:rPr>
          <w:rFonts w:eastAsia="仿宋_GB2312"/>
          <w:color w:val="000000"/>
          <w:sz w:val="32"/>
          <w:szCs w:val="32"/>
        </w:rPr>
        <w:t>项技术指导原则的通告</w:t>
      </w:r>
      <w:r>
        <w:rPr>
          <w:rFonts w:eastAsia="仿宋_GB2312"/>
          <w:sz w:val="32"/>
          <w:szCs w:val="32"/>
        </w:rPr>
        <w:t>[</w:t>
      </w:r>
      <w:r>
        <w:rPr>
          <w:rFonts w:eastAsia="仿宋_GB2312" w:hint="eastAsia"/>
          <w:sz w:val="32"/>
          <w:szCs w:val="32"/>
        </w:rPr>
        <w:t>Z</w:t>
      </w:r>
      <w:r>
        <w:rPr>
          <w:rFonts w:eastAsia="仿宋_GB2312"/>
          <w:sz w:val="32"/>
          <w:szCs w:val="32"/>
        </w:rPr>
        <w:t>].</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[6] GB/T 191</w:t>
      </w:r>
      <w:r>
        <w:rPr>
          <w:rFonts w:eastAsia="仿宋_GB2312"/>
          <w:sz w:val="32"/>
          <w:szCs w:val="32"/>
        </w:rPr>
        <w:t>，包装储运图示标志</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[7]GB/T 2828.1</w:t>
      </w:r>
      <w:r>
        <w:rPr>
          <w:rFonts w:eastAsia="仿宋_GB2312"/>
          <w:sz w:val="32"/>
          <w:szCs w:val="32"/>
        </w:rPr>
        <w:t>，计数抽样检验程序</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部分：按接收质量限</w:t>
      </w:r>
      <w:r>
        <w:rPr>
          <w:rFonts w:eastAsia="仿宋_GB2312"/>
          <w:sz w:val="32"/>
          <w:szCs w:val="32"/>
        </w:rPr>
        <w:t>(AQL)</w:t>
      </w:r>
      <w:r>
        <w:rPr>
          <w:rFonts w:eastAsia="仿宋_GB2312"/>
          <w:sz w:val="32"/>
          <w:szCs w:val="32"/>
        </w:rPr>
        <w:t>检索的逐批检验抽样计划</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[8]GB/T 19633.1</w:t>
      </w:r>
      <w:r>
        <w:rPr>
          <w:rFonts w:eastAsia="仿宋_GB2312"/>
          <w:sz w:val="32"/>
          <w:szCs w:val="32"/>
        </w:rPr>
        <w:tab/>
      </w:r>
      <w:r>
        <w:rPr>
          <w:rFonts w:eastAsia="仿宋_GB2312"/>
          <w:sz w:val="32"/>
          <w:szCs w:val="32"/>
        </w:rPr>
        <w:t>，最终灭菌医疗器械包装</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部分：材料、无菌屏障系统和包装系统的要求</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[9]GB/T 19633.2</w:t>
      </w:r>
      <w:r>
        <w:rPr>
          <w:rFonts w:eastAsia="仿宋_GB2312"/>
          <w:sz w:val="32"/>
          <w:szCs w:val="32"/>
        </w:rPr>
        <w:t>，最终灭菌医疗器械包装</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部分成形、密封和装配过程的确认的要求</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[10]GB/T 14233.1</w:t>
      </w:r>
      <w:r>
        <w:rPr>
          <w:rFonts w:eastAsia="仿宋_GB2312"/>
          <w:sz w:val="32"/>
          <w:szCs w:val="32"/>
        </w:rPr>
        <w:t>，医用输液、输血、注射器具检验方法</w:t>
      </w:r>
      <w:r>
        <w:rPr>
          <w:rFonts w:eastAsia="仿宋_GB2312"/>
          <w:sz w:val="32"/>
          <w:szCs w:val="32"/>
        </w:rPr>
        <w:t xml:space="preserve"> </w:t>
      </w:r>
      <w:r>
        <w:rPr>
          <w:rFonts w:eastAsia="仿宋_GB2312"/>
          <w:sz w:val="32"/>
          <w:szCs w:val="32"/>
        </w:rPr>
        <w:t>第一部分：化学分析方法</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[11]GB/T 14233.2</w:t>
      </w:r>
      <w:r>
        <w:rPr>
          <w:rFonts w:eastAsia="仿宋_GB2312"/>
          <w:sz w:val="32"/>
          <w:szCs w:val="32"/>
        </w:rPr>
        <w:t>，医用输液、输血、注射器具检验方法</w:t>
      </w:r>
      <w:r>
        <w:rPr>
          <w:rFonts w:eastAsia="仿宋_GB2312"/>
          <w:sz w:val="32"/>
          <w:szCs w:val="32"/>
        </w:rPr>
        <w:t xml:space="preserve"> </w:t>
      </w:r>
      <w:r>
        <w:rPr>
          <w:rFonts w:eastAsia="仿宋_GB2312"/>
          <w:sz w:val="32"/>
          <w:szCs w:val="32"/>
        </w:rPr>
        <w:t>第二部分：生物试验方法</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[12]GB/T 16886.1</w:t>
      </w:r>
      <w:r>
        <w:rPr>
          <w:rFonts w:eastAsia="仿宋_GB2312"/>
          <w:sz w:val="32"/>
          <w:szCs w:val="32"/>
        </w:rPr>
        <w:t>，医疗器械生物学评价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w:t>
      </w:r>
      <w:r>
        <w:rPr>
          <w:rFonts w:eastAsia="仿宋_GB2312"/>
          <w:sz w:val="32"/>
          <w:szCs w:val="32"/>
        </w:rPr>
        <w:t xml:space="preserve"> </w:t>
      </w:r>
      <w:r>
        <w:rPr>
          <w:rFonts w:eastAsia="仿宋_GB2312"/>
          <w:sz w:val="32"/>
          <w:szCs w:val="32"/>
        </w:rPr>
        <w:t>风险管理过程中的评价与试验</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lastRenderedPageBreak/>
        <w:t>[13]GB/T 16886.2</w:t>
      </w:r>
      <w:r>
        <w:rPr>
          <w:rFonts w:eastAsia="仿宋_GB2312"/>
          <w:sz w:val="32"/>
          <w:szCs w:val="32"/>
        </w:rPr>
        <w:t>，医疗器械生物学评价</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w:t>
      </w:r>
      <w:r>
        <w:rPr>
          <w:rFonts w:eastAsia="仿宋_GB2312"/>
          <w:sz w:val="32"/>
          <w:szCs w:val="32"/>
        </w:rPr>
        <w:t xml:space="preserve"> </w:t>
      </w:r>
      <w:r>
        <w:rPr>
          <w:rFonts w:eastAsia="仿宋_GB2312"/>
          <w:sz w:val="32"/>
          <w:szCs w:val="32"/>
        </w:rPr>
        <w:t>动物福利要求</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[14] GB/T 16886.4</w:t>
      </w:r>
      <w:r>
        <w:rPr>
          <w:rFonts w:eastAsia="仿宋_GB2312"/>
          <w:sz w:val="32"/>
          <w:szCs w:val="32"/>
        </w:rPr>
        <w:t>，医疗器械生物学评价</w:t>
      </w:r>
      <w:r>
        <w:rPr>
          <w:rFonts w:eastAsia="仿宋_GB2312"/>
          <w:sz w:val="32"/>
          <w:szCs w:val="32"/>
        </w:rPr>
        <w:t xml:space="preserve"> </w:t>
      </w:r>
      <w:r>
        <w:rPr>
          <w:rFonts w:eastAsia="仿宋_GB2312"/>
          <w:sz w:val="32"/>
          <w:szCs w:val="32"/>
        </w:rPr>
        <w:t>第</w:t>
      </w:r>
      <w:r>
        <w:rPr>
          <w:rFonts w:eastAsia="仿宋_GB2312"/>
          <w:sz w:val="32"/>
          <w:szCs w:val="32"/>
        </w:rPr>
        <w:t>4</w:t>
      </w:r>
      <w:r>
        <w:rPr>
          <w:rFonts w:eastAsia="仿宋_GB2312"/>
          <w:sz w:val="32"/>
          <w:szCs w:val="32"/>
        </w:rPr>
        <w:t>部分</w:t>
      </w:r>
      <w:r>
        <w:rPr>
          <w:rFonts w:eastAsia="仿宋_GB2312"/>
          <w:sz w:val="32"/>
          <w:szCs w:val="32"/>
        </w:rPr>
        <w:t xml:space="preserve"> </w:t>
      </w:r>
      <w:r>
        <w:rPr>
          <w:rFonts w:eastAsia="仿宋_GB2312"/>
          <w:sz w:val="32"/>
          <w:szCs w:val="32"/>
        </w:rPr>
        <w:t>与血液相互作用试验选择</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[15]GB/T 16886.5</w:t>
      </w:r>
      <w:r>
        <w:rPr>
          <w:rFonts w:eastAsia="仿宋_GB2312"/>
          <w:sz w:val="32"/>
          <w:szCs w:val="32"/>
        </w:rPr>
        <w:t>，医疗器械生物学评价</w:t>
      </w:r>
      <w:r>
        <w:rPr>
          <w:rFonts w:eastAsia="仿宋_GB2312"/>
          <w:sz w:val="32"/>
          <w:szCs w:val="32"/>
        </w:rPr>
        <w:t xml:space="preserve"> </w:t>
      </w:r>
      <w:r>
        <w:rPr>
          <w:rFonts w:eastAsia="仿宋_GB2312"/>
          <w:sz w:val="32"/>
          <w:szCs w:val="32"/>
        </w:rPr>
        <w:t>第</w:t>
      </w:r>
      <w:r>
        <w:rPr>
          <w:rFonts w:eastAsia="仿宋_GB2312"/>
          <w:sz w:val="32"/>
          <w:szCs w:val="32"/>
        </w:rPr>
        <w:t>5</w:t>
      </w:r>
      <w:r>
        <w:rPr>
          <w:rFonts w:eastAsia="仿宋_GB2312"/>
          <w:sz w:val="32"/>
          <w:szCs w:val="32"/>
        </w:rPr>
        <w:t>部分</w:t>
      </w:r>
      <w:r>
        <w:rPr>
          <w:rFonts w:eastAsia="仿宋_GB2312"/>
          <w:sz w:val="32"/>
          <w:szCs w:val="32"/>
        </w:rPr>
        <w:t xml:space="preserve"> </w:t>
      </w:r>
      <w:r>
        <w:rPr>
          <w:rFonts w:eastAsia="仿宋_GB2312"/>
          <w:sz w:val="32"/>
          <w:szCs w:val="32"/>
        </w:rPr>
        <w:t>体外细胞毒性试验</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[16]GB/T 16886.10</w:t>
      </w:r>
      <w:r>
        <w:rPr>
          <w:rFonts w:eastAsia="仿宋_GB2312"/>
          <w:sz w:val="32"/>
          <w:szCs w:val="32"/>
        </w:rPr>
        <w:t>，医疗器械生物学评价</w:t>
      </w:r>
      <w:r>
        <w:rPr>
          <w:rFonts w:eastAsia="仿宋_GB2312"/>
          <w:sz w:val="32"/>
          <w:szCs w:val="32"/>
        </w:rPr>
        <w:t xml:space="preserve"> </w:t>
      </w:r>
      <w:r>
        <w:rPr>
          <w:rFonts w:eastAsia="仿宋_GB2312"/>
          <w:sz w:val="32"/>
          <w:szCs w:val="32"/>
        </w:rPr>
        <w:t>第</w:t>
      </w:r>
      <w:r>
        <w:rPr>
          <w:rFonts w:eastAsia="仿宋_GB2312"/>
          <w:sz w:val="32"/>
          <w:szCs w:val="32"/>
        </w:rPr>
        <w:t>10</w:t>
      </w:r>
      <w:r>
        <w:rPr>
          <w:rFonts w:eastAsia="仿宋_GB2312"/>
          <w:sz w:val="32"/>
          <w:szCs w:val="32"/>
        </w:rPr>
        <w:t>部分</w:t>
      </w:r>
      <w:r>
        <w:rPr>
          <w:rFonts w:eastAsia="仿宋_GB2312"/>
          <w:sz w:val="32"/>
          <w:szCs w:val="32"/>
        </w:rPr>
        <w:t xml:space="preserve"> </w:t>
      </w:r>
      <w:r>
        <w:rPr>
          <w:rFonts w:eastAsia="仿宋_GB2312"/>
          <w:sz w:val="32"/>
          <w:szCs w:val="32"/>
        </w:rPr>
        <w:t>刺激与皮肤致敏试验</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[17]GB/T 16886.11</w:t>
      </w:r>
      <w:r>
        <w:rPr>
          <w:rFonts w:eastAsia="仿宋_GB2312"/>
          <w:sz w:val="32"/>
          <w:szCs w:val="32"/>
        </w:rPr>
        <w:t>，医疗器械生物学评价</w:t>
      </w:r>
      <w:r>
        <w:rPr>
          <w:rFonts w:eastAsia="仿宋_GB2312"/>
          <w:sz w:val="32"/>
          <w:szCs w:val="32"/>
        </w:rPr>
        <w:t xml:space="preserve"> </w:t>
      </w:r>
      <w:r>
        <w:rPr>
          <w:rFonts w:eastAsia="仿宋_GB2312"/>
          <w:sz w:val="32"/>
          <w:szCs w:val="32"/>
        </w:rPr>
        <w:t>第</w:t>
      </w:r>
      <w:r>
        <w:rPr>
          <w:rFonts w:eastAsia="仿宋_GB2312"/>
          <w:sz w:val="32"/>
          <w:szCs w:val="32"/>
        </w:rPr>
        <w:t>11</w:t>
      </w:r>
      <w:r>
        <w:rPr>
          <w:rFonts w:eastAsia="仿宋_GB2312"/>
          <w:sz w:val="32"/>
          <w:szCs w:val="32"/>
        </w:rPr>
        <w:t>部分</w:t>
      </w:r>
      <w:r>
        <w:rPr>
          <w:rFonts w:eastAsia="仿宋_GB2312"/>
          <w:sz w:val="32"/>
          <w:szCs w:val="32"/>
        </w:rPr>
        <w:t xml:space="preserve"> </w:t>
      </w:r>
      <w:r>
        <w:rPr>
          <w:rFonts w:eastAsia="仿宋_GB2312"/>
          <w:sz w:val="32"/>
          <w:szCs w:val="32"/>
        </w:rPr>
        <w:t>全身毒性试验</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[18] GB 18280.1</w:t>
      </w:r>
      <w:r>
        <w:rPr>
          <w:rFonts w:eastAsia="仿宋_GB2312"/>
          <w:sz w:val="32"/>
          <w:szCs w:val="32"/>
        </w:rPr>
        <w:t>，医疗保健产品灭菌</w:t>
      </w:r>
      <w:r>
        <w:rPr>
          <w:rFonts w:eastAsia="仿宋_GB2312"/>
          <w:sz w:val="32"/>
          <w:szCs w:val="32"/>
        </w:rPr>
        <w:t xml:space="preserve"> </w:t>
      </w:r>
      <w:r>
        <w:rPr>
          <w:rFonts w:eastAsia="仿宋_GB2312"/>
          <w:sz w:val="32"/>
          <w:szCs w:val="32"/>
        </w:rPr>
        <w:t>辐射</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w:t>
      </w:r>
      <w:r>
        <w:rPr>
          <w:rFonts w:eastAsia="仿宋_GB2312"/>
          <w:sz w:val="32"/>
          <w:szCs w:val="32"/>
        </w:rPr>
        <w:t xml:space="preserve"> </w:t>
      </w:r>
      <w:r>
        <w:rPr>
          <w:rFonts w:eastAsia="仿宋_GB2312"/>
          <w:sz w:val="32"/>
          <w:szCs w:val="32"/>
        </w:rPr>
        <w:t>医疗器械灭菌过程的开发、确认和常规</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[19]GB 18280.2</w:t>
      </w:r>
      <w:r>
        <w:rPr>
          <w:rFonts w:eastAsia="仿宋_GB2312"/>
          <w:sz w:val="32"/>
          <w:szCs w:val="32"/>
        </w:rPr>
        <w:t>，医疗保健产品灭菌</w:t>
      </w:r>
      <w:r>
        <w:rPr>
          <w:rFonts w:eastAsia="仿宋_GB2312"/>
          <w:sz w:val="32"/>
          <w:szCs w:val="32"/>
        </w:rPr>
        <w:t xml:space="preserve"> </w:t>
      </w:r>
      <w:r>
        <w:rPr>
          <w:rFonts w:eastAsia="仿宋_GB2312"/>
          <w:sz w:val="32"/>
          <w:szCs w:val="32"/>
        </w:rPr>
        <w:t>辐射</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w:t>
      </w:r>
      <w:r>
        <w:rPr>
          <w:rFonts w:eastAsia="仿宋_GB2312"/>
          <w:sz w:val="32"/>
          <w:szCs w:val="32"/>
        </w:rPr>
        <w:t xml:space="preserve"> </w:t>
      </w:r>
      <w:r>
        <w:rPr>
          <w:rFonts w:eastAsia="仿宋_GB2312"/>
          <w:sz w:val="32"/>
          <w:szCs w:val="32"/>
        </w:rPr>
        <w:t>建立灭菌剂量</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20</w:t>
      </w:r>
      <w:r>
        <w:rPr>
          <w:rFonts w:eastAsia="仿宋_GB2312"/>
          <w:sz w:val="32"/>
          <w:szCs w:val="32"/>
        </w:rPr>
        <w:t>]GB 18280.</w:t>
      </w:r>
      <w:r>
        <w:rPr>
          <w:rFonts w:eastAsia="仿宋_GB2312" w:hint="eastAsia"/>
          <w:sz w:val="32"/>
          <w:szCs w:val="32"/>
        </w:rPr>
        <w:t>3</w:t>
      </w:r>
      <w:r>
        <w:rPr>
          <w:rFonts w:eastAsia="仿宋_GB2312"/>
          <w:sz w:val="32"/>
          <w:szCs w:val="32"/>
        </w:rPr>
        <w:t>，医疗保健产品灭菌</w:t>
      </w:r>
      <w:r>
        <w:rPr>
          <w:rFonts w:eastAsia="仿宋_GB2312"/>
          <w:sz w:val="32"/>
          <w:szCs w:val="32"/>
        </w:rPr>
        <w:t xml:space="preserve"> </w:t>
      </w:r>
      <w:r>
        <w:rPr>
          <w:rFonts w:eastAsia="仿宋_GB2312"/>
          <w:sz w:val="32"/>
          <w:szCs w:val="32"/>
        </w:rPr>
        <w:t>辐射</w:t>
      </w:r>
      <w:r>
        <w:rPr>
          <w:rFonts w:eastAsia="仿宋_GB2312"/>
          <w:sz w:val="32"/>
          <w:szCs w:val="32"/>
        </w:rPr>
        <w:t xml:space="preserve"> </w:t>
      </w:r>
      <w:r>
        <w:rPr>
          <w:rFonts w:eastAsia="仿宋_GB2312"/>
          <w:sz w:val="32"/>
          <w:szCs w:val="32"/>
        </w:rPr>
        <w:t>第</w:t>
      </w:r>
      <w:r>
        <w:rPr>
          <w:rFonts w:eastAsia="仿宋_GB2312"/>
          <w:sz w:val="32"/>
          <w:szCs w:val="32"/>
        </w:rPr>
        <w:t>3</w:t>
      </w:r>
      <w:r>
        <w:rPr>
          <w:rFonts w:eastAsia="仿宋_GB2312"/>
          <w:sz w:val="32"/>
          <w:szCs w:val="32"/>
        </w:rPr>
        <w:t>部分：剂量测量指南</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21</w:t>
      </w:r>
      <w:r>
        <w:rPr>
          <w:rFonts w:eastAsia="仿宋_GB2312"/>
          <w:sz w:val="32"/>
          <w:szCs w:val="32"/>
        </w:rPr>
        <w:t>]GB/T 20878</w:t>
      </w:r>
      <w:r>
        <w:rPr>
          <w:rFonts w:eastAsia="仿宋_GB2312"/>
          <w:sz w:val="32"/>
          <w:szCs w:val="32"/>
        </w:rPr>
        <w:t>，不锈钢和耐热钢</w:t>
      </w:r>
      <w:r>
        <w:rPr>
          <w:rFonts w:eastAsia="仿宋_GB2312"/>
          <w:sz w:val="32"/>
          <w:szCs w:val="32"/>
        </w:rPr>
        <w:t xml:space="preserve"> </w:t>
      </w:r>
      <w:r>
        <w:rPr>
          <w:rFonts w:eastAsia="仿宋_GB2312"/>
          <w:sz w:val="32"/>
          <w:szCs w:val="32"/>
        </w:rPr>
        <w:t>牌号及化学成分</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2</w:t>
      </w:r>
      <w:r>
        <w:rPr>
          <w:rFonts w:eastAsia="仿宋_GB2312"/>
          <w:sz w:val="32"/>
          <w:szCs w:val="32"/>
        </w:rPr>
        <w:t>]YY/T 0806</w:t>
      </w:r>
      <w:r>
        <w:rPr>
          <w:rFonts w:eastAsia="仿宋_GB2312"/>
          <w:sz w:val="32"/>
          <w:szCs w:val="32"/>
        </w:rPr>
        <w:t>，医用输液、输血、注射及其他医疗器械用聚碳酸酯专用料</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3</w:t>
      </w:r>
      <w:r>
        <w:rPr>
          <w:rFonts w:eastAsia="仿宋_GB2312"/>
          <w:sz w:val="32"/>
          <w:szCs w:val="32"/>
        </w:rPr>
        <w:t>] YY/T 0294.1</w:t>
      </w:r>
      <w:r>
        <w:rPr>
          <w:rFonts w:eastAsia="仿宋_GB2312"/>
          <w:sz w:val="32"/>
          <w:szCs w:val="32"/>
        </w:rPr>
        <w:t>，外科器械</w:t>
      </w:r>
      <w:r>
        <w:rPr>
          <w:rFonts w:eastAsia="仿宋_GB2312"/>
          <w:sz w:val="32"/>
          <w:szCs w:val="32"/>
        </w:rPr>
        <w:t xml:space="preserve"> </w:t>
      </w:r>
      <w:r>
        <w:rPr>
          <w:rFonts w:eastAsia="仿宋_GB2312"/>
          <w:sz w:val="32"/>
          <w:szCs w:val="32"/>
        </w:rPr>
        <w:t>金属材料第</w:t>
      </w:r>
      <w:r>
        <w:rPr>
          <w:rFonts w:eastAsia="仿宋_GB2312"/>
          <w:sz w:val="32"/>
          <w:szCs w:val="32"/>
        </w:rPr>
        <w:t>1</w:t>
      </w:r>
      <w:r>
        <w:rPr>
          <w:rFonts w:eastAsia="仿宋_GB2312"/>
          <w:sz w:val="32"/>
          <w:szCs w:val="32"/>
        </w:rPr>
        <w:t>部分：不锈钢</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4</w:t>
      </w:r>
      <w:r>
        <w:rPr>
          <w:rFonts w:eastAsia="仿宋_GB2312"/>
          <w:sz w:val="32"/>
          <w:szCs w:val="32"/>
        </w:rPr>
        <w:t>] YY/T 0316</w:t>
      </w:r>
      <w:r>
        <w:rPr>
          <w:rFonts w:eastAsia="仿宋_GB2312"/>
          <w:sz w:val="32"/>
          <w:szCs w:val="32"/>
        </w:rPr>
        <w:t>，医疗器械风险管理对医疗器械的应用</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5</w:t>
      </w:r>
      <w:r>
        <w:rPr>
          <w:rFonts w:eastAsia="仿宋_GB2312"/>
          <w:sz w:val="32"/>
          <w:szCs w:val="32"/>
        </w:rPr>
        <w:t>]YY/T 0466.1</w:t>
      </w:r>
      <w:r>
        <w:rPr>
          <w:rFonts w:eastAsia="仿宋_GB2312"/>
          <w:sz w:val="32"/>
          <w:szCs w:val="32"/>
        </w:rPr>
        <w:t>，医疗器械用于医疗器械标签、标记和提供信息的符号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部分：通用要求</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6</w:t>
      </w:r>
      <w:r>
        <w:rPr>
          <w:rFonts w:eastAsia="仿宋_GB2312"/>
          <w:sz w:val="32"/>
          <w:szCs w:val="32"/>
        </w:rPr>
        <w:t>] YY/T 0681.1</w:t>
      </w:r>
      <w:r>
        <w:rPr>
          <w:rFonts w:eastAsia="仿宋_GB2312"/>
          <w:sz w:val="32"/>
          <w:szCs w:val="32"/>
        </w:rPr>
        <w:t>，无菌医疗器械包装试验方法</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w:t>
      </w:r>
      <w:r>
        <w:rPr>
          <w:rFonts w:eastAsia="仿宋_GB2312"/>
          <w:sz w:val="32"/>
          <w:szCs w:val="32"/>
        </w:rPr>
        <w:lastRenderedPageBreak/>
        <w:t>加速老化试验指南</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7</w:t>
      </w:r>
      <w:r>
        <w:rPr>
          <w:rFonts w:eastAsia="仿宋_GB2312"/>
          <w:sz w:val="32"/>
          <w:szCs w:val="32"/>
        </w:rPr>
        <w:t>]YY/T0698.5</w:t>
      </w:r>
      <w:r>
        <w:rPr>
          <w:rFonts w:eastAsia="仿宋_GB2312"/>
          <w:sz w:val="32"/>
          <w:szCs w:val="32"/>
        </w:rPr>
        <w:t>，最终灭菌医疗器械包装材料</w:t>
      </w:r>
      <w:r>
        <w:rPr>
          <w:rFonts w:eastAsia="仿宋_GB2312"/>
          <w:sz w:val="32"/>
          <w:szCs w:val="32"/>
        </w:rPr>
        <w:t xml:space="preserve"> </w:t>
      </w:r>
      <w:r>
        <w:rPr>
          <w:rFonts w:eastAsia="仿宋_GB2312"/>
          <w:sz w:val="32"/>
          <w:szCs w:val="32"/>
        </w:rPr>
        <w:t>第五部分透气材料与塑料膜组成的可密封组合袋和卷材要求和试验方法</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8</w:t>
      </w:r>
      <w:r>
        <w:rPr>
          <w:rFonts w:eastAsia="仿宋_GB2312"/>
          <w:sz w:val="32"/>
          <w:szCs w:val="32"/>
        </w:rPr>
        <w:t>]YY/T 0698.6</w:t>
      </w:r>
      <w:r>
        <w:rPr>
          <w:rFonts w:eastAsia="仿宋_GB2312"/>
          <w:sz w:val="32"/>
          <w:szCs w:val="32"/>
        </w:rPr>
        <w:t>，最终灭菌医疗器械包装材料</w:t>
      </w:r>
      <w:r>
        <w:rPr>
          <w:rFonts w:eastAsia="仿宋_GB2312"/>
          <w:sz w:val="32"/>
          <w:szCs w:val="32"/>
        </w:rPr>
        <w:t xml:space="preserve"> </w:t>
      </w:r>
      <w:r>
        <w:rPr>
          <w:rFonts w:eastAsia="仿宋_GB2312"/>
          <w:sz w:val="32"/>
          <w:szCs w:val="32"/>
        </w:rPr>
        <w:t>第</w:t>
      </w:r>
      <w:r>
        <w:rPr>
          <w:rFonts w:eastAsia="仿宋_GB2312"/>
          <w:sz w:val="32"/>
          <w:szCs w:val="32"/>
        </w:rPr>
        <w:t>6</w:t>
      </w:r>
      <w:r>
        <w:rPr>
          <w:rFonts w:eastAsia="仿宋_GB2312"/>
          <w:sz w:val="32"/>
          <w:szCs w:val="32"/>
        </w:rPr>
        <w:t>部分：用于低温灭菌过程或辐射灭菌的无菌屏障系统生产用纸要求和试验方法</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9</w:t>
      </w:r>
      <w:r>
        <w:rPr>
          <w:rFonts w:eastAsia="仿宋_GB2312"/>
          <w:sz w:val="32"/>
          <w:szCs w:val="32"/>
        </w:rPr>
        <w:t>]</w:t>
      </w:r>
      <w:r>
        <w:rPr>
          <w:rFonts w:eastAsia="仿宋_GB2312"/>
          <w:sz w:val="32"/>
          <w:szCs w:val="32"/>
        </w:rPr>
        <w:t>中华人民共和国药典（</w:t>
      </w:r>
      <w:r>
        <w:rPr>
          <w:rFonts w:eastAsia="仿宋_GB2312"/>
          <w:sz w:val="32"/>
          <w:szCs w:val="32"/>
        </w:rPr>
        <w:t>2020</w:t>
      </w:r>
      <w:r>
        <w:rPr>
          <w:rFonts w:eastAsia="仿宋_GB2312"/>
          <w:sz w:val="32"/>
          <w:szCs w:val="32"/>
        </w:rPr>
        <w:t>年版</w:t>
      </w:r>
      <w:r>
        <w:rPr>
          <w:rFonts w:eastAsia="仿宋_GB2312" w:hint="eastAsia"/>
          <w:sz w:val="32"/>
          <w:szCs w:val="32"/>
        </w:rPr>
        <w:t>）</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30</w:t>
      </w:r>
      <w:r>
        <w:rPr>
          <w:rFonts w:eastAsia="仿宋_GB2312"/>
          <w:sz w:val="32"/>
          <w:szCs w:val="32"/>
        </w:rPr>
        <w:t>]</w:t>
      </w:r>
      <w:r>
        <w:rPr>
          <w:rFonts w:eastAsia="仿宋_GB2312"/>
          <w:bCs/>
          <w:sz w:val="32"/>
          <w:szCs w:val="32"/>
        </w:rPr>
        <w:t>ASTM F1980</w:t>
      </w:r>
      <w:r>
        <w:rPr>
          <w:rFonts w:eastAsia="仿宋_GB2312" w:hint="eastAsia"/>
          <w:bCs/>
          <w:sz w:val="32"/>
          <w:szCs w:val="32"/>
        </w:rPr>
        <w:t>，</w:t>
      </w:r>
      <w:r>
        <w:rPr>
          <w:rFonts w:eastAsia="仿宋_GB2312"/>
          <w:bCs/>
          <w:sz w:val="32"/>
          <w:szCs w:val="32"/>
        </w:rPr>
        <w:t>医疗器械无菌屏障系统加速老化的标准指南</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31</w:t>
      </w:r>
      <w:r>
        <w:rPr>
          <w:rFonts w:eastAsia="仿宋_GB2312"/>
          <w:sz w:val="32"/>
          <w:szCs w:val="32"/>
        </w:rPr>
        <w:t>]</w:t>
      </w:r>
      <w:r>
        <w:rPr>
          <w:rFonts w:eastAsia="仿宋_GB2312"/>
          <w:bCs/>
          <w:sz w:val="32"/>
          <w:szCs w:val="32"/>
        </w:rPr>
        <w:t>ISO 11607</w:t>
      </w:r>
      <w:r>
        <w:rPr>
          <w:rFonts w:eastAsia="仿宋_GB2312" w:hint="eastAsia"/>
          <w:bCs/>
          <w:sz w:val="32"/>
          <w:szCs w:val="32"/>
        </w:rPr>
        <w:t>，</w:t>
      </w:r>
      <w:r>
        <w:rPr>
          <w:rFonts w:eastAsia="仿宋_GB2312"/>
          <w:bCs/>
          <w:sz w:val="32"/>
          <w:szCs w:val="32"/>
        </w:rPr>
        <w:t>最终灭菌医疗器械的包装</w:t>
      </w:r>
      <w:r>
        <w:rPr>
          <w:rFonts w:eastAsia="仿宋_GB2312" w:hint="eastAsia"/>
          <w:bCs/>
          <w:sz w:val="32"/>
          <w:szCs w:val="32"/>
        </w:rPr>
        <w:t xml:space="preserve"> </w:t>
      </w:r>
      <w:r>
        <w:rPr>
          <w:rFonts w:eastAsia="仿宋_GB2312"/>
          <w:bCs/>
          <w:sz w:val="32"/>
          <w:szCs w:val="32"/>
        </w:rPr>
        <w:t>系列标准</w:t>
      </w:r>
      <w:r>
        <w:rPr>
          <w:rFonts w:eastAsia="仿宋_GB2312"/>
          <w:sz w:val="32"/>
          <w:szCs w:val="32"/>
        </w:rPr>
        <w:t>[S].</w:t>
      </w:r>
    </w:p>
    <w:p w:rsidR="0034448F" w:rsidRDefault="00CB2AB8" w:rsidP="00CB2AB8">
      <w:pPr>
        <w:spacing w:line="520" w:lineRule="exact"/>
        <w:ind w:firstLineChars="200" w:firstLine="640"/>
        <w:rPr>
          <w:rFonts w:eastAsia="仿宋_GB2312"/>
          <w:sz w:val="32"/>
          <w:szCs w:val="32"/>
        </w:rPr>
      </w:pPr>
      <w:r>
        <w:rPr>
          <w:rFonts w:eastAsia="仿宋_GB2312"/>
          <w:sz w:val="32"/>
          <w:szCs w:val="32"/>
        </w:rPr>
        <w:t>[</w:t>
      </w:r>
      <w:r>
        <w:rPr>
          <w:rFonts w:eastAsia="仿宋_GB2312" w:hint="eastAsia"/>
          <w:sz w:val="32"/>
          <w:szCs w:val="32"/>
        </w:rPr>
        <w:t>32</w:t>
      </w:r>
      <w:r>
        <w:rPr>
          <w:rFonts w:eastAsia="仿宋_GB2312"/>
          <w:sz w:val="32"/>
          <w:szCs w:val="32"/>
        </w:rPr>
        <w:t>]</w:t>
      </w:r>
      <w:r>
        <w:rPr>
          <w:rFonts w:eastAsia="仿宋_GB2312"/>
          <w:bCs/>
          <w:sz w:val="32"/>
          <w:szCs w:val="32"/>
        </w:rPr>
        <w:t>ASTM D4169</w:t>
      </w:r>
      <w:r>
        <w:rPr>
          <w:rFonts w:eastAsia="仿宋_GB2312" w:hint="eastAsia"/>
          <w:bCs/>
          <w:sz w:val="32"/>
          <w:szCs w:val="32"/>
        </w:rPr>
        <w:t>，</w:t>
      </w:r>
      <w:r>
        <w:rPr>
          <w:rFonts w:eastAsia="仿宋_GB2312"/>
          <w:bCs/>
          <w:sz w:val="32"/>
          <w:szCs w:val="32"/>
        </w:rPr>
        <w:t>包装检测</w:t>
      </w:r>
      <w:r>
        <w:rPr>
          <w:rFonts w:eastAsia="仿宋_GB2312"/>
          <w:sz w:val="32"/>
          <w:szCs w:val="32"/>
        </w:rPr>
        <w:t>[S].</w:t>
      </w:r>
    </w:p>
    <w:sectPr w:rsidR="0034448F" w:rsidSect="004B0F88">
      <w:footerReference w:type="even" r:id="rId8"/>
      <w:footerReference w:type="default" r:id="rId9"/>
      <w:pgSz w:w="11906" w:h="16838"/>
      <w:pgMar w:top="2098" w:right="1588" w:bottom="2098"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DC3" w:rsidRDefault="00BB6DC3" w:rsidP="004B0F88">
      <w:r>
        <w:separator/>
      </w:r>
    </w:p>
  </w:endnote>
  <w:endnote w:type="continuationSeparator" w:id="0">
    <w:p w:rsidR="00BB6DC3" w:rsidRDefault="00BB6DC3" w:rsidP="004B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F88" w:rsidRPr="004B0F88" w:rsidRDefault="004B0F88">
    <w:pPr>
      <w:pStyle w:val="ab"/>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Pr>
        <w:rFonts w:ascii="仿宋" w:eastAsia="仿宋" w:hAnsi="仿宋" w:cs="仿宋"/>
        <w:noProof/>
        <w:sz w:val="32"/>
        <w:szCs w:val="32"/>
      </w:rPr>
      <w:t>14</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F88" w:rsidRPr="004B0F88" w:rsidRDefault="004B0F88" w:rsidP="004B0F88">
    <w:pPr>
      <w:pStyle w:val="ab"/>
      <w:jc w:val="right"/>
      <w:rPr>
        <w:rFonts w:ascii="仿宋" w:eastAsia="仿宋" w:hAnsi="仿宋" w:cs="仿宋" w:hint="eastAsia"/>
        <w:sz w:val="32"/>
        <w:szCs w:val="32"/>
      </w:rPr>
    </w:pPr>
    <w:r>
      <w:rPr>
        <w:rFonts w:ascii="仿宋" w:eastAsia="仿宋" w:hAnsi="仿宋" w:cs="仿宋" w:hint="eastAsia"/>
        <w:sz w:val="32"/>
        <w:szCs w:val="32"/>
      </w:rPr>
      <w:t xml:space="preserve">— </w:t>
    </w:r>
    <w:r>
      <w:rPr>
        <w:rFonts w:ascii="仿宋" w:eastAsia="仿宋" w:hAnsi="仿宋" w:cs="仿宋" w:hint="eastAsia"/>
        <w:sz w:val="32"/>
        <w:szCs w:val="32"/>
      </w:rPr>
      <w:fldChar w:fldCharType="begin"/>
    </w:r>
    <w:r>
      <w:rPr>
        <w:rFonts w:ascii="仿宋" w:eastAsia="仿宋" w:hAnsi="仿宋" w:cs="仿宋" w:hint="eastAsia"/>
        <w:sz w:val="32"/>
        <w:szCs w:val="32"/>
      </w:rPr>
      <w:instrText xml:space="preserve"> PAGE  \* MERGEFORMAT </w:instrText>
    </w:r>
    <w:r>
      <w:rPr>
        <w:rFonts w:ascii="仿宋" w:eastAsia="仿宋" w:hAnsi="仿宋" w:cs="仿宋" w:hint="eastAsia"/>
        <w:sz w:val="32"/>
        <w:szCs w:val="32"/>
      </w:rPr>
      <w:fldChar w:fldCharType="separate"/>
    </w:r>
    <w:r>
      <w:rPr>
        <w:rFonts w:ascii="仿宋" w:eastAsia="仿宋" w:hAnsi="仿宋" w:cs="仿宋"/>
        <w:noProof/>
        <w:sz w:val="32"/>
        <w:szCs w:val="32"/>
      </w:rPr>
      <w:t>15</w:t>
    </w:r>
    <w:r>
      <w:rPr>
        <w:rFonts w:ascii="仿宋" w:eastAsia="仿宋" w:hAnsi="仿宋" w:cs="仿宋" w:hint="eastAsia"/>
        <w:sz w:val="32"/>
        <w:szCs w:val="32"/>
      </w:rPr>
      <w:fldChar w:fldCharType="end"/>
    </w:r>
    <w:r>
      <w:rPr>
        <w:rFonts w:ascii="仿宋" w:eastAsia="仿宋" w:hAnsi="仿宋" w:cs="仿宋" w:hint="eastAsia"/>
        <w:sz w:val="32"/>
        <w:szCs w:val="3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DC3" w:rsidRDefault="00BB6DC3" w:rsidP="004B0F88">
      <w:r>
        <w:separator/>
      </w:r>
    </w:p>
  </w:footnote>
  <w:footnote w:type="continuationSeparator" w:id="0">
    <w:p w:rsidR="00BB6DC3" w:rsidRDefault="00BB6DC3" w:rsidP="004B0F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4BDF4"/>
    <w:multiLevelType w:val="singleLevel"/>
    <w:tmpl w:val="27C4BDF4"/>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009C595E"/>
    <w:rsid w:val="00000ED7"/>
    <w:rsid w:val="00002FA7"/>
    <w:rsid w:val="00004842"/>
    <w:rsid w:val="00015E00"/>
    <w:rsid w:val="00021D8D"/>
    <w:rsid w:val="00021E44"/>
    <w:rsid w:val="00022854"/>
    <w:rsid w:val="000248E1"/>
    <w:rsid w:val="00027B78"/>
    <w:rsid w:val="00030A17"/>
    <w:rsid w:val="00030A7A"/>
    <w:rsid w:val="00031112"/>
    <w:rsid w:val="0003116F"/>
    <w:rsid w:val="00033D2F"/>
    <w:rsid w:val="0003467D"/>
    <w:rsid w:val="00035EEB"/>
    <w:rsid w:val="00036317"/>
    <w:rsid w:val="00041D38"/>
    <w:rsid w:val="000454C9"/>
    <w:rsid w:val="00046A0D"/>
    <w:rsid w:val="000531DE"/>
    <w:rsid w:val="00056801"/>
    <w:rsid w:val="00064D08"/>
    <w:rsid w:val="000660A1"/>
    <w:rsid w:val="00066125"/>
    <w:rsid w:val="00072A1E"/>
    <w:rsid w:val="000812FB"/>
    <w:rsid w:val="0008134E"/>
    <w:rsid w:val="000876E4"/>
    <w:rsid w:val="000967BE"/>
    <w:rsid w:val="000A2FC4"/>
    <w:rsid w:val="000B0327"/>
    <w:rsid w:val="000C050B"/>
    <w:rsid w:val="000C7BEA"/>
    <w:rsid w:val="000D0807"/>
    <w:rsid w:val="000D46E4"/>
    <w:rsid w:val="000E4FE3"/>
    <w:rsid w:val="000E634E"/>
    <w:rsid w:val="000F16CE"/>
    <w:rsid w:val="0010505F"/>
    <w:rsid w:val="00106654"/>
    <w:rsid w:val="00106923"/>
    <w:rsid w:val="0010771A"/>
    <w:rsid w:val="00107F1D"/>
    <w:rsid w:val="00111594"/>
    <w:rsid w:val="0011177C"/>
    <w:rsid w:val="001118A1"/>
    <w:rsid w:val="00113565"/>
    <w:rsid w:val="00115F70"/>
    <w:rsid w:val="001252E2"/>
    <w:rsid w:val="001334D1"/>
    <w:rsid w:val="00135F96"/>
    <w:rsid w:val="00141CE8"/>
    <w:rsid w:val="00143BDC"/>
    <w:rsid w:val="001457F4"/>
    <w:rsid w:val="00153F0E"/>
    <w:rsid w:val="001540DB"/>
    <w:rsid w:val="00155AC6"/>
    <w:rsid w:val="00160CB6"/>
    <w:rsid w:val="00161801"/>
    <w:rsid w:val="00164E80"/>
    <w:rsid w:val="001653E1"/>
    <w:rsid w:val="0017254A"/>
    <w:rsid w:val="00172F8E"/>
    <w:rsid w:val="001777E7"/>
    <w:rsid w:val="0019124A"/>
    <w:rsid w:val="001945B7"/>
    <w:rsid w:val="00196CE0"/>
    <w:rsid w:val="001A471C"/>
    <w:rsid w:val="001A4C7F"/>
    <w:rsid w:val="001A6747"/>
    <w:rsid w:val="001B76C3"/>
    <w:rsid w:val="001D0663"/>
    <w:rsid w:val="001D1C4F"/>
    <w:rsid w:val="001D6450"/>
    <w:rsid w:val="001D6BB0"/>
    <w:rsid w:val="001E1562"/>
    <w:rsid w:val="001E4396"/>
    <w:rsid w:val="001E55AA"/>
    <w:rsid w:val="001E7FAC"/>
    <w:rsid w:val="001F0EA6"/>
    <w:rsid w:val="001F37A7"/>
    <w:rsid w:val="001F44AB"/>
    <w:rsid w:val="001F7CA1"/>
    <w:rsid w:val="00200FCA"/>
    <w:rsid w:val="0020392F"/>
    <w:rsid w:val="0020435A"/>
    <w:rsid w:val="00204492"/>
    <w:rsid w:val="00204E38"/>
    <w:rsid w:val="00207655"/>
    <w:rsid w:val="00212C5B"/>
    <w:rsid w:val="00214493"/>
    <w:rsid w:val="00222267"/>
    <w:rsid w:val="002223EC"/>
    <w:rsid w:val="00224EAE"/>
    <w:rsid w:val="00225CEC"/>
    <w:rsid w:val="00233EBE"/>
    <w:rsid w:val="00243EE4"/>
    <w:rsid w:val="00250E40"/>
    <w:rsid w:val="0025196C"/>
    <w:rsid w:val="00252B1F"/>
    <w:rsid w:val="0026201C"/>
    <w:rsid w:val="00264743"/>
    <w:rsid w:val="00267078"/>
    <w:rsid w:val="00280433"/>
    <w:rsid w:val="00281497"/>
    <w:rsid w:val="0028236A"/>
    <w:rsid w:val="00286F37"/>
    <w:rsid w:val="00290354"/>
    <w:rsid w:val="00292381"/>
    <w:rsid w:val="00294158"/>
    <w:rsid w:val="00296082"/>
    <w:rsid w:val="00296525"/>
    <w:rsid w:val="00296F1F"/>
    <w:rsid w:val="002A1C5C"/>
    <w:rsid w:val="002A4B21"/>
    <w:rsid w:val="002A6185"/>
    <w:rsid w:val="002B39EF"/>
    <w:rsid w:val="002B4DFE"/>
    <w:rsid w:val="002B6A52"/>
    <w:rsid w:val="002E19FD"/>
    <w:rsid w:val="002F0BFB"/>
    <w:rsid w:val="002F16B1"/>
    <w:rsid w:val="002F294F"/>
    <w:rsid w:val="002F4CE9"/>
    <w:rsid w:val="0030011E"/>
    <w:rsid w:val="00300E8A"/>
    <w:rsid w:val="00301EE1"/>
    <w:rsid w:val="00305590"/>
    <w:rsid w:val="00310F21"/>
    <w:rsid w:val="0031183F"/>
    <w:rsid w:val="00311959"/>
    <w:rsid w:val="00311BC3"/>
    <w:rsid w:val="00312C23"/>
    <w:rsid w:val="0031429D"/>
    <w:rsid w:val="00314549"/>
    <w:rsid w:val="0031497E"/>
    <w:rsid w:val="00314B33"/>
    <w:rsid w:val="0031525E"/>
    <w:rsid w:val="00316BA1"/>
    <w:rsid w:val="0032393C"/>
    <w:rsid w:val="003269F8"/>
    <w:rsid w:val="0033063A"/>
    <w:rsid w:val="00333431"/>
    <w:rsid w:val="00334577"/>
    <w:rsid w:val="00336A4B"/>
    <w:rsid w:val="00343748"/>
    <w:rsid w:val="0034448F"/>
    <w:rsid w:val="003577E8"/>
    <w:rsid w:val="00363528"/>
    <w:rsid w:val="0036564A"/>
    <w:rsid w:val="00367E8B"/>
    <w:rsid w:val="00370FB7"/>
    <w:rsid w:val="00371899"/>
    <w:rsid w:val="00374E91"/>
    <w:rsid w:val="00375DBC"/>
    <w:rsid w:val="00387BA0"/>
    <w:rsid w:val="0039157D"/>
    <w:rsid w:val="00393EB6"/>
    <w:rsid w:val="00397031"/>
    <w:rsid w:val="003A1804"/>
    <w:rsid w:val="003A2757"/>
    <w:rsid w:val="003B6292"/>
    <w:rsid w:val="003C3852"/>
    <w:rsid w:val="003E17DA"/>
    <w:rsid w:val="003E18FD"/>
    <w:rsid w:val="003E53A1"/>
    <w:rsid w:val="003F0C52"/>
    <w:rsid w:val="003F1D34"/>
    <w:rsid w:val="003F2621"/>
    <w:rsid w:val="00403818"/>
    <w:rsid w:val="00405625"/>
    <w:rsid w:val="00405CB3"/>
    <w:rsid w:val="00406151"/>
    <w:rsid w:val="00407CB3"/>
    <w:rsid w:val="0041483D"/>
    <w:rsid w:val="004154FA"/>
    <w:rsid w:val="004155B4"/>
    <w:rsid w:val="00417B8C"/>
    <w:rsid w:val="004242A2"/>
    <w:rsid w:val="0042598F"/>
    <w:rsid w:val="00425F8A"/>
    <w:rsid w:val="004278FB"/>
    <w:rsid w:val="00434E90"/>
    <w:rsid w:val="00436BDB"/>
    <w:rsid w:val="00437904"/>
    <w:rsid w:val="0044501A"/>
    <w:rsid w:val="00445BBC"/>
    <w:rsid w:val="004505A1"/>
    <w:rsid w:val="00454429"/>
    <w:rsid w:val="00454E4D"/>
    <w:rsid w:val="00460E92"/>
    <w:rsid w:val="004614B0"/>
    <w:rsid w:val="004654D5"/>
    <w:rsid w:val="00465E3C"/>
    <w:rsid w:val="004716A5"/>
    <w:rsid w:val="004758D8"/>
    <w:rsid w:val="00477037"/>
    <w:rsid w:val="00477CAA"/>
    <w:rsid w:val="004806A1"/>
    <w:rsid w:val="00490997"/>
    <w:rsid w:val="00490F51"/>
    <w:rsid w:val="004922E6"/>
    <w:rsid w:val="004951FD"/>
    <w:rsid w:val="004B0F88"/>
    <w:rsid w:val="004B192C"/>
    <w:rsid w:val="004B215B"/>
    <w:rsid w:val="004B247C"/>
    <w:rsid w:val="004B752D"/>
    <w:rsid w:val="004B7C7B"/>
    <w:rsid w:val="004B7DAA"/>
    <w:rsid w:val="004C1AAF"/>
    <w:rsid w:val="004C752F"/>
    <w:rsid w:val="004D52F5"/>
    <w:rsid w:val="004D660B"/>
    <w:rsid w:val="004D6EF5"/>
    <w:rsid w:val="004E1731"/>
    <w:rsid w:val="004F0A0D"/>
    <w:rsid w:val="0050086B"/>
    <w:rsid w:val="005063D3"/>
    <w:rsid w:val="00506D28"/>
    <w:rsid w:val="00507C92"/>
    <w:rsid w:val="005155C0"/>
    <w:rsid w:val="00515FFD"/>
    <w:rsid w:val="0051602F"/>
    <w:rsid w:val="00516EE7"/>
    <w:rsid w:val="0052114C"/>
    <w:rsid w:val="0052134E"/>
    <w:rsid w:val="0052180E"/>
    <w:rsid w:val="00521DF0"/>
    <w:rsid w:val="0052647C"/>
    <w:rsid w:val="005330B3"/>
    <w:rsid w:val="00533B94"/>
    <w:rsid w:val="00536892"/>
    <w:rsid w:val="0053727F"/>
    <w:rsid w:val="005415F7"/>
    <w:rsid w:val="005628C7"/>
    <w:rsid w:val="00563A46"/>
    <w:rsid w:val="00565A9A"/>
    <w:rsid w:val="00583758"/>
    <w:rsid w:val="0058576D"/>
    <w:rsid w:val="00590B39"/>
    <w:rsid w:val="00591B72"/>
    <w:rsid w:val="00595DB1"/>
    <w:rsid w:val="005A05F6"/>
    <w:rsid w:val="005B011B"/>
    <w:rsid w:val="005B1EDA"/>
    <w:rsid w:val="005B42B7"/>
    <w:rsid w:val="005C013D"/>
    <w:rsid w:val="005C4E3B"/>
    <w:rsid w:val="005D17BE"/>
    <w:rsid w:val="005E166C"/>
    <w:rsid w:val="005E308C"/>
    <w:rsid w:val="005E50F9"/>
    <w:rsid w:val="005E5AE1"/>
    <w:rsid w:val="005F1AE5"/>
    <w:rsid w:val="005F367C"/>
    <w:rsid w:val="005F5093"/>
    <w:rsid w:val="005F541E"/>
    <w:rsid w:val="006075EF"/>
    <w:rsid w:val="0061089D"/>
    <w:rsid w:val="006112D9"/>
    <w:rsid w:val="006130C1"/>
    <w:rsid w:val="00622B11"/>
    <w:rsid w:val="00622C97"/>
    <w:rsid w:val="006232EF"/>
    <w:rsid w:val="00626FB3"/>
    <w:rsid w:val="00627C5E"/>
    <w:rsid w:val="00641CC9"/>
    <w:rsid w:val="0064320E"/>
    <w:rsid w:val="00650A13"/>
    <w:rsid w:val="0065428C"/>
    <w:rsid w:val="00655F60"/>
    <w:rsid w:val="00661505"/>
    <w:rsid w:val="00661EFE"/>
    <w:rsid w:val="0066299C"/>
    <w:rsid w:val="00670935"/>
    <w:rsid w:val="00672B86"/>
    <w:rsid w:val="00675CC7"/>
    <w:rsid w:val="0068113E"/>
    <w:rsid w:val="00686784"/>
    <w:rsid w:val="006A10D0"/>
    <w:rsid w:val="006A3402"/>
    <w:rsid w:val="006B1269"/>
    <w:rsid w:val="006B1445"/>
    <w:rsid w:val="006B1556"/>
    <w:rsid w:val="006B4750"/>
    <w:rsid w:val="006C4857"/>
    <w:rsid w:val="006C541A"/>
    <w:rsid w:val="006C6825"/>
    <w:rsid w:val="006C723C"/>
    <w:rsid w:val="006D1E3F"/>
    <w:rsid w:val="006D3E63"/>
    <w:rsid w:val="006D4A32"/>
    <w:rsid w:val="006D61E5"/>
    <w:rsid w:val="006E36A7"/>
    <w:rsid w:val="006E6AF4"/>
    <w:rsid w:val="006E7AEF"/>
    <w:rsid w:val="006F2F43"/>
    <w:rsid w:val="006F3A6B"/>
    <w:rsid w:val="006F4A82"/>
    <w:rsid w:val="006F5941"/>
    <w:rsid w:val="007002DE"/>
    <w:rsid w:val="007041B3"/>
    <w:rsid w:val="0070506C"/>
    <w:rsid w:val="00707AF7"/>
    <w:rsid w:val="0071211D"/>
    <w:rsid w:val="00713EE7"/>
    <w:rsid w:val="00715C5A"/>
    <w:rsid w:val="00716E19"/>
    <w:rsid w:val="00724B75"/>
    <w:rsid w:val="00727D7E"/>
    <w:rsid w:val="0073011C"/>
    <w:rsid w:val="00732DE4"/>
    <w:rsid w:val="007333A6"/>
    <w:rsid w:val="00734411"/>
    <w:rsid w:val="00735C2A"/>
    <w:rsid w:val="0074166E"/>
    <w:rsid w:val="00744754"/>
    <w:rsid w:val="007505E4"/>
    <w:rsid w:val="00752C09"/>
    <w:rsid w:val="00752F32"/>
    <w:rsid w:val="007560C7"/>
    <w:rsid w:val="007633FC"/>
    <w:rsid w:val="00765E0B"/>
    <w:rsid w:val="00767E21"/>
    <w:rsid w:val="007755AB"/>
    <w:rsid w:val="00777F9A"/>
    <w:rsid w:val="00791E68"/>
    <w:rsid w:val="00794E9B"/>
    <w:rsid w:val="007955B5"/>
    <w:rsid w:val="00797EAF"/>
    <w:rsid w:val="007A021C"/>
    <w:rsid w:val="007A1646"/>
    <w:rsid w:val="007A49A5"/>
    <w:rsid w:val="007B4171"/>
    <w:rsid w:val="007B6D49"/>
    <w:rsid w:val="007C17BE"/>
    <w:rsid w:val="007C7BDF"/>
    <w:rsid w:val="007D2AB1"/>
    <w:rsid w:val="007E3E8E"/>
    <w:rsid w:val="007E5C92"/>
    <w:rsid w:val="007E69DE"/>
    <w:rsid w:val="00803C7A"/>
    <w:rsid w:val="00806B5C"/>
    <w:rsid w:val="00814248"/>
    <w:rsid w:val="00814CFB"/>
    <w:rsid w:val="00817264"/>
    <w:rsid w:val="008205B7"/>
    <w:rsid w:val="008208B6"/>
    <w:rsid w:val="00822002"/>
    <w:rsid w:val="00823D9B"/>
    <w:rsid w:val="00835240"/>
    <w:rsid w:val="00840B03"/>
    <w:rsid w:val="008430CC"/>
    <w:rsid w:val="008504FC"/>
    <w:rsid w:val="008510CB"/>
    <w:rsid w:val="00856123"/>
    <w:rsid w:val="008604A2"/>
    <w:rsid w:val="0086409C"/>
    <w:rsid w:val="008703DF"/>
    <w:rsid w:val="008715BF"/>
    <w:rsid w:val="00871EF6"/>
    <w:rsid w:val="00873F83"/>
    <w:rsid w:val="008748C6"/>
    <w:rsid w:val="00875139"/>
    <w:rsid w:val="00876DBF"/>
    <w:rsid w:val="008774BB"/>
    <w:rsid w:val="00884CC1"/>
    <w:rsid w:val="00884F51"/>
    <w:rsid w:val="00891BCA"/>
    <w:rsid w:val="008945B8"/>
    <w:rsid w:val="008A12C2"/>
    <w:rsid w:val="008A3DB3"/>
    <w:rsid w:val="008A6987"/>
    <w:rsid w:val="008B4157"/>
    <w:rsid w:val="008C04EC"/>
    <w:rsid w:val="008C06F5"/>
    <w:rsid w:val="008C0DA5"/>
    <w:rsid w:val="008D1339"/>
    <w:rsid w:val="008D1985"/>
    <w:rsid w:val="008D2812"/>
    <w:rsid w:val="008D6CFE"/>
    <w:rsid w:val="008D7AA2"/>
    <w:rsid w:val="008E04A4"/>
    <w:rsid w:val="008E0AAD"/>
    <w:rsid w:val="008E2C6B"/>
    <w:rsid w:val="008E5535"/>
    <w:rsid w:val="008F0923"/>
    <w:rsid w:val="008F51C0"/>
    <w:rsid w:val="008F65C5"/>
    <w:rsid w:val="008F74A6"/>
    <w:rsid w:val="00902707"/>
    <w:rsid w:val="009251A4"/>
    <w:rsid w:val="00927F32"/>
    <w:rsid w:val="009314F5"/>
    <w:rsid w:val="009337B8"/>
    <w:rsid w:val="00937AA9"/>
    <w:rsid w:val="009404C7"/>
    <w:rsid w:val="00940BCA"/>
    <w:rsid w:val="00945154"/>
    <w:rsid w:val="00951972"/>
    <w:rsid w:val="009526D3"/>
    <w:rsid w:val="00961B61"/>
    <w:rsid w:val="009623E1"/>
    <w:rsid w:val="00963465"/>
    <w:rsid w:val="00973A28"/>
    <w:rsid w:val="00974979"/>
    <w:rsid w:val="009835BB"/>
    <w:rsid w:val="00987D3B"/>
    <w:rsid w:val="00990575"/>
    <w:rsid w:val="0099182E"/>
    <w:rsid w:val="00991A40"/>
    <w:rsid w:val="00991A42"/>
    <w:rsid w:val="00996A26"/>
    <w:rsid w:val="009A6CF4"/>
    <w:rsid w:val="009B289D"/>
    <w:rsid w:val="009B768A"/>
    <w:rsid w:val="009C07FC"/>
    <w:rsid w:val="009C0A5A"/>
    <w:rsid w:val="009C2606"/>
    <w:rsid w:val="009C5785"/>
    <w:rsid w:val="009C595E"/>
    <w:rsid w:val="009D028C"/>
    <w:rsid w:val="009D03CB"/>
    <w:rsid w:val="009D170E"/>
    <w:rsid w:val="009D760B"/>
    <w:rsid w:val="009E06CE"/>
    <w:rsid w:val="009E2ACE"/>
    <w:rsid w:val="009F0585"/>
    <w:rsid w:val="009F0B1C"/>
    <w:rsid w:val="009F0BE7"/>
    <w:rsid w:val="009F1F21"/>
    <w:rsid w:val="009F22CB"/>
    <w:rsid w:val="009F43C1"/>
    <w:rsid w:val="009F4F69"/>
    <w:rsid w:val="00A012B8"/>
    <w:rsid w:val="00A0792E"/>
    <w:rsid w:val="00A210E0"/>
    <w:rsid w:val="00A2698F"/>
    <w:rsid w:val="00A321CB"/>
    <w:rsid w:val="00A32F81"/>
    <w:rsid w:val="00A37A40"/>
    <w:rsid w:val="00A4142A"/>
    <w:rsid w:val="00A46908"/>
    <w:rsid w:val="00A477A4"/>
    <w:rsid w:val="00A573C5"/>
    <w:rsid w:val="00A6312A"/>
    <w:rsid w:val="00A72A5C"/>
    <w:rsid w:val="00A730E8"/>
    <w:rsid w:val="00A74294"/>
    <w:rsid w:val="00A809C4"/>
    <w:rsid w:val="00A81B96"/>
    <w:rsid w:val="00A84A23"/>
    <w:rsid w:val="00AA017B"/>
    <w:rsid w:val="00AA2B2B"/>
    <w:rsid w:val="00AA77C3"/>
    <w:rsid w:val="00AB0C20"/>
    <w:rsid w:val="00AB46E1"/>
    <w:rsid w:val="00AB77C4"/>
    <w:rsid w:val="00AC3279"/>
    <w:rsid w:val="00AD031F"/>
    <w:rsid w:val="00AD1154"/>
    <w:rsid w:val="00AD22A0"/>
    <w:rsid w:val="00AD62FF"/>
    <w:rsid w:val="00AD6A03"/>
    <w:rsid w:val="00AE0E35"/>
    <w:rsid w:val="00AE2D9F"/>
    <w:rsid w:val="00AE3F13"/>
    <w:rsid w:val="00AE431E"/>
    <w:rsid w:val="00AE4808"/>
    <w:rsid w:val="00AE7DA3"/>
    <w:rsid w:val="00AF7A9E"/>
    <w:rsid w:val="00B046FF"/>
    <w:rsid w:val="00B11E94"/>
    <w:rsid w:val="00B14308"/>
    <w:rsid w:val="00B17E23"/>
    <w:rsid w:val="00B21BDD"/>
    <w:rsid w:val="00B313B8"/>
    <w:rsid w:val="00B40724"/>
    <w:rsid w:val="00B40C7F"/>
    <w:rsid w:val="00B46673"/>
    <w:rsid w:val="00B51511"/>
    <w:rsid w:val="00B5273A"/>
    <w:rsid w:val="00B56BB0"/>
    <w:rsid w:val="00B56DA0"/>
    <w:rsid w:val="00B62C22"/>
    <w:rsid w:val="00B63A8A"/>
    <w:rsid w:val="00B80943"/>
    <w:rsid w:val="00B849DC"/>
    <w:rsid w:val="00B84D01"/>
    <w:rsid w:val="00B84FB5"/>
    <w:rsid w:val="00B87BB5"/>
    <w:rsid w:val="00B87DDD"/>
    <w:rsid w:val="00B955E6"/>
    <w:rsid w:val="00B95646"/>
    <w:rsid w:val="00B96124"/>
    <w:rsid w:val="00BA504C"/>
    <w:rsid w:val="00BA5A23"/>
    <w:rsid w:val="00BB002C"/>
    <w:rsid w:val="00BB3591"/>
    <w:rsid w:val="00BB6DC3"/>
    <w:rsid w:val="00BB79AB"/>
    <w:rsid w:val="00BC0DA6"/>
    <w:rsid w:val="00BC241E"/>
    <w:rsid w:val="00BD3539"/>
    <w:rsid w:val="00BD36EF"/>
    <w:rsid w:val="00BD3DBD"/>
    <w:rsid w:val="00BD51ED"/>
    <w:rsid w:val="00BD5F1D"/>
    <w:rsid w:val="00BE0DC7"/>
    <w:rsid w:val="00BE199F"/>
    <w:rsid w:val="00BE309D"/>
    <w:rsid w:val="00BE3D94"/>
    <w:rsid w:val="00BE6723"/>
    <w:rsid w:val="00BF4F7A"/>
    <w:rsid w:val="00BF7244"/>
    <w:rsid w:val="00BF7482"/>
    <w:rsid w:val="00C000D3"/>
    <w:rsid w:val="00C00FF0"/>
    <w:rsid w:val="00C016CF"/>
    <w:rsid w:val="00C024A1"/>
    <w:rsid w:val="00C03F2B"/>
    <w:rsid w:val="00C0471D"/>
    <w:rsid w:val="00C05D54"/>
    <w:rsid w:val="00C150E8"/>
    <w:rsid w:val="00C175DE"/>
    <w:rsid w:val="00C20963"/>
    <w:rsid w:val="00C23204"/>
    <w:rsid w:val="00C26BF1"/>
    <w:rsid w:val="00C30E9A"/>
    <w:rsid w:val="00C3235D"/>
    <w:rsid w:val="00C34D69"/>
    <w:rsid w:val="00C35417"/>
    <w:rsid w:val="00C36419"/>
    <w:rsid w:val="00C5171A"/>
    <w:rsid w:val="00C52572"/>
    <w:rsid w:val="00C52865"/>
    <w:rsid w:val="00C567A3"/>
    <w:rsid w:val="00C56C84"/>
    <w:rsid w:val="00C60F53"/>
    <w:rsid w:val="00C70E38"/>
    <w:rsid w:val="00C74EC3"/>
    <w:rsid w:val="00C758F3"/>
    <w:rsid w:val="00C77545"/>
    <w:rsid w:val="00C82ACE"/>
    <w:rsid w:val="00C8518B"/>
    <w:rsid w:val="00C85F0D"/>
    <w:rsid w:val="00C9548C"/>
    <w:rsid w:val="00C95974"/>
    <w:rsid w:val="00CA25B2"/>
    <w:rsid w:val="00CA380D"/>
    <w:rsid w:val="00CA4CF0"/>
    <w:rsid w:val="00CA667E"/>
    <w:rsid w:val="00CB15B1"/>
    <w:rsid w:val="00CB2AB8"/>
    <w:rsid w:val="00CB3BD9"/>
    <w:rsid w:val="00CB63B5"/>
    <w:rsid w:val="00CC359C"/>
    <w:rsid w:val="00CC4B7C"/>
    <w:rsid w:val="00CC4ED5"/>
    <w:rsid w:val="00CD1845"/>
    <w:rsid w:val="00CD612B"/>
    <w:rsid w:val="00CE5B71"/>
    <w:rsid w:val="00CF5E72"/>
    <w:rsid w:val="00CF794E"/>
    <w:rsid w:val="00D01EFA"/>
    <w:rsid w:val="00D059DD"/>
    <w:rsid w:val="00D0728D"/>
    <w:rsid w:val="00D155A8"/>
    <w:rsid w:val="00D2639B"/>
    <w:rsid w:val="00D3703C"/>
    <w:rsid w:val="00D417F3"/>
    <w:rsid w:val="00D45766"/>
    <w:rsid w:val="00D465E2"/>
    <w:rsid w:val="00D46D6D"/>
    <w:rsid w:val="00D5125E"/>
    <w:rsid w:val="00D54931"/>
    <w:rsid w:val="00D56C02"/>
    <w:rsid w:val="00D578A1"/>
    <w:rsid w:val="00D6016A"/>
    <w:rsid w:val="00D60BDB"/>
    <w:rsid w:val="00D67639"/>
    <w:rsid w:val="00D700AD"/>
    <w:rsid w:val="00D701DD"/>
    <w:rsid w:val="00D8166F"/>
    <w:rsid w:val="00D90B8B"/>
    <w:rsid w:val="00D94590"/>
    <w:rsid w:val="00D9517B"/>
    <w:rsid w:val="00D97AB8"/>
    <w:rsid w:val="00DB1852"/>
    <w:rsid w:val="00DB3371"/>
    <w:rsid w:val="00DB5121"/>
    <w:rsid w:val="00DB760C"/>
    <w:rsid w:val="00DC07C7"/>
    <w:rsid w:val="00DC20BE"/>
    <w:rsid w:val="00DC3E2E"/>
    <w:rsid w:val="00DD0EA9"/>
    <w:rsid w:val="00DD2948"/>
    <w:rsid w:val="00DF5179"/>
    <w:rsid w:val="00DF5350"/>
    <w:rsid w:val="00DF54B4"/>
    <w:rsid w:val="00DF769E"/>
    <w:rsid w:val="00E027F1"/>
    <w:rsid w:val="00E02E7E"/>
    <w:rsid w:val="00E03553"/>
    <w:rsid w:val="00E04305"/>
    <w:rsid w:val="00E121E4"/>
    <w:rsid w:val="00E12F29"/>
    <w:rsid w:val="00E13AD6"/>
    <w:rsid w:val="00E16C7B"/>
    <w:rsid w:val="00E215DF"/>
    <w:rsid w:val="00E21957"/>
    <w:rsid w:val="00E21EEA"/>
    <w:rsid w:val="00E22BF1"/>
    <w:rsid w:val="00E3532F"/>
    <w:rsid w:val="00E43376"/>
    <w:rsid w:val="00E4776F"/>
    <w:rsid w:val="00E505FD"/>
    <w:rsid w:val="00E629EE"/>
    <w:rsid w:val="00E6375A"/>
    <w:rsid w:val="00E700DE"/>
    <w:rsid w:val="00E75DB9"/>
    <w:rsid w:val="00E76BF5"/>
    <w:rsid w:val="00E845F8"/>
    <w:rsid w:val="00E8614D"/>
    <w:rsid w:val="00E863C2"/>
    <w:rsid w:val="00E86CC9"/>
    <w:rsid w:val="00E91011"/>
    <w:rsid w:val="00E92476"/>
    <w:rsid w:val="00E92F67"/>
    <w:rsid w:val="00E9301F"/>
    <w:rsid w:val="00E96FDD"/>
    <w:rsid w:val="00EA1BD2"/>
    <w:rsid w:val="00EA2713"/>
    <w:rsid w:val="00EA3035"/>
    <w:rsid w:val="00EB1A19"/>
    <w:rsid w:val="00EC18CA"/>
    <w:rsid w:val="00EC1955"/>
    <w:rsid w:val="00EC2217"/>
    <w:rsid w:val="00EC7377"/>
    <w:rsid w:val="00ED1EE0"/>
    <w:rsid w:val="00ED5DE4"/>
    <w:rsid w:val="00ED5F17"/>
    <w:rsid w:val="00EF55D4"/>
    <w:rsid w:val="00EF6863"/>
    <w:rsid w:val="00F033E7"/>
    <w:rsid w:val="00F042CF"/>
    <w:rsid w:val="00F043F5"/>
    <w:rsid w:val="00F074BB"/>
    <w:rsid w:val="00F07F44"/>
    <w:rsid w:val="00F14ED3"/>
    <w:rsid w:val="00F155A1"/>
    <w:rsid w:val="00F15AB6"/>
    <w:rsid w:val="00F16316"/>
    <w:rsid w:val="00F17419"/>
    <w:rsid w:val="00F21B39"/>
    <w:rsid w:val="00F2397B"/>
    <w:rsid w:val="00F2580C"/>
    <w:rsid w:val="00F25DA1"/>
    <w:rsid w:val="00F30033"/>
    <w:rsid w:val="00F33492"/>
    <w:rsid w:val="00F33AFA"/>
    <w:rsid w:val="00F352E5"/>
    <w:rsid w:val="00F40B86"/>
    <w:rsid w:val="00F42A8E"/>
    <w:rsid w:val="00F45653"/>
    <w:rsid w:val="00F5621D"/>
    <w:rsid w:val="00F65308"/>
    <w:rsid w:val="00F80A42"/>
    <w:rsid w:val="00F86C90"/>
    <w:rsid w:val="00FA02DB"/>
    <w:rsid w:val="00FA0CCA"/>
    <w:rsid w:val="00FA5D55"/>
    <w:rsid w:val="00FB3A92"/>
    <w:rsid w:val="00FB5774"/>
    <w:rsid w:val="00FC02D8"/>
    <w:rsid w:val="00FC1512"/>
    <w:rsid w:val="00FC2368"/>
    <w:rsid w:val="00FC632A"/>
    <w:rsid w:val="00FD67FB"/>
    <w:rsid w:val="00FE1BEA"/>
    <w:rsid w:val="00FF3CE8"/>
    <w:rsid w:val="00FF4294"/>
    <w:rsid w:val="018D29CE"/>
    <w:rsid w:val="01F812A6"/>
    <w:rsid w:val="05390CA7"/>
    <w:rsid w:val="06B82724"/>
    <w:rsid w:val="0CAC7A84"/>
    <w:rsid w:val="0D2238EC"/>
    <w:rsid w:val="0E564E8C"/>
    <w:rsid w:val="0F436987"/>
    <w:rsid w:val="0FA34AB4"/>
    <w:rsid w:val="0FF4395E"/>
    <w:rsid w:val="10176FE1"/>
    <w:rsid w:val="1101453D"/>
    <w:rsid w:val="11DD3DE2"/>
    <w:rsid w:val="14FD3C17"/>
    <w:rsid w:val="15BF6961"/>
    <w:rsid w:val="178C1146"/>
    <w:rsid w:val="18F04302"/>
    <w:rsid w:val="1A721E41"/>
    <w:rsid w:val="1B544923"/>
    <w:rsid w:val="1B58139F"/>
    <w:rsid w:val="1B957B9E"/>
    <w:rsid w:val="1CA60A84"/>
    <w:rsid w:val="1D214B71"/>
    <w:rsid w:val="1E1E2921"/>
    <w:rsid w:val="1F886914"/>
    <w:rsid w:val="1FDC57C8"/>
    <w:rsid w:val="1FFB29B3"/>
    <w:rsid w:val="2038010F"/>
    <w:rsid w:val="20AC00AB"/>
    <w:rsid w:val="219D4224"/>
    <w:rsid w:val="2202205C"/>
    <w:rsid w:val="24064B3B"/>
    <w:rsid w:val="24276709"/>
    <w:rsid w:val="24E4731A"/>
    <w:rsid w:val="268F1011"/>
    <w:rsid w:val="26A52C22"/>
    <w:rsid w:val="28285E76"/>
    <w:rsid w:val="2B730C66"/>
    <w:rsid w:val="2B870A12"/>
    <w:rsid w:val="2C9A723F"/>
    <w:rsid w:val="2CF84EBF"/>
    <w:rsid w:val="2EE6776E"/>
    <w:rsid w:val="2F000980"/>
    <w:rsid w:val="2FC93C41"/>
    <w:rsid w:val="30023F3D"/>
    <w:rsid w:val="30485F06"/>
    <w:rsid w:val="31947EAE"/>
    <w:rsid w:val="32765FC9"/>
    <w:rsid w:val="35327B2B"/>
    <w:rsid w:val="3AE127E9"/>
    <w:rsid w:val="3BD713FA"/>
    <w:rsid w:val="3C892F30"/>
    <w:rsid w:val="3CDA75C2"/>
    <w:rsid w:val="400026C8"/>
    <w:rsid w:val="4091378C"/>
    <w:rsid w:val="420D0832"/>
    <w:rsid w:val="431F31D7"/>
    <w:rsid w:val="4511655F"/>
    <w:rsid w:val="46061111"/>
    <w:rsid w:val="46B63D01"/>
    <w:rsid w:val="4A450C6C"/>
    <w:rsid w:val="4CAD1A2D"/>
    <w:rsid w:val="4CCE6B8A"/>
    <w:rsid w:val="4CE7266F"/>
    <w:rsid w:val="4CF5322B"/>
    <w:rsid w:val="4DAB1FA7"/>
    <w:rsid w:val="526468F1"/>
    <w:rsid w:val="52843D07"/>
    <w:rsid w:val="53274A1E"/>
    <w:rsid w:val="546C64B0"/>
    <w:rsid w:val="55935AAA"/>
    <w:rsid w:val="5A7608F6"/>
    <w:rsid w:val="5C512E45"/>
    <w:rsid w:val="5D4401A4"/>
    <w:rsid w:val="5DBF4852"/>
    <w:rsid w:val="5ECF4288"/>
    <w:rsid w:val="5F542CB6"/>
    <w:rsid w:val="613F145C"/>
    <w:rsid w:val="622D19E4"/>
    <w:rsid w:val="632861BB"/>
    <w:rsid w:val="63BF139C"/>
    <w:rsid w:val="63C52F51"/>
    <w:rsid w:val="650D1E7F"/>
    <w:rsid w:val="65DE718E"/>
    <w:rsid w:val="660D7259"/>
    <w:rsid w:val="66860C9C"/>
    <w:rsid w:val="6958269E"/>
    <w:rsid w:val="699969B0"/>
    <w:rsid w:val="6A7A143B"/>
    <w:rsid w:val="6BED4E1C"/>
    <w:rsid w:val="6C316C8E"/>
    <w:rsid w:val="6C746B8E"/>
    <w:rsid w:val="6CF76264"/>
    <w:rsid w:val="6DAE527A"/>
    <w:rsid w:val="6E313EEB"/>
    <w:rsid w:val="6F2C4F93"/>
    <w:rsid w:val="6F9E0BF8"/>
    <w:rsid w:val="74F57CEB"/>
    <w:rsid w:val="752F7C43"/>
    <w:rsid w:val="7684063A"/>
    <w:rsid w:val="77105418"/>
    <w:rsid w:val="79D36617"/>
    <w:rsid w:val="7B133B40"/>
    <w:rsid w:val="7B9D0D16"/>
    <w:rsid w:val="7DF62D8F"/>
    <w:rsid w:val="7F1C79B5"/>
    <w:rsid w:val="7F886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A2F5CD"/>
  <w15:docId w15:val="{B051A293-A7A1-4E44-AF46-19764FA5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ody Text"/>
    <w:basedOn w:val="a"/>
    <w:link w:val="a6"/>
    <w:uiPriority w:val="1"/>
    <w:qFormat/>
    <w:pPr>
      <w:autoSpaceDE w:val="0"/>
      <w:autoSpaceDN w:val="0"/>
      <w:ind w:left="111" w:firstLine="640"/>
      <w:jc w:val="left"/>
    </w:pPr>
    <w:rPr>
      <w:rFonts w:ascii="微软雅黑" w:eastAsia="微软雅黑" w:hAnsi="微软雅黑" w:cs="微软雅黑"/>
      <w:kern w:val="0"/>
      <w:sz w:val="32"/>
      <w:szCs w:val="32"/>
    </w:rPr>
  </w:style>
  <w:style w:type="paragraph" w:styleId="a7">
    <w:name w:val="Plain Text"/>
    <w:basedOn w:val="a"/>
    <w:link w:val="a8"/>
    <w:uiPriority w:val="99"/>
    <w:unhideWhenUsed/>
    <w:qFormat/>
    <w:rPr>
      <w:rFonts w:ascii="宋体" w:hAnsi="Courier New" w:cs="Courier New"/>
      <w:szCs w:val="21"/>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Title"/>
    <w:basedOn w:val="a"/>
    <w:next w:val="a"/>
    <w:link w:val="af0"/>
    <w:uiPriority w:val="10"/>
    <w:qFormat/>
    <w:pPr>
      <w:spacing w:before="240" w:after="60"/>
      <w:jc w:val="center"/>
      <w:outlineLvl w:val="0"/>
    </w:pPr>
    <w:rPr>
      <w:rFonts w:ascii="Cambria" w:hAnsi="Cambria"/>
      <w:b/>
      <w:bCs/>
      <w:sz w:val="32"/>
      <w:szCs w:val="32"/>
    </w:rPr>
  </w:style>
  <w:style w:type="paragraph" w:styleId="af1">
    <w:name w:val="annotation subject"/>
    <w:basedOn w:val="a3"/>
    <w:next w:val="a3"/>
    <w:link w:val="af2"/>
    <w:uiPriority w:val="99"/>
    <w:unhideWhenUsed/>
    <w:qFormat/>
    <w:rPr>
      <w:b/>
      <w:bCs/>
    </w:rPr>
  </w:style>
  <w:style w:type="character" w:styleId="af3">
    <w:name w:val="annotation reference"/>
    <w:basedOn w:val="a0"/>
    <w:uiPriority w:val="99"/>
    <w:unhideWhenUsed/>
    <w:qFormat/>
    <w:rPr>
      <w:sz w:val="21"/>
      <w:szCs w:val="21"/>
    </w:rPr>
  </w:style>
  <w:style w:type="character" w:customStyle="1" w:styleId="Char">
    <w:name w:val="批注文字 Char"/>
    <w:basedOn w:val="a0"/>
    <w:uiPriority w:val="99"/>
    <w:semiHidden/>
    <w:qFormat/>
    <w:rPr>
      <w:rFonts w:ascii="Times New Roman" w:eastAsia="宋体" w:hAnsi="Times New Roman" w:cs="Times New Roman"/>
      <w:szCs w:val="24"/>
    </w:rPr>
  </w:style>
  <w:style w:type="character" w:customStyle="1" w:styleId="Char0">
    <w:name w:val="标题 Char"/>
    <w:basedOn w:val="a0"/>
    <w:uiPriority w:val="10"/>
    <w:qFormat/>
    <w:rPr>
      <w:rFonts w:asciiTheme="majorHAnsi" w:eastAsia="宋体" w:hAnsiTheme="majorHAnsi" w:cstheme="majorBidi"/>
      <w:b/>
      <w:bCs/>
      <w:sz w:val="32"/>
      <w:szCs w:val="32"/>
    </w:rPr>
  </w:style>
  <w:style w:type="character" w:customStyle="1" w:styleId="Char1">
    <w:name w:val="纯文本 Char"/>
    <w:basedOn w:val="a0"/>
    <w:uiPriority w:val="99"/>
    <w:qFormat/>
    <w:rPr>
      <w:rFonts w:ascii="宋体" w:eastAsia="宋体" w:hAnsi="Courier New" w:cs="Courier New"/>
      <w:szCs w:val="21"/>
    </w:rPr>
  </w:style>
  <w:style w:type="paragraph" w:customStyle="1" w:styleId="1">
    <w:name w:val="列出段落1"/>
    <w:basedOn w:val="a"/>
    <w:uiPriority w:val="34"/>
    <w:qFormat/>
    <w:pPr>
      <w:ind w:firstLineChars="200" w:firstLine="420"/>
    </w:pPr>
    <w:rPr>
      <w:rFonts w:ascii="Calibri" w:hAnsi="Calibri"/>
      <w:szCs w:val="22"/>
    </w:rPr>
  </w:style>
  <w:style w:type="character" w:customStyle="1" w:styleId="a8">
    <w:name w:val="纯文本 字符"/>
    <w:basedOn w:val="a0"/>
    <w:link w:val="a7"/>
    <w:uiPriority w:val="99"/>
    <w:qFormat/>
    <w:locked/>
    <w:rPr>
      <w:rFonts w:ascii="宋体" w:eastAsia="宋体" w:hAnsi="Courier New" w:cs="Courier New"/>
      <w:szCs w:val="21"/>
    </w:rPr>
  </w:style>
  <w:style w:type="character" w:customStyle="1" w:styleId="a4">
    <w:name w:val="批注文字 字符"/>
    <w:basedOn w:val="a0"/>
    <w:link w:val="a3"/>
    <w:uiPriority w:val="99"/>
    <w:semiHidden/>
    <w:qFormat/>
    <w:locked/>
    <w:rPr>
      <w:rFonts w:ascii="Times New Roman" w:eastAsia="宋体" w:hAnsi="Times New Roman" w:cs="Times New Roman"/>
      <w:szCs w:val="24"/>
    </w:rPr>
  </w:style>
  <w:style w:type="character" w:customStyle="1" w:styleId="af0">
    <w:name w:val="标题 字符"/>
    <w:basedOn w:val="a0"/>
    <w:link w:val="af"/>
    <w:uiPriority w:val="10"/>
    <w:qFormat/>
    <w:locked/>
    <w:rPr>
      <w:rFonts w:ascii="Cambria" w:eastAsia="宋体" w:hAnsi="Cambria" w:cs="Times New Roman"/>
      <w:b/>
      <w:bCs/>
      <w:sz w:val="32"/>
      <w:szCs w:val="32"/>
    </w:rPr>
  </w:style>
  <w:style w:type="character" w:customStyle="1" w:styleId="af2">
    <w:name w:val="批注主题 字符"/>
    <w:basedOn w:val="a4"/>
    <w:link w:val="af1"/>
    <w:uiPriority w:val="99"/>
    <w:semiHidden/>
    <w:qFormat/>
    <w:rPr>
      <w:rFonts w:ascii="Times New Roman" w:eastAsia="宋体" w:hAnsi="Times New Roman" w:cs="Times New Roman"/>
      <w:b/>
      <w:bCs/>
      <w:szCs w:val="24"/>
    </w:rPr>
  </w:style>
  <w:style w:type="character" w:customStyle="1" w:styleId="aa">
    <w:name w:val="批注框文本 字符"/>
    <w:basedOn w:val="a0"/>
    <w:link w:val="a9"/>
    <w:uiPriority w:val="99"/>
    <w:semiHidden/>
    <w:qFormat/>
    <w:rPr>
      <w:rFonts w:ascii="Times New Roman" w:eastAsia="宋体" w:hAnsi="Times New Roman" w:cs="Times New Roman"/>
      <w:sz w:val="18"/>
      <w:szCs w:val="18"/>
    </w:rPr>
  </w:style>
  <w:style w:type="character" w:customStyle="1" w:styleId="ae">
    <w:name w:val="页眉 字符"/>
    <w:basedOn w:val="a0"/>
    <w:link w:val="ad"/>
    <w:uiPriority w:val="99"/>
    <w:qFormat/>
    <w:rPr>
      <w:rFonts w:ascii="Times New Roman" w:eastAsia="宋体" w:hAnsi="Times New Roman" w:cs="Times New Roman"/>
      <w:sz w:val="18"/>
      <w:szCs w:val="18"/>
    </w:rPr>
  </w:style>
  <w:style w:type="character" w:customStyle="1" w:styleId="ac">
    <w:name w:val="页脚 字符"/>
    <w:basedOn w:val="a0"/>
    <w:link w:val="ab"/>
    <w:uiPriority w:val="99"/>
    <w:qFormat/>
    <w:rPr>
      <w:rFonts w:ascii="Times New Roman" w:eastAsia="宋体" w:hAnsi="Times New Roman" w:cs="Times New Roman"/>
      <w:sz w:val="18"/>
      <w:szCs w:val="18"/>
    </w:r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f101">
    <w:name w:val="f101"/>
    <w:qFormat/>
    <w:rPr>
      <w:spacing w:val="500"/>
      <w:sz w:val="24"/>
      <w:szCs w:val="24"/>
    </w:rPr>
  </w:style>
  <w:style w:type="character" w:customStyle="1" w:styleId="fontstyle01">
    <w:name w:val="fontstyle01"/>
    <w:basedOn w:val="a0"/>
    <w:qFormat/>
    <w:rPr>
      <w:rFonts w:ascii="宋体" w:eastAsia="宋体" w:hAnsi="宋体" w:hint="eastAsia"/>
      <w:color w:val="000000"/>
      <w:sz w:val="42"/>
      <w:szCs w:val="42"/>
    </w:rPr>
  </w:style>
  <w:style w:type="paragraph" w:customStyle="1" w:styleId="af4">
    <w:name w:val="文献分类号"/>
    <w:qFormat/>
    <w:pPr>
      <w:widowControl w:val="0"/>
      <w:textAlignment w:val="center"/>
    </w:pPr>
    <w:rPr>
      <w:rFonts w:ascii="黑体" w:eastAsia="黑体"/>
      <w:sz w:val="21"/>
      <w:szCs w:val="21"/>
    </w:rPr>
  </w:style>
  <w:style w:type="character" w:customStyle="1" w:styleId="a6">
    <w:name w:val="正文文本 字符"/>
    <w:basedOn w:val="a0"/>
    <w:link w:val="a5"/>
    <w:uiPriority w:val="1"/>
    <w:qFormat/>
    <w:rPr>
      <w:rFonts w:ascii="微软雅黑" w:eastAsia="微软雅黑" w:hAnsi="微软雅黑" w:cs="微软雅黑"/>
      <w:sz w:val="32"/>
      <w:szCs w:val="32"/>
    </w:rPr>
  </w:style>
  <w:style w:type="character" w:customStyle="1" w:styleId="30">
    <w:name w:val="标题 3 字符"/>
    <w:basedOn w:val="a0"/>
    <w:link w:val="3"/>
    <w:uiPriority w:val="9"/>
    <w:qFormat/>
    <w:rPr>
      <w:rFonts w:ascii="宋体" w:hAnsi="宋体" w:cs="宋体"/>
      <w:b/>
      <w:bCs/>
      <w:sz w:val="27"/>
      <w:szCs w:val="27"/>
    </w:rPr>
  </w:style>
  <w:style w:type="character" w:customStyle="1" w:styleId="20">
    <w:name w:val="标题 2 字符"/>
    <w:basedOn w:val="a0"/>
    <w:link w:val="2"/>
    <w:uiPriority w:val="9"/>
    <w:semiHidden/>
    <w:qFormat/>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E565FA-545F-48BD-978E-F953694A6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1124</Words>
  <Characters>6413</Characters>
  <Application>Microsoft Office Word</Application>
  <DocSecurity>0</DocSecurity>
  <Lines>53</Lines>
  <Paragraphs>15</Paragraphs>
  <ScaleCrop>false</ScaleCrop>
  <Company>Microsoft</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邹艳果</dc:creator>
  <cp:lastModifiedBy>马琼荣</cp:lastModifiedBy>
  <cp:revision>130</cp:revision>
  <cp:lastPrinted>2021-04-22T01:04:00Z</cp:lastPrinted>
  <dcterms:created xsi:type="dcterms:W3CDTF">2021-04-28T02:38:00Z</dcterms:created>
  <dcterms:modified xsi:type="dcterms:W3CDTF">2022-09-15T06:41:00Z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013716E15D0D447DB04679442E72D50C</vt:lpwstr>
  </property>
</Properties>
</file>