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56" w:rsidRDefault="005517AF">
      <w:pPr>
        <w:spacing w:line="520" w:lineRule="exact"/>
        <w:jc w:val="left"/>
        <w:rPr>
          <w:rFonts w:eastAsia="黑体"/>
          <w:szCs w:val="32"/>
        </w:rPr>
      </w:pPr>
      <w:r>
        <w:rPr>
          <w:rFonts w:eastAsia="黑体"/>
          <w:szCs w:val="32"/>
          <w:lang w:bidi="ar"/>
        </w:rPr>
        <w:t>附件</w:t>
      </w:r>
      <w:r>
        <w:rPr>
          <w:rFonts w:eastAsia="黑体"/>
          <w:szCs w:val="32"/>
          <w:lang w:bidi="ar"/>
        </w:rPr>
        <w:t>1</w:t>
      </w:r>
    </w:p>
    <w:p w:rsidR="004C0056" w:rsidRDefault="005517AF">
      <w:pPr>
        <w:spacing w:line="520" w:lineRule="exact"/>
        <w:jc w:val="center"/>
        <w:rPr>
          <w:rFonts w:eastAsia="方正小标宋_GBK"/>
          <w:sz w:val="44"/>
          <w:szCs w:val="44"/>
        </w:rPr>
      </w:pPr>
      <w:r>
        <w:rPr>
          <w:rFonts w:eastAsia="方正小标宋_GBK"/>
          <w:sz w:val="44"/>
          <w:szCs w:val="44"/>
          <w:lang w:bidi="ar"/>
        </w:rPr>
        <w:t xml:space="preserve"> </w:t>
      </w:r>
    </w:p>
    <w:p w:rsidR="004C0056" w:rsidRDefault="005517AF">
      <w:pPr>
        <w:spacing w:line="520" w:lineRule="exact"/>
        <w:jc w:val="center"/>
        <w:rPr>
          <w:rFonts w:eastAsia="方正小标宋_GBK"/>
          <w:sz w:val="44"/>
          <w:szCs w:val="44"/>
        </w:rPr>
      </w:pPr>
      <w:r>
        <w:rPr>
          <w:rFonts w:eastAsia="方正小标宋简体"/>
          <w:sz w:val="44"/>
          <w:szCs w:val="44"/>
          <w:lang w:bidi="ar"/>
        </w:rPr>
        <w:t>基因测序仪临床评价注册审查指导原则</w:t>
      </w:r>
    </w:p>
    <w:p w:rsidR="004C0056" w:rsidRDefault="005517AF">
      <w:pPr>
        <w:spacing w:line="520" w:lineRule="exact"/>
        <w:ind w:firstLineChars="200" w:firstLine="640"/>
        <w:rPr>
          <w:rFonts w:eastAsia="仿宋_GB2312"/>
          <w:kern w:val="0"/>
          <w:szCs w:val="32"/>
        </w:rPr>
      </w:pPr>
      <w:r>
        <w:rPr>
          <w:rFonts w:eastAsia="仿宋_GB2312"/>
          <w:kern w:val="0"/>
          <w:szCs w:val="32"/>
          <w:lang w:bidi="ar"/>
        </w:rPr>
        <w:t xml:space="preserve"> </w:t>
      </w:r>
    </w:p>
    <w:p w:rsidR="004C0056" w:rsidRDefault="005517AF">
      <w:pPr>
        <w:spacing w:line="520" w:lineRule="exact"/>
        <w:ind w:firstLineChars="200" w:firstLine="640"/>
        <w:rPr>
          <w:rFonts w:eastAsia="仿宋_GB2312"/>
          <w:kern w:val="0"/>
          <w:szCs w:val="32"/>
        </w:rPr>
      </w:pPr>
      <w:r>
        <w:rPr>
          <w:rFonts w:eastAsia="仿宋_GB2312"/>
          <w:kern w:val="0"/>
          <w:szCs w:val="32"/>
          <w:lang w:bidi="ar"/>
        </w:rPr>
        <w:t>本指导原则旨在指导注册申请人对基因测序仪注册申报资料的准备及撰写，同时也为技术审评部门提供参考。</w:t>
      </w:r>
    </w:p>
    <w:p w:rsidR="004C0056" w:rsidRDefault="005517AF">
      <w:pPr>
        <w:spacing w:line="520" w:lineRule="exact"/>
        <w:ind w:firstLineChars="200" w:firstLine="640"/>
        <w:rPr>
          <w:rFonts w:eastAsia="仿宋_GB2312"/>
          <w:kern w:val="0"/>
          <w:szCs w:val="32"/>
        </w:rPr>
      </w:pPr>
      <w:r>
        <w:rPr>
          <w:rFonts w:eastAsia="仿宋_GB2312"/>
          <w:kern w:val="0"/>
          <w:szCs w:val="32"/>
          <w:lang w:bidi="ar"/>
        </w:rPr>
        <w:t>本指导原则是对基因测序仪的一般要求，申请人应依据产品的具体特性确定其中内容是否适用。若不适用，需具体阐述理由并提供相应的科学依据，同时依据产品的具体特性对注册申报资料的内容进行充实和细化。</w:t>
      </w:r>
    </w:p>
    <w:p w:rsidR="004C0056" w:rsidRDefault="005517AF">
      <w:pPr>
        <w:spacing w:line="520" w:lineRule="exact"/>
        <w:ind w:firstLineChars="200" w:firstLine="640"/>
        <w:jc w:val="left"/>
        <w:rPr>
          <w:rFonts w:eastAsia="仿宋_GB2312"/>
          <w:color w:val="000000"/>
          <w:szCs w:val="32"/>
        </w:rPr>
      </w:pPr>
      <w:r>
        <w:rPr>
          <w:rFonts w:eastAsia="仿宋_GB2312"/>
          <w:color w:val="000000"/>
          <w:szCs w:val="32"/>
          <w:lang w:bidi="ar"/>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Pr>
          <w:rFonts w:eastAsia="仿宋_GB2312"/>
          <w:kern w:val="0"/>
          <w:szCs w:val="32"/>
          <w:lang w:bidi="ar"/>
        </w:rPr>
        <w:t>。</w:t>
      </w:r>
    </w:p>
    <w:p w:rsidR="004C0056" w:rsidRDefault="005517AF">
      <w:pPr>
        <w:spacing w:line="520" w:lineRule="exact"/>
        <w:ind w:firstLineChars="200" w:firstLine="640"/>
        <w:rPr>
          <w:rFonts w:eastAsia="仿宋_GB2312"/>
          <w:kern w:val="0"/>
          <w:szCs w:val="32"/>
        </w:rPr>
      </w:pPr>
      <w:r>
        <w:rPr>
          <w:rFonts w:eastAsia="仿宋_GB2312"/>
          <w:color w:val="000000"/>
          <w:szCs w:val="32"/>
          <w:lang w:bidi="ar"/>
        </w:rPr>
        <w:t>本指导原则是在现行法规和标准体系以及当前认知水平下制定，随着法规和标准的不断完善，以及科学技术的不断发展，相关内容也将适时进行调整</w:t>
      </w:r>
      <w:r>
        <w:rPr>
          <w:rFonts w:eastAsia="仿宋_GB2312"/>
          <w:kern w:val="0"/>
          <w:szCs w:val="32"/>
          <w:lang w:bidi="ar"/>
        </w:rPr>
        <w:t>。</w:t>
      </w:r>
    </w:p>
    <w:p w:rsidR="004C0056" w:rsidRDefault="005517AF">
      <w:pPr>
        <w:overflowPunct w:val="0"/>
        <w:spacing w:line="560" w:lineRule="exact"/>
        <w:ind w:firstLineChars="200" w:firstLine="640"/>
        <w:rPr>
          <w:rFonts w:eastAsia="黑体"/>
          <w:bCs/>
          <w:color w:val="000000"/>
          <w:szCs w:val="32"/>
        </w:rPr>
      </w:pPr>
      <w:r>
        <w:rPr>
          <w:rFonts w:eastAsia="黑体"/>
          <w:bCs/>
          <w:color w:val="000000"/>
          <w:szCs w:val="32"/>
          <w:lang w:bidi="ar"/>
        </w:rPr>
        <w:t>一、适用范围</w:t>
      </w:r>
    </w:p>
    <w:p w:rsidR="004C0056" w:rsidRDefault="005517AF">
      <w:pPr>
        <w:overflowPunct w:val="0"/>
        <w:spacing w:line="520" w:lineRule="exact"/>
        <w:ind w:firstLineChars="200" w:firstLine="640"/>
        <w:rPr>
          <w:rFonts w:eastAsia="仿宋_GB2312"/>
          <w:szCs w:val="32"/>
        </w:rPr>
      </w:pPr>
      <w:r>
        <w:rPr>
          <w:rFonts w:eastAsia="仿宋_GB2312"/>
          <w:szCs w:val="32"/>
          <w:lang w:bidi="ar"/>
        </w:rPr>
        <w:t>本指导原则适用于</w:t>
      </w:r>
      <w:r>
        <w:rPr>
          <w:rFonts w:eastAsia="仿宋_GB2312"/>
          <w:color w:val="000000"/>
          <w:szCs w:val="32"/>
          <w:lang w:bidi="ar"/>
        </w:rPr>
        <w:t>高通量测序的</w:t>
      </w:r>
      <w:r>
        <w:rPr>
          <w:rFonts w:eastAsia="仿宋_GB2312"/>
          <w:szCs w:val="32"/>
          <w:lang w:bidi="ar"/>
        </w:rPr>
        <w:t>基因测序仪采用通过</w:t>
      </w:r>
      <w:r>
        <w:rPr>
          <w:rFonts w:eastAsia="仿宋_GB2312"/>
          <w:color w:val="000000"/>
          <w:szCs w:val="32"/>
          <w:lang w:bidi="ar"/>
        </w:rPr>
        <w:t>同品种医疗器械临床数据或通过自身临床试验数据进行临床评价。</w:t>
      </w:r>
    </w:p>
    <w:p w:rsidR="004C0056" w:rsidRDefault="005517AF">
      <w:pPr>
        <w:pStyle w:val="a4"/>
        <w:widowControl/>
        <w:spacing w:line="520" w:lineRule="exact"/>
        <w:ind w:firstLineChars="200" w:firstLine="640"/>
        <w:rPr>
          <w:rFonts w:eastAsia="仿宋_GB2312"/>
          <w:color w:val="000000"/>
          <w:szCs w:val="32"/>
        </w:rPr>
      </w:pPr>
      <w:r>
        <w:rPr>
          <w:rFonts w:eastAsia="仿宋_GB2312"/>
          <w:szCs w:val="32"/>
        </w:rPr>
        <w:t>目前高通量基因测序技术即指第二代测序技术或下一代测序（</w:t>
      </w:r>
      <w:r>
        <w:rPr>
          <w:rFonts w:eastAsia="仿宋_GB2312"/>
          <w:szCs w:val="32"/>
        </w:rPr>
        <w:t xml:space="preserve">Next Generation Sequencing </w:t>
      </w:r>
      <w:r>
        <w:rPr>
          <w:rFonts w:eastAsia="仿宋_GB2312"/>
          <w:szCs w:val="32"/>
        </w:rPr>
        <w:t>或</w:t>
      </w:r>
      <w:r>
        <w:rPr>
          <w:rFonts w:eastAsia="仿宋_GB2312"/>
          <w:szCs w:val="32"/>
        </w:rPr>
        <w:t>NGS</w:t>
      </w:r>
      <w:r>
        <w:rPr>
          <w:rFonts w:eastAsia="仿宋_GB2312"/>
          <w:szCs w:val="32"/>
        </w:rPr>
        <w:t>）技术，其技术特征是：（</w:t>
      </w:r>
      <w:r>
        <w:rPr>
          <w:rFonts w:eastAsia="仿宋_GB2312"/>
          <w:szCs w:val="32"/>
        </w:rPr>
        <w:t>1</w:t>
      </w:r>
      <w:r>
        <w:rPr>
          <w:rFonts w:eastAsia="仿宋_GB2312"/>
          <w:szCs w:val="32"/>
        </w:rPr>
        <w:t>）通过测定单元的高度并行化来实现高通量；（</w:t>
      </w:r>
      <w:r>
        <w:rPr>
          <w:rFonts w:eastAsia="仿宋_GB2312"/>
          <w:szCs w:val="32"/>
        </w:rPr>
        <w:t>2</w:t>
      </w:r>
      <w:r>
        <w:rPr>
          <w:rFonts w:eastAsia="仿宋_GB2312"/>
          <w:szCs w:val="32"/>
        </w:rPr>
        <w:t>）由于</w:t>
      </w:r>
      <w:r>
        <w:rPr>
          <w:rFonts w:eastAsia="仿宋_GB2312"/>
          <w:szCs w:val="32"/>
        </w:rPr>
        <w:lastRenderedPageBreak/>
        <w:t>化学、物理等原理的限制，序列读长较短，一般在</w:t>
      </w:r>
      <w:r>
        <w:rPr>
          <w:rFonts w:eastAsia="仿宋_GB2312"/>
          <w:szCs w:val="32"/>
        </w:rPr>
        <w:t>150</w:t>
      </w:r>
      <w:r>
        <w:rPr>
          <w:rFonts w:eastAsia="仿宋_GB2312"/>
          <w:szCs w:val="32"/>
        </w:rPr>
        <w:t>～</w:t>
      </w:r>
      <w:r>
        <w:rPr>
          <w:rFonts w:eastAsia="仿宋_GB2312"/>
          <w:szCs w:val="32"/>
        </w:rPr>
        <w:t>300bp</w:t>
      </w:r>
      <w:r>
        <w:rPr>
          <w:rFonts w:eastAsia="仿宋_GB2312"/>
          <w:szCs w:val="32"/>
        </w:rPr>
        <w:t>（个别原理可以实现</w:t>
      </w:r>
      <w:r>
        <w:rPr>
          <w:rFonts w:eastAsia="仿宋_GB2312"/>
          <w:szCs w:val="32"/>
        </w:rPr>
        <w:t>&gt;600bp</w:t>
      </w:r>
      <w:r>
        <w:rPr>
          <w:rFonts w:eastAsia="仿宋_GB2312"/>
          <w:szCs w:val="32"/>
        </w:rPr>
        <w:t>，比如焦磷酸测序法）；（</w:t>
      </w:r>
      <w:r>
        <w:rPr>
          <w:rFonts w:eastAsia="仿宋_GB2312"/>
          <w:szCs w:val="32"/>
        </w:rPr>
        <w:t>3</w:t>
      </w:r>
      <w:r>
        <w:rPr>
          <w:rFonts w:eastAsia="仿宋_GB2312"/>
          <w:szCs w:val="32"/>
        </w:rPr>
        <w:t>）核心技术成熟。使用元件（比如</w:t>
      </w:r>
      <w:r>
        <w:rPr>
          <w:rFonts w:eastAsia="仿宋_GB2312"/>
          <w:szCs w:val="32"/>
        </w:rPr>
        <w:t>Flow Cell</w:t>
      </w:r>
      <w:r>
        <w:rPr>
          <w:rFonts w:eastAsia="仿宋_GB2312"/>
          <w:szCs w:val="32"/>
        </w:rPr>
        <w:t>、硅基阵列、微流控电导结构等）的加工技术（一般在微米尺度以上）技术成熟，器件结构和性能稳定。其化学原理主要包括</w:t>
      </w:r>
      <w:r>
        <w:rPr>
          <w:rFonts w:eastAsia="仿宋_GB2312"/>
          <w:szCs w:val="32"/>
        </w:rPr>
        <w:t>DNA</w:t>
      </w:r>
      <w:r>
        <w:rPr>
          <w:rFonts w:eastAsia="仿宋_GB2312"/>
          <w:szCs w:val="32"/>
        </w:rPr>
        <w:t>聚合酶循环测序法和</w:t>
      </w:r>
      <w:r>
        <w:rPr>
          <w:rFonts w:eastAsia="仿宋_GB2312"/>
          <w:szCs w:val="32"/>
        </w:rPr>
        <w:t>DNA</w:t>
      </w:r>
      <w:r>
        <w:rPr>
          <w:rFonts w:eastAsia="仿宋_GB2312"/>
          <w:szCs w:val="32"/>
        </w:rPr>
        <w:t>连接酶循环测序</w:t>
      </w:r>
      <w:r>
        <w:rPr>
          <w:rFonts w:eastAsia="仿宋_GB2312"/>
          <w:szCs w:val="32"/>
        </w:rPr>
        <w:t>法（单色或多色荧光底物标记），如基于聚合酶的联合探针锚定聚合法、基于底物特征的可逆末端终止法，以及基于电学原理和光学原理的焦磷酸测序方案等。</w:t>
      </w:r>
      <w:r>
        <w:rPr>
          <w:rFonts w:eastAsia="仿宋_GB2312"/>
          <w:kern w:val="0"/>
          <w:szCs w:val="32"/>
        </w:rPr>
        <w:t>基于其他技术的</w:t>
      </w:r>
      <w:r>
        <w:rPr>
          <w:rFonts w:eastAsia="仿宋_GB2312"/>
          <w:szCs w:val="32"/>
        </w:rPr>
        <w:t>基因测序仪</w:t>
      </w:r>
      <w:r>
        <w:rPr>
          <w:rFonts w:eastAsia="仿宋_GB2312"/>
          <w:kern w:val="0"/>
          <w:szCs w:val="32"/>
        </w:rPr>
        <w:t>产品，可参照本指导原则相关适用条款并结合产品特点准备注册申报资料。</w:t>
      </w:r>
    </w:p>
    <w:p w:rsidR="004C0056" w:rsidRDefault="005517AF">
      <w:pPr>
        <w:spacing w:line="520" w:lineRule="exact"/>
        <w:ind w:firstLineChars="200" w:firstLine="640"/>
        <w:rPr>
          <w:rFonts w:eastAsia="仿宋_GB2312"/>
          <w:kern w:val="0"/>
          <w:szCs w:val="32"/>
        </w:rPr>
      </w:pPr>
      <w:r>
        <w:rPr>
          <w:rFonts w:eastAsia="仿宋_GB2312"/>
          <w:kern w:val="0"/>
          <w:szCs w:val="32"/>
          <w:lang w:bidi="ar"/>
        </w:rPr>
        <w:t>本指导原则适用于申请产品注册和相关变更注册的产品。</w:t>
      </w:r>
    </w:p>
    <w:p w:rsidR="004C0056" w:rsidRDefault="005517AF">
      <w:pPr>
        <w:spacing w:line="540" w:lineRule="exact"/>
        <w:ind w:firstLineChars="200" w:firstLine="640"/>
        <w:rPr>
          <w:rFonts w:eastAsia="仿宋_GB2312"/>
          <w:kern w:val="0"/>
          <w:szCs w:val="32"/>
        </w:rPr>
      </w:pPr>
      <w:r>
        <w:rPr>
          <w:rFonts w:eastAsia="仿宋_GB2312"/>
          <w:kern w:val="0"/>
          <w:szCs w:val="32"/>
          <w:lang w:bidi="ar"/>
        </w:rPr>
        <w:t>申请人应当按照《医疗器械临床评价技术指导原则》的要求，选择通过同品种医疗器械临床数据或者临床试验这两种评价路径中适用的任一方式提交临床评价资料。</w:t>
      </w:r>
    </w:p>
    <w:p w:rsidR="004C0056" w:rsidRDefault="005517AF">
      <w:pPr>
        <w:numPr>
          <w:ilvl w:val="0"/>
          <w:numId w:val="2"/>
        </w:numPr>
        <w:overflowPunct w:val="0"/>
        <w:spacing w:line="560" w:lineRule="exact"/>
        <w:ind w:firstLineChars="200" w:firstLine="640"/>
        <w:rPr>
          <w:rFonts w:eastAsia="黑体"/>
          <w:bCs/>
          <w:color w:val="000000"/>
          <w:szCs w:val="32"/>
        </w:rPr>
      </w:pPr>
      <w:r>
        <w:rPr>
          <w:rFonts w:eastAsia="黑体"/>
          <w:bCs/>
          <w:color w:val="000000"/>
          <w:szCs w:val="32"/>
          <w:lang w:bidi="ar"/>
        </w:rPr>
        <w:t>临床评价资料</w:t>
      </w:r>
    </w:p>
    <w:p w:rsidR="004C0056" w:rsidRDefault="005517AF">
      <w:pPr>
        <w:spacing w:line="530" w:lineRule="exact"/>
        <w:ind w:firstLineChars="200" w:firstLine="640"/>
        <w:rPr>
          <w:rFonts w:eastAsia="楷体_GB2312"/>
          <w:color w:val="000000"/>
          <w:szCs w:val="32"/>
        </w:rPr>
      </w:pPr>
      <w:r>
        <w:rPr>
          <w:rFonts w:eastAsia="楷体_GB2312"/>
          <w:color w:val="000000"/>
          <w:szCs w:val="32"/>
          <w:lang w:bidi="ar"/>
        </w:rPr>
        <w:t>（一）同品种临床评价路径的基本要求</w:t>
      </w:r>
    </w:p>
    <w:p w:rsidR="004C0056" w:rsidRDefault="005517AF">
      <w:pPr>
        <w:spacing w:line="480" w:lineRule="exact"/>
        <w:ind w:rightChars="-32" w:right="-102" w:firstLineChars="200" w:firstLine="640"/>
        <w:rPr>
          <w:rFonts w:eastAsia="仿宋_GB2312"/>
          <w:color w:val="000000"/>
          <w:szCs w:val="32"/>
        </w:rPr>
      </w:pPr>
      <w:r>
        <w:rPr>
          <w:rFonts w:eastAsia="仿宋_GB2312"/>
          <w:color w:val="000000"/>
          <w:szCs w:val="32"/>
          <w:lang w:bidi="ar"/>
        </w:rPr>
        <w:t>1.</w:t>
      </w:r>
      <w:r>
        <w:rPr>
          <w:rFonts w:eastAsia="仿宋_GB2312"/>
          <w:color w:val="000000"/>
          <w:szCs w:val="32"/>
          <w:lang w:bidi="ar"/>
        </w:rPr>
        <w:t>同品种医疗器械判定</w:t>
      </w:r>
    </w:p>
    <w:p w:rsidR="004C0056" w:rsidRDefault="005517AF">
      <w:pPr>
        <w:autoSpaceDE w:val="0"/>
        <w:autoSpaceDN w:val="0"/>
        <w:adjustRightInd w:val="0"/>
        <w:spacing w:line="530" w:lineRule="exact"/>
        <w:ind w:firstLineChars="200" w:firstLine="640"/>
        <w:rPr>
          <w:rFonts w:eastAsia="仿宋_GB2312"/>
          <w:color w:val="000000"/>
          <w:szCs w:val="32"/>
        </w:rPr>
      </w:pPr>
      <w:r>
        <w:rPr>
          <w:rFonts w:eastAsia="仿宋_GB2312"/>
          <w:color w:val="000000"/>
          <w:szCs w:val="32"/>
          <w:lang w:bidi="ar"/>
        </w:rPr>
        <w:t>申请人可按照</w:t>
      </w:r>
      <w:r>
        <w:rPr>
          <w:rFonts w:eastAsia="仿宋_GB2312"/>
          <w:szCs w:val="32"/>
          <w:lang w:bidi="ar"/>
        </w:rPr>
        <w:t>《医疗器械临床评价技术指导原则》</w:t>
      </w:r>
      <w:r>
        <w:rPr>
          <w:rFonts w:eastAsia="仿宋_GB2312"/>
          <w:color w:val="000000"/>
          <w:szCs w:val="32"/>
          <w:lang w:bidi="ar"/>
        </w:rPr>
        <w:t>中</w:t>
      </w:r>
      <w:r>
        <w:rPr>
          <w:rFonts w:eastAsia="仿宋_GB2312"/>
          <w:color w:val="000000"/>
          <w:szCs w:val="32"/>
          <w:lang w:bidi="ar"/>
        </w:rPr>
        <w:t>“</w:t>
      </w:r>
      <w:r>
        <w:rPr>
          <w:rFonts w:eastAsia="仿宋_GB2312"/>
          <w:color w:val="000000"/>
          <w:szCs w:val="32"/>
          <w:lang w:bidi="ar"/>
        </w:rPr>
        <w:t>同品种医疗器械</w:t>
      </w:r>
      <w:r>
        <w:rPr>
          <w:rFonts w:eastAsia="仿宋_GB2312"/>
          <w:color w:val="000000"/>
          <w:szCs w:val="32"/>
          <w:lang w:bidi="ar"/>
        </w:rPr>
        <w:t>”</w:t>
      </w:r>
      <w:r>
        <w:rPr>
          <w:rFonts w:eastAsia="仿宋_GB2312"/>
          <w:color w:val="000000"/>
          <w:szCs w:val="32"/>
          <w:lang w:bidi="ar"/>
        </w:rPr>
        <w:t>的定义和判定，选择</w:t>
      </w:r>
      <w:r>
        <w:rPr>
          <w:rFonts w:eastAsia="仿宋_GB2312"/>
          <w:szCs w:val="32"/>
          <w:lang w:bidi="ar"/>
        </w:rPr>
        <w:t>已在境内获准注册的</w:t>
      </w:r>
      <w:r>
        <w:rPr>
          <w:rFonts w:eastAsia="仿宋_GB2312"/>
          <w:color w:val="000000"/>
          <w:szCs w:val="32"/>
          <w:lang w:bidi="ar"/>
        </w:rPr>
        <w:t>对比器械，根据申报产品特征选择合适的对比项目，分析对比器械是否符合同品种医疗器械的要求。</w:t>
      </w:r>
    </w:p>
    <w:p w:rsidR="004C0056" w:rsidRDefault="005517AF">
      <w:pPr>
        <w:autoSpaceDE w:val="0"/>
        <w:autoSpaceDN w:val="0"/>
        <w:adjustRightInd w:val="0"/>
        <w:spacing w:line="530" w:lineRule="exact"/>
        <w:ind w:firstLineChars="200" w:firstLine="640"/>
        <w:rPr>
          <w:rFonts w:eastAsia="仿宋_GB2312"/>
          <w:color w:val="000000"/>
          <w:szCs w:val="32"/>
        </w:rPr>
      </w:pPr>
      <w:r>
        <w:rPr>
          <w:rFonts w:eastAsia="仿宋_GB2312"/>
          <w:color w:val="000000"/>
          <w:szCs w:val="32"/>
          <w:lang w:bidi="ar"/>
        </w:rPr>
        <w:t>申请人所选取的同品种医疗器械应与申报产品适用范围相同，基本原理相同，关键功能模块构成相同、性能相似，关键指标没有显著差异。</w:t>
      </w:r>
    </w:p>
    <w:p w:rsidR="004C0056" w:rsidRDefault="005517AF">
      <w:pPr>
        <w:autoSpaceDE w:val="0"/>
        <w:autoSpaceDN w:val="0"/>
        <w:adjustRightInd w:val="0"/>
        <w:spacing w:line="530" w:lineRule="exact"/>
        <w:ind w:firstLineChars="200" w:firstLine="640"/>
        <w:rPr>
          <w:rFonts w:eastAsia="仿宋_GB2312"/>
          <w:color w:val="000000"/>
          <w:szCs w:val="32"/>
        </w:rPr>
      </w:pPr>
      <w:r>
        <w:rPr>
          <w:rFonts w:eastAsia="仿宋_GB2312"/>
          <w:color w:val="000000"/>
          <w:szCs w:val="32"/>
          <w:lang w:bidi="ar"/>
        </w:rPr>
        <w:lastRenderedPageBreak/>
        <w:t xml:space="preserve"> </w:t>
      </w:r>
    </w:p>
    <w:p w:rsidR="004C0056" w:rsidRDefault="005517AF">
      <w:pPr>
        <w:spacing w:line="480" w:lineRule="exact"/>
        <w:ind w:rightChars="-32" w:right="-102" w:firstLineChars="200" w:firstLine="640"/>
        <w:rPr>
          <w:rFonts w:eastAsia="仿宋_GB2312"/>
          <w:color w:val="000000"/>
          <w:szCs w:val="32"/>
        </w:rPr>
      </w:pPr>
      <w:r>
        <w:rPr>
          <w:rFonts w:eastAsia="仿宋_GB2312"/>
          <w:color w:val="000000"/>
          <w:szCs w:val="32"/>
          <w:lang w:bidi="ar"/>
        </w:rPr>
        <w:t>2.</w:t>
      </w:r>
      <w:r>
        <w:rPr>
          <w:rFonts w:eastAsia="仿宋_GB2312"/>
          <w:color w:val="000000"/>
          <w:szCs w:val="32"/>
          <w:lang w:bidi="ar"/>
        </w:rPr>
        <w:t>申报产品与对比器械的等同性论证</w:t>
      </w:r>
    </w:p>
    <w:p w:rsidR="004C0056" w:rsidRDefault="005517AF">
      <w:pPr>
        <w:autoSpaceDE w:val="0"/>
        <w:autoSpaceDN w:val="0"/>
        <w:adjustRightInd w:val="0"/>
        <w:spacing w:line="530" w:lineRule="exact"/>
        <w:ind w:firstLineChars="200" w:firstLine="640"/>
        <w:rPr>
          <w:rFonts w:eastAsia="仿宋_GB2312"/>
          <w:color w:val="000000"/>
          <w:szCs w:val="32"/>
        </w:rPr>
      </w:pPr>
      <w:r>
        <w:rPr>
          <w:rFonts w:eastAsia="仿宋_GB2312"/>
          <w:color w:val="000000"/>
          <w:szCs w:val="32"/>
          <w:lang w:bidi="ar"/>
        </w:rPr>
        <w:t>选择合适的对比器械后，应进行相关项目的对比以论证其等同性。对比项目包括但不限于附件</w:t>
      </w:r>
      <w:r>
        <w:rPr>
          <w:rFonts w:eastAsia="仿宋_GB2312"/>
          <w:color w:val="000000"/>
          <w:szCs w:val="32"/>
          <w:lang w:bidi="ar"/>
        </w:rPr>
        <w:t>1</w:t>
      </w:r>
      <w:r>
        <w:rPr>
          <w:rFonts w:eastAsia="仿宋_GB2312"/>
          <w:color w:val="000000"/>
          <w:szCs w:val="32"/>
          <w:lang w:bidi="ar"/>
        </w:rPr>
        <w:t>所列举的项目。对比内容包括定性和定量数据、验证和确认结果，应详述二者的相同性和差异性，对于相同性，应提交充分的证据（如产品说明书、审评报告、检验报告、技术要求等）并明确证据来源。对差异性是否对产品的安全有效性产生不利影响，应通过申报产品自身的数据进行验证和</w:t>
      </w:r>
      <w:r>
        <w:rPr>
          <w:rFonts w:eastAsia="仿宋_GB2312"/>
          <w:color w:val="000000"/>
          <w:szCs w:val="32"/>
          <w:lang w:bidi="ar"/>
        </w:rPr>
        <w:t>/</w:t>
      </w:r>
      <w:r>
        <w:rPr>
          <w:rFonts w:eastAsia="仿宋_GB2312"/>
          <w:color w:val="000000"/>
          <w:szCs w:val="32"/>
          <w:lang w:bidi="ar"/>
        </w:rPr>
        <w:t>或确认。</w:t>
      </w:r>
    </w:p>
    <w:p w:rsidR="004C0056" w:rsidRDefault="005517AF">
      <w:pPr>
        <w:overflowPunct w:val="0"/>
        <w:spacing w:line="520" w:lineRule="exact"/>
        <w:ind w:firstLineChars="200" w:firstLine="640"/>
        <w:rPr>
          <w:rFonts w:eastAsia="仿宋_GB2312"/>
          <w:color w:val="000000"/>
          <w:szCs w:val="32"/>
        </w:rPr>
      </w:pPr>
      <w:r>
        <w:rPr>
          <w:rFonts w:eastAsia="仿宋_GB2312"/>
          <w:color w:val="000000"/>
          <w:szCs w:val="32"/>
          <w:lang w:bidi="ar"/>
        </w:rPr>
        <w:t>对比申报产品和同品种产品在适用范围的相同性和差异性，建议重点考虑可检测的核酸类型、变异类型以及对使用环境的要求。</w:t>
      </w:r>
    </w:p>
    <w:p w:rsidR="004C0056" w:rsidRDefault="005517AF">
      <w:pPr>
        <w:overflowPunct w:val="0"/>
        <w:spacing w:line="520" w:lineRule="exact"/>
        <w:ind w:firstLineChars="200" w:firstLine="640"/>
        <w:rPr>
          <w:rFonts w:eastAsia="仿宋_GB2312"/>
          <w:szCs w:val="32"/>
        </w:rPr>
      </w:pPr>
      <w:r>
        <w:rPr>
          <w:rFonts w:eastAsia="仿宋_GB2312"/>
          <w:szCs w:val="32"/>
          <w:lang w:bidi="ar"/>
        </w:rPr>
        <w:t>基本原理应重点关注生化原理（包括但不限于酶学反</w:t>
      </w:r>
      <w:r>
        <w:rPr>
          <w:rFonts w:eastAsia="仿宋_GB2312"/>
          <w:szCs w:val="32"/>
          <w:lang w:bidi="ar"/>
        </w:rPr>
        <w:t>应、信号发生、信号源强度等）、物理原理（包括但不限于信号采集部件、光源、滤光器件等）、碱基对序列判断和质量评估原理（包括但不限于碱基对序列判断算法、核心数据集、错误率评估、系统弱点评估等）、系统集成原理和性能（包括但不限于：系统结构、核心模块、系统操控软件、操控人需求、可靠性等）等原理和基本性能等。</w:t>
      </w:r>
    </w:p>
    <w:p w:rsidR="004C0056" w:rsidRDefault="005517AF">
      <w:pPr>
        <w:overflowPunct w:val="0"/>
        <w:spacing w:line="520" w:lineRule="exact"/>
        <w:ind w:firstLine="640"/>
        <w:rPr>
          <w:rFonts w:eastAsia="仿宋_GB2312"/>
          <w:szCs w:val="32"/>
        </w:rPr>
      </w:pPr>
      <w:r>
        <w:rPr>
          <w:rFonts w:eastAsia="仿宋_GB2312"/>
          <w:szCs w:val="32"/>
          <w:lang w:bidi="ar"/>
        </w:rPr>
        <w:t>对于结构及功能模块，建议结合图示标注及性能参数进行对比。</w:t>
      </w:r>
    </w:p>
    <w:p w:rsidR="004C0056" w:rsidRDefault="005517AF">
      <w:pPr>
        <w:overflowPunct w:val="0"/>
        <w:spacing w:line="520" w:lineRule="exact"/>
        <w:ind w:firstLine="640"/>
        <w:rPr>
          <w:rFonts w:eastAsia="仿宋_GB2312"/>
          <w:szCs w:val="32"/>
        </w:rPr>
      </w:pPr>
      <w:r>
        <w:rPr>
          <w:rFonts w:eastAsia="仿宋_GB2312"/>
          <w:szCs w:val="32"/>
          <w:lang w:bidi="ar"/>
        </w:rPr>
        <w:t>关键指标应重点关注数据质量（包含所测序列中每个碱基的准确度：一般为仪器或分析软件系统的碱基判定时特有的质量值）、一次运行的数据产量（包括平均产量、最大产</w:t>
      </w:r>
      <w:r>
        <w:rPr>
          <w:rFonts w:eastAsia="仿宋_GB2312"/>
          <w:szCs w:val="32"/>
          <w:lang w:bidi="ar"/>
        </w:rPr>
        <w:t>量、在不</w:t>
      </w:r>
      <w:r>
        <w:rPr>
          <w:rFonts w:eastAsia="仿宋_GB2312"/>
          <w:szCs w:val="32"/>
          <w:lang w:bidi="ar"/>
        </w:rPr>
        <w:lastRenderedPageBreak/>
        <w:t>同质量阈值下的平均产量等）、测序在一定质量阈值下的平均读长（可包括高质量的最长读长和最短可用读长等）、仪器指定的不同测序模式、不同测序模式产生的数据量和运行时间差异等。</w:t>
      </w:r>
    </w:p>
    <w:p w:rsidR="004C0056" w:rsidRDefault="005517AF">
      <w:pPr>
        <w:overflowPunct w:val="0"/>
        <w:spacing w:line="520" w:lineRule="exact"/>
        <w:ind w:firstLineChars="200" w:firstLine="640"/>
        <w:rPr>
          <w:rFonts w:eastAsia="仿宋_GB2312"/>
          <w:color w:val="000000"/>
          <w:szCs w:val="32"/>
        </w:rPr>
      </w:pPr>
      <w:r>
        <w:rPr>
          <w:rFonts w:eastAsia="仿宋_GB2312"/>
          <w:color w:val="000000"/>
          <w:szCs w:val="32"/>
          <w:lang w:bidi="ar"/>
        </w:rPr>
        <w:t>根据上述比较，如对比产品不符合同品种产品要求的，应重新选择对比产品进行同品种比较或补充申报产品的临床试验资料；如申报产品与对比器械可判定为同品种产品，还需对两者之间的差异进行阐述并对是否对产品安全性、有效性产生不利影响进行进一步评价。相关内容可参考《医疗器械临床评价等同性论证技术指导原则》。</w:t>
      </w:r>
    </w:p>
    <w:p w:rsidR="004C0056" w:rsidRDefault="005517AF">
      <w:pPr>
        <w:spacing w:line="480" w:lineRule="exact"/>
        <w:ind w:rightChars="-32" w:right="-102" w:firstLineChars="200" w:firstLine="640"/>
        <w:rPr>
          <w:rFonts w:eastAsia="仿宋_GB2312"/>
          <w:color w:val="000000"/>
          <w:szCs w:val="32"/>
        </w:rPr>
      </w:pPr>
      <w:r>
        <w:rPr>
          <w:rFonts w:eastAsia="仿宋_GB2312"/>
          <w:color w:val="000000"/>
          <w:szCs w:val="32"/>
          <w:lang w:bidi="ar"/>
        </w:rPr>
        <w:t>3.</w:t>
      </w:r>
      <w:r>
        <w:rPr>
          <w:rFonts w:eastAsia="仿宋_GB2312"/>
          <w:color w:val="000000"/>
          <w:szCs w:val="32"/>
          <w:lang w:bidi="ar"/>
        </w:rPr>
        <w:t>差异性部分的安全有效性证据</w:t>
      </w:r>
    </w:p>
    <w:p w:rsidR="004C0056" w:rsidRDefault="005517AF">
      <w:pPr>
        <w:overflowPunct w:val="0"/>
        <w:spacing w:line="520" w:lineRule="exact"/>
        <w:ind w:firstLineChars="200" w:firstLine="640"/>
        <w:rPr>
          <w:rFonts w:eastAsia="仿宋_GB2312"/>
          <w:szCs w:val="32"/>
        </w:rPr>
      </w:pPr>
      <w:r>
        <w:rPr>
          <w:rFonts w:eastAsia="仿宋_GB2312"/>
          <w:szCs w:val="32"/>
          <w:lang w:bidi="ar"/>
        </w:rPr>
        <w:t>针对申报</w:t>
      </w:r>
      <w:r>
        <w:rPr>
          <w:rFonts w:eastAsia="仿宋_GB2312"/>
          <w:szCs w:val="32"/>
          <w:lang w:bidi="ar"/>
        </w:rPr>
        <w:t>产品与对比器械之间的差异，注册申请人需提交充分的科学证据证明二者的安全有效性等同。</w:t>
      </w:r>
    </w:p>
    <w:p w:rsidR="004C0056" w:rsidRDefault="005517AF">
      <w:pPr>
        <w:overflowPunct w:val="0"/>
        <w:spacing w:line="520" w:lineRule="exact"/>
        <w:ind w:firstLineChars="200" w:firstLine="640"/>
        <w:rPr>
          <w:rFonts w:eastAsia="仿宋_GB2312"/>
          <w:szCs w:val="32"/>
        </w:rPr>
      </w:pPr>
      <w:r>
        <w:rPr>
          <w:rFonts w:eastAsia="仿宋_GB2312"/>
          <w:szCs w:val="32"/>
          <w:lang w:bidi="ar"/>
        </w:rPr>
        <w:t>科学证据包括但不限于：差异对下个模块性能或步骤的影响研究，差异对数据质量的影响研究。</w:t>
      </w:r>
      <w:r>
        <w:rPr>
          <w:rFonts w:eastAsia="仿宋_GB2312"/>
          <w:color w:val="000000"/>
          <w:szCs w:val="32"/>
          <w:lang w:bidi="ar"/>
        </w:rPr>
        <w:t>通常为研究资料或验证报告等。科学证据应详细说明针对差异进行的研究方式及研究结果，通常需包括准确、可靠、完整、可追溯的数据，必要时包括数据的产生过程，试验数据建议来自有良好质量控制的实验室；</w:t>
      </w:r>
      <w:r>
        <w:rPr>
          <w:rFonts w:eastAsia="仿宋_GB2312"/>
          <w:szCs w:val="32"/>
          <w:lang w:bidi="ar"/>
        </w:rPr>
        <w:t>应进一步评价差异是否影响性能，以及影响的程度和范围，必要时提供临床试验数据进行确认。</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不同情形所需提交的支持性资料不尽相同，申请人应当根据具体差异点提供相应</w:t>
      </w:r>
      <w:r>
        <w:rPr>
          <w:rFonts w:eastAsia="仿宋_GB2312"/>
          <w:color w:val="000000"/>
          <w:szCs w:val="32"/>
          <w:lang w:bidi="ar"/>
        </w:rPr>
        <w:t>的支持性资料，资料的类型和数量应根据申报产品和对比产品的差异点对产品安全性、有效性的影响进行确定。具体内容可参考表</w:t>
      </w:r>
      <w:r>
        <w:rPr>
          <w:rFonts w:eastAsia="仿宋_GB2312"/>
          <w:color w:val="000000"/>
          <w:szCs w:val="32"/>
          <w:lang w:bidi="ar"/>
        </w:rPr>
        <w:t>1</w:t>
      </w:r>
      <w:r>
        <w:rPr>
          <w:rFonts w:eastAsia="仿宋_GB2312"/>
          <w:color w:val="000000"/>
          <w:szCs w:val="32"/>
          <w:lang w:bidi="ar"/>
        </w:rPr>
        <w:t>，表</w:t>
      </w:r>
      <w:r>
        <w:rPr>
          <w:rFonts w:eastAsia="仿宋_GB2312"/>
          <w:color w:val="000000"/>
          <w:szCs w:val="32"/>
          <w:lang w:bidi="ar"/>
        </w:rPr>
        <w:t>1</w:t>
      </w:r>
      <w:r>
        <w:rPr>
          <w:rFonts w:eastAsia="仿宋_GB2312"/>
          <w:color w:val="000000"/>
          <w:szCs w:val="32"/>
          <w:lang w:bidi="ar"/>
        </w:rPr>
        <w:t>中具体情况举例可能不能涵盖所有情况，申请人应根据申报产品的具体情况进行列举和</w:t>
      </w:r>
      <w:r>
        <w:rPr>
          <w:rFonts w:eastAsia="仿宋_GB2312"/>
          <w:color w:val="000000"/>
          <w:szCs w:val="32"/>
          <w:lang w:bidi="ar"/>
        </w:rPr>
        <w:lastRenderedPageBreak/>
        <w:t>判定，并给出判定的具体理由。</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 xml:space="preserve"> </w:t>
      </w:r>
    </w:p>
    <w:p w:rsidR="004C0056" w:rsidRDefault="005517AF">
      <w:pPr>
        <w:autoSpaceDE w:val="0"/>
        <w:autoSpaceDN w:val="0"/>
        <w:adjustRightInd w:val="0"/>
        <w:spacing w:line="520" w:lineRule="exact"/>
        <w:jc w:val="center"/>
        <w:rPr>
          <w:rFonts w:eastAsia="黑体"/>
          <w:color w:val="000000"/>
          <w:sz w:val="28"/>
          <w:szCs w:val="28"/>
        </w:rPr>
      </w:pPr>
      <w:r>
        <w:rPr>
          <w:rFonts w:eastAsia="黑体"/>
          <w:color w:val="000000"/>
          <w:sz w:val="28"/>
          <w:szCs w:val="28"/>
          <w:lang w:bidi="ar"/>
        </w:rPr>
        <w:t>表</w:t>
      </w:r>
      <w:r>
        <w:rPr>
          <w:rFonts w:eastAsia="黑体"/>
          <w:color w:val="000000"/>
          <w:sz w:val="28"/>
          <w:szCs w:val="28"/>
          <w:lang w:bidi="ar"/>
        </w:rPr>
        <w:t xml:space="preserve">1 </w:t>
      </w:r>
      <w:r>
        <w:rPr>
          <w:rFonts w:eastAsia="黑体"/>
          <w:color w:val="000000"/>
          <w:sz w:val="28"/>
          <w:szCs w:val="28"/>
          <w:lang w:bidi="ar"/>
        </w:rPr>
        <w:t>申报产品与对比产品关系及需提交资料类型表</w:t>
      </w:r>
    </w:p>
    <w:tbl>
      <w:tblPr>
        <w:tblW w:w="9040"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1440"/>
        <w:gridCol w:w="4111"/>
        <w:gridCol w:w="1702"/>
      </w:tblGrid>
      <w:tr w:rsidR="004C0056">
        <w:trPr>
          <w:trHeight w:val="994"/>
        </w:trPr>
        <w:tc>
          <w:tcPr>
            <w:tcW w:w="1787"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rFonts w:eastAsia="黑体"/>
                <w:color w:val="000000"/>
                <w:spacing w:val="-4"/>
                <w:sz w:val="24"/>
              </w:rPr>
            </w:pPr>
            <w:r>
              <w:rPr>
                <w:rFonts w:eastAsia="黑体"/>
                <w:color w:val="000000"/>
                <w:spacing w:val="-4"/>
                <w:sz w:val="24"/>
                <w:lang w:bidi="ar"/>
              </w:rPr>
              <w:t>申报产品与对比产品关系</w:t>
            </w:r>
          </w:p>
        </w:tc>
        <w:tc>
          <w:tcPr>
            <w:tcW w:w="1440"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rFonts w:eastAsia="黑体"/>
                <w:color w:val="000000"/>
                <w:spacing w:val="-4"/>
                <w:sz w:val="24"/>
              </w:rPr>
            </w:pPr>
            <w:r>
              <w:rPr>
                <w:rFonts w:eastAsia="黑体"/>
                <w:color w:val="000000"/>
                <w:spacing w:val="-4"/>
                <w:sz w:val="24"/>
                <w:lang w:bidi="ar"/>
              </w:rPr>
              <w:t>申报产品与对比产品差异类型</w:t>
            </w:r>
          </w:p>
        </w:tc>
        <w:tc>
          <w:tcPr>
            <w:tcW w:w="4111"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rFonts w:eastAsia="黑体"/>
                <w:color w:val="000000"/>
                <w:spacing w:val="-4"/>
                <w:sz w:val="24"/>
              </w:rPr>
            </w:pPr>
            <w:r>
              <w:rPr>
                <w:rFonts w:eastAsia="黑体"/>
                <w:color w:val="000000"/>
                <w:spacing w:val="-4"/>
                <w:sz w:val="24"/>
                <w:lang w:bidi="ar"/>
              </w:rPr>
              <w:t>具体情况举例</w:t>
            </w:r>
          </w:p>
        </w:tc>
        <w:tc>
          <w:tcPr>
            <w:tcW w:w="1702"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rFonts w:eastAsia="黑体"/>
                <w:color w:val="000000"/>
                <w:spacing w:val="-4"/>
                <w:sz w:val="24"/>
              </w:rPr>
            </w:pPr>
            <w:r>
              <w:rPr>
                <w:rFonts w:eastAsia="黑体"/>
                <w:color w:val="000000"/>
                <w:spacing w:val="-4"/>
                <w:sz w:val="24"/>
                <w:lang w:bidi="ar"/>
              </w:rPr>
              <w:t>需提交</w:t>
            </w:r>
          </w:p>
          <w:p w:rsidR="004C0056" w:rsidRDefault="005517AF">
            <w:pPr>
              <w:spacing w:line="340" w:lineRule="exact"/>
              <w:jc w:val="center"/>
              <w:rPr>
                <w:rFonts w:eastAsia="黑体"/>
                <w:color w:val="000000"/>
                <w:spacing w:val="-4"/>
                <w:sz w:val="24"/>
              </w:rPr>
            </w:pPr>
            <w:r>
              <w:rPr>
                <w:rFonts w:eastAsia="黑体"/>
                <w:color w:val="000000"/>
                <w:spacing w:val="-4"/>
                <w:sz w:val="24"/>
                <w:lang w:bidi="ar"/>
              </w:rPr>
              <w:t>资料类型</w:t>
            </w:r>
          </w:p>
        </w:tc>
      </w:tr>
      <w:tr w:rsidR="004C0056">
        <w:trPr>
          <w:trHeight w:val="1022"/>
        </w:trPr>
        <w:tc>
          <w:tcPr>
            <w:tcW w:w="1787" w:type="dxa"/>
            <w:vMerge w:val="restart"/>
            <w:tcBorders>
              <w:top w:val="nil"/>
              <w:left w:val="single" w:sz="4" w:space="0" w:color="auto"/>
              <w:bottom w:val="single" w:sz="4" w:space="0" w:color="auto"/>
              <w:right w:val="single" w:sz="4" w:space="0" w:color="auto"/>
            </w:tcBorders>
            <w:vAlign w:val="center"/>
          </w:tcPr>
          <w:p w:rsidR="004C0056" w:rsidRDefault="005517AF">
            <w:pPr>
              <w:spacing w:line="340" w:lineRule="exact"/>
              <w:jc w:val="center"/>
              <w:rPr>
                <w:color w:val="000000"/>
                <w:spacing w:val="-4"/>
                <w:sz w:val="24"/>
              </w:rPr>
            </w:pPr>
            <w:r>
              <w:rPr>
                <w:color w:val="000000"/>
                <w:spacing w:val="-4"/>
                <w:sz w:val="24"/>
                <w:lang w:bidi="ar"/>
              </w:rPr>
              <w:t>属于同品种</w:t>
            </w:r>
          </w:p>
        </w:tc>
        <w:tc>
          <w:tcPr>
            <w:tcW w:w="1440"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color w:val="000000"/>
                <w:spacing w:val="-4"/>
                <w:sz w:val="24"/>
              </w:rPr>
            </w:pPr>
            <w:r>
              <w:rPr>
                <w:color w:val="000000"/>
                <w:spacing w:val="-4"/>
                <w:sz w:val="24"/>
                <w:lang w:bidi="ar"/>
              </w:rPr>
              <w:t>通常提交非临床研究可能充分证明的差异</w:t>
            </w:r>
          </w:p>
        </w:tc>
        <w:tc>
          <w:tcPr>
            <w:tcW w:w="4111"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rPr>
                <w:color w:val="000000"/>
                <w:spacing w:val="-4"/>
                <w:sz w:val="24"/>
              </w:rPr>
            </w:pPr>
            <w:r>
              <w:rPr>
                <w:color w:val="000000"/>
                <w:spacing w:val="-4"/>
                <w:sz w:val="24"/>
                <w:lang w:bidi="ar"/>
              </w:rPr>
              <w:t>1.</w:t>
            </w:r>
            <w:r>
              <w:rPr>
                <w:color w:val="000000"/>
                <w:spacing w:val="-4"/>
                <w:sz w:val="24"/>
                <w:lang w:bidi="ar"/>
              </w:rPr>
              <w:t>申报产品适用范围不超出对比产品。</w:t>
            </w:r>
          </w:p>
          <w:p w:rsidR="004C0056" w:rsidRDefault="005517AF">
            <w:pPr>
              <w:spacing w:line="340" w:lineRule="exact"/>
              <w:rPr>
                <w:color w:val="000000"/>
                <w:spacing w:val="-4"/>
                <w:sz w:val="24"/>
              </w:rPr>
            </w:pPr>
            <w:r>
              <w:rPr>
                <w:color w:val="000000"/>
                <w:spacing w:val="-4"/>
                <w:sz w:val="24"/>
                <w:lang w:bidi="ar"/>
              </w:rPr>
              <w:t>2.</w:t>
            </w:r>
            <w:r>
              <w:rPr>
                <w:color w:val="000000"/>
                <w:spacing w:val="-4"/>
                <w:sz w:val="24"/>
                <w:lang w:bidi="ar"/>
              </w:rPr>
              <w:t>申报产品芯片密度与对比产品相当，仅数量不一致，后期信号数据处理基本一致。</w:t>
            </w:r>
          </w:p>
          <w:p w:rsidR="004C0056" w:rsidRDefault="005517AF">
            <w:pPr>
              <w:spacing w:line="340" w:lineRule="exact"/>
              <w:rPr>
                <w:color w:val="000000"/>
                <w:spacing w:val="-4"/>
                <w:sz w:val="24"/>
              </w:rPr>
            </w:pPr>
            <w:r>
              <w:rPr>
                <w:color w:val="000000"/>
                <w:spacing w:val="-4"/>
                <w:sz w:val="24"/>
                <w:lang w:bidi="ar"/>
              </w:rPr>
              <w:t>3.</w:t>
            </w:r>
            <w:r>
              <w:rPr>
                <w:color w:val="000000"/>
                <w:spacing w:val="-4"/>
                <w:sz w:val="24"/>
                <w:lang w:bidi="ar"/>
              </w:rPr>
              <w:t>申报产品流动液路系统的性能与对比产品不一致。</w:t>
            </w:r>
          </w:p>
          <w:p w:rsidR="004C0056" w:rsidRDefault="005517AF">
            <w:pPr>
              <w:spacing w:line="340" w:lineRule="exact"/>
              <w:rPr>
                <w:color w:val="000000"/>
                <w:spacing w:val="-4"/>
                <w:sz w:val="24"/>
              </w:rPr>
            </w:pPr>
            <w:r>
              <w:rPr>
                <w:color w:val="000000"/>
                <w:spacing w:val="-4"/>
                <w:sz w:val="24"/>
                <w:lang w:bidi="ar"/>
              </w:rPr>
              <w:t>以上差异未造成明显性能差异和数据质量下降。</w:t>
            </w:r>
          </w:p>
        </w:tc>
        <w:tc>
          <w:tcPr>
            <w:tcW w:w="1702"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color w:val="000000"/>
                <w:spacing w:val="-4"/>
                <w:sz w:val="24"/>
              </w:rPr>
            </w:pPr>
            <w:r>
              <w:rPr>
                <w:color w:val="000000"/>
                <w:spacing w:val="-4"/>
                <w:sz w:val="24"/>
                <w:lang w:bidi="ar"/>
              </w:rPr>
              <w:t>通常提交非临床研究可能充分证明的差异：非临床研究、和</w:t>
            </w:r>
            <w:r>
              <w:rPr>
                <w:color w:val="000000"/>
                <w:spacing w:val="-4"/>
                <w:sz w:val="24"/>
                <w:lang w:bidi="ar"/>
              </w:rPr>
              <w:t>/</w:t>
            </w:r>
            <w:r>
              <w:rPr>
                <w:color w:val="000000"/>
                <w:spacing w:val="-4"/>
                <w:sz w:val="24"/>
                <w:lang w:bidi="ar"/>
              </w:rPr>
              <w:t>或临床文献数据、和</w:t>
            </w:r>
            <w:r>
              <w:rPr>
                <w:color w:val="000000"/>
                <w:spacing w:val="-4"/>
                <w:sz w:val="24"/>
                <w:lang w:bidi="ar"/>
              </w:rPr>
              <w:t>/</w:t>
            </w:r>
            <w:r>
              <w:rPr>
                <w:color w:val="000000"/>
                <w:spacing w:val="-4"/>
                <w:sz w:val="24"/>
                <w:lang w:bidi="ar"/>
              </w:rPr>
              <w:t>或临床经验数据</w:t>
            </w:r>
          </w:p>
        </w:tc>
      </w:tr>
      <w:tr w:rsidR="004C0056">
        <w:trPr>
          <w:trHeight w:val="90"/>
        </w:trPr>
        <w:tc>
          <w:tcPr>
            <w:tcW w:w="1787" w:type="dxa"/>
            <w:vMerge/>
            <w:tcBorders>
              <w:top w:val="nil"/>
              <w:left w:val="single" w:sz="4" w:space="0" w:color="auto"/>
              <w:bottom w:val="single" w:sz="4" w:space="0" w:color="auto"/>
              <w:right w:val="single" w:sz="4" w:space="0" w:color="auto"/>
            </w:tcBorders>
            <w:vAlign w:val="center"/>
          </w:tcPr>
          <w:p w:rsidR="004C0056" w:rsidRDefault="004C0056">
            <w:pPr>
              <w:rPr>
                <w:szCs w:val="22"/>
              </w:rPr>
            </w:pPr>
          </w:p>
        </w:tc>
        <w:tc>
          <w:tcPr>
            <w:tcW w:w="1440"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color w:val="000000"/>
                <w:spacing w:val="-4"/>
                <w:sz w:val="24"/>
              </w:rPr>
            </w:pPr>
            <w:r>
              <w:rPr>
                <w:color w:val="000000"/>
                <w:spacing w:val="-4"/>
                <w:sz w:val="24"/>
                <w:lang w:bidi="ar"/>
              </w:rPr>
              <w:t>需要提交临床试验资料的差异</w:t>
            </w:r>
          </w:p>
        </w:tc>
        <w:tc>
          <w:tcPr>
            <w:tcW w:w="4111" w:type="dxa"/>
            <w:tcBorders>
              <w:top w:val="single" w:sz="4" w:space="0" w:color="auto"/>
              <w:left w:val="single" w:sz="4" w:space="0" w:color="auto"/>
              <w:bottom w:val="single" w:sz="4" w:space="0" w:color="auto"/>
              <w:right w:val="single" w:sz="4" w:space="0" w:color="auto"/>
            </w:tcBorders>
            <w:vAlign w:val="center"/>
          </w:tcPr>
          <w:p w:rsidR="004C0056" w:rsidRDefault="005517AF">
            <w:pPr>
              <w:pStyle w:val="21"/>
              <w:widowControl/>
              <w:ind w:leftChars="0" w:left="0" w:firstLineChars="0" w:firstLine="0"/>
              <w:rPr>
                <w:rFonts w:ascii="Times New Roman" w:hAnsi="Times New Roman" w:hint="default"/>
                <w:color w:val="000000"/>
                <w:spacing w:val="-4"/>
                <w:lang w:bidi="ar"/>
              </w:rPr>
            </w:pPr>
            <w:r>
              <w:rPr>
                <w:rFonts w:ascii="Times New Roman" w:hAnsi="Times New Roman" w:hint="default"/>
                <w:color w:val="000000"/>
                <w:spacing w:val="-4"/>
                <w:lang w:bidi="ar"/>
              </w:rPr>
              <w:t>1.</w:t>
            </w:r>
            <w:r>
              <w:rPr>
                <w:rFonts w:ascii="Times New Roman" w:hAnsi="Times New Roman" w:hint="default"/>
                <w:color w:val="000000"/>
                <w:spacing w:val="-4"/>
                <w:lang w:bidi="ar"/>
              </w:rPr>
              <w:t>申报产品适用范围多于同品种产品。</w:t>
            </w:r>
          </w:p>
          <w:p w:rsidR="004C0056" w:rsidRDefault="005517AF">
            <w:pPr>
              <w:pStyle w:val="21"/>
              <w:widowControl/>
              <w:ind w:leftChars="0" w:left="0" w:firstLineChars="0" w:firstLine="0"/>
              <w:rPr>
                <w:rFonts w:ascii="Times New Roman" w:hAnsi="Times New Roman" w:hint="default"/>
                <w:lang w:bidi="ar"/>
              </w:rPr>
            </w:pPr>
            <w:r>
              <w:rPr>
                <w:rFonts w:ascii="Times New Roman" w:hAnsi="Times New Roman" w:hint="default"/>
                <w:color w:val="000000"/>
                <w:spacing w:val="-4"/>
                <w:lang w:bidi="ar"/>
              </w:rPr>
              <w:t>2.</w:t>
            </w:r>
            <w:r>
              <w:rPr>
                <w:rFonts w:ascii="Times New Roman" w:hAnsi="Times New Roman" w:hint="default"/>
                <w:color w:val="000000"/>
                <w:spacing w:val="-4"/>
                <w:lang w:bidi="ar"/>
              </w:rPr>
              <w:t>申报产品较同品种产品集成判读功能。</w:t>
            </w:r>
          </w:p>
        </w:tc>
        <w:tc>
          <w:tcPr>
            <w:tcW w:w="1702"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color w:val="000000"/>
                <w:spacing w:val="-4"/>
                <w:sz w:val="24"/>
              </w:rPr>
            </w:pPr>
            <w:r>
              <w:rPr>
                <w:color w:val="000000"/>
                <w:spacing w:val="-4"/>
                <w:sz w:val="24"/>
                <w:lang w:bidi="ar"/>
              </w:rPr>
              <w:t>针对差异的临床试验资料</w:t>
            </w:r>
          </w:p>
        </w:tc>
      </w:tr>
      <w:tr w:rsidR="004C0056">
        <w:trPr>
          <w:trHeight w:val="460"/>
        </w:trPr>
        <w:tc>
          <w:tcPr>
            <w:tcW w:w="1787"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color w:val="000000"/>
                <w:spacing w:val="-4"/>
                <w:sz w:val="24"/>
              </w:rPr>
            </w:pPr>
            <w:r>
              <w:rPr>
                <w:color w:val="000000"/>
                <w:spacing w:val="-4"/>
                <w:sz w:val="24"/>
                <w:lang w:bidi="ar"/>
              </w:rPr>
              <w:t>不属于同品种</w:t>
            </w:r>
          </w:p>
        </w:tc>
        <w:tc>
          <w:tcPr>
            <w:tcW w:w="1440" w:type="dxa"/>
            <w:tcBorders>
              <w:top w:val="single" w:sz="4" w:space="0" w:color="auto"/>
              <w:left w:val="single" w:sz="4" w:space="0" w:color="auto"/>
              <w:bottom w:val="single" w:sz="4" w:space="0" w:color="auto"/>
              <w:right w:val="single" w:sz="4" w:space="0" w:color="auto"/>
            </w:tcBorders>
            <w:vAlign w:val="center"/>
          </w:tcPr>
          <w:p w:rsidR="004C0056" w:rsidRDefault="004C0056">
            <w:pPr>
              <w:keepNext/>
              <w:keepLines/>
              <w:spacing w:before="260" w:after="260" w:line="340" w:lineRule="exact"/>
              <w:jc w:val="center"/>
              <w:rPr>
                <w:color w:val="000000"/>
                <w:spacing w:val="-4"/>
                <w:sz w:val="24"/>
              </w:rPr>
            </w:pPr>
          </w:p>
        </w:tc>
        <w:tc>
          <w:tcPr>
            <w:tcW w:w="4111"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rPr>
                <w:color w:val="000000"/>
                <w:spacing w:val="-4"/>
                <w:sz w:val="24"/>
              </w:rPr>
            </w:pPr>
            <w:bookmarkStart w:id="0" w:name="OLE_LINK9"/>
            <w:r>
              <w:rPr>
                <w:color w:val="000000"/>
                <w:spacing w:val="-4"/>
                <w:sz w:val="24"/>
                <w:lang w:bidi="ar"/>
              </w:rPr>
              <w:t>1.</w:t>
            </w:r>
            <w:r>
              <w:rPr>
                <w:color w:val="000000"/>
                <w:spacing w:val="-4"/>
                <w:sz w:val="24"/>
                <w:lang w:bidi="ar"/>
              </w:rPr>
              <w:t>申报产品的</w:t>
            </w:r>
            <w:bookmarkEnd w:id="0"/>
            <w:r>
              <w:rPr>
                <w:color w:val="000000"/>
                <w:spacing w:val="-4"/>
                <w:sz w:val="24"/>
                <w:lang w:bidi="ar"/>
              </w:rPr>
              <w:t>基本原理与对比产品不相同。例如检测原理和碱基判读方法等。</w:t>
            </w:r>
          </w:p>
          <w:p w:rsidR="004C0056" w:rsidRDefault="005517AF">
            <w:pPr>
              <w:spacing w:line="340" w:lineRule="exact"/>
              <w:rPr>
                <w:color w:val="000000"/>
                <w:spacing w:val="-4"/>
                <w:sz w:val="24"/>
              </w:rPr>
            </w:pPr>
            <w:r>
              <w:rPr>
                <w:color w:val="000000"/>
                <w:spacing w:val="-4"/>
                <w:sz w:val="24"/>
                <w:lang w:bidi="ar"/>
              </w:rPr>
              <w:t>2.</w:t>
            </w:r>
            <w:r>
              <w:rPr>
                <w:color w:val="000000"/>
                <w:spacing w:val="-4"/>
                <w:sz w:val="24"/>
                <w:lang w:bidi="ar"/>
              </w:rPr>
              <w:t>申报产品的关键模块的构成与对比产品不相同。</w:t>
            </w:r>
          </w:p>
          <w:p w:rsidR="004C0056" w:rsidRDefault="005517AF">
            <w:pPr>
              <w:spacing w:line="340" w:lineRule="exact"/>
              <w:rPr>
                <w:color w:val="000000"/>
                <w:spacing w:val="-4"/>
                <w:sz w:val="24"/>
              </w:rPr>
            </w:pPr>
            <w:r>
              <w:rPr>
                <w:color w:val="000000"/>
                <w:spacing w:val="-4"/>
                <w:sz w:val="24"/>
                <w:lang w:bidi="ar"/>
              </w:rPr>
              <w:t>3.</w:t>
            </w:r>
            <w:r>
              <w:rPr>
                <w:color w:val="000000"/>
                <w:spacing w:val="-4"/>
                <w:sz w:val="24"/>
                <w:lang w:bidi="ar"/>
              </w:rPr>
              <w:t>申报产品的产品类型与对比产品不相同。如便携式、固定式（台式</w:t>
            </w:r>
            <w:r>
              <w:rPr>
                <w:color w:val="000000"/>
                <w:spacing w:val="-4"/>
                <w:sz w:val="24"/>
                <w:lang w:bidi="ar"/>
              </w:rPr>
              <w:t>/</w:t>
            </w:r>
            <w:r>
              <w:rPr>
                <w:color w:val="000000"/>
                <w:spacing w:val="-4"/>
                <w:sz w:val="24"/>
                <w:lang w:bidi="ar"/>
              </w:rPr>
              <w:t>落地式）。</w:t>
            </w:r>
          </w:p>
          <w:p w:rsidR="004C0056" w:rsidRDefault="005517AF">
            <w:pPr>
              <w:spacing w:line="340" w:lineRule="exact"/>
              <w:rPr>
                <w:color w:val="000000"/>
                <w:spacing w:val="-4"/>
                <w:sz w:val="24"/>
              </w:rPr>
            </w:pPr>
            <w:r>
              <w:rPr>
                <w:color w:val="000000"/>
                <w:spacing w:val="-4"/>
                <w:sz w:val="24"/>
                <w:lang w:bidi="ar"/>
              </w:rPr>
              <w:t>4.</w:t>
            </w:r>
            <w:r>
              <w:rPr>
                <w:color w:val="000000"/>
                <w:spacing w:val="-4"/>
                <w:sz w:val="24"/>
                <w:lang w:bidi="ar"/>
              </w:rPr>
              <w:t>申报产品关键模块的原理与对比产品不一致。如成像模块的原理不一致。</w:t>
            </w:r>
          </w:p>
          <w:p w:rsidR="004C0056" w:rsidRDefault="005517AF">
            <w:pPr>
              <w:spacing w:line="340" w:lineRule="exact"/>
              <w:rPr>
                <w:color w:val="000000"/>
                <w:spacing w:val="-6"/>
                <w:sz w:val="24"/>
              </w:rPr>
            </w:pPr>
            <w:r>
              <w:rPr>
                <w:color w:val="000000"/>
                <w:spacing w:val="-4"/>
                <w:sz w:val="24"/>
                <w:lang w:bidi="ar"/>
              </w:rPr>
              <w:t>5.</w:t>
            </w:r>
            <w:r>
              <w:rPr>
                <w:color w:val="000000"/>
                <w:spacing w:val="-4"/>
                <w:sz w:val="24"/>
                <w:lang w:bidi="ar"/>
              </w:rPr>
              <w:t>申报产品的性能与对比产品差异较大（最大读长、通量、数据质量等）</w:t>
            </w:r>
            <w:r>
              <w:rPr>
                <w:spacing w:val="-4"/>
                <w:sz w:val="24"/>
                <w:lang w:bidi="ar"/>
              </w:rPr>
              <w:t>。</w:t>
            </w:r>
          </w:p>
        </w:tc>
        <w:tc>
          <w:tcPr>
            <w:tcW w:w="1702" w:type="dxa"/>
            <w:tcBorders>
              <w:top w:val="single" w:sz="4" w:space="0" w:color="auto"/>
              <w:left w:val="single" w:sz="4" w:space="0" w:color="auto"/>
              <w:bottom w:val="single" w:sz="4" w:space="0" w:color="auto"/>
              <w:right w:val="single" w:sz="4" w:space="0" w:color="auto"/>
            </w:tcBorders>
            <w:vAlign w:val="center"/>
          </w:tcPr>
          <w:p w:rsidR="004C0056" w:rsidRDefault="005517AF">
            <w:pPr>
              <w:spacing w:line="340" w:lineRule="exact"/>
              <w:jc w:val="center"/>
              <w:rPr>
                <w:color w:val="000000"/>
                <w:spacing w:val="-4"/>
                <w:sz w:val="24"/>
              </w:rPr>
            </w:pPr>
            <w:r>
              <w:rPr>
                <w:color w:val="000000"/>
                <w:spacing w:val="-4"/>
                <w:sz w:val="24"/>
                <w:lang w:bidi="ar"/>
              </w:rPr>
              <w:t>重新选择同品种产品进行比较或补充申报产品的临床试验资料</w:t>
            </w:r>
          </w:p>
        </w:tc>
      </w:tr>
    </w:tbl>
    <w:p w:rsidR="004C0056" w:rsidRDefault="004C0056">
      <w:pPr>
        <w:autoSpaceDE w:val="0"/>
        <w:autoSpaceDN w:val="0"/>
        <w:adjustRightInd w:val="0"/>
        <w:spacing w:line="520" w:lineRule="exact"/>
        <w:ind w:firstLineChars="200" w:firstLine="640"/>
        <w:rPr>
          <w:rFonts w:eastAsia="仿宋_GB2312"/>
          <w:color w:val="000000"/>
          <w:szCs w:val="32"/>
          <w:lang w:bidi="ar"/>
        </w:rPr>
      </w:pP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对于较同品种产品增加的适用范围，应提交申报产品针对差异性的临床试验数据作为支持性资料。</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对于存在多个差异点的情况，申请人应当完整地列出申报</w:t>
      </w:r>
      <w:r>
        <w:rPr>
          <w:rFonts w:eastAsia="仿宋_GB2312"/>
          <w:color w:val="000000"/>
          <w:szCs w:val="32"/>
          <w:lang w:bidi="ar"/>
        </w:rPr>
        <w:lastRenderedPageBreak/>
        <w:t>产品与同品种基因测序仪的所有差异点，并说明这些差异点的相互关系。若不同差异点之间存在相关性或相互影响，则应提供单个差异点影响的研究证据和关联性差异点共存时影响的研究证据。</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基于申报产品和同品种基因测序仪的对比结果，如果非临床研究、临床文献数据、临床经验数据等无法充分地证明该差异对产品安全性和有效性的影响，则申请人应提供相应的临床试验资料。</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通过对相应的性能及数据质量的评价，结果显示没有显著差异的，可</w:t>
      </w:r>
      <w:r>
        <w:rPr>
          <w:rFonts w:eastAsia="仿宋_GB2312"/>
          <w:szCs w:val="32"/>
          <w:lang w:bidi="ar"/>
        </w:rPr>
        <w:t>认为申报产品与同品种产品基本等同。</w:t>
      </w:r>
      <w:r>
        <w:rPr>
          <w:rFonts w:eastAsia="仿宋_GB2312"/>
          <w:color w:val="000000"/>
          <w:szCs w:val="32"/>
          <w:lang w:bidi="ar"/>
        </w:rPr>
        <w:t>则可收集同品种产品的临床数</w:t>
      </w:r>
      <w:r>
        <w:rPr>
          <w:rFonts w:eastAsia="仿宋_GB2312"/>
          <w:color w:val="000000"/>
          <w:szCs w:val="32"/>
          <w:lang w:bidi="ar"/>
        </w:rPr>
        <w:t>据集，以证明申报产品自身的安全有效性。</w:t>
      </w:r>
    </w:p>
    <w:p w:rsidR="004C0056" w:rsidRDefault="005517AF">
      <w:pPr>
        <w:spacing w:line="480" w:lineRule="exact"/>
        <w:ind w:rightChars="-32" w:right="-102" w:firstLineChars="200" w:firstLine="640"/>
        <w:rPr>
          <w:rFonts w:eastAsia="仿宋_GB2312"/>
          <w:color w:val="000000"/>
          <w:szCs w:val="32"/>
        </w:rPr>
      </w:pPr>
      <w:r>
        <w:rPr>
          <w:rFonts w:eastAsia="仿宋_GB2312"/>
          <w:color w:val="000000"/>
          <w:szCs w:val="32"/>
          <w:lang w:bidi="ar"/>
        </w:rPr>
        <w:t>4.</w:t>
      </w:r>
      <w:r>
        <w:rPr>
          <w:rFonts w:eastAsia="仿宋_GB2312"/>
          <w:color w:val="000000"/>
          <w:szCs w:val="32"/>
          <w:lang w:bidi="ar"/>
        </w:rPr>
        <w:t>同品种医疗器械的临床数据总结</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szCs w:val="32"/>
          <w:lang w:bidi="ar"/>
        </w:rPr>
        <w:t>如果判定申报产品与对比器械基本等同，则可收集同品种医疗器械的临床数据集，以证明申报产品的安全有效性。</w:t>
      </w:r>
      <w:r>
        <w:rPr>
          <w:rFonts w:eastAsia="仿宋_GB2312"/>
          <w:color w:val="000000"/>
          <w:szCs w:val="32"/>
          <w:lang w:bidi="ar"/>
        </w:rPr>
        <w:t>同品种医疗器械临床数据的收集、同品种医疗器械临床数据分析评价方法、临床评价报告撰写等方面的具体内容可参照《医疗器械临床评价技术指导原则》及《医疗器械注册申报临床评价报告技术指导原则》的相关规定。</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对于同品种产品在临床应用时产生的安全有效性数据，应考虑选择不同变异类型、不同核酸类型的临床检测项目及数据质量。</w:t>
      </w:r>
    </w:p>
    <w:p w:rsidR="004C0056" w:rsidRDefault="005517AF">
      <w:pPr>
        <w:spacing w:line="530" w:lineRule="exact"/>
        <w:ind w:firstLineChars="200" w:firstLine="640"/>
        <w:rPr>
          <w:rFonts w:eastAsia="楷体_GB2312"/>
          <w:color w:val="000000"/>
          <w:szCs w:val="32"/>
        </w:rPr>
      </w:pPr>
      <w:r>
        <w:rPr>
          <w:rFonts w:eastAsia="楷体_GB2312"/>
          <w:color w:val="000000"/>
          <w:szCs w:val="32"/>
          <w:lang w:bidi="ar"/>
        </w:rPr>
        <w:t>（二）临床试验路径的基本要求</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临床试验的开展、方案的制定以及报告的撰写均应符合相关法规、指导原则的要求，如相关法规、指导原则有更新，临床</w:t>
      </w:r>
      <w:r>
        <w:rPr>
          <w:rFonts w:eastAsia="仿宋_GB2312"/>
          <w:color w:val="000000"/>
          <w:szCs w:val="32"/>
          <w:lang w:bidi="ar"/>
        </w:rPr>
        <w:lastRenderedPageBreak/>
        <w:t>试验应符合更新后的要求。下面仅说明该类产品临床试验中应关注的重点问题。</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1.</w:t>
      </w:r>
      <w:r>
        <w:rPr>
          <w:rFonts w:eastAsia="仿宋_GB2312"/>
          <w:color w:val="000000"/>
          <w:szCs w:val="32"/>
          <w:lang w:bidi="ar"/>
        </w:rPr>
        <w:t>临床试验机构</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应选择不少于两家（含两家）符合要求的临床试验机构开展临床试验。临床试验机构应具备相应的检测资质和人员。</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2.</w:t>
      </w:r>
      <w:r>
        <w:rPr>
          <w:rFonts w:eastAsia="仿宋_GB2312"/>
          <w:color w:val="000000"/>
          <w:szCs w:val="32"/>
          <w:lang w:bidi="ar"/>
        </w:rPr>
        <w:t>临床试验目的及设计</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w:t>
      </w:r>
      <w:r>
        <w:rPr>
          <w:rFonts w:eastAsia="仿宋_GB2312"/>
          <w:color w:val="000000"/>
          <w:szCs w:val="32"/>
          <w:lang w:bidi="ar"/>
        </w:rPr>
        <w:t>1</w:t>
      </w:r>
      <w:r>
        <w:rPr>
          <w:rFonts w:eastAsia="仿宋_GB2312"/>
          <w:color w:val="000000"/>
          <w:szCs w:val="32"/>
          <w:lang w:bidi="ar"/>
        </w:rPr>
        <w:t>）临床试验目的</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通过试验医疗器械与临床参考方法或已上市同类产品进行比较研究，确认试验医疗器械的安全性、临床性能和</w:t>
      </w:r>
      <w:r>
        <w:rPr>
          <w:rFonts w:eastAsia="仿宋_GB2312"/>
          <w:color w:val="000000"/>
          <w:szCs w:val="32"/>
          <w:lang w:bidi="ar"/>
        </w:rPr>
        <w:t>/</w:t>
      </w:r>
      <w:r>
        <w:rPr>
          <w:rFonts w:eastAsia="仿宋_GB2312"/>
          <w:color w:val="000000"/>
          <w:szCs w:val="32"/>
          <w:lang w:bidi="ar"/>
        </w:rPr>
        <w:t>或有效性。</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w:t>
      </w:r>
      <w:r>
        <w:rPr>
          <w:rFonts w:eastAsia="仿宋_GB2312"/>
          <w:color w:val="000000"/>
          <w:szCs w:val="32"/>
          <w:lang w:bidi="ar"/>
        </w:rPr>
        <w:t>2</w:t>
      </w:r>
      <w:r>
        <w:rPr>
          <w:rFonts w:eastAsia="仿宋_GB2312"/>
          <w:color w:val="000000"/>
          <w:szCs w:val="32"/>
          <w:lang w:bidi="ar"/>
        </w:rPr>
        <w:t>）对比方法的选择</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对于已有同类产品上市的临床研究，可以选择临床参考方法或已在中国境内上市的同类产品作为对照。如选同类产品作为对照，建议选择目前在临床检测方面使用状况良好的机型，应注意试验医疗器械的适用范围不应超过同类产品的适用范围，同时应提供对照产品的信息，如生产企业、型号、适用范围等。如试验医疗器械的适用范围超过已批准上市同类产品，可在以同类产品作为对照对相同的适用范围进行评价的同时，另外选择临床参考方法作为对比方法，对超出同类产品的适用范围进行临床评价。</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对于无同类已上市产品的临床研究，可选择临床参考方法作为对比方法进行</w:t>
      </w:r>
      <w:r>
        <w:rPr>
          <w:rFonts w:eastAsia="仿宋_GB2312"/>
          <w:color w:val="000000"/>
          <w:szCs w:val="32"/>
          <w:lang w:bidi="ar"/>
        </w:rPr>
        <w:t>比较研究，以评价试验医疗器械的临床性能。</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临床试验中还应对试验医疗器械和对比方法检测结果不一致样本进行分析，以明确结果不一致的原因。</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w:t>
      </w:r>
      <w:r>
        <w:rPr>
          <w:rFonts w:eastAsia="仿宋_GB2312"/>
          <w:color w:val="000000"/>
          <w:szCs w:val="32"/>
          <w:lang w:bidi="ar"/>
        </w:rPr>
        <w:t>3</w:t>
      </w:r>
      <w:r>
        <w:rPr>
          <w:rFonts w:eastAsia="仿宋_GB2312"/>
          <w:color w:val="000000"/>
          <w:szCs w:val="32"/>
          <w:lang w:bidi="ar"/>
        </w:rPr>
        <w:t>）研究项目的选择</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lastRenderedPageBreak/>
        <w:t>如试验医疗器械的适用范围为对来源于人体样本的人脱氧核糖核酸（</w:t>
      </w:r>
      <w:r>
        <w:rPr>
          <w:rFonts w:eastAsia="仿宋_GB2312"/>
          <w:color w:val="000000"/>
          <w:szCs w:val="32"/>
          <w:lang w:bidi="ar"/>
        </w:rPr>
        <w:t>DNA</w:t>
      </w:r>
      <w:r>
        <w:rPr>
          <w:rFonts w:eastAsia="仿宋_GB2312"/>
          <w:color w:val="000000"/>
          <w:szCs w:val="32"/>
          <w:lang w:bidi="ar"/>
        </w:rPr>
        <w:t>）进行测序，以检测基因序列变化，至少应选择人类基因靶向测序以及非靶向测序项目进行评价。其中人类基因靶向测序，建议选择肿瘤组织的基因突变为对象，应包括代表性的突变类型，至少包括点突变、小片段的插入</w:t>
      </w:r>
      <w:r>
        <w:rPr>
          <w:rFonts w:eastAsia="仿宋_GB2312"/>
          <w:color w:val="000000"/>
          <w:szCs w:val="32"/>
          <w:lang w:bidi="ar"/>
        </w:rPr>
        <w:t>/</w:t>
      </w:r>
      <w:r>
        <w:rPr>
          <w:rFonts w:eastAsia="仿宋_GB2312"/>
          <w:color w:val="000000"/>
          <w:szCs w:val="32"/>
          <w:lang w:bidi="ar"/>
        </w:rPr>
        <w:t>缺失、拷贝数变化；非靶向测序项目可选择胎儿染色体非整倍体检测。如适用范围还包括核糖核酸（</w:t>
      </w:r>
      <w:r>
        <w:rPr>
          <w:rFonts w:eastAsia="仿宋_GB2312"/>
          <w:color w:val="000000"/>
          <w:szCs w:val="32"/>
          <w:lang w:bidi="ar"/>
        </w:rPr>
        <w:t>RNA</w:t>
      </w:r>
      <w:r>
        <w:rPr>
          <w:rFonts w:eastAsia="仿宋_GB2312"/>
          <w:color w:val="000000"/>
          <w:szCs w:val="32"/>
          <w:lang w:bidi="ar"/>
        </w:rPr>
        <w:t>）的测序，即将</w:t>
      </w:r>
      <w:r>
        <w:rPr>
          <w:rFonts w:eastAsia="仿宋_GB2312"/>
          <w:color w:val="000000"/>
          <w:szCs w:val="32"/>
          <w:lang w:bidi="ar"/>
        </w:rPr>
        <w:t>RNA</w:t>
      </w:r>
      <w:r>
        <w:rPr>
          <w:rFonts w:eastAsia="仿宋_GB2312"/>
          <w:color w:val="000000"/>
          <w:szCs w:val="32"/>
          <w:lang w:bidi="ar"/>
        </w:rPr>
        <w:t>逆转录成</w:t>
      </w:r>
      <w:r>
        <w:rPr>
          <w:rFonts w:eastAsia="仿宋_GB2312"/>
          <w:color w:val="000000"/>
          <w:szCs w:val="32"/>
          <w:lang w:bidi="ar"/>
        </w:rPr>
        <w:t>DNA</w:t>
      </w:r>
      <w:r>
        <w:rPr>
          <w:rFonts w:eastAsia="仿宋_GB2312"/>
          <w:color w:val="000000"/>
          <w:szCs w:val="32"/>
          <w:lang w:bidi="ar"/>
        </w:rPr>
        <w:t>后进行测序，则还应对基因融合（如</w:t>
      </w:r>
      <w:r>
        <w:rPr>
          <w:rFonts w:eastAsia="仿宋_GB2312"/>
          <w:i/>
          <w:iCs/>
          <w:color w:val="000000"/>
          <w:szCs w:val="32"/>
          <w:lang w:bidi="ar"/>
        </w:rPr>
        <w:t>ALK</w:t>
      </w:r>
      <w:r>
        <w:rPr>
          <w:rFonts w:eastAsia="仿宋_GB2312"/>
          <w:color w:val="000000"/>
          <w:szCs w:val="32"/>
          <w:lang w:bidi="ar"/>
        </w:rPr>
        <w:t>融合）进行验证。</w:t>
      </w:r>
    </w:p>
    <w:p w:rsidR="004C0056" w:rsidRDefault="005517AF">
      <w:pPr>
        <w:pStyle w:val="21"/>
        <w:widowControl/>
        <w:spacing w:line="520" w:lineRule="exact"/>
        <w:ind w:leftChars="0" w:left="0" w:firstLine="640"/>
        <w:rPr>
          <w:rFonts w:ascii="Times New Roman" w:hAnsi="Times New Roman" w:hint="default"/>
        </w:rPr>
      </w:pPr>
      <w:r>
        <w:rPr>
          <w:rFonts w:ascii="Times New Roman" w:eastAsia="仿宋_GB2312" w:hAnsi="Times New Roman" w:hint="default"/>
          <w:color w:val="000000"/>
          <w:sz w:val="32"/>
          <w:szCs w:val="32"/>
        </w:rPr>
        <w:t>如试验医疗器械的适用范围不限于人</w:t>
      </w:r>
      <w:r>
        <w:rPr>
          <w:rFonts w:ascii="Times New Roman" w:eastAsia="仿宋_GB2312" w:hAnsi="Times New Roman" w:hint="default"/>
          <w:color w:val="000000"/>
          <w:sz w:val="32"/>
          <w:szCs w:val="32"/>
        </w:rPr>
        <w:t>DNA</w:t>
      </w:r>
      <w:r>
        <w:rPr>
          <w:rFonts w:ascii="Times New Roman" w:eastAsia="仿宋_GB2312" w:hAnsi="Times New Roman" w:hint="default"/>
          <w:color w:val="000000"/>
          <w:sz w:val="32"/>
          <w:szCs w:val="32"/>
        </w:rPr>
        <w:t>，应充分考虑产品适用的临床预期用途选择合适的代表性项目进行评价。</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应根据试验医疗器械所声称的适用范围，选择代表性的检测项目进行临床评价，同时应考虑到不同样本类型。应根据临床试验中所选择的临床项目，制定受试者的选择标准，即入选和排除标准。同时受试者年龄、性别分布应均衡合理，充分考虑人种、地域差异对试验结果的影响。同时选择代表性的临床项目时，应考虑避免偏倚，试验过程中应注意盲法。</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w:t>
      </w:r>
      <w:r>
        <w:rPr>
          <w:rFonts w:eastAsia="仿宋_GB2312"/>
          <w:color w:val="000000"/>
          <w:szCs w:val="32"/>
          <w:lang w:bidi="ar"/>
        </w:rPr>
        <w:t>4</w:t>
      </w:r>
      <w:r>
        <w:rPr>
          <w:rFonts w:eastAsia="仿宋_GB2312"/>
          <w:color w:val="000000"/>
          <w:szCs w:val="32"/>
          <w:lang w:bidi="ar"/>
        </w:rPr>
        <w:t>）临床评价指标</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主要评价指标一般为检测准确性（灵敏度、特异度）或检测一致性（阳性</w:t>
      </w:r>
      <w:r>
        <w:rPr>
          <w:rFonts w:eastAsia="仿宋_GB2312"/>
          <w:color w:val="000000"/>
          <w:szCs w:val="32"/>
          <w:lang w:bidi="ar"/>
        </w:rPr>
        <w:t>/</w:t>
      </w:r>
      <w:r>
        <w:rPr>
          <w:rFonts w:eastAsia="仿宋_GB2312"/>
          <w:color w:val="000000"/>
          <w:szCs w:val="32"/>
          <w:lang w:bidi="ar"/>
        </w:rPr>
        <w:t>阴性符合率、总符合率、</w:t>
      </w:r>
      <w:r>
        <w:rPr>
          <w:rFonts w:eastAsia="仿宋_GB2312"/>
          <w:color w:val="000000"/>
          <w:szCs w:val="32"/>
          <w:lang w:bidi="ar"/>
        </w:rPr>
        <w:t>Kappa</w:t>
      </w:r>
      <w:r>
        <w:rPr>
          <w:rFonts w:eastAsia="仿宋_GB2312"/>
          <w:color w:val="000000"/>
          <w:szCs w:val="32"/>
          <w:lang w:bidi="ar"/>
        </w:rPr>
        <w:t>值等），主要评价指标应能够满足评价产品临床性能的要求。</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同时申请人还应对临床试验检测项目进行数据质量的分析。</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次要评价指标一般包括仪器功能、稳定性、使用便捷性、使用安全性等。</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lastRenderedPageBreak/>
        <w:t>（</w:t>
      </w:r>
      <w:r>
        <w:rPr>
          <w:rFonts w:eastAsia="仿宋_GB2312"/>
          <w:color w:val="000000"/>
          <w:szCs w:val="32"/>
          <w:lang w:bidi="ar"/>
        </w:rPr>
        <w:t>5</w:t>
      </w:r>
      <w:r>
        <w:rPr>
          <w:rFonts w:eastAsia="仿宋_GB2312"/>
          <w:color w:val="000000"/>
          <w:szCs w:val="32"/>
          <w:lang w:bidi="ar"/>
        </w:rPr>
        <w:t>）样本量估算</w:t>
      </w:r>
    </w:p>
    <w:p w:rsidR="004C0056" w:rsidRDefault="005517AF">
      <w:pPr>
        <w:autoSpaceDE w:val="0"/>
        <w:autoSpaceDN w:val="0"/>
        <w:adjustRightInd w:val="0"/>
        <w:spacing w:line="520" w:lineRule="exact"/>
        <w:ind w:firstLineChars="200" w:firstLine="640"/>
        <w:rPr>
          <w:rFonts w:eastAsia="仿宋_GB2312"/>
          <w:szCs w:val="32"/>
        </w:rPr>
      </w:pPr>
      <w:r>
        <w:rPr>
          <w:rFonts w:eastAsia="仿宋_GB2312"/>
          <w:color w:val="000000"/>
          <w:szCs w:val="32"/>
          <w:lang w:bidi="ar"/>
        </w:rPr>
        <w:t>为实现抽样样本代替总体的目的，临床试验需要一定的受试者数量（样本量）。样本量一般以临床试验的主要评价指标进行估算。需在临床试验方案中说明样本量估算的相关要素及其确定依据、样本量的具体计算方法。主要评价</w:t>
      </w:r>
      <w:r>
        <w:rPr>
          <w:rFonts w:eastAsia="仿宋_GB2312"/>
          <w:color w:val="000000"/>
          <w:szCs w:val="32"/>
          <w:lang w:bidi="ar"/>
        </w:rPr>
        <w:t>指标的相关参数根据已有临床数据和探索性性试验（如有）的结果来估算，需要在临床试验方案中明确这些估计值的确定依据。一般情况下，</w:t>
      </w:r>
      <w:r>
        <w:rPr>
          <w:rFonts w:eastAsia="仿宋_GB2312"/>
          <w:color w:val="000000"/>
          <w:szCs w:val="32"/>
          <w:lang w:bidi="ar"/>
        </w:rPr>
        <w:t>Ⅰ</w:t>
      </w:r>
      <w:r>
        <w:rPr>
          <w:rFonts w:eastAsia="仿宋_GB2312"/>
          <w:color w:val="000000"/>
          <w:szCs w:val="32"/>
          <w:lang w:bidi="ar"/>
        </w:rPr>
        <w:t>类错误概率</w:t>
      </w:r>
      <w:r>
        <w:rPr>
          <w:rFonts w:eastAsia="仿宋_GB2312"/>
          <w:i/>
          <w:iCs/>
          <w:color w:val="000000"/>
          <w:szCs w:val="32"/>
          <w:lang w:bidi="ar"/>
        </w:rPr>
        <w:t>α</w:t>
      </w:r>
      <w:r>
        <w:rPr>
          <w:rFonts w:eastAsia="仿宋_GB2312"/>
          <w:color w:val="000000"/>
          <w:szCs w:val="32"/>
          <w:lang w:bidi="ar"/>
        </w:rPr>
        <w:t>设定为双侧</w:t>
      </w:r>
      <w:r>
        <w:rPr>
          <w:rFonts w:eastAsia="仿宋_GB2312"/>
          <w:color w:val="000000"/>
          <w:szCs w:val="32"/>
          <w:lang w:bidi="ar"/>
        </w:rPr>
        <w:t>0.05</w:t>
      </w:r>
      <w:r>
        <w:rPr>
          <w:rFonts w:eastAsia="仿宋_GB2312"/>
          <w:color w:val="000000"/>
          <w:szCs w:val="32"/>
          <w:lang w:bidi="ar"/>
        </w:rPr>
        <w:t>或单侧</w:t>
      </w:r>
      <w:r>
        <w:rPr>
          <w:rFonts w:eastAsia="仿宋_GB2312"/>
          <w:color w:val="000000"/>
          <w:szCs w:val="32"/>
          <w:lang w:bidi="ar"/>
        </w:rPr>
        <w:t>0.025</w:t>
      </w:r>
      <w:r>
        <w:rPr>
          <w:rFonts w:eastAsia="仿宋_GB2312"/>
          <w:color w:val="000000"/>
          <w:szCs w:val="32"/>
          <w:lang w:bidi="ar"/>
        </w:rPr>
        <w:t>，</w:t>
      </w:r>
      <w:r>
        <w:rPr>
          <w:rFonts w:eastAsia="仿宋_GB2312"/>
          <w:color w:val="000000"/>
          <w:szCs w:val="32"/>
          <w:lang w:bidi="ar"/>
        </w:rPr>
        <w:t>Ⅱ</w:t>
      </w:r>
      <w:r>
        <w:rPr>
          <w:rFonts w:eastAsia="仿宋_GB2312"/>
          <w:color w:val="000000"/>
          <w:szCs w:val="32"/>
          <w:lang w:bidi="ar"/>
        </w:rPr>
        <w:t>类错误概率</w:t>
      </w:r>
      <w:r>
        <w:rPr>
          <w:rFonts w:eastAsia="仿宋_GB2312"/>
          <w:i/>
          <w:iCs/>
          <w:color w:val="000000"/>
          <w:szCs w:val="32"/>
          <w:lang w:bidi="ar"/>
        </w:rPr>
        <w:t>β</w:t>
      </w:r>
      <w:r>
        <w:rPr>
          <w:rFonts w:eastAsia="仿宋_GB2312"/>
          <w:color w:val="000000"/>
          <w:szCs w:val="32"/>
          <w:lang w:bidi="ar"/>
        </w:rPr>
        <w:t>设定为不大于</w:t>
      </w:r>
      <w:r>
        <w:rPr>
          <w:rFonts w:eastAsia="仿宋_GB2312"/>
          <w:color w:val="000000"/>
          <w:szCs w:val="32"/>
          <w:lang w:bidi="ar"/>
        </w:rPr>
        <w:t>0.2</w:t>
      </w:r>
      <w:r>
        <w:rPr>
          <w:rFonts w:eastAsia="仿宋_GB2312"/>
          <w:color w:val="000000"/>
          <w:szCs w:val="32"/>
          <w:lang w:bidi="ar"/>
        </w:rPr>
        <w:t>，预期受试者脱落和方案违背的比例不大于</w:t>
      </w:r>
      <w:r>
        <w:rPr>
          <w:rFonts w:eastAsia="仿宋_GB2312"/>
          <w:color w:val="000000"/>
          <w:szCs w:val="32"/>
          <w:lang w:bidi="ar"/>
        </w:rPr>
        <w:t>0.2</w:t>
      </w:r>
      <w:r>
        <w:rPr>
          <w:rFonts w:eastAsia="仿宋_GB2312"/>
          <w:color w:val="000000"/>
          <w:szCs w:val="32"/>
          <w:lang w:bidi="ar"/>
        </w:rPr>
        <w:t>，申请人可根据产品特征和试验设计的具体情形采用不同的取值，需充分论证其合理性。</w:t>
      </w:r>
    </w:p>
    <w:p w:rsidR="004C0056" w:rsidRDefault="005517AF">
      <w:pPr>
        <w:spacing w:line="540" w:lineRule="exact"/>
        <w:ind w:firstLineChars="196" w:firstLine="627"/>
        <w:rPr>
          <w:rFonts w:eastAsia="仿宋_GB2312"/>
          <w:color w:val="000000"/>
          <w:szCs w:val="32"/>
        </w:rPr>
      </w:pPr>
      <w:r>
        <w:rPr>
          <w:rFonts w:eastAsia="仿宋_GB2312"/>
          <w:color w:val="000000"/>
          <w:szCs w:val="32"/>
          <w:lang w:bidi="ar"/>
        </w:rPr>
        <w:t>如临床试验采用试验医疗器械与已上市同类产品进行比较研究的试验设计，建议采用单组目标值法样本量公式估算最低样本量。</w:t>
      </w:r>
    </w:p>
    <w:p w:rsidR="004C0056" w:rsidRDefault="005517AF">
      <w:pPr>
        <w:ind w:firstLine="561"/>
        <w:jc w:val="center"/>
        <w:rPr>
          <w:rFonts w:eastAsia="仿宋_GB2312"/>
          <w:color w:val="000000"/>
          <w:szCs w:val="32"/>
        </w:rPr>
      </w:pPr>
      <w:r>
        <w:rPr>
          <w:noProof/>
          <w:szCs w:val="21"/>
        </w:rPr>
        <w:drawing>
          <wp:inline distT="0" distB="0" distL="114300" distR="114300">
            <wp:extent cx="3486150" cy="787400"/>
            <wp:effectExtent l="0" t="0" r="5715" b="5080"/>
            <wp:docPr id="3" name="图片 1"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wps1"/>
                    <pic:cNvPicPr>
                      <a:picLocks noChangeAspect="1"/>
                    </pic:cNvPicPr>
                  </pic:nvPicPr>
                  <pic:blipFill>
                    <a:blip r:embed="rId9"/>
                    <a:stretch>
                      <a:fillRect/>
                    </a:stretch>
                  </pic:blipFill>
                  <pic:spPr>
                    <a:xfrm>
                      <a:off x="0" y="0"/>
                      <a:ext cx="3486150" cy="787400"/>
                    </a:xfrm>
                    <a:prstGeom prst="rect">
                      <a:avLst/>
                    </a:prstGeom>
                    <a:noFill/>
                    <a:ln>
                      <a:noFill/>
                    </a:ln>
                  </pic:spPr>
                </pic:pic>
              </a:graphicData>
            </a:graphic>
          </wp:inline>
        </w:drawing>
      </w:r>
      <w:r>
        <w:rPr>
          <w:rFonts w:eastAsia="仿宋_GB2312"/>
          <w:color w:val="000000"/>
          <w:szCs w:val="32"/>
          <w:lang w:bidi="ar"/>
        </w:rPr>
        <w:t xml:space="preserve"> </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公式中，</w:t>
      </w:r>
      <w:r>
        <w:rPr>
          <w:rFonts w:eastAsia="仿宋_GB2312"/>
          <w:i/>
          <w:iCs/>
          <w:color w:val="000000"/>
          <w:szCs w:val="32"/>
          <w:lang w:bidi="ar"/>
        </w:rPr>
        <w:t>n</w:t>
      </w:r>
      <w:r>
        <w:rPr>
          <w:rFonts w:eastAsia="仿宋_GB2312"/>
          <w:color w:val="000000"/>
          <w:szCs w:val="32"/>
          <w:lang w:bidi="ar"/>
        </w:rPr>
        <w:t>为样本量；</w:t>
      </w:r>
      <w:r>
        <w:rPr>
          <w:rFonts w:eastAsia="仿宋_GB2312"/>
          <w:i/>
          <w:iCs/>
          <w:color w:val="000000"/>
          <w:szCs w:val="32"/>
          <w:lang w:bidi="ar"/>
        </w:rPr>
        <w:t>Z</w:t>
      </w:r>
      <w:r>
        <w:rPr>
          <w:rFonts w:eastAsia="仿宋_GB2312"/>
          <w:i/>
          <w:iCs/>
          <w:color w:val="000000"/>
          <w:szCs w:val="32"/>
          <w:vertAlign w:val="subscript"/>
          <w:lang w:bidi="ar"/>
        </w:rPr>
        <w:t>1-α/2</w:t>
      </w:r>
      <w:r>
        <w:rPr>
          <w:rFonts w:eastAsia="仿宋_GB2312"/>
          <w:i/>
          <w:iCs/>
          <w:color w:val="000000"/>
          <w:szCs w:val="32"/>
          <w:lang w:bidi="ar"/>
        </w:rPr>
        <w:t>、</w:t>
      </w:r>
      <w:r>
        <w:rPr>
          <w:rFonts w:eastAsia="仿宋_GB2312"/>
          <w:i/>
          <w:iCs/>
          <w:color w:val="000000"/>
          <w:szCs w:val="32"/>
          <w:lang w:bidi="ar"/>
        </w:rPr>
        <w:t>Z</w:t>
      </w:r>
      <w:r>
        <w:rPr>
          <w:rFonts w:eastAsia="仿宋_GB2312"/>
          <w:i/>
          <w:iCs/>
          <w:color w:val="000000"/>
          <w:szCs w:val="32"/>
          <w:vertAlign w:val="subscript"/>
          <w:lang w:bidi="ar"/>
        </w:rPr>
        <w:t>1-β</w:t>
      </w:r>
      <w:r>
        <w:rPr>
          <w:rFonts w:eastAsia="仿宋_GB2312"/>
          <w:color w:val="000000"/>
          <w:szCs w:val="32"/>
          <w:lang w:bidi="ar"/>
        </w:rPr>
        <w:t>为显著性水平和把握度</w:t>
      </w:r>
      <w:r>
        <w:rPr>
          <w:rFonts w:eastAsia="仿宋_GB2312"/>
          <w:color w:val="000000"/>
          <w:szCs w:val="32"/>
          <w:lang w:bidi="ar"/>
        </w:rPr>
        <w:t>的标准正态分布的分数位，</w:t>
      </w:r>
      <w:r>
        <w:rPr>
          <w:rFonts w:eastAsia="仿宋_GB2312"/>
          <w:i/>
          <w:iCs/>
          <w:color w:val="000000"/>
          <w:szCs w:val="32"/>
          <w:lang w:bidi="ar"/>
        </w:rPr>
        <w:t>P</w:t>
      </w:r>
      <w:r>
        <w:rPr>
          <w:rFonts w:eastAsia="仿宋_GB2312"/>
          <w:i/>
          <w:iCs/>
          <w:color w:val="000000"/>
          <w:szCs w:val="32"/>
          <w:vertAlign w:val="subscript"/>
          <w:lang w:bidi="ar"/>
        </w:rPr>
        <w:t>0</w:t>
      </w:r>
      <w:r>
        <w:rPr>
          <w:rFonts w:eastAsia="仿宋_GB2312"/>
          <w:color w:val="000000"/>
          <w:szCs w:val="32"/>
          <w:lang w:bidi="ar"/>
        </w:rPr>
        <w:t>为评价指标的临床可接受标准，</w:t>
      </w:r>
      <w:r>
        <w:rPr>
          <w:rFonts w:eastAsia="仿宋_GB2312"/>
          <w:i/>
          <w:iCs/>
          <w:color w:val="000000"/>
          <w:szCs w:val="32"/>
          <w:lang w:bidi="ar"/>
        </w:rPr>
        <w:t>P</w:t>
      </w:r>
      <w:r>
        <w:rPr>
          <w:rFonts w:eastAsia="仿宋_GB2312"/>
          <w:i/>
          <w:iCs/>
          <w:color w:val="000000"/>
          <w:szCs w:val="32"/>
          <w:vertAlign w:val="subscript"/>
          <w:lang w:bidi="ar"/>
        </w:rPr>
        <w:t>T</w:t>
      </w:r>
      <w:r>
        <w:rPr>
          <w:rFonts w:eastAsia="仿宋_GB2312"/>
          <w:color w:val="000000"/>
          <w:szCs w:val="32"/>
          <w:lang w:bidi="ar"/>
        </w:rPr>
        <w:t>为试验用体外诊断试剂评价指标预期值。</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对于所选择进行临床验证的代表性项目大类，如人类基因靶向测序，总样本量应满足统计学要求，其中每种代表性的突变类型均应有一定例数。对于病原体检测，每一个代表项目的总样本量应满足统计学要求。</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lastRenderedPageBreak/>
        <w:t>（</w:t>
      </w:r>
      <w:r>
        <w:rPr>
          <w:rFonts w:eastAsia="仿宋_GB2312"/>
          <w:color w:val="000000"/>
          <w:szCs w:val="32"/>
          <w:lang w:bidi="ar"/>
        </w:rPr>
        <w:t>6</w:t>
      </w:r>
      <w:r>
        <w:rPr>
          <w:rFonts w:eastAsia="仿宋_GB2312"/>
          <w:color w:val="000000"/>
          <w:szCs w:val="32"/>
          <w:lang w:bidi="ar"/>
        </w:rPr>
        <w:t>）统计分析</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应选择合适的统计方法对临床试验结果进行统计分析，对于试验医疗器械与参考方法</w:t>
      </w:r>
      <w:r>
        <w:rPr>
          <w:rFonts w:eastAsia="仿宋_GB2312"/>
          <w:color w:val="000000"/>
          <w:szCs w:val="32"/>
          <w:lang w:bidi="ar"/>
        </w:rPr>
        <w:t>/</w:t>
      </w:r>
      <w:r>
        <w:rPr>
          <w:rFonts w:eastAsia="仿宋_GB2312"/>
          <w:color w:val="000000"/>
          <w:szCs w:val="32"/>
          <w:lang w:bidi="ar"/>
        </w:rPr>
        <w:t>已上市同类产品的一致性评价，一般选择</w:t>
      </w:r>
      <w:r>
        <w:rPr>
          <w:rFonts w:eastAsia="仿宋_GB2312"/>
          <w:color w:val="000000"/>
          <w:szCs w:val="32"/>
          <w:lang w:bidi="ar"/>
        </w:rPr>
        <w:t>2×2</w:t>
      </w:r>
      <w:r>
        <w:rPr>
          <w:rFonts w:eastAsia="仿宋_GB2312"/>
          <w:color w:val="000000"/>
          <w:szCs w:val="32"/>
          <w:lang w:bidi="ar"/>
        </w:rPr>
        <w:t>四格表的形式总结两种产品的检测结果，并据此计算灵敏度</w:t>
      </w:r>
      <w:r>
        <w:rPr>
          <w:rFonts w:eastAsia="仿宋_GB2312"/>
          <w:color w:val="000000"/>
          <w:szCs w:val="32"/>
          <w:lang w:bidi="ar"/>
        </w:rPr>
        <w:t>/</w:t>
      </w:r>
      <w:r>
        <w:rPr>
          <w:rFonts w:eastAsia="仿宋_GB2312"/>
          <w:color w:val="000000"/>
          <w:szCs w:val="32"/>
          <w:lang w:bidi="ar"/>
        </w:rPr>
        <w:t>特异度、阳性</w:t>
      </w:r>
      <w:r>
        <w:rPr>
          <w:rFonts w:eastAsia="仿宋_GB2312"/>
          <w:color w:val="000000"/>
          <w:szCs w:val="32"/>
          <w:lang w:bidi="ar"/>
        </w:rPr>
        <w:t>/</w:t>
      </w:r>
      <w:r>
        <w:rPr>
          <w:rFonts w:eastAsia="仿宋_GB2312"/>
          <w:color w:val="000000"/>
          <w:szCs w:val="32"/>
          <w:lang w:bidi="ar"/>
        </w:rPr>
        <w:t>阴性符合率、</w:t>
      </w:r>
      <w:r>
        <w:rPr>
          <w:rFonts w:eastAsia="仿宋_GB2312"/>
          <w:color w:val="000000"/>
          <w:szCs w:val="32"/>
          <w:lang w:bidi="ar"/>
        </w:rPr>
        <w:t>Kappa</w:t>
      </w:r>
      <w:r>
        <w:rPr>
          <w:rFonts w:eastAsia="仿宋_GB2312"/>
          <w:color w:val="000000"/>
          <w:szCs w:val="32"/>
          <w:lang w:bidi="ar"/>
        </w:rPr>
        <w:t>值等指标及其</w:t>
      </w:r>
      <w:r>
        <w:rPr>
          <w:rFonts w:eastAsia="仿宋_GB2312"/>
          <w:color w:val="000000"/>
          <w:szCs w:val="32"/>
          <w:lang w:bidi="ar"/>
        </w:rPr>
        <w:t>95%</w:t>
      </w:r>
      <w:r>
        <w:rPr>
          <w:rFonts w:eastAsia="仿宋_GB2312"/>
          <w:color w:val="000000"/>
          <w:szCs w:val="32"/>
          <w:lang w:bidi="ar"/>
        </w:rPr>
        <w:t>置信区间。</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对于不一致样本，应进行原因分析。如临床试验方案规定采用其他方法进行确认，则确认结果不应纳入统计分析。</w:t>
      </w:r>
    </w:p>
    <w:p w:rsidR="004C0056" w:rsidRDefault="005517AF">
      <w:pPr>
        <w:pStyle w:val="21"/>
        <w:widowControl/>
        <w:spacing w:line="520" w:lineRule="exact"/>
        <w:ind w:leftChars="0" w:left="0" w:firstLine="640"/>
        <w:rPr>
          <w:rFonts w:ascii="Times New Roman" w:eastAsia="仿宋_GB2312" w:hAnsi="Times New Roman" w:hint="default"/>
        </w:rPr>
      </w:pPr>
      <w:r>
        <w:rPr>
          <w:rFonts w:ascii="Times New Roman" w:eastAsia="仿宋_GB2312" w:hAnsi="Times New Roman" w:hint="default"/>
          <w:color w:val="000000"/>
          <w:sz w:val="32"/>
          <w:szCs w:val="32"/>
        </w:rPr>
        <w:t>对于临床试验检测项目的数据质量的分析，应至少包括原始数据质量以及用于判读的数据质量，进行整体数据分析和分层统计。应关注数据质量的独立评价和相互的可比性，明确每运行最大和最小</w:t>
      </w:r>
      <w:r>
        <w:rPr>
          <w:rFonts w:ascii="Times New Roman" w:eastAsia="仿宋_GB2312" w:hAnsi="Times New Roman" w:hint="default"/>
          <w:color w:val="000000"/>
          <w:sz w:val="32"/>
          <w:szCs w:val="32"/>
        </w:rPr>
        <w:t>数据量、有效数据和仪器设定阈值、碱基质量评估方法和软件等。整体数据分析通常关注数据量、碱基识别质量值、高质量数据与总体粗数据产出的比例、靶区域总体覆盖度和均一性、根据背景序列</w:t>
      </w:r>
      <w:r>
        <w:rPr>
          <w:rFonts w:ascii="Times New Roman" w:eastAsia="仿宋_GB2312" w:hAnsi="Times New Roman" w:hint="default"/>
          <w:color w:val="000000"/>
          <w:sz w:val="32"/>
          <w:szCs w:val="32"/>
        </w:rPr>
        <w:t>GC</w:t>
      </w:r>
      <w:r>
        <w:rPr>
          <w:rFonts w:ascii="Times New Roman" w:eastAsia="仿宋_GB2312" w:hAnsi="Times New Roman" w:hint="default"/>
          <w:color w:val="000000"/>
          <w:sz w:val="32"/>
          <w:szCs w:val="32"/>
        </w:rPr>
        <w:t>含量不同的覆盖差异、比对质量值等指标。分层统计应结合项目具体要求，统计相应指标在不同数据指标水平下的样本分布。对数据质量较低的样本数据进行原因的分析和解释。</w:t>
      </w:r>
    </w:p>
    <w:p w:rsidR="004C0056" w:rsidRDefault="005517AF">
      <w:pPr>
        <w:pStyle w:val="21"/>
        <w:widowControl/>
        <w:spacing w:line="520" w:lineRule="exact"/>
        <w:ind w:leftChars="0" w:left="0" w:firstLine="640"/>
        <w:rPr>
          <w:rFonts w:ascii="Times New Roman" w:hAnsi="Times New Roman" w:hint="default"/>
        </w:rPr>
      </w:pPr>
      <w:r>
        <w:rPr>
          <w:rFonts w:ascii="Times New Roman" w:eastAsia="仿宋_GB2312" w:hAnsi="Times New Roman" w:hint="default"/>
          <w:color w:val="000000"/>
          <w:sz w:val="32"/>
          <w:szCs w:val="32"/>
        </w:rPr>
        <w:t>对于次要评价指标，仪器功能一般主要分析仪器运行过程中是否能实时监测运行状态并自动对用户进行提示、异常状态报警功能、运行过程追踪记录功能、数据备份功能、样本</w:t>
      </w:r>
      <w:r>
        <w:rPr>
          <w:rFonts w:ascii="Times New Roman" w:eastAsia="仿宋_GB2312" w:hAnsi="Times New Roman" w:hint="default"/>
          <w:color w:val="000000"/>
          <w:sz w:val="32"/>
          <w:szCs w:val="32"/>
        </w:rPr>
        <w:t>/</w:t>
      </w:r>
      <w:r>
        <w:rPr>
          <w:rFonts w:ascii="Times New Roman" w:eastAsia="仿宋_GB2312" w:hAnsi="Times New Roman" w:hint="default"/>
          <w:color w:val="000000"/>
          <w:sz w:val="32"/>
          <w:szCs w:val="32"/>
        </w:rPr>
        <w:t>反应载体</w:t>
      </w:r>
      <w:r>
        <w:rPr>
          <w:rFonts w:ascii="Times New Roman" w:eastAsia="仿宋_GB2312" w:hAnsi="Times New Roman" w:hint="default"/>
          <w:color w:val="000000"/>
          <w:sz w:val="32"/>
          <w:szCs w:val="32"/>
        </w:rPr>
        <w:t>/</w:t>
      </w:r>
      <w:r>
        <w:rPr>
          <w:rFonts w:ascii="Times New Roman" w:eastAsia="仿宋_GB2312" w:hAnsi="Times New Roman" w:hint="default"/>
          <w:color w:val="000000"/>
          <w:sz w:val="32"/>
          <w:szCs w:val="32"/>
        </w:rPr>
        <w:t>试剂正确识别功能等；稳定性主要分析仪器在临床试验过程中可持续正常工作；使用便捷性主要分析试验参数设置的便</w:t>
      </w:r>
      <w:r>
        <w:rPr>
          <w:rFonts w:ascii="Times New Roman" w:eastAsia="仿宋_GB2312" w:hAnsi="Times New Roman" w:hint="default"/>
          <w:color w:val="000000"/>
          <w:sz w:val="32"/>
          <w:szCs w:val="32"/>
        </w:rPr>
        <w:lastRenderedPageBreak/>
        <w:t>捷性及操作界面友好性等；使用安全性主要包括机械安全性、电气安全性、噪声安全性、生物安全性等。</w:t>
      </w:r>
    </w:p>
    <w:p w:rsidR="004C0056" w:rsidRDefault="005517AF">
      <w:pPr>
        <w:spacing w:line="480" w:lineRule="exact"/>
        <w:ind w:rightChars="-32" w:right="-102" w:firstLineChars="200" w:firstLine="640"/>
        <w:rPr>
          <w:rFonts w:eastAsia="仿宋_GB2312"/>
          <w:color w:val="000000"/>
          <w:szCs w:val="32"/>
        </w:rPr>
      </w:pPr>
      <w:r>
        <w:rPr>
          <w:rFonts w:eastAsia="仿宋_GB2312"/>
          <w:color w:val="000000"/>
          <w:szCs w:val="32"/>
          <w:lang w:bidi="ar"/>
        </w:rPr>
        <w:t>3.</w:t>
      </w:r>
      <w:r>
        <w:rPr>
          <w:rFonts w:eastAsia="仿宋_GB2312"/>
          <w:color w:val="000000"/>
          <w:szCs w:val="32"/>
          <w:lang w:bidi="ar"/>
        </w:rPr>
        <w:t>质量控制</w:t>
      </w:r>
    </w:p>
    <w:p w:rsidR="004C0056" w:rsidRDefault="005517AF">
      <w:pPr>
        <w:overflowPunct w:val="0"/>
        <w:spacing w:line="560" w:lineRule="exact"/>
        <w:ind w:firstLineChars="200" w:firstLine="640"/>
        <w:rPr>
          <w:rFonts w:eastAsia="黑体"/>
          <w:bCs/>
          <w:color w:val="000000"/>
          <w:szCs w:val="32"/>
        </w:rPr>
      </w:pPr>
      <w:r>
        <w:rPr>
          <w:rFonts w:eastAsia="仿宋_GB2312"/>
          <w:color w:val="000000"/>
          <w:szCs w:val="32"/>
          <w:lang w:bidi="ar"/>
        </w:rPr>
        <w:t>临床试验开始前，建议进行临床试验的培训，以熟悉并掌握相关试验方法的操作、仪器、技术性能等，最大限度控制试验误差。整个试验过程都应处于有</w:t>
      </w:r>
      <w:r>
        <w:rPr>
          <w:rFonts w:eastAsia="仿宋_GB2312"/>
          <w:color w:val="000000"/>
          <w:szCs w:val="32"/>
          <w:lang w:bidi="ar"/>
        </w:rPr>
        <w:t>效的质量控制下，最大限度保证试验数据的准确性及可重复性。</w:t>
      </w:r>
    </w:p>
    <w:p w:rsidR="004C0056" w:rsidRDefault="005517AF">
      <w:pPr>
        <w:overflowPunct w:val="0"/>
        <w:spacing w:line="560" w:lineRule="exact"/>
        <w:ind w:firstLineChars="200" w:firstLine="640"/>
        <w:rPr>
          <w:rFonts w:eastAsia="黑体"/>
          <w:bCs/>
          <w:color w:val="000000"/>
          <w:szCs w:val="32"/>
        </w:rPr>
      </w:pPr>
      <w:r>
        <w:rPr>
          <w:rFonts w:eastAsia="黑体"/>
          <w:bCs/>
          <w:color w:val="000000"/>
          <w:szCs w:val="32"/>
          <w:lang w:bidi="ar"/>
        </w:rPr>
        <w:t>三、决策是否开展医疗器械临床试验</w:t>
      </w:r>
    </w:p>
    <w:p w:rsidR="004C0056" w:rsidRDefault="005517AF">
      <w:pPr>
        <w:spacing w:line="540" w:lineRule="exact"/>
        <w:ind w:firstLineChars="200" w:firstLine="640"/>
        <w:rPr>
          <w:rFonts w:eastAsia="仿宋_GB2312"/>
          <w:kern w:val="0"/>
          <w:szCs w:val="32"/>
        </w:rPr>
      </w:pPr>
      <w:r>
        <w:rPr>
          <w:rFonts w:eastAsia="仿宋_GB2312"/>
          <w:kern w:val="0"/>
          <w:szCs w:val="32"/>
          <w:lang w:bidi="ar"/>
        </w:rPr>
        <w:t>对于具有下列情形之一的产品，通过同品种医疗器械临床数据进行分析评价无法充分证明产品安全性、有效性的，应当进行临床试验，包括：</w:t>
      </w:r>
    </w:p>
    <w:p w:rsidR="004C0056" w:rsidRDefault="005517AF">
      <w:pPr>
        <w:spacing w:line="540" w:lineRule="exact"/>
        <w:ind w:firstLineChars="200" w:firstLine="640"/>
        <w:rPr>
          <w:rFonts w:eastAsia="仿宋_GB2312"/>
          <w:color w:val="000000"/>
          <w:szCs w:val="32"/>
        </w:rPr>
      </w:pPr>
      <w:r>
        <w:rPr>
          <w:rFonts w:eastAsia="仿宋_GB2312"/>
          <w:kern w:val="0"/>
          <w:szCs w:val="32"/>
          <w:lang w:bidi="ar"/>
        </w:rPr>
        <w:t>1.</w:t>
      </w:r>
      <w:r>
        <w:rPr>
          <w:rFonts w:eastAsia="仿宋_GB2312"/>
          <w:color w:val="000000"/>
          <w:szCs w:val="32"/>
          <w:lang w:bidi="ar"/>
        </w:rPr>
        <w:t>申报产品或其某关键模块（含软件）具有全新的技术特性</w:t>
      </w:r>
      <w:r>
        <w:rPr>
          <w:rFonts w:eastAsia="仿宋_GB2312"/>
          <w:kern w:val="0"/>
          <w:szCs w:val="32"/>
          <w:lang w:bidi="ar"/>
        </w:rPr>
        <w:t>，</w:t>
      </w:r>
      <w:r>
        <w:rPr>
          <w:rFonts w:eastAsia="仿宋_GB2312"/>
          <w:color w:val="000000"/>
          <w:szCs w:val="32"/>
          <w:lang w:bidi="ar"/>
        </w:rPr>
        <w:t>或者数据质量具有显著差异。</w:t>
      </w:r>
    </w:p>
    <w:p w:rsidR="004C0056" w:rsidRDefault="005517AF">
      <w:pPr>
        <w:spacing w:line="540" w:lineRule="exact"/>
        <w:ind w:firstLineChars="200" w:firstLine="640"/>
        <w:rPr>
          <w:rFonts w:eastAsia="仿宋_GB2312"/>
          <w:kern w:val="0"/>
          <w:szCs w:val="32"/>
        </w:rPr>
      </w:pPr>
      <w:r>
        <w:rPr>
          <w:rFonts w:eastAsia="仿宋_GB2312"/>
          <w:kern w:val="0"/>
          <w:szCs w:val="32"/>
          <w:lang w:bidi="ar"/>
        </w:rPr>
        <w:t>2.</w:t>
      </w:r>
      <w:r>
        <w:rPr>
          <w:rFonts w:eastAsia="仿宋_GB2312"/>
          <w:color w:val="000000"/>
          <w:szCs w:val="32"/>
          <w:lang w:bidi="ar"/>
        </w:rPr>
        <w:t>申报产品具有新的临床预期使用场景和功能，</w:t>
      </w:r>
      <w:r>
        <w:rPr>
          <w:rFonts w:eastAsia="仿宋_GB2312"/>
          <w:kern w:val="0"/>
          <w:szCs w:val="32"/>
          <w:lang w:bidi="ar"/>
        </w:rPr>
        <w:t>且该功能从未在境内获得批准。</w:t>
      </w:r>
    </w:p>
    <w:p w:rsidR="004C0056" w:rsidRDefault="005517AF">
      <w:pPr>
        <w:spacing w:line="540" w:lineRule="exact"/>
        <w:ind w:firstLineChars="200" w:firstLine="640"/>
        <w:rPr>
          <w:rFonts w:eastAsia="仿宋_GB2312"/>
          <w:kern w:val="0"/>
          <w:szCs w:val="32"/>
        </w:rPr>
      </w:pPr>
      <w:r>
        <w:rPr>
          <w:rFonts w:eastAsia="仿宋_GB2312"/>
          <w:kern w:val="0"/>
          <w:szCs w:val="32"/>
          <w:lang w:bidi="ar"/>
        </w:rPr>
        <w:t>3.</w:t>
      </w:r>
      <w:r>
        <w:rPr>
          <w:rFonts w:eastAsia="仿宋_GB2312"/>
          <w:kern w:val="0"/>
          <w:szCs w:val="32"/>
          <w:lang w:bidi="ar"/>
        </w:rPr>
        <w:t>针对与同品种医疗器械之间的差异，</w:t>
      </w:r>
      <w:r>
        <w:rPr>
          <w:rFonts w:eastAsia="仿宋_GB2312"/>
          <w:color w:val="000000"/>
          <w:szCs w:val="32"/>
          <w:lang w:bidi="ar"/>
        </w:rPr>
        <w:t>若不能通过非临床研究数据</w:t>
      </w:r>
      <w:r>
        <w:rPr>
          <w:rFonts w:eastAsia="仿宋_GB2312"/>
          <w:bCs/>
          <w:color w:val="000000"/>
          <w:szCs w:val="32"/>
          <w:lang w:bidi="ar"/>
        </w:rPr>
        <w:t>、</w:t>
      </w:r>
      <w:r>
        <w:rPr>
          <w:rFonts w:eastAsia="仿宋_GB2312"/>
          <w:color w:val="000000"/>
          <w:szCs w:val="32"/>
          <w:lang w:bidi="ar"/>
        </w:rPr>
        <w:t>临床应用数据等证据资料证明申报产品的安全性和有效性</w:t>
      </w:r>
      <w:r>
        <w:rPr>
          <w:rFonts w:eastAsia="仿宋_GB2312"/>
          <w:bCs/>
          <w:color w:val="000000"/>
          <w:szCs w:val="32"/>
          <w:lang w:bidi="ar"/>
        </w:rPr>
        <w:t>，</w:t>
      </w:r>
      <w:r>
        <w:rPr>
          <w:rFonts w:eastAsia="仿宋_GB2312"/>
          <w:color w:val="000000"/>
          <w:szCs w:val="32"/>
          <w:lang w:bidi="ar"/>
        </w:rPr>
        <w:t>申请人需要考虑通过临床</w:t>
      </w:r>
      <w:r>
        <w:rPr>
          <w:rFonts w:eastAsia="仿宋_GB2312"/>
          <w:color w:val="000000"/>
          <w:szCs w:val="32"/>
          <w:lang w:bidi="ar"/>
        </w:rPr>
        <w:t>试验来获得临床数据。</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具体决策是否开展医疗器械临床试验可参照《决策是否开展医疗器械临床试验技术指导原则》，并提供充分的依据。</w:t>
      </w:r>
    </w:p>
    <w:p w:rsidR="004C0056" w:rsidRDefault="005517AF">
      <w:pPr>
        <w:overflowPunct w:val="0"/>
        <w:spacing w:line="560" w:lineRule="exact"/>
        <w:ind w:firstLineChars="200" w:firstLine="640"/>
        <w:rPr>
          <w:rFonts w:eastAsia="黑体"/>
          <w:bCs/>
          <w:color w:val="000000"/>
          <w:szCs w:val="32"/>
        </w:rPr>
      </w:pPr>
      <w:r>
        <w:rPr>
          <w:rFonts w:eastAsia="黑体"/>
          <w:bCs/>
          <w:color w:val="000000"/>
          <w:szCs w:val="32"/>
          <w:lang w:bidi="ar"/>
        </w:rPr>
        <w:t>四、参考文献</w:t>
      </w:r>
    </w:p>
    <w:p w:rsidR="004C0056" w:rsidRDefault="005517AF">
      <w:pPr>
        <w:overflowPunct w:val="0"/>
        <w:spacing w:line="540" w:lineRule="exact"/>
        <w:ind w:firstLineChars="200" w:firstLine="640"/>
        <w:rPr>
          <w:rFonts w:eastAsia="仿宋_GB2312"/>
          <w:szCs w:val="32"/>
        </w:rPr>
      </w:pPr>
      <w:r>
        <w:rPr>
          <w:rFonts w:eastAsia="仿宋_GB2312"/>
          <w:szCs w:val="32"/>
          <w:lang w:bidi="ar"/>
        </w:rPr>
        <w:t>[1]</w:t>
      </w:r>
      <w:r>
        <w:rPr>
          <w:rFonts w:eastAsia="仿宋_GB2312"/>
          <w:szCs w:val="32"/>
          <w:lang w:bidi="ar"/>
        </w:rPr>
        <w:t>医疗器械临床评价技术指导原则</w:t>
      </w:r>
      <w:r>
        <w:rPr>
          <w:rFonts w:eastAsia="仿宋_GB2312"/>
          <w:color w:val="000000"/>
          <w:szCs w:val="32"/>
          <w:lang w:bidi="ar"/>
        </w:rPr>
        <w:t>[Z]</w:t>
      </w:r>
    </w:p>
    <w:p w:rsidR="004C0056" w:rsidRDefault="005517AF">
      <w:pPr>
        <w:overflowPunct w:val="0"/>
        <w:spacing w:line="540" w:lineRule="exact"/>
        <w:ind w:firstLineChars="200" w:firstLine="640"/>
        <w:rPr>
          <w:rFonts w:eastAsia="仿宋_GB2312"/>
          <w:szCs w:val="32"/>
        </w:rPr>
      </w:pPr>
      <w:r>
        <w:rPr>
          <w:rFonts w:eastAsia="仿宋_GB2312"/>
          <w:szCs w:val="32"/>
          <w:lang w:bidi="ar"/>
        </w:rPr>
        <w:t>[2]</w:t>
      </w:r>
      <w:r>
        <w:rPr>
          <w:rFonts w:eastAsia="仿宋_GB2312"/>
          <w:szCs w:val="32"/>
          <w:lang w:bidi="ar"/>
        </w:rPr>
        <w:t>医疗器械临床试验质量管理规范</w:t>
      </w:r>
      <w:r>
        <w:rPr>
          <w:rFonts w:eastAsia="仿宋_GB2312"/>
          <w:color w:val="000000"/>
          <w:szCs w:val="32"/>
          <w:lang w:bidi="ar"/>
        </w:rPr>
        <w:t>[Z]</w:t>
      </w:r>
    </w:p>
    <w:p w:rsidR="004C0056" w:rsidRDefault="005517AF">
      <w:pPr>
        <w:overflowPunct w:val="0"/>
        <w:spacing w:line="540" w:lineRule="exact"/>
        <w:ind w:firstLineChars="200" w:firstLine="640"/>
        <w:rPr>
          <w:rFonts w:eastAsia="仿宋_GB2312"/>
          <w:color w:val="000000"/>
          <w:szCs w:val="32"/>
        </w:rPr>
      </w:pPr>
      <w:r>
        <w:rPr>
          <w:rFonts w:eastAsia="仿宋_GB2312"/>
          <w:szCs w:val="32"/>
          <w:lang w:bidi="ar"/>
        </w:rPr>
        <w:lastRenderedPageBreak/>
        <w:t>[3]</w:t>
      </w:r>
      <w:r>
        <w:rPr>
          <w:rFonts w:eastAsia="仿宋_GB2312"/>
          <w:spacing w:val="-11"/>
          <w:kern w:val="0"/>
          <w:szCs w:val="32"/>
          <w:lang w:bidi="ar"/>
        </w:rPr>
        <w:t>医疗器械临床试验设计指导原则</w:t>
      </w:r>
      <w:r>
        <w:rPr>
          <w:rFonts w:eastAsia="仿宋_GB2312"/>
          <w:color w:val="000000"/>
          <w:szCs w:val="32"/>
          <w:lang w:bidi="ar"/>
        </w:rPr>
        <w:t>[Z]</w:t>
      </w:r>
    </w:p>
    <w:p w:rsidR="004C0056" w:rsidRDefault="005517AF">
      <w:pPr>
        <w:overflowPunct w:val="0"/>
        <w:spacing w:line="540" w:lineRule="exact"/>
        <w:ind w:firstLineChars="200" w:firstLine="640"/>
        <w:rPr>
          <w:rFonts w:eastAsia="仿宋_GB2312"/>
          <w:color w:val="000000"/>
          <w:szCs w:val="32"/>
        </w:rPr>
      </w:pPr>
      <w:r>
        <w:rPr>
          <w:rFonts w:eastAsia="仿宋_GB2312"/>
          <w:szCs w:val="32"/>
          <w:lang w:bidi="ar"/>
        </w:rPr>
        <w:t>[4]</w:t>
      </w:r>
      <w:r>
        <w:rPr>
          <w:rFonts w:eastAsia="仿宋_GB2312"/>
          <w:color w:val="000000"/>
          <w:szCs w:val="32"/>
          <w:lang w:bidi="ar"/>
        </w:rPr>
        <w:t>医疗器械临床评价等同性论证技术指导原则</w:t>
      </w:r>
      <w:r>
        <w:rPr>
          <w:rFonts w:eastAsia="仿宋_GB2312"/>
          <w:color w:val="000000"/>
          <w:szCs w:val="32"/>
          <w:lang w:bidi="ar"/>
        </w:rPr>
        <w:t>[Z]</w:t>
      </w:r>
    </w:p>
    <w:p w:rsidR="004C0056" w:rsidRDefault="005517AF">
      <w:pPr>
        <w:overflowPunct w:val="0"/>
        <w:spacing w:line="540" w:lineRule="exact"/>
        <w:ind w:firstLineChars="200" w:firstLine="640"/>
        <w:rPr>
          <w:rFonts w:eastAsia="仿宋_GB2312"/>
          <w:color w:val="000000"/>
          <w:szCs w:val="32"/>
        </w:rPr>
      </w:pPr>
      <w:r>
        <w:rPr>
          <w:rFonts w:eastAsia="仿宋_GB2312"/>
          <w:szCs w:val="32"/>
          <w:lang w:bidi="ar"/>
        </w:rPr>
        <w:t>[5]</w:t>
      </w:r>
      <w:r>
        <w:rPr>
          <w:rFonts w:eastAsia="仿宋_GB2312"/>
          <w:color w:val="000000"/>
          <w:szCs w:val="32"/>
          <w:lang w:bidi="ar"/>
        </w:rPr>
        <w:t>决策是否开展医疗器械临床试验技术指导原则</w:t>
      </w:r>
      <w:r>
        <w:rPr>
          <w:rFonts w:eastAsia="仿宋_GB2312"/>
          <w:color w:val="000000"/>
          <w:szCs w:val="32"/>
          <w:lang w:bidi="ar"/>
        </w:rPr>
        <w:t>[Z]</w:t>
      </w:r>
    </w:p>
    <w:p w:rsidR="004C0056" w:rsidRDefault="005517AF">
      <w:pPr>
        <w:overflowPunct w:val="0"/>
        <w:spacing w:line="540" w:lineRule="exact"/>
        <w:ind w:firstLineChars="200" w:firstLine="640"/>
        <w:rPr>
          <w:rFonts w:eastAsia="仿宋_GB2312"/>
          <w:color w:val="000000"/>
          <w:szCs w:val="32"/>
        </w:rPr>
      </w:pPr>
      <w:r>
        <w:rPr>
          <w:rFonts w:eastAsia="仿宋_GB2312"/>
          <w:szCs w:val="32"/>
          <w:lang w:bidi="ar"/>
        </w:rPr>
        <w:t>[6]</w:t>
      </w:r>
      <w:r>
        <w:rPr>
          <w:rFonts w:eastAsia="仿宋_GB2312"/>
          <w:color w:val="000000"/>
          <w:szCs w:val="32"/>
          <w:lang w:bidi="ar"/>
        </w:rPr>
        <w:t>医疗器械注册申报临床评价报告技术指导原则</w:t>
      </w:r>
      <w:r>
        <w:rPr>
          <w:rFonts w:eastAsia="仿宋_GB2312"/>
          <w:color w:val="000000"/>
          <w:szCs w:val="32"/>
          <w:lang w:bidi="ar"/>
        </w:rPr>
        <w:t>[Z]</w:t>
      </w:r>
    </w:p>
    <w:p w:rsidR="004C0056" w:rsidRDefault="005517AF">
      <w:pPr>
        <w:spacing w:line="540" w:lineRule="exact"/>
        <w:ind w:firstLineChars="200" w:firstLine="640"/>
        <w:rPr>
          <w:rFonts w:eastAsia="仿宋_GB2312"/>
          <w:color w:val="000000"/>
          <w:szCs w:val="32"/>
        </w:rPr>
      </w:pPr>
      <w:r>
        <w:rPr>
          <w:rFonts w:eastAsia="仿宋_GB2312"/>
          <w:szCs w:val="32"/>
          <w:lang w:bidi="ar"/>
        </w:rPr>
        <w:t>[7]</w:t>
      </w:r>
      <w:r>
        <w:rPr>
          <w:rFonts w:eastAsia="仿宋_GB2312"/>
          <w:color w:val="000000"/>
          <w:szCs w:val="32"/>
          <w:lang w:bidi="ar"/>
        </w:rPr>
        <w:t>YY/T 1723</w:t>
      </w:r>
      <w:r>
        <w:rPr>
          <w:rFonts w:eastAsia="仿宋_GB2312"/>
          <w:color w:val="000000"/>
          <w:szCs w:val="32"/>
          <w:lang w:bidi="ar"/>
        </w:rPr>
        <w:t>高通量基因测序仪</w:t>
      </w:r>
      <w:r>
        <w:rPr>
          <w:rFonts w:eastAsia="仿宋_GB2312"/>
          <w:color w:val="000000"/>
          <w:szCs w:val="32"/>
          <w:lang w:bidi="ar"/>
        </w:rPr>
        <w:t>[S]</w:t>
      </w:r>
    </w:p>
    <w:p w:rsidR="004C0056" w:rsidRDefault="005517AF">
      <w:pPr>
        <w:pStyle w:val="21"/>
        <w:widowControl/>
        <w:ind w:left="640"/>
        <w:rPr>
          <w:rFonts w:ascii="Times New Roman" w:eastAsia="仿宋_GB2312" w:hAnsi="Times New Roman" w:hint="default"/>
        </w:rPr>
      </w:pPr>
      <w:r>
        <w:rPr>
          <w:rFonts w:ascii="Times New Roman" w:eastAsia="仿宋_GB2312" w:hAnsi="Times New Roman" w:hint="default"/>
        </w:rPr>
        <w:t xml:space="preserve"> </w:t>
      </w:r>
    </w:p>
    <w:p w:rsidR="004C0056" w:rsidRDefault="005517AF">
      <w:pPr>
        <w:autoSpaceDE w:val="0"/>
        <w:autoSpaceDN w:val="0"/>
        <w:adjustRightInd w:val="0"/>
        <w:spacing w:line="520" w:lineRule="exact"/>
        <w:ind w:firstLineChars="200" w:firstLine="640"/>
        <w:jc w:val="left"/>
        <w:rPr>
          <w:rFonts w:eastAsia="仿宋_GB2312"/>
          <w:color w:val="000000"/>
          <w:szCs w:val="32"/>
        </w:rPr>
      </w:pPr>
      <w:r>
        <w:rPr>
          <w:rFonts w:eastAsia="仿宋_GB2312"/>
          <w:color w:val="000000"/>
          <w:szCs w:val="32"/>
          <w:lang w:bidi="ar"/>
        </w:rPr>
        <w:t>附件：申报产品与同品种基因测序仪对比表</w:t>
      </w:r>
    </w:p>
    <w:p w:rsidR="004C0056" w:rsidRDefault="005517AF">
      <w:pPr>
        <w:autoSpaceDE w:val="0"/>
        <w:autoSpaceDN w:val="0"/>
        <w:adjustRightInd w:val="0"/>
        <w:spacing w:line="520" w:lineRule="exact"/>
        <w:ind w:firstLineChars="200" w:firstLine="640"/>
        <w:jc w:val="left"/>
        <w:rPr>
          <w:rFonts w:eastAsia="仿宋_GB2312"/>
          <w:color w:val="000000"/>
          <w:szCs w:val="32"/>
        </w:rPr>
      </w:pPr>
      <w:r>
        <w:rPr>
          <w:rFonts w:eastAsia="仿宋_GB2312"/>
          <w:color w:val="000000"/>
          <w:szCs w:val="32"/>
          <w:lang w:bidi="ar"/>
        </w:rPr>
        <w:t xml:space="preserve"> </w:t>
      </w:r>
    </w:p>
    <w:p w:rsidR="004C0056" w:rsidRDefault="005517AF">
      <w:pPr>
        <w:rPr>
          <w:rFonts w:eastAsia="黑体"/>
          <w:bCs/>
          <w:color w:val="000000"/>
          <w:kern w:val="44"/>
          <w:szCs w:val="32"/>
        </w:rPr>
      </w:pPr>
      <w:r>
        <w:rPr>
          <w:rFonts w:eastAsia="黑体"/>
          <w:bCs/>
          <w:color w:val="000000"/>
          <w:kern w:val="44"/>
          <w:szCs w:val="32"/>
          <w:lang w:bidi="ar"/>
        </w:rPr>
        <w:br w:type="page"/>
      </w:r>
      <w:r>
        <w:rPr>
          <w:rFonts w:eastAsia="黑体"/>
          <w:bCs/>
          <w:color w:val="000000"/>
          <w:kern w:val="44"/>
          <w:szCs w:val="32"/>
          <w:lang w:bidi="ar"/>
        </w:rPr>
        <w:lastRenderedPageBreak/>
        <w:t>附件</w:t>
      </w:r>
    </w:p>
    <w:p w:rsidR="004C0056" w:rsidRDefault="005517AF">
      <w:pPr>
        <w:pStyle w:val="a4"/>
        <w:widowControl/>
        <w:jc w:val="center"/>
        <w:rPr>
          <w:rFonts w:eastAsia="方正小标宋简体"/>
          <w:bCs/>
          <w:color w:val="000000"/>
          <w:kern w:val="44"/>
          <w:sz w:val="44"/>
          <w:szCs w:val="44"/>
        </w:rPr>
      </w:pPr>
      <w:r>
        <w:rPr>
          <w:rFonts w:eastAsia="方正小标宋简体"/>
          <w:bCs/>
          <w:color w:val="000000"/>
          <w:kern w:val="44"/>
          <w:sz w:val="44"/>
          <w:szCs w:val="44"/>
        </w:rPr>
        <w:t>申报产品与同品种基因测序仪对比表</w:t>
      </w:r>
    </w:p>
    <w:p w:rsidR="004C0056" w:rsidRDefault="005517AF">
      <w:pPr>
        <w:pStyle w:val="a4"/>
        <w:widowControl/>
        <w:jc w:val="center"/>
        <w:rPr>
          <w:rFonts w:eastAsia="方正小标宋简体"/>
          <w:bCs/>
          <w:color w:val="000000"/>
          <w:kern w:val="44"/>
          <w:sz w:val="36"/>
          <w:szCs w:val="36"/>
        </w:rPr>
      </w:pPr>
      <w:r>
        <w:rPr>
          <w:rFonts w:eastAsia="方正小标宋简体"/>
          <w:bCs/>
          <w:color w:val="000000"/>
          <w:kern w:val="44"/>
          <w:sz w:val="36"/>
          <w:szCs w:val="36"/>
        </w:rPr>
        <w:t xml:space="preserve"> </w:t>
      </w:r>
    </w:p>
    <w:p w:rsidR="004C0056" w:rsidRDefault="005517AF">
      <w:pPr>
        <w:pStyle w:val="21"/>
        <w:widowControl/>
        <w:numPr>
          <w:ilvl w:val="0"/>
          <w:numId w:val="3"/>
        </w:numPr>
        <w:spacing w:before="0" w:beforeAutospacing="0" w:after="0"/>
        <w:ind w:leftChars="0" w:left="0" w:firstLine="640"/>
        <w:rPr>
          <w:rFonts w:ascii="Times New Roman" w:eastAsia="仿宋_GB2312" w:hAnsi="Times New Roman" w:hint="default"/>
          <w:bCs w:val="0"/>
          <w:color w:val="000000"/>
          <w:sz w:val="32"/>
          <w:szCs w:val="32"/>
        </w:rPr>
      </w:pPr>
      <w:r>
        <w:rPr>
          <w:rFonts w:ascii="Times New Roman" w:eastAsia="仿宋_GB2312" w:hAnsi="Times New Roman" w:hint="default"/>
          <w:bCs w:val="0"/>
          <w:color w:val="000000"/>
          <w:sz w:val="32"/>
          <w:szCs w:val="32"/>
        </w:rPr>
        <w:t>适用范围</w:t>
      </w:r>
    </w:p>
    <w:tbl>
      <w:tblPr>
        <w:tblW w:w="8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40"/>
        <w:gridCol w:w="931"/>
        <w:gridCol w:w="2468"/>
        <w:gridCol w:w="976"/>
        <w:gridCol w:w="787"/>
        <w:gridCol w:w="760"/>
        <w:gridCol w:w="740"/>
        <w:gridCol w:w="1228"/>
      </w:tblGrid>
      <w:tr w:rsidR="004C0056">
        <w:trPr>
          <w:trHeight w:val="333"/>
          <w:jc w:val="center"/>
        </w:trPr>
        <w:tc>
          <w:tcPr>
            <w:tcW w:w="1669" w:type="dxa"/>
            <w:gridSpan w:val="2"/>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ind w:firstLineChars="200" w:firstLine="480"/>
              <w:textAlignment w:val="center"/>
              <w:rPr>
                <w:rFonts w:eastAsia="黑体"/>
                <w:color w:val="000000"/>
                <w:kern w:val="0"/>
                <w:sz w:val="24"/>
              </w:rPr>
            </w:pPr>
            <w:r>
              <w:rPr>
                <w:rFonts w:eastAsia="黑体"/>
                <w:color w:val="000000"/>
                <w:kern w:val="0"/>
                <w:sz w:val="24"/>
                <w:lang w:bidi="ar"/>
              </w:rPr>
              <w:t>序号</w:t>
            </w:r>
          </w:p>
        </w:tc>
        <w:tc>
          <w:tcPr>
            <w:tcW w:w="2467"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对比项目</w:t>
            </w:r>
          </w:p>
        </w:tc>
        <w:tc>
          <w:tcPr>
            <w:tcW w:w="976"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同品种产品</w:t>
            </w:r>
          </w:p>
        </w:tc>
        <w:tc>
          <w:tcPr>
            <w:tcW w:w="787"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申报产品</w:t>
            </w:r>
          </w:p>
        </w:tc>
        <w:tc>
          <w:tcPr>
            <w:tcW w:w="76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相同性</w:t>
            </w:r>
          </w:p>
        </w:tc>
        <w:tc>
          <w:tcPr>
            <w:tcW w:w="74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差异性</w:t>
            </w:r>
          </w:p>
        </w:tc>
        <w:tc>
          <w:tcPr>
            <w:tcW w:w="1228"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支持性资料概述</w:t>
            </w:r>
          </w:p>
        </w:tc>
      </w:tr>
      <w:tr w:rsidR="004C0056">
        <w:trPr>
          <w:trHeight w:val="493"/>
          <w:jc w:val="center"/>
        </w:trPr>
        <w:tc>
          <w:tcPr>
            <w:tcW w:w="1669" w:type="dxa"/>
            <w:gridSpan w:val="2"/>
            <w:vMerge/>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640"/>
              <w:jc w:val="center"/>
              <w:rPr>
                <w:szCs w:val="22"/>
              </w:rPr>
            </w:pPr>
          </w:p>
        </w:tc>
        <w:tc>
          <w:tcPr>
            <w:tcW w:w="2467"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640"/>
              <w:jc w:val="center"/>
              <w:rPr>
                <w:szCs w:val="22"/>
              </w:rPr>
            </w:pPr>
          </w:p>
        </w:tc>
        <w:tc>
          <w:tcPr>
            <w:tcW w:w="976"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640"/>
              <w:jc w:val="center"/>
              <w:rPr>
                <w:szCs w:val="22"/>
              </w:rPr>
            </w:pPr>
          </w:p>
        </w:tc>
        <w:tc>
          <w:tcPr>
            <w:tcW w:w="787"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640"/>
              <w:jc w:val="center"/>
              <w:rPr>
                <w:szCs w:val="22"/>
              </w:rPr>
            </w:pPr>
          </w:p>
        </w:tc>
        <w:tc>
          <w:tcPr>
            <w:tcW w:w="76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640"/>
              <w:jc w:val="center"/>
              <w:rPr>
                <w:szCs w:val="22"/>
              </w:rPr>
            </w:pPr>
          </w:p>
        </w:tc>
        <w:tc>
          <w:tcPr>
            <w:tcW w:w="74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640"/>
              <w:jc w:val="center"/>
              <w:rPr>
                <w:szCs w:val="22"/>
              </w:rPr>
            </w:pPr>
          </w:p>
        </w:tc>
        <w:tc>
          <w:tcPr>
            <w:tcW w:w="1228"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640"/>
              <w:jc w:val="center"/>
              <w:rPr>
                <w:szCs w:val="22"/>
              </w:rPr>
            </w:pPr>
          </w:p>
        </w:tc>
      </w:tr>
      <w:tr w:rsidR="004C0056">
        <w:trPr>
          <w:trHeight w:val="292"/>
          <w:jc w:val="center"/>
        </w:trPr>
        <w:tc>
          <w:tcPr>
            <w:tcW w:w="739" w:type="dxa"/>
            <w:vMerge w:val="restart"/>
            <w:tcBorders>
              <w:top w:val="nil"/>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rStyle w:val="15"/>
                <w:rFonts w:ascii="Times New Roman" w:hAnsi="Times New Roman" w:cs="Times New Roman" w:hint="default"/>
                <w:lang w:bidi="ar"/>
              </w:rPr>
              <w:t>适用范围</w:t>
            </w:r>
          </w:p>
        </w:tc>
        <w:tc>
          <w:tcPr>
            <w:tcW w:w="93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strike/>
                <w:color w:val="000000"/>
                <w:kern w:val="0"/>
                <w:sz w:val="24"/>
              </w:rPr>
            </w:pPr>
            <w:r>
              <w:rPr>
                <w:color w:val="000000"/>
                <w:kern w:val="0"/>
                <w:sz w:val="24"/>
                <w:lang w:bidi="ar"/>
              </w:rPr>
              <w:t>1.1</w:t>
            </w:r>
          </w:p>
        </w:tc>
        <w:tc>
          <w:tcPr>
            <w:tcW w:w="246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sz w:val="24"/>
                <w:lang w:bidi="ar"/>
              </w:rPr>
              <w:t>变异类型</w:t>
            </w:r>
            <w:r>
              <w:rPr>
                <w:sz w:val="24"/>
                <w:vertAlign w:val="superscript"/>
                <w:lang w:bidi="ar"/>
              </w:rPr>
              <w:t>a</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787"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740"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r>
      <w:tr w:rsidR="004C0056">
        <w:trPr>
          <w:trHeight w:val="226"/>
          <w:jc w:val="center"/>
        </w:trPr>
        <w:tc>
          <w:tcPr>
            <w:tcW w:w="739" w:type="dxa"/>
            <w:vMerge/>
            <w:tcBorders>
              <w:top w:val="nil"/>
              <w:left w:val="single" w:sz="8" w:space="0" w:color="000000"/>
              <w:bottom w:val="single" w:sz="8" w:space="0" w:color="000000"/>
              <w:right w:val="single" w:sz="8" w:space="0" w:color="000000"/>
            </w:tcBorders>
            <w:vAlign w:val="center"/>
          </w:tcPr>
          <w:p w:rsidR="004C0056" w:rsidRDefault="004C0056">
            <w:pPr>
              <w:ind w:firstLineChars="200" w:firstLine="640"/>
              <w:jc w:val="center"/>
              <w:rPr>
                <w:szCs w:val="22"/>
              </w:rPr>
            </w:pPr>
          </w:p>
        </w:tc>
        <w:tc>
          <w:tcPr>
            <w:tcW w:w="93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1.2</w:t>
            </w:r>
          </w:p>
        </w:tc>
        <w:tc>
          <w:tcPr>
            <w:tcW w:w="246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检测的核酸类型</w:t>
            </w:r>
            <w:r>
              <w:rPr>
                <w:sz w:val="24"/>
                <w:vertAlign w:val="superscript"/>
                <w:lang w:bidi="ar"/>
              </w:rPr>
              <w:t>b</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787"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740"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r>
      <w:tr w:rsidR="004C0056">
        <w:trPr>
          <w:trHeight w:val="325"/>
          <w:jc w:val="center"/>
        </w:trPr>
        <w:tc>
          <w:tcPr>
            <w:tcW w:w="739" w:type="dxa"/>
            <w:vMerge/>
            <w:tcBorders>
              <w:top w:val="nil"/>
              <w:left w:val="single" w:sz="8" w:space="0" w:color="000000"/>
              <w:bottom w:val="single" w:sz="8" w:space="0" w:color="000000"/>
              <w:right w:val="single" w:sz="8" w:space="0" w:color="000000"/>
            </w:tcBorders>
            <w:vAlign w:val="center"/>
          </w:tcPr>
          <w:p w:rsidR="004C0056" w:rsidRDefault="004C0056">
            <w:pPr>
              <w:ind w:firstLineChars="200" w:firstLine="640"/>
              <w:jc w:val="center"/>
              <w:rPr>
                <w:szCs w:val="22"/>
              </w:rPr>
            </w:pPr>
          </w:p>
        </w:tc>
        <w:tc>
          <w:tcPr>
            <w:tcW w:w="93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1.3</w:t>
            </w:r>
          </w:p>
        </w:tc>
        <w:tc>
          <w:tcPr>
            <w:tcW w:w="246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使用环境要求</w:t>
            </w:r>
            <w:r>
              <w:rPr>
                <w:sz w:val="24"/>
                <w:vertAlign w:val="superscript"/>
                <w:lang w:bidi="ar"/>
              </w:rPr>
              <w:t>c</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787"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740"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480"/>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ind w:firstLineChars="200" w:firstLine="640"/>
              <w:jc w:val="center"/>
            </w:pPr>
          </w:p>
        </w:tc>
      </w:tr>
    </w:tbl>
    <w:p w:rsidR="004C0056" w:rsidRDefault="004C0056">
      <w:pPr>
        <w:autoSpaceDE w:val="0"/>
        <w:autoSpaceDN w:val="0"/>
        <w:adjustRightInd w:val="0"/>
        <w:spacing w:line="520" w:lineRule="exact"/>
        <w:ind w:firstLineChars="200" w:firstLine="640"/>
        <w:rPr>
          <w:rFonts w:eastAsia="仿宋_GB2312"/>
          <w:color w:val="000000"/>
          <w:szCs w:val="32"/>
          <w:lang w:bidi="ar"/>
        </w:rPr>
      </w:pP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a</w:t>
      </w:r>
      <w:r>
        <w:rPr>
          <w:rFonts w:eastAsia="仿宋_GB2312"/>
          <w:color w:val="000000"/>
          <w:szCs w:val="32"/>
          <w:lang w:bidi="ar"/>
        </w:rPr>
        <w:t>变异类型通常包括点突变、插入</w:t>
      </w:r>
      <w:r>
        <w:rPr>
          <w:rFonts w:eastAsia="仿宋_GB2312"/>
          <w:color w:val="000000"/>
          <w:szCs w:val="32"/>
          <w:lang w:bidi="ar"/>
        </w:rPr>
        <w:t>/</w:t>
      </w:r>
      <w:r>
        <w:rPr>
          <w:rFonts w:eastAsia="仿宋_GB2312"/>
          <w:color w:val="000000"/>
          <w:szCs w:val="32"/>
          <w:lang w:bidi="ar"/>
        </w:rPr>
        <w:t>缺失、拷贝数变异等变异类型。</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b</w:t>
      </w:r>
      <w:r>
        <w:rPr>
          <w:rFonts w:eastAsia="仿宋_GB2312"/>
          <w:color w:val="000000"/>
          <w:szCs w:val="32"/>
          <w:lang w:bidi="ar"/>
        </w:rPr>
        <w:t>检测的核酸样本类型通常包括人类基因组</w:t>
      </w:r>
      <w:r>
        <w:rPr>
          <w:rFonts w:eastAsia="仿宋_GB2312"/>
          <w:color w:val="000000"/>
          <w:szCs w:val="32"/>
          <w:lang w:bidi="ar"/>
        </w:rPr>
        <w:t>DNA</w:t>
      </w:r>
      <w:r>
        <w:rPr>
          <w:rFonts w:eastAsia="仿宋_GB2312"/>
          <w:color w:val="000000"/>
          <w:szCs w:val="32"/>
          <w:lang w:bidi="ar"/>
        </w:rPr>
        <w:t>、细胞内</w:t>
      </w:r>
      <w:r>
        <w:rPr>
          <w:rFonts w:eastAsia="仿宋_GB2312"/>
          <w:color w:val="000000"/>
          <w:szCs w:val="32"/>
          <w:lang w:bidi="ar"/>
        </w:rPr>
        <w:t>RNA</w:t>
      </w:r>
      <w:r>
        <w:rPr>
          <w:rFonts w:eastAsia="仿宋_GB2312"/>
          <w:color w:val="000000"/>
          <w:szCs w:val="32"/>
          <w:lang w:bidi="ar"/>
        </w:rPr>
        <w:t>、细胞外循环</w:t>
      </w:r>
      <w:r>
        <w:rPr>
          <w:rFonts w:eastAsia="仿宋_GB2312"/>
          <w:color w:val="000000"/>
          <w:szCs w:val="32"/>
          <w:lang w:bidi="ar"/>
        </w:rPr>
        <w:t>DNA</w:t>
      </w:r>
      <w:r>
        <w:rPr>
          <w:rFonts w:eastAsia="仿宋_GB2312"/>
          <w:color w:val="000000"/>
          <w:szCs w:val="32"/>
          <w:lang w:bidi="ar"/>
        </w:rPr>
        <w:t>或</w:t>
      </w:r>
      <w:r>
        <w:rPr>
          <w:rFonts w:eastAsia="仿宋_GB2312"/>
          <w:color w:val="000000"/>
          <w:szCs w:val="32"/>
          <w:lang w:bidi="ar"/>
        </w:rPr>
        <w:t>RNA</w:t>
      </w:r>
      <w:r>
        <w:rPr>
          <w:rFonts w:eastAsia="仿宋_GB2312"/>
          <w:color w:val="000000"/>
          <w:szCs w:val="32"/>
          <w:lang w:bidi="ar"/>
        </w:rPr>
        <w:t>，病原体</w:t>
      </w:r>
      <w:r>
        <w:rPr>
          <w:rFonts w:eastAsia="仿宋_GB2312"/>
          <w:color w:val="000000"/>
          <w:szCs w:val="32"/>
          <w:lang w:bidi="ar"/>
        </w:rPr>
        <w:t>DNA</w:t>
      </w:r>
      <w:r>
        <w:rPr>
          <w:rFonts w:eastAsia="仿宋_GB2312"/>
          <w:color w:val="000000"/>
          <w:szCs w:val="32"/>
          <w:lang w:bidi="ar"/>
        </w:rPr>
        <w:t>或</w:t>
      </w:r>
      <w:r>
        <w:rPr>
          <w:rFonts w:eastAsia="仿宋_GB2312"/>
          <w:color w:val="000000"/>
          <w:szCs w:val="32"/>
          <w:lang w:bidi="ar"/>
        </w:rPr>
        <w:t>RNA</w:t>
      </w:r>
      <w:r>
        <w:rPr>
          <w:rFonts w:eastAsia="仿宋_GB2312"/>
          <w:color w:val="000000"/>
          <w:szCs w:val="32"/>
          <w:lang w:bidi="ar"/>
        </w:rPr>
        <w:t>等。</w:t>
      </w:r>
    </w:p>
    <w:p w:rsidR="004C0056" w:rsidRDefault="005517AF">
      <w:pPr>
        <w:autoSpaceDE w:val="0"/>
        <w:autoSpaceDN w:val="0"/>
        <w:adjustRightInd w:val="0"/>
        <w:spacing w:line="520" w:lineRule="exact"/>
        <w:ind w:firstLineChars="200" w:firstLine="640"/>
      </w:pPr>
      <w:r>
        <w:rPr>
          <w:rFonts w:eastAsia="仿宋_GB2312"/>
          <w:color w:val="000000"/>
          <w:szCs w:val="32"/>
          <w:lang w:bidi="ar"/>
        </w:rPr>
        <w:t>c</w:t>
      </w:r>
      <w:r>
        <w:rPr>
          <w:rFonts w:eastAsia="仿宋_GB2312"/>
          <w:color w:val="000000"/>
          <w:szCs w:val="32"/>
          <w:lang w:bidi="ar"/>
        </w:rPr>
        <w:t>使用环境要求包括温湿度、洁净程度等环境条件。</w:t>
      </w:r>
    </w:p>
    <w:p w:rsidR="004C0056" w:rsidRDefault="005517AF">
      <w:pPr>
        <w:pStyle w:val="21"/>
        <w:widowControl/>
        <w:spacing w:before="0" w:beforeAutospacing="0" w:after="0" w:line="520" w:lineRule="exact"/>
        <w:ind w:left="640" w:firstLineChars="0" w:firstLine="0"/>
        <w:rPr>
          <w:rFonts w:ascii="Times New Roman" w:eastAsia="仿宋_GB2312" w:hAnsi="Times New Roman" w:hint="default"/>
          <w:bCs w:val="0"/>
          <w:color w:val="000000"/>
          <w:sz w:val="32"/>
          <w:szCs w:val="32"/>
        </w:rPr>
      </w:pPr>
      <w:r>
        <w:rPr>
          <w:rFonts w:ascii="Times New Roman" w:eastAsia="仿宋_GB2312" w:hAnsi="Times New Roman"/>
          <w:bCs w:val="0"/>
          <w:color w:val="000000"/>
          <w:sz w:val="32"/>
          <w:szCs w:val="32"/>
        </w:rPr>
        <w:t>2.</w:t>
      </w:r>
      <w:r>
        <w:rPr>
          <w:rFonts w:ascii="Times New Roman" w:eastAsia="仿宋_GB2312" w:hAnsi="Times New Roman" w:hint="default"/>
          <w:bCs w:val="0"/>
          <w:color w:val="000000"/>
          <w:sz w:val="32"/>
          <w:szCs w:val="32"/>
        </w:rPr>
        <w:t>基本原理</w:t>
      </w:r>
    </w:p>
    <w:tbl>
      <w:tblPr>
        <w:tblW w:w="8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35"/>
        <w:gridCol w:w="861"/>
        <w:gridCol w:w="2406"/>
        <w:gridCol w:w="1020"/>
        <w:gridCol w:w="860"/>
        <w:gridCol w:w="810"/>
        <w:gridCol w:w="760"/>
        <w:gridCol w:w="1178"/>
      </w:tblGrid>
      <w:tr w:rsidR="004C0056">
        <w:trPr>
          <w:trHeight w:val="333"/>
          <w:jc w:val="center"/>
        </w:trPr>
        <w:tc>
          <w:tcPr>
            <w:tcW w:w="1594" w:type="dxa"/>
            <w:gridSpan w:val="2"/>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序号</w:t>
            </w:r>
          </w:p>
        </w:tc>
        <w:tc>
          <w:tcPr>
            <w:tcW w:w="2405"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对比项目</w:t>
            </w:r>
          </w:p>
        </w:tc>
        <w:tc>
          <w:tcPr>
            <w:tcW w:w="102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同品种产品</w:t>
            </w:r>
          </w:p>
        </w:tc>
        <w:tc>
          <w:tcPr>
            <w:tcW w:w="86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申报产品</w:t>
            </w:r>
          </w:p>
        </w:tc>
        <w:tc>
          <w:tcPr>
            <w:tcW w:w="81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相同性</w:t>
            </w:r>
          </w:p>
        </w:tc>
        <w:tc>
          <w:tcPr>
            <w:tcW w:w="76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差异性</w:t>
            </w:r>
          </w:p>
        </w:tc>
        <w:tc>
          <w:tcPr>
            <w:tcW w:w="1178"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支持性资料概述</w:t>
            </w:r>
          </w:p>
        </w:tc>
      </w:tr>
      <w:tr w:rsidR="004C0056">
        <w:trPr>
          <w:trHeight w:val="493"/>
          <w:jc w:val="center"/>
        </w:trPr>
        <w:tc>
          <w:tcPr>
            <w:tcW w:w="1594" w:type="dxa"/>
            <w:gridSpan w:val="2"/>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2405"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102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6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1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6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1178"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r>
      <w:tr w:rsidR="004C0056">
        <w:trPr>
          <w:trHeight w:val="243"/>
          <w:jc w:val="center"/>
        </w:trPr>
        <w:tc>
          <w:tcPr>
            <w:tcW w:w="734" w:type="dxa"/>
            <w:vMerge w:val="restart"/>
            <w:tcBorders>
              <w:top w:val="nil"/>
              <w:left w:val="single" w:sz="8" w:space="0" w:color="000000"/>
              <w:bottom w:val="single" w:sz="8" w:space="0" w:color="000000"/>
              <w:right w:val="single" w:sz="8" w:space="0" w:color="000000"/>
            </w:tcBorders>
            <w:vAlign w:val="center"/>
          </w:tcPr>
          <w:p w:rsidR="004C0056" w:rsidRDefault="005517AF">
            <w:pPr>
              <w:jc w:val="center"/>
              <w:rPr>
                <w:color w:val="000000"/>
                <w:sz w:val="24"/>
              </w:rPr>
            </w:pPr>
            <w:r>
              <w:rPr>
                <w:rStyle w:val="15"/>
                <w:rFonts w:ascii="Times New Roman" w:hAnsi="Times New Roman" w:cs="Times New Roman" w:hint="default"/>
                <w:lang w:bidi="ar"/>
              </w:rPr>
              <w:t>基本原理</w:t>
            </w: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2.1</w:t>
            </w:r>
          </w:p>
        </w:tc>
        <w:tc>
          <w:tcPr>
            <w:tcW w:w="2405" w:type="dxa"/>
            <w:tcBorders>
              <w:top w:val="single" w:sz="8" w:space="0" w:color="000000"/>
              <w:left w:val="single" w:sz="8" w:space="0" w:color="000000"/>
              <w:bottom w:val="single" w:sz="8" w:space="0" w:color="000000"/>
              <w:right w:val="single" w:sz="8" w:space="0" w:color="000000"/>
            </w:tcBorders>
            <w:vAlign w:val="center"/>
          </w:tcPr>
          <w:p w:rsidR="004C0056" w:rsidRDefault="005517AF">
            <w:pPr>
              <w:jc w:val="center"/>
              <w:rPr>
                <w:sz w:val="24"/>
              </w:rPr>
            </w:pPr>
            <w:r>
              <w:rPr>
                <w:rStyle w:val="15"/>
                <w:rFonts w:ascii="Times New Roman" w:hAnsi="Times New Roman" w:cs="Times New Roman" w:hint="default"/>
                <w:lang w:bidi="ar"/>
              </w:rPr>
              <w:t>工作原理</w:t>
            </w:r>
            <w:r>
              <w:rPr>
                <w:sz w:val="21"/>
                <w:szCs w:val="21"/>
                <w:vertAlign w:val="superscript"/>
                <w:lang w:bidi="ar"/>
              </w:rPr>
              <w:t>a</w:t>
            </w:r>
          </w:p>
        </w:tc>
        <w:tc>
          <w:tcPr>
            <w:tcW w:w="102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1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734"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2.1.1</w:t>
            </w:r>
          </w:p>
        </w:tc>
        <w:tc>
          <w:tcPr>
            <w:tcW w:w="2405" w:type="dxa"/>
            <w:tcBorders>
              <w:top w:val="single" w:sz="8" w:space="0" w:color="000000"/>
              <w:left w:val="single" w:sz="8" w:space="0" w:color="000000"/>
              <w:bottom w:val="single" w:sz="8" w:space="0" w:color="000000"/>
              <w:right w:val="single" w:sz="8" w:space="0" w:color="000000"/>
            </w:tcBorders>
            <w:vAlign w:val="center"/>
          </w:tcPr>
          <w:p w:rsidR="004C0056" w:rsidRDefault="005517AF">
            <w:pPr>
              <w:jc w:val="center"/>
            </w:pPr>
            <w:r>
              <w:rPr>
                <w:sz w:val="24"/>
                <w:lang w:bidi="ar"/>
              </w:rPr>
              <w:t>生化原理</w:t>
            </w:r>
          </w:p>
        </w:tc>
        <w:tc>
          <w:tcPr>
            <w:tcW w:w="102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1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734"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2.1.2</w:t>
            </w:r>
          </w:p>
        </w:tc>
        <w:tc>
          <w:tcPr>
            <w:tcW w:w="2405" w:type="dxa"/>
            <w:tcBorders>
              <w:top w:val="single" w:sz="8" w:space="0" w:color="000000"/>
              <w:left w:val="single" w:sz="8" w:space="0" w:color="000000"/>
              <w:bottom w:val="single" w:sz="8" w:space="0" w:color="000000"/>
              <w:right w:val="single" w:sz="8" w:space="0" w:color="000000"/>
            </w:tcBorders>
            <w:vAlign w:val="center"/>
          </w:tcPr>
          <w:p w:rsidR="004C0056" w:rsidRDefault="005517AF">
            <w:pPr>
              <w:jc w:val="center"/>
            </w:pPr>
            <w:r>
              <w:rPr>
                <w:sz w:val="24"/>
                <w:lang w:bidi="ar"/>
              </w:rPr>
              <w:t>物理原理</w:t>
            </w:r>
          </w:p>
        </w:tc>
        <w:tc>
          <w:tcPr>
            <w:tcW w:w="102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1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734"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2.1.3</w:t>
            </w:r>
          </w:p>
        </w:tc>
        <w:tc>
          <w:tcPr>
            <w:tcW w:w="2405"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rPr>
                <w:sz w:val="24"/>
              </w:rPr>
            </w:pPr>
            <w:r>
              <w:rPr>
                <w:rStyle w:val="15"/>
                <w:rFonts w:ascii="Times New Roman" w:hAnsi="Times New Roman" w:cs="Times New Roman" w:hint="default"/>
                <w:lang w:bidi="ar"/>
              </w:rPr>
              <w:t>信号放大和采集原理</w:t>
            </w:r>
          </w:p>
        </w:tc>
        <w:tc>
          <w:tcPr>
            <w:tcW w:w="102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1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734"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2.1.4</w:t>
            </w:r>
          </w:p>
        </w:tc>
        <w:tc>
          <w:tcPr>
            <w:tcW w:w="2405"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rPr>
                <w:sz w:val="24"/>
              </w:rPr>
            </w:pPr>
            <w:r>
              <w:rPr>
                <w:rStyle w:val="15"/>
                <w:rFonts w:ascii="Times New Roman" w:hAnsi="Times New Roman" w:cs="Times New Roman" w:hint="default"/>
                <w:lang w:bidi="ar"/>
              </w:rPr>
              <w:t>碱基识别和质量评估原理</w:t>
            </w:r>
          </w:p>
        </w:tc>
        <w:tc>
          <w:tcPr>
            <w:tcW w:w="102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1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734"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2.1.5</w:t>
            </w:r>
          </w:p>
        </w:tc>
        <w:tc>
          <w:tcPr>
            <w:tcW w:w="2405"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rPr>
                <w:sz w:val="24"/>
              </w:rPr>
            </w:pPr>
            <w:r>
              <w:rPr>
                <w:rStyle w:val="15"/>
                <w:rFonts w:ascii="Times New Roman" w:hAnsi="Times New Roman" w:cs="Times New Roman" w:hint="default"/>
                <w:lang w:bidi="ar"/>
              </w:rPr>
              <w:t>高通量、并行化原理</w:t>
            </w:r>
          </w:p>
        </w:tc>
        <w:tc>
          <w:tcPr>
            <w:tcW w:w="102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1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734"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2.1.6</w:t>
            </w:r>
          </w:p>
        </w:tc>
        <w:tc>
          <w:tcPr>
            <w:tcW w:w="2405"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rPr>
                <w:sz w:val="24"/>
              </w:rPr>
            </w:pPr>
            <w:r>
              <w:rPr>
                <w:rStyle w:val="15"/>
                <w:rFonts w:ascii="Times New Roman" w:hAnsi="Times New Roman" w:cs="Times New Roman" w:hint="default"/>
                <w:lang w:bidi="ar"/>
              </w:rPr>
              <w:t>系统集成原理</w:t>
            </w:r>
          </w:p>
        </w:tc>
        <w:tc>
          <w:tcPr>
            <w:tcW w:w="102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1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734"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2.1.7</w:t>
            </w:r>
          </w:p>
        </w:tc>
        <w:tc>
          <w:tcPr>
            <w:tcW w:w="2405"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sz w:val="24"/>
                <w:lang w:bidi="ar"/>
              </w:rPr>
              <w:t>...</w:t>
            </w:r>
          </w:p>
        </w:tc>
        <w:tc>
          <w:tcPr>
            <w:tcW w:w="102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1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90"/>
          <w:jc w:val="center"/>
        </w:trPr>
        <w:tc>
          <w:tcPr>
            <w:tcW w:w="734"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sz w:val="24"/>
              </w:rPr>
            </w:pPr>
            <w:r>
              <w:rPr>
                <w:sz w:val="24"/>
                <w:lang w:bidi="ar"/>
              </w:rPr>
              <w:t>2.2</w:t>
            </w:r>
          </w:p>
        </w:tc>
        <w:tc>
          <w:tcPr>
            <w:tcW w:w="2405"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sz w:val="24"/>
              </w:rPr>
            </w:pPr>
            <w:r>
              <w:rPr>
                <w:sz w:val="24"/>
                <w:lang w:bidi="ar"/>
              </w:rPr>
              <w:t>产品类型</w:t>
            </w:r>
            <w:r>
              <w:rPr>
                <w:sz w:val="24"/>
                <w:vertAlign w:val="superscript"/>
                <w:lang w:bidi="ar"/>
              </w:rPr>
              <w:t>b</w:t>
            </w:r>
          </w:p>
        </w:tc>
        <w:tc>
          <w:tcPr>
            <w:tcW w:w="102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1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bl>
    <w:p w:rsidR="004C0056" w:rsidRDefault="004C0056">
      <w:pPr>
        <w:autoSpaceDE w:val="0"/>
        <w:autoSpaceDN w:val="0"/>
        <w:adjustRightInd w:val="0"/>
        <w:spacing w:line="520" w:lineRule="exact"/>
        <w:ind w:firstLineChars="200" w:firstLine="640"/>
        <w:rPr>
          <w:rFonts w:eastAsia="仿宋_GB2312"/>
          <w:color w:val="000000"/>
          <w:szCs w:val="32"/>
          <w:lang w:bidi="ar"/>
        </w:rPr>
      </w:pP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lastRenderedPageBreak/>
        <w:t>a</w:t>
      </w:r>
      <w:r>
        <w:rPr>
          <w:rFonts w:eastAsia="仿宋_GB2312"/>
          <w:color w:val="000000"/>
          <w:szCs w:val="32"/>
          <w:lang w:bidi="ar"/>
        </w:rPr>
        <w:t>申报产品和同品种产品的工作原理应一致。应详述核心结构模块的原理，包括：生化原理（包括催化酶、底物标记、荧光化学、试剂保存、芯片表面处理等）、物理原理（光学或电学模块并行化、信号采集、液路设计、废液收集处理等）、碱基判断和质量评估原理（包括信号处理、质量评估等核心算法和软件来源）、系统集成原理等。</w:t>
      </w:r>
    </w:p>
    <w:p w:rsidR="004C0056" w:rsidRDefault="005517AF">
      <w:pPr>
        <w:autoSpaceDE w:val="0"/>
        <w:autoSpaceDN w:val="0"/>
        <w:adjustRightInd w:val="0"/>
        <w:spacing w:line="520" w:lineRule="exact"/>
        <w:ind w:firstLineChars="200" w:firstLine="640"/>
        <w:rPr>
          <w:sz w:val="24"/>
        </w:rPr>
      </w:pPr>
      <w:r>
        <w:rPr>
          <w:rFonts w:eastAsia="仿宋_GB2312"/>
          <w:color w:val="000000"/>
          <w:szCs w:val="32"/>
          <w:lang w:bidi="ar"/>
        </w:rPr>
        <w:t>b</w:t>
      </w:r>
      <w:r>
        <w:rPr>
          <w:rFonts w:eastAsia="仿宋_GB2312"/>
          <w:color w:val="000000"/>
          <w:szCs w:val="32"/>
          <w:lang w:bidi="ar"/>
        </w:rPr>
        <w:t>产品类型应明确便携式、固定式（台式</w:t>
      </w:r>
      <w:r>
        <w:rPr>
          <w:rFonts w:eastAsia="仿宋_GB2312"/>
          <w:color w:val="000000"/>
          <w:szCs w:val="32"/>
          <w:lang w:bidi="ar"/>
        </w:rPr>
        <w:t>/</w:t>
      </w:r>
      <w:r>
        <w:rPr>
          <w:rFonts w:eastAsia="仿宋_GB2312"/>
          <w:color w:val="000000"/>
          <w:szCs w:val="32"/>
          <w:lang w:bidi="ar"/>
        </w:rPr>
        <w:t>落地式）。</w:t>
      </w:r>
    </w:p>
    <w:p w:rsidR="004C0056" w:rsidRDefault="005517AF">
      <w:pPr>
        <w:pStyle w:val="21"/>
        <w:widowControl/>
        <w:spacing w:before="0" w:beforeAutospacing="0" w:after="0"/>
        <w:ind w:leftChars="0" w:left="0" w:firstLine="640"/>
        <w:rPr>
          <w:rFonts w:ascii="Times New Roman" w:eastAsia="仿宋_GB2312" w:hAnsi="Times New Roman" w:hint="default"/>
          <w:bCs w:val="0"/>
          <w:color w:val="000000"/>
          <w:sz w:val="32"/>
          <w:szCs w:val="32"/>
        </w:rPr>
      </w:pPr>
      <w:r>
        <w:rPr>
          <w:rFonts w:ascii="Times New Roman" w:eastAsia="仿宋_GB2312" w:hAnsi="Times New Roman" w:hint="default"/>
          <w:bCs w:val="0"/>
          <w:color w:val="000000"/>
          <w:sz w:val="32"/>
          <w:szCs w:val="32"/>
        </w:rPr>
        <w:t>3.</w:t>
      </w:r>
      <w:r>
        <w:rPr>
          <w:rFonts w:ascii="Times New Roman" w:eastAsia="仿宋_GB2312" w:hAnsi="Times New Roman" w:hint="default"/>
          <w:bCs w:val="0"/>
          <w:color w:val="000000"/>
          <w:sz w:val="32"/>
          <w:szCs w:val="32"/>
        </w:rPr>
        <w:t>结构组成</w:t>
      </w:r>
    </w:p>
    <w:tbl>
      <w:tblPr>
        <w:tblW w:w="8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0"/>
        <w:gridCol w:w="961"/>
        <w:gridCol w:w="2475"/>
        <w:gridCol w:w="975"/>
        <w:gridCol w:w="741"/>
        <w:gridCol w:w="800"/>
        <w:gridCol w:w="780"/>
        <w:gridCol w:w="1178"/>
      </w:tblGrid>
      <w:tr w:rsidR="004C0056">
        <w:trPr>
          <w:trHeight w:val="333"/>
          <w:jc w:val="center"/>
        </w:trPr>
        <w:tc>
          <w:tcPr>
            <w:tcW w:w="1679" w:type="dxa"/>
            <w:gridSpan w:val="2"/>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序号</w:t>
            </w:r>
          </w:p>
        </w:tc>
        <w:tc>
          <w:tcPr>
            <w:tcW w:w="2474"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对比项目</w:t>
            </w:r>
          </w:p>
        </w:tc>
        <w:tc>
          <w:tcPr>
            <w:tcW w:w="975"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同品种产品</w:t>
            </w:r>
          </w:p>
        </w:tc>
        <w:tc>
          <w:tcPr>
            <w:tcW w:w="741"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申报产品</w:t>
            </w:r>
          </w:p>
        </w:tc>
        <w:tc>
          <w:tcPr>
            <w:tcW w:w="80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相同性</w:t>
            </w:r>
          </w:p>
        </w:tc>
        <w:tc>
          <w:tcPr>
            <w:tcW w:w="78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差异性</w:t>
            </w:r>
          </w:p>
        </w:tc>
        <w:tc>
          <w:tcPr>
            <w:tcW w:w="1178"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支持性资料概述</w:t>
            </w:r>
          </w:p>
        </w:tc>
      </w:tr>
      <w:tr w:rsidR="004C0056">
        <w:trPr>
          <w:trHeight w:val="493"/>
          <w:jc w:val="center"/>
        </w:trPr>
        <w:tc>
          <w:tcPr>
            <w:tcW w:w="1679" w:type="dxa"/>
            <w:gridSpan w:val="2"/>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2474"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75"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41"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0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8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1178"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r>
      <w:tr w:rsidR="004C0056">
        <w:trPr>
          <w:trHeight w:val="90"/>
          <w:jc w:val="center"/>
        </w:trPr>
        <w:tc>
          <w:tcPr>
            <w:tcW w:w="719" w:type="dxa"/>
            <w:vMerge w:val="restart"/>
            <w:tcBorders>
              <w:top w:val="nil"/>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rStyle w:val="15"/>
                <w:rFonts w:ascii="Times New Roman" w:hAnsi="Times New Roman" w:cs="Times New Roman" w:hint="default"/>
                <w:lang w:bidi="ar"/>
              </w:rPr>
              <w:t>结构组成</w:t>
            </w:r>
          </w:p>
        </w:tc>
        <w:tc>
          <w:tcPr>
            <w:tcW w:w="9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3.1</w:t>
            </w:r>
          </w:p>
        </w:tc>
        <w:tc>
          <w:tcPr>
            <w:tcW w:w="2474"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sz w:val="24"/>
              </w:rPr>
            </w:pPr>
            <w:r>
              <w:rPr>
                <w:sz w:val="24"/>
                <w:lang w:bidi="ar"/>
              </w:rPr>
              <w:t>产品组成</w:t>
            </w:r>
            <w:r>
              <w:rPr>
                <w:sz w:val="24"/>
                <w:vertAlign w:val="superscript"/>
                <w:lang w:bidi="ar"/>
              </w:rPr>
              <w:t>a</w:t>
            </w:r>
          </w:p>
        </w:tc>
        <w:tc>
          <w:tcPr>
            <w:tcW w:w="975"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41"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0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90"/>
          <w:jc w:val="center"/>
        </w:trPr>
        <w:tc>
          <w:tcPr>
            <w:tcW w:w="71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3.2</w:t>
            </w:r>
          </w:p>
        </w:tc>
        <w:tc>
          <w:tcPr>
            <w:tcW w:w="2474"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核心部件</w:t>
            </w:r>
            <w:r>
              <w:rPr>
                <w:sz w:val="24"/>
                <w:vertAlign w:val="superscript"/>
                <w:lang w:bidi="ar"/>
              </w:rPr>
              <w:t>b</w:t>
            </w:r>
          </w:p>
        </w:tc>
        <w:tc>
          <w:tcPr>
            <w:tcW w:w="975"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41"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0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90"/>
          <w:jc w:val="center"/>
        </w:trPr>
        <w:tc>
          <w:tcPr>
            <w:tcW w:w="71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3.2.1</w:t>
            </w:r>
          </w:p>
        </w:tc>
        <w:tc>
          <w:tcPr>
            <w:tcW w:w="2474"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流体液路系统</w:t>
            </w:r>
            <w:r>
              <w:rPr>
                <w:color w:val="000000"/>
                <w:kern w:val="0"/>
                <w:sz w:val="24"/>
                <w:lang w:bidi="ar"/>
              </w:rPr>
              <w:t>/</w:t>
            </w:r>
            <w:r>
              <w:rPr>
                <w:sz w:val="24"/>
                <w:lang w:bidi="ar"/>
              </w:rPr>
              <w:t>气液路系统</w:t>
            </w:r>
          </w:p>
        </w:tc>
        <w:tc>
          <w:tcPr>
            <w:tcW w:w="975"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41"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0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300"/>
          <w:jc w:val="center"/>
        </w:trPr>
        <w:tc>
          <w:tcPr>
            <w:tcW w:w="71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3.2.2</w:t>
            </w:r>
          </w:p>
        </w:tc>
        <w:tc>
          <w:tcPr>
            <w:tcW w:w="2474"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sz w:val="24"/>
                <w:lang w:bidi="ar"/>
              </w:rPr>
              <w:t>温控模块</w:t>
            </w:r>
          </w:p>
        </w:tc>
        <w:tc>
          <w:tcPr>
            <w:tcW w:w="975"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41"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0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277"/>
          <w:jc w:val="center"/>
        </w:trPr>
        <w:tc>
          <w:tcPr>
            <w:tcW w:w="71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3.2.3</w:t>
            </w:r>
          </w:p>
        </w:tc>
        <w:tc>
          <w:tcPr>
            <w:tcW w:w="2474"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芯片设计构架及</w:t>
            </w:r>
            <w:r>
              <w:rPr>
                <w:sz w:val="24"/>
                <w:lang w:bidi="ar"/>
              </w:rPr>
              <w:t>芯片夹装置</w:t>
            </w:r>
          </w:p>
        </w:tc>
        <w:tc>
          <w:tcPr>
            <w:tcW w:w="975"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41"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0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90"/>
          <w:jc w:val="center"/>
        </w:trPr>
        <w:tc>
          <w:tcPr>
            <w:tcW w:w="71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3.2.4</w:t>
            </w:r>
          </w:p>
        </w:tc>
        <w:tc>
          <w:tcPr>
            <w:tcW w:w="2474"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sz w:val="24"/>
                <w:lang w:bidi="ar"/>
              </w:rPr>
              <w:t>加液装置</w:t>
            </w:r>
          </w:p>
        </w:tc>
        <w:tc>
          <w:tcPr>
            <w:tcW w:w="975"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41"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0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90"/>
          <w:jc w:val="center"/>
        </w:trPr>
        <w:tc>
          <w:tcPr>
            <w:tcW w:w="71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3.2.5</w:t>
            </w:r>
          </w:p>
        </w:tc>
        <w:tc>
          <w:tcPr>
            <w:tcW w:w="2474"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信号采集及处理装置</w:t>
            </w:r>
          </w:p>
        </w:tc>
        <w:tc>
          <w:tcPr>
            <w:tcW w:w="975"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41"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0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90"/>
          <w:jc w:val="center"/>
        </w:trPr>
        <w:tc>
          <w:tcPr>
            <w:tcW w:w="71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6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kern w:val="0"/>
                <w:sz w:val="24"/>
              </w:rPr>
            </w:pPr>
          </w:p>
        </w:tc>
        <w:tc>
          <w:tcPr>
            <w:tcW w:w="2474"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w:t>
            </w:r>
          </w:p>
        </w:tc>
        <w:tc>
          <w:tcPr>
            <w:tcW w:w="975"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41"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0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1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bl>
    <w:p w:rsidR="004C0056" w:rsidRDefault="004C0056">
      <w:pPr>
        <w:autoSpaceDE w:val="0"/>
        <w:autoSpaceDN w:val="0"/>
        <w:adjustRightInd w:val="0"/>
        <w:spacing w:line="520" w:lineRule="exact"/>
        <w:ind w:firstLineChars="200" w:firstLine="640"/>
        <w:rPr>
          <w:rFonts w:eastAsia="仿宋_GB2312"/>
          <w:color w:val="000000"/>
          <w:szCs w:val="32"/>
          <w:lang w:bidi="ar"/>
        </w:rPr>
      </w:pP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a</w:t>
      </w:r>
      <w:r>
        <w:rPr>
          <w:rFonts w:eastAsia="仿宋_GB2312"/>
          <w:color w:val="000000"/>
          <w:szCs w:val="32"/>
          <w:lang w:bidi="ar"/>
        </w:rPr>
        <w:t>产品组成应包括描述申报产品的所有结构组成。对成像模块、流动槽支架、流体自动化模块、缓冲剂吸管装置等功能模块进行逐项详细比对。结构及模块建议进行图示和标注。</w:t>
      </w:r>
    </w:p>
    <w:p w:rsidR="004C0056" w:rsidRDefault="005517AF">
      <w:pPr>
        <w:autoSpaceDE w:val="0"/>
        <w:autoSpaceDN w:val="0"/>
        <w:adjustRightInd w:val="0"/>
        <w:spacing w:line="520" w:lineRule="exact"/>
        <w:ind w:firstLineChars="200" w:firstLine="640"/>
        <w:rPr>
          <w:rFonts w:eastAsia="仿宋_GB2312"/>
          <w:color w:val="000000"/>
          <w:szCs w:val="32"/>
        </w:rPr>
      </w:pPr>
      <w:r>
        <w:rPr>
          <w:rFonts w:eastAsia="仿宋_GB2312"/>
          <w:color w:val="000000"/>
          <w:szCs w:val="32"/>
          <w:lang w:bidi="ar"/>
        </w:rPr>
        <w:t>b</w:t>
      </w:r>
      <w:r>
        <w:rPr>
          <w:rFonts w:eastAsia="仿宋_GB2312"/>
          <w:color w:val="000000"/>
          <w:szCs w:val="32"/>
          <w:lang w:bidi="ar"/>
        </w:rPr>
        <w:t>核心部件应至少对加样装置、温控模块、芯片（包括材质、结构、密度）、信号采集（光学或非光学信号采集的关键器件）和处理装置及其元件技术指标进行对比。</w:t>
      </w:r>
    </w:p>
    <w:p w:rsidR="004C0056" w:rsidRDefault="005517AF">
      <w:pPr>
        <w:pStyle w:val="af5"/>
        <w:widowControl/>
        <w:ind w:firstLineChars="200" w:firstLine="480"/>
        <w:jc w:val="both"/>
        <w:rPr>
          <w:sz w:val="24"/>
          <w:szCs w:val="24"/>
        </w:rPr>
      </w:pPr>
      <w:r>
        <w:rPr>
          <w:sz w:val="24"/>
          <w:szCs w:val="24"/>
        </w:rPr>
        <w:t xml:space="preserve"> </w:t>
      </w:r>
    </w:p>
    <w:p w:rsidR="004C0056" w:rsidRDefault="005517AF">
      <w:pPr>
        <w:pStyle w:val="21"/>
        <w:widowControl/>
        <w:spacing w:before="0" w:beforeAutospacing="0" w:after="0"/>
        <w:ind w:leftChars="0" w:left="0" w:firstLine="640"/>
        <w:rPr>
          <w:rFonts w:ascii="Times New Roman" w:eastAsia="仿宋_GB2312" w:hAnsi="Times New Roman" w:hint="default"/>
          <w:bCs w:val="0"/>
          <w:color w:val="000000"/>
          <w:sz w:val="32"/>
          <w:szCs w:val="32"/>
        </w:rPr>
      </w:pPr>
      <w:r>
        <w:rPr>
          <w:rFonts w:ascii="Times New Roman" w:eastAsia="仿宋_GB2312" w:hAnsi="Times New Roman" w:hint="default"/>
          <w:bCs w:val="0"/>
          <w:color w:val="000000"/>
          <w:sz w:val="32"/>
          <w:szCs w:val="32"/>
        </w:rPr>
        <w:t>4.</w:t>
      </w:r>
      <w:r>
        <w:rPr>
          <w:rFonts w:ascii="Times New Roman" w:eastAsia="仿宋_GB2312" w:hAnsi="Times New Roman" w:hint="default"/>
          <w:bCs w:val="0"/>
          <w:color w:val="000000"/>
          <w:sz w:val="32"/>
          <w:szCs w:val="32"/>
        </w:rPr>
        <w:t>性能要求</w:t>
      </w:r>
    </w:p>
    <w:tbl>
      <w:tblPr>
        <w:tblW w:w="8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70"/>
        <w:gridCol w:w="631"/>
        <w:gridCol w:w="2238"/>
        <w:gridCol w:w="976"/>
        <w:gridCol w:w="697"/>
        <w:gridCol w:w="780"/>
        <w:gridCol w:w="760"/>
        <w:gridCol w:w="1278"/>
      </w:tblGrid>
      <w:tr w:rsidR="004C0056">
        <w:trPr>
          <w:trHeight w:val="333"/>
          <w:jc w:val="center"/>
        </w:trPr>
        <w:tc>
          <w:tcPr>
            <w:tcW w:w="1899" w:type="dxa"/>
            <w:gridSpan w:val="2"/>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lastRenderedPageBreak/>
              <w:t>序号</w:t>
            </w:r>
          </w:p>
        </w:tc>
        <w:tc>
          <w:tcPr>
            <w:tcW w:w="2237"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对比项目</w:t>
            </w:r>
          </w:p>
        </w:tc>
        <w:tc>
          <w:tcPr>
            <w:tcW w:w="976"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同品种产品</w:t>
            </w:r>
          </w:p>
        </w:tc>
        <w:tc>
          <w:tcPr>
            <w:tcW w:w="697"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申报产品</w:t>
            </w:r>
          </w:p>
        </w:tc>
        <w:tc>
          <w:tcPr>
            <w:tcW w:w="78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相同性</w:t>
            </w:r>
          </w:p>
        </w:tc>
        <w:tc>
          <w:tcPr>
            <w:tcW w:w="76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差异性</w:t>
            </w:r>
          </w:p>
        </w:tc>
        <w:tc>
          <w:tcPr>
            <w:tcW w:w="1278"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支持性资料概述</w:t>
            </w:r>
          </w:p>
        </w:tc>
      </w:tr>
      <w:tr w:rsidR="004C0056">
        <w:trPr>
          <w:trHeight w:val="493"/>
          <w:jc w:val="center"/>
        </w:trPr>
        <w:tc>
          <w:tcPr>
            <w:tcW w:w="1899" w:type="dxa"/>
            <w:gridSpan w:val="2"/>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2237"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76"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697"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8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6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1278"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r>
      <w:tr w:rsidR="004C0056">
        <w:trPr>
          <w:trHeight w:val="90"/>
          <w:jc w:val="center"/>
        </w:trPr>
        <w:tc>
          <w:tcPr>
            <w:tcW w:w="1269" w:type="dxa"/>
            <w:vMerge w:val="restart"/>
            <w:tcBorders>
              <w:top w:val="nil"/>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性能要求</w:t>
            </w:r>
          </w:p>
        </w:tc>
        <w:tc>
          <w:tcPr>
            <w:tcW w:w="63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4.1</w:t>
            </w:r>
          </w:p>
        </w:tc>
        <w:tc>
          <w:tcPr>
            <w:tcW w:w="223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性能参数</w:t>
            </w:r>
            <w:r>
              <w:rPr>
                <w:sz w:val="24"/>
                <w:vertAlign w:val="superscript"/>
                <w:lang w:bidi="ar"/>
              </w:rPr>
              <w:t>a</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69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325"/>
          <w:jc w:val="center"/>
        </w:trPr>
        <w:tc>
          <w:tcPr>
            <w:tcW w:w="126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63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4.2</w:t>
            </w:r>
          </w:p>
        </w:tc>
        <w:tc>
          <w:tcPr>
            <w:tcW w:w="223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功能参数</w:t>
            </w:r>
            <w:r>
              <w:rPr>
                <w:sz w:val="24"/>
                <w:vertAlign w:val="superscript"/>
                <w:lang w:bidi="ar"/>
              </w:rPr>
              <w:t>b</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69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339"/>
          <w:jc w:val="center"/>
        </w:trPr>
        <w:tc>
          <w:tcPr>
            <w:tcW w:w="126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63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4.3</w:t>
            </w:r>
          </w:p>
        </w:tc>
        <w:tc>
          <w:tcPr>
            <w:tcW w:w="223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sz w:val="24"/>
                <w:lang w:bidi="ar"/>
              </w:rPr>
              <w:t>反应模式及用时</w:t>
            </w:r>
            <w:r>
              <w:rPr>
                <w:sz w:val="24"/>
                <w:vertAlign w:val="superscript"/>
                <w:lang w:bidi="ar"/>
              </w:rPr>
              <w:t>c</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69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325"/>
          <w:jc w:val="center"/>
        </w:trPr>
        <w:tc>
          <w:tcPr>
            <w:tcW w:w="126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63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kern w:val="0"/>
                <w:sz w:val="24"/>
              </w:rPr>
            </w:pPr>
          </w:p>
        </w:tc>
        <w:tc>
          <w:tcPr>
            <w:tcW w:w="223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sz w:val="24"/>
              </w:rPr>
            </w:pPr>
            <w:r>
              <w:rPr>
                <w:sz w:val="24"/>
                <w:lang w:bidi="ar"/>
              </w:rPr>
              <w:t>...</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69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7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bl>
    <w:p w:rsidR="004C0056" w:rsidRDefault="004C0056">
      <w:pPr>
        <w:autoSpaceDE w:val="0"/>
        <w:autoSpaceDN w:val="0"/>
        <w:adjustRightInd w:val="0"/>
        <w:spacing w:line="520" w:lineRule="exact"/>
        <w:ind w:firstLineChars="200" w:firstLine="640"/>
        <w:rPr>
          <w:rFonts w:eastAsia="仿宋_GB2312"/>
          <w:color w:val="000000"/>
          <w:szCs w:val="32"/>
          <w:lang w:bidi="ar"/>
        </w:rPr>
      </w:pPr>
    </w:p>
    <w:p w:rsidR="004C0056" w:rsidRDefault="005517AF">
      <w:pPr>
        <w:autoSpaceDE w:val="0"/>
        <w:autoSpaceDN w:val="0"/>
        <w:adjustRightInd w:val="0"/>
        <w:spacing w:line="560" w:lineRule="exact"/>
        <w:ind w:firstLineChars="200" w:firstLine="640"/>
        <w:rPr>
          <w:rFonts w:eastAsia="仿宋_GB2312"/>
          <w:color w:val="000000"/>
          <w:szCs w:val="32"/>
        </w:rPr>
      </w:pPr>
      <w:r>
        <w:rPr>
          <w:rFonts w:eastAsia="仿宋_GB2312"/>
          <w:color w:val="000000"/>
          <w:szCs w:val="32"/>
          <w:lang w:bidi="ar"/>
        </w:rPr>
        <w:t>a</w:t>
      </w:r>
      <w:r>
        <w:rPr>
          <w:rFonts w:eastAsia="仿宋_GB2312"/>
          <w:color w:val="000000"/>
          <w:szCs w:val="32"/>
          <w:lang w:bidi="ar"/>
        </w:rPr>
        <w:t>性能参数应包括不同模块的具体参数比较。</w:t>
      </w:r>
    </w:p>
    <w:p w:rsidR="004C0056" w:rsidRDefault="005517AF">
      <w:pPr>
        <w:autoSpaceDE w:val="0"/>
        <w:autoSpaceDN w:val="0"/>
        <w:adjustRightInd w:val="0"/>
        <w:spacing w:line="560" w:lineRule="exact"/>
        <w:ind w:firstLineChars="200" w:firstLine="640"/>
        <w:rPr>
          <w:rFonts w:eastAsia="仿宋_GB2312"/>
          <w:color w:val="000000"/>
          <w:szCs w:val="32"/>
        </w:rPr>
      </w:pPr>
      <w:r>
        <w:rPr>
          <w:rFonts w:eastAsia="仿宋_GB2312"/>
          <w:color w:val="000000"/>
          <w:szCs w:val="32"/>
          <w:lang w:bidi="ar"/>
        </w:rPr>
        <w:t>b</w:t>
      </w:r>
      <w:r>
        <w:rPr>
          <w:rFonts w:eastAsia="仿宋_GB2312"/>
          <w:color w:val="000000"/>
          <w:szCs w:val="32"/>
          <w:lang w:bidi="ar"/>
        </w:rPr>
        <w:t>功能参数应包括最大数据量</w:t>
      </w:r>
      <w:r>
        <w:rPr>
          <w:rFonts w:eastAsia="仿宋_GB2312"/>
          <w:color w:val="000000"/>
          <w:szCs w:val="32"/>
          <w:lang w:bidi="ar"/>
        </w:rPr>
        <w:t>/run</w:t>
      </w:r>
      <w:r>
        <w:rPr>
          <w:rFonts w:eastAsia="仿宋_GB2312"/>
          <w:color w:val="000000"/>
          <w:szCs w:val="32"/>
          <w:lang w:bidi="ar"/>
        </w:rPr>
        <w:t>，最大</w:t>
      </w:r>
      <w:r>
        <w:rPr>
          <w:rFonts w:eastAsia="仿宋_GB2312"/>
          <w:color w:val="000000"/>
          <w:szCs w:val="32"/>
          <w:lang w:bidi="ar"/>
        </w:rPr>
        <w:t>reads</w:t>
      </w:r>
      <w:r>
        <w:rPr>
          <w:rFonts w:eastAsia="仿宋_GB2312"/>
          <w:color w:val="000000"/>
          <w:szCs w:val="32"/>
          <w:lang w:bidi="ar"/>
        </w:rPr>
        <w:t>长度，平均读长（带有质量参数的读长），突变类型以及人与病原体的检测性能（包括适用样本类型，变异类型，检测核酸样本类型的比较），并对数据质量进行充分评价。应包括一定数据量的情况下有效数据量和数据质量，以及可稳定检测的最大循环数比较。</w:t>
      </w:r>
    </w:p>
    <w:p w:rsidR="004C0056" w:rsidRDefault="005517AF">
      <w:pPr>
        <w:autoSpaceDE w:val="0"/>
        <w:autoSpaceDN w:val="0"/>
        <w:adjustRightInd w:val="0"/>
        <w:spacing w:line="560" w:lineRule="exact"/>
        <w:ind w:firstLineChars="200" w:firstLine="640"/>
      </w:pPr>
      <w:r>
        <w:rPr>
          <w:rFonts w:eastAsia="仿宋_GB2312"/>
          <w:color w:val="000000"/>
          <w:szCs w:val="32"/>
          <w:lang w:bidi="ar"/>
        </w:rPr>
        <w:t>c</w:t>
      </w:r>
      <w:r>
        <w:rPr>
          <w:rFonts w:eastAsia="仿宋_GB2312"/>
          <w:color w:val="000000"/>
          <w:szCs w:val="32"/>
          <w:lang w:bidi="ar"/>
        </w:rPr>
        <w:t>反应模式及时间应包括所有的反应模式，如</w:t>
      </w:r>
      <w:r>
        <w:rPr>
          <w:rFonts w:eastAsia="仿宋_GB2312"/>
          <w:color w:val="000000"/>
          <w:szCs w:val="32"/>
          <w:lang w:bidi="ar"/>
        </w:rPr>
        <w:t>PE150</w:t>
      </w:r>
      <w:r>
        <w:rPr>
          <w:rFonts w:eastAsia="仿宋_GB2312"/>
          <w:color w:val="000000"/>
          <w:szCs w:val="32"/>
          <w:lang w:bidi="ar"/>
        </w:rPr>
        <w:t>，</w:t>
      </w:r>
      <w:r>
        <w:rPr>
          <w:rFonts w:eastAsia="仿宋_GB2312"/>
          <w:color w:val="000000"/>
          <w:szCs w:val="32"/>
          <w:lang w:bidi="ar"/>
        </w:rPr>
        <w:t>PE250</w:t>
      </w:r>
      <w:r>
        <w:rPr>
          <w:rFonts w:eastAsia="仿宋_GB2312"/>
          <w:color w:val="000000"/>
          <w:szCs w:val="32"/>
          <w:lang w:bidi="ar"/>
        </w:rPr>
        <w:t>，</w:t>
      </w:r>
      <w:r>
        <w:rPr>
          <w:rFonts w:eastAsia="仿宋_GB2312"/>
          <w:color w:val="000000"/>
          <w:szCs w:val="32"/>
          <w:lang w:bidi="ar"/>
        </w:rPr>
        <w:t>SE35</w:t>
      </w:r>
      <w:r>
        <w:rPr>
          <w:rFonts w:eastAsia="仿宋_GB2312"/>
          <w:color w:val="000000"/>
          <w:szCs w:val="32"/>
          <w:lang w:bidi="ar"/>
        </w:rPr>
        <w:t>等。</w:t>
      </w:r>
    </w:p>
    <w:p w:rsidR="004C0056" w:rsidRDefault="005517AF">
      <w:pPr>
        <w:pStyle w:val="21"/>
        <w:widowControl/>
        <w:spacing w:before="0" w:beforeAutospacing="0" w:after="0" w:line="560" w:lineRule="exact"/>
        <w:ind w:leftChars="0" w:left="0" w:firstLine="640"/>
        <w:rPr>
          <w:rFonts w:ascii="Times New Roman" w:eastAsia="仿宋_GB2312" w:hAnsi="Times New Roman" w:hint="default"/>
          <w:bCs w:val="0"/>
          <w:color w:val="000000"/>
          <w:sz w:val="32"/>
          <w:szCs w:val="32"/>
        </w:rPr>
      </w:pPr>
      <w:r>
        <w:rPr>
          <w:rFonts w:ascii="Times New Roman" w:eastAsia="仿宋_GB2312" w:hAnsi="Times New Roman" w:hint="default"/>
          <w:bCs w:val="0"/>
          <w:color w:val="000000"/>
          <w:sz w:val="32"/>
          <w:szCs w:val="32"/>
        </w:rPr>
        <w:t>5.</w:t>
      </w:r>
      <w:r>
        <w:rPr>
          <w:rFonts w:ascii="Times New Roman" w:eastAsia="仿宋_GB2312" w:hAnsi="Times New Roman" w:hint="default"/>
          <w:bCs w:val="0"/>
          <w:color w:val="000000"/>
          <w:sz w:val="32"/>
          <w:szCs w:val="32"/>
        </w:rPr>
        <w:t>软件核心功能及算法</w:t>
      </w:r>
    </w:p>
    <w:tbl>
      <w:tblPr>
        <w:tblW w:w="8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0"/>
        <w:gridCol w:w="891"/>
        <w:gridCol w:w="2158"/>
        <w:gridCol w:w="976"/>
        <w:gridCol w:w="707"/>
        <w:gridCol w:w="850"/>
        <w:gridCol w:w="720"/>
        <w:gridCol w:w="1238"/>
      </w:tblGrid>
      <w:tr w:rsidR="004C0056">
        <w:trPr>
          <w:trHeight w:val="333"/>
          <w:jc w:val="center"/>
        </w:trPr>
        <w:tc>
          <w:tcPr>
            <w:tcW w:w="1979" w:type="dxa"/>
            <w:gridSpan w:val="2"/>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序号</w:t>
            </w:r>
          </w:p>
        </w:tc>
        <w:tc>
          <w:tcPr>
            <w:tcW w:w="2157"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对比项目</w:t>
            </w:r>
          </w:p>
        </w:tc>
        <w:tc>
          <w:tcPr>
            <w:tcW w:w="976"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同品种产品</w:t>
            </w:r>
          </w:p>
        </w:tc>
        <w:tc>
          <w:tcPr>
            <w:tcW w:w="707"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申报产品</w:t>
            </w:r>
          </w:p>
        </w:tc>
        <w:tc>
          <w:tcPr>
            <w:tcW w:w="85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相同性</w:t>
            </w:r>
          </w:p>
        </w:tc>
        <w:tc>
          <w:tcPr>
            <w:tcW w:w="72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差异性</w:t>
            </w:r>
          </w:p>
        </w:tc>
        <w:tc>
          <w:tcPr>
            <w:tcW w:w="1238"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支持性资料概述</w:t>
            </w:r>
          </w:p>
        </w:tc>
      </w:tr>
      <w:tr w:rsidR="004C0056">
        <w:trPr>
          <w:trHeight w:val="493"/>
          <w:jc w:val="center"/>
        </w:trPr>
        <w:tc>
          <w:tcPr>
            <w:tcW w:w="1979" w:type="dxa"/>
            <w:gridSpan w:val="2"/>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2157"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76"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07"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5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2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1238"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r>
      <w:tr w:rsidR="004C0056">
        <w:trPr>
          <w:trHeight w:val="362"/>
          <w:jc w:val="center"/>
        </w:trPr>
        <w:tc>
          <w:tcPr>
            <w:tcW w:w="1089" w:type="dxa"/>
            <w:vMerge w:val="restart"/>
            <w:tcBorders>
              <w:top w:val="nil"/>
              <w:left w:val="single" w:sz="8" w:space="0" w:color="000000"/>
              <w:bottom w:val="single" w:sz="8" w:space="0" w:color="000000"/>
              <w:right w:val="single" w:sz="8" w:space="0" w:color="000000"/>
            </w:tcBorders>
            <w:vAlign w:val="center"/>
          </w:tcPr>
          <w:p w:rsidR="004C0056" w:rsidRDefault="005517AF">
            <w:pPr>
              <w:pStyle w:val="21"/>
              <w:widowControl/>
              <w:spacing w:before="0" w:beforeAutospacing="0" w:after="0"/>
              <w:ind w:leftChars="0" w:left="0" w:firstLineChars="0" w:firstLine="0"/>
              <w:jc w:val="center"/>
              <w:rPr>
                <w:rFonts w:ascii="Times New Roman" w:hAnsi="Times New Roman" w:hint="default"/>
                <w:color w:val="000000"/>
                <w:lang w:bidi="ar"/>
              </w:rPr>
            </w:pPr>
            <w:r>
              <w:rPr>
                <w:rFonts w:ascii="Times New Roman" w:hAnsi="Times New Roman" w:hint="default"/>
                <w:bCs w:val="0"/>
                <w:color w:val="000000"/>
                <w:kern w:val="0"/>
                <w:lang w:bidi="ar"/>
              </w:rPr>
              <w:t>软件核心功能及算法</w:t>
            </w: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5.1</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运行控制</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0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2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23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142"/>
          <w:jc w:val="center"/>
        </w:trPr>
        <w:tc>
          <w:tcPr>
            <w:tcW w:w="108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5.2</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状态监控</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0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2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23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108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5.3</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碱基识别和质量</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0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2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23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108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5.4</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数据质控（</w:t>
            </w:r>
            <w:r>
              <w:rPr>
                <w:sz w:val="24"/>
                <w:lang w:bidi="ar"/>
              </w:rPr>
              <w:t>参照数据库</w:t>
            </w:r>
            <w:r>
              <w:rPr>
                <w:color w:val="000000"/>
                <w:kern w:val="0"/>
                <w:sz w:val="24"/>
                <w:lang w:bidi="ar"/>
              </w:rPr>
              <w:t>）</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0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2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23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108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5.5</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pPr>
            <w:r>
              <w:rPr>
                <w:color w:val="000000"/>
                <w:kern w:val="0"/>
                <w:sz w:val="24"/>
                <w:lang w:bidi="ar"/>
              </w:rPr>
              <w:t>结果报告</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pStyle w:val="a4"/>
              <w:widowControl/>
              <w:jc w:val="center"/>
              <w:rPr>
                <w:color w:val="000000"/>
                <w:sz w:val="24"/>
                <w:lang w:bidi="ar"/>
              </w:rPr>
            </w:pPr>
          </w:p>
        </w:tc>
        <w:tc>
          <w:tcPr>
            <w:tcW w:w="70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2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23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108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5.6</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原始数据下载格式</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pStyle w:val="a4"/>
              <w:widowControl/>
              <w:jc w:val="center"/>
              <w:rPr>
                <w:color w:val="000000"/>
                <w:sz w:val="24"/>
                <w:lang w:bidi="ar"/>
              </w:rPr>
            </w:pPr>
          </w:p>
        </w:tc>
        <w:tc>
          <w:tcPr>
            <w:tcW w:w="70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2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23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289"/>
          <w:jc w:val="center"/>
        </w:trPr>
        <w:tc>
          <w:tcPr>
            <w:tcW w:w="108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kern w:val="0"/>
                <w:sz w:val="24"/>
              </w:rPr>
            </w:pP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pStyle w:val="a4"/>
              <w:widowControl/>
              <w:jc w:val="center"/>
              <w:rPr>
                <w:color w:val="000000"/>
                <w:sz w:val="24"/>
                <w:lang w:bidi="ar"/>
              </w:rPr>
            </w:pPr>
            <w:r>
              <w:rPr>
                <w:color w:val="000000"/>
                <w:kern w:val="0"/>
                <w:sz w:val="24"/>
                <w:lang w:bidi="ar"/>
              </w:rPr>
              <w:t>...</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pStyle w:val="a4"/>
              <w:widowControl/>
              <w:jc w:val="center"/>
              <w:rPr>
                <w:color w:val="000000"/>
                <w:sz w:val="24"/>
                <w:lang w:bidi="ar"/>
              </w:rPr>
            </w:pPr>
          </w:p>
        </w:tc>
        <w:tc>
          <w:tcPr>
            <w:tcW w:w="70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2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23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bl>
    <w:p w:rsidR="004C0056" w:rsidRDefault="005517AF">
      <w:pPr>
        <w:pStyle w:val="21"/>
        <w:widowControl/>
        <w:spacing w:before="0" w:beforeAutospacing="0" w:after="0"/>
        <w:ind w:leftChars="0" w:left="0"/>
        <w:rPr>
          <w:rFonts w:ascii="Times New Roman" w:hAnsi="Times New Roman" w:hint="default"/>
        </w:rPr>
      </w:pPr>
      <w:r>
        <w:rPr>
          <w:rStyle w:val="15"/>
          <w:rFonts w:ascii="Times New Roman" w:hAnsi="Times New Roman" w:cs="Times New Roman" w:hint="default"/>
        </w:rPr>
        <w:t xml:space="preserve"> </w:t>
      </w:r>
    </w:p>
    <w:p w:rsidR="004C0056" w:rsidRDefault="004C0056">
      <w:pPr>
        <w:pStyle w:val="21"/>
        <w:widowControl/>
        <w:spacing w:before="0" w:beforeAutospacing="0" w:after="0"/>
        <w:ind w:leftChars="0" w:left="0" w:firstLine="640"/>
        <w:rPr>
          <w:rFonts w:ascii="Times New Roman" w:eastAsia="仿宋_GB2312" w:hAnsi="Times New Roman" w:hint="default"/>
          <w:bCs w:val="0"/>
          <w:color w:val="000000"/>
          <w:sz w:val="32"/>
          <w:szCs w:val="32"/>
        </w:rPr>
      </w:pPr>
    </w:p>
    <w:p w:rsidR="004C0056" w:rsidRDefault="004C0056">
      <w:pPr>
        <w:pStyle w:val="21"/>
        <w:widowControl/>
        <w:spacing w:before="0" w:beforeAutospacing="0" w:after="0"/>
        <w:ind w:leftChars="0" w:left="0" w:firstLine="640"/>
        <w:rPr>
          <w:rFonts w:ascii="Times New Roman" w:eastAsia="仿宋_GB2312" w:hAnsi="Times New Roman" w:hint="default"/>
          <w:bCs w:val="0"/>
          <w:color w:val="000000"/>
          <w:sz w:val="32"/>
          <w:szCs w:val="32"/>
        </w:rPr>
      </w:pPr>
    </w:p>
    <w:p w:rsidR="004C0056" w:rsidRDefault="005517AF">
      <w:pPr>
        <w:pStyle w:val="21"/>
        <w:widowControl/>
        <w:spacing w:before="0" w:beforeAutospacing="0" w:after="0"/>
        <w:ind w:leftChars="0" w:left="0" w:firstLine="640"/>
        <w:rPr>
          <w:rFonts w:ascii="Times New Roman" w:eastAsia="仿宋_GB2312" w:hAnsi="Times New Roman" w:hint="default"/>
          <w:bCs w:val="0"/>
          <w:color w:val="000000"/>
          <w:sz w:val="32"/>
          <w:szCs w:val="32"/>
        </w:rPr>
      </w:pPr>
      <w:r>
        <w:rPr>
          <w:rFonts w:ascii="Times New Roman" w:eastAsia="仿宋_GB2312" w:hAnsi="Times New Roman" w:hint="default"/>
          <w:bCs w:val="0"/>
          <w:color w:val="000000"/>
          <w:sz w:val="32"/>
          <w:szCs w:val="32"/>
        </w:rPr>
        <w:lastRenderedPageBreak/>
        <w:t>6.</w:t>
      </w:r>
      <w:r>
        <w:rPr>
          <w:rFonts w:ascii="Times New Roman" w:eastAsia="仿宋_GB2312" w:hAnsi="Times New Roman" w:hint="default"/>
          <w:bCs w:val="0"/>
          <w:color w:val="000000"/>
          <w:sz w:val="32"/>
          <w:szCs w:val="32"/>
        </w:rPr>
        <w:t>配套要求</w:t>
      </w:r>
    </w:p>
    <w:tbl>
      <w:tblPr>
        <w:tblW w:w="8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80"/>
        <w:gridCol w:w="891"/>
        <w:gridCol w:w="2468"/>
        <w:gridCol w:w="976"/>
        <w:gridCol w:w="767"/>
        <w:gridCol w:w="750"/>
        <w:gridCol w:w="770"/>
        <w:gridCol w:w="1228"/>
      </w:tblGrid>
      <w:tr w:rsidR="004C0056">
        <w:trPr>
          <w:trHeight w:val="333"/>
          <w:jc w:val="center"/>
        </w:trPr>
        <w:tc>
          <w:tcPr>
            <w:tcW w:w="1669" w:type="dxa"/>
            <w:gridSpan w:val="2"/>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序号</w:t>
            </w:r>
          </w:p>
        </w:tc>
        <w:tc>
          <w:tcPr>
            <w:tcW w:w="2467"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对比项目</w:t>
            </w:r>
          </w:p>
        </w:tc>
        <w:tc>
          <w:tcPr>
            <w:tcW w:w="976"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同品种产品</w:t>
            </w:r>
          </w:p>
        </w:tc>
        <w:tc>
          <w:tcPr>
            <w:tcW w:w="767"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申报产品</w:t>
            </w:r>
          </w:p>
        </w:tc>
        <w:tc>
          <w:tcPr>
            <w:tcW w:w="75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相同性</w:t>
            </w:r>
          </w:p>
        </w:tc>
        <w:tc>
          <w:tcPr>
            <w:tcW w:w="770"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差异性</w:t>
            </w:r>
          </w:p>
        </w:tc>
        <w:tc>
          <w:tcPr>
            <w:tcW w:w="1228" w:type="dxa"/>
            <w:vMerge w:val="restart"/>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支持性资料概述</w:t>
            </w:r>
          </w:p>
        </w:tc>
      </w:tr>
      <w:tr w:rsidR="004C0056">
        <w:trPr>
          <w:trHeight w:val="493"/>
          <w:jc w:val="center"/>
        </w:trPr>
        <w:tc>
          <w:tcPr>
            <w:tcW w:w="1669" w:type="dxa"/>
            <w:gridSpan w:val="2"/>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2467"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976"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67"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5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770"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1228" w:type="dxa"/>
            <w:vMerge/>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szCs w:val="22"/>
              </w:rPr>
            </w:pPr>
          </w:p>
        </w:tc>
      </w:tr>
      <w:tr w:rsidR="004C0056">
        <w:trPr>
          <w:trHeight w:val="349"/>
          <w:jc w:val="center"/>
        </w:trPr>
        <w:tc>
          <w:tcPr>
            <w:tcW w:w="779" w:type="dxa"/>
            <w:vMerge w:val="restart"/>
            <w:tcBorders>
              <w:top w:val="nil"/>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配套要求</w:t>
            </w: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6.1</w:t>
            </w:r>
          </w:p>
        </w:tc>
        <w:tc>
          <w:tcPr>
            <w:tcW w:w="2467" w:type="dxa"/>
            <w:tcBorders>
              <w:top w:val="single" w:sz="8" w:space="0" w:color="000000"/>
              <w:left w:val="single" w:sz="8" w:space="0" w:color="000000"/>
              <w:bottom w:val="single" w:sz="8" w:space="0" w:color="000000"/>
              <w:right w:val="single" w:sz="8" w:space="0" w:color="000000"/>
            </w:tcBorders>
            <w:vAlign w:val="center"/>
          </w:tcPr>
          <w:p w:rsidR="004C0056" w:rsidRDefault="005517AF">
            <w:pPr>
              <w:pStyle w:val="af7"/>
              <w:widowControl/>
              <w:spacing w:before="0" w:beforeAutospacing="0" w:after="0" w:afterAutospacing="0"/>
              <w:jc w:val="center"/>
              <w:rPr>
                <w:rFonts w:ascii="Times New Roman" w:hAnsi="Times New Roman" w:hint="default"/>
              </w:rPr>
            </w:pPr>
            <w:r>
              <w:rPr>
                <w:rFonts w:ascii="Times New Roman" w:hAnsi="Times New Roman" w:hint="default"/>
              </w:rPr>
              <w:t>上机文库质量要求</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90"/>
          <w:jc w:val="center"/>
        </w:trPr>
        <w:tc>
          <w:tcPr>
            <w:tcW w:w="77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6.2</w:t>
            </w:r>
          </w:p>
        </w:tc>
        <w:tc>
          <w:tcPr>
            <w:tcW w:w="246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sz w:val="24"/>
                <w:lang w:bidi="ar"/>
              </w:rPr>
              <w:t>样本来源（</w:t>
            </w:r>
            <w:r>
              <w:rPr>
                <w:color w:val="000000"/>
                <w:kern w:val="0"/>
                <w:sz w:val="24"/>
                <w:lang w:bidi="ar"/>
              </w:rPr>
              <w:t>样本类型</w:t>
            </w:r>
            <w:r>
              <w:rPr>
                <w:sz w:val="24"/>
                <w:lang w:bidi="ar"/>
              </w:rPr>
              <w:t>）和处理（包括片段化、定向扩增、定向捕获或纯化等）</w:t>
            </w:r>
            <w:r>
              <w:rPr>
                <w:sz w:val="24"/>
                <w:vertAlign w:val="superscript"/>
                <w:lang w:bidi="ar"/>
              </w:rPr>
              <w:t>a</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90"/>
          <w:jc w:val="center"/>
        </w:trPr>
        <w:tc>
          <w:tcPr>
            <w:tcW w:w="77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6.3</w:t>
            </w:r>
          </w:p>
        </w:tc>
        <w:tc>
          <w:tcPr>
            <w:tcW w:w="246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配套使用的测序通用试剂要求</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90"/>
          <w:jc w:val="center"/>
        </w:trPr>
        <w:tc>
          <w:tcPr>
            <w:tcW w:w="779" w:type="dxa"/>
            <w:vMerge/>
            <w:tcBorders>
              <w:top w:val="nil"/>
              <w:left w:val="single" w:sz="8" w:space="0" w:color="000000"/>
              <w:bottom w:val="single" w:sz="8" w:space="0" w:color="000000"/>
              <w:right w:val="single" w:sz="8" w:space="0" w:color="000000"/>
            </w:tcBorders>
            <w:vAlign w:val="center"/>
          </w:tcPr>
          <w:p w:rsidR="004C0056" w:rsidRDefault="004C0056">
            <w:pPr>
              <w:jc w:val="center"/>
              <w:rPr>
                <w:szCs w:val="22"/>
              </w:rPr>
            </w:pPr>
          </w:p>
        </w:tc>
        <w:tc>
          <w:tcPr>
            <w:tcW w:w="89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kern w:val="0"/>
                <w:sz w:val="24"/>
              </w:rPr>
            </w:pPr>
          </w:p>
        </w:tc>
        <w:tc>
          <w:tcPr>
            <w:tcW w:w="246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5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bl>
    <w:p w:rsidR="004C0056" w:rsidRDefault="004C0056">
      <w:pPr>
        <w:widowControl/>
        <w:autoSpaceDE w:val="0"/>
        <w:autoSpaceDN w:val="0"/>
        <w:adjustRightInd w:val="0"/>
        <w:spacing w:line="520" w:lineRule="exact"/>
        <w:ind w:firstLineChars="200" w:firstLine="640"/>
        <w:rPr>
          <w:rFonts w:eastAsia="仿宋_GB2312"/>
          <w:color w:val="000000"/>
          <w:szCs w:val="32"/>
          <w:lang w:bidi="ar"/>
        </w:rPr>
      </w:pPr>
    </w:p>
    <w:p w:rsidR="004C0056" w:rsidRDefault="005517AF">
      <w:pPr>
        <w:widowControl/>
        <w:autoSpaceDE w:val="0"/>
        <w:autoSpaceDN w:val="0"/>
        <w:adjustRightInd w:val="0"/>
        <w:spacing w:line="520" w:lineRule="exact"/>
        <w:ind w:firstLineChars="200" w:firstLine="640"/>
      </w:pPr>
      <w:r>
        <w:rPr>
          <w:rFonts w:eastAsia="仿宋_GB2312"/>
          <w:color w:val="000000"/>
          <w:szCs w:val="32"/>
          <w:lang w:bidi="ar"/>
        </w:rPr>
        <w:t>a</w:t>
      </w:r>
      <w:r>
        <w:rPr>
          <w:rFonts w:eastAsia="仿宋_GB2312"/>
          <w:color w:val="000000"/>
          <w:szCs w:val="32"/>
          <w:lang w:bidi="ar"/>
        </w:rPr>
        <w:t>样本类型通常包括血清、全血、组织、</w:t>
      </w:r>
      <w:r>
        <w:rPr>
          <w:rFonts w:eastAsia="仿宋_GB2312"/>
          <w:color w:val="000000"/>
          <w:szCs w:val="32"/>
          <w:lang w:bidi="ar"/>
        </w:rPr>
        <w:t>FFPE</w:t>
      </w:r>
      <w:r>
        <w:rPr>
          <w:rFonts w:eastAsia="仿宋_GB2312"/>
          <w:color w:val="000000"/>
          <w:szCs w:val="32"/>
          <w:lang w:bidi="ar"/>
        </w:rPr>
        <w:t>及其他含有人类以及各种病原体的核酸的样本类型等，可采用代表性样本类型（根据样本中基因组特征）。</w:t>
      </w:r>
    </w:p>
    <w:p w:rsidR="004C0056" w:rsidRDefault="005517AF">
      <w:pPr>
        <w:pStyle w:val="21"/>
        <w:widowControl/>
        <w:spacing w:before="0" w:beforeAutospacing="0" w:after="0"/>
        <w:ind w:leftChars="0" w:left="0" w:firstLine="640"/>
        <w:rPr>
          <w:rFonts w:ascii="Times New Roman" w:eastAsia="仿宋_GB2312" w:hAnsi="Times New Roman" w:hint="default"/>
          <w:bCs w:val="0"/>
          <w:sz w:val="32"/>
          <w:szCs w:val="32"/>
        </w:rPr>
      </w:pPr>
      <w:r>
        <w:rPr>
          <w:rFonts w:ascii="Times New Roman" w:eastAsia="仿宋_GB2312" w:hAnsi="Times New Roman" w:hint="default"/>
          <w:bCs w:val="0"/>
          <w:color w:val="000000"/>
          <w:sz w:val="32"/>
          <w:szCs w:val="32"/>
        </w:rPr>
        <w:t>7.</w:t>
      </w:r>
      <w:r>
        <w:rPr>
          <w:rFonts w:ascii="Times New Roman" w:eastAsia="仿宋_GB2312" w:hAnsi="Times New Roman" w:hint="default"/>
          <w:bCs w:val="0"/>
          <w:color w:val="000000"/>
          <w:sz w:val="32"/>
          <w:szCs w:val="32"/>
        </w:rPr>
        <w:t>安全性评价</w:t>
      </w:r>
    </w:p>
    <w:tbl>
      <w:tblPr>
        <w:tblW w:w="8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78"/>
        <w:gridCol w:w="603"/>
        <w:gridCol w:w="2158"/>
        <w:gridCol w:w="976"/>
        <w:gridCol w:w="698"/>
        <w:gridCol w:w="760"/>
        <w:gridCol w:w="780"/>
        <w:gridCol w:w="1277"/>
      </w:tblGrid>
      <w:tr w:rsidR="004C0056">
        <w:trPr>
          <w:trHeight w:val="397"/>
          <w:jc w:val="center"/>
        </w:trPr>
        <w:tc>
          <w:tcPr>
            <w:tcW w:w="1979" w:type="dxa"/>
            <w:gridSpan w:val="2"/>
            <w:tcBorders>
              <w:top w:val="single" w:sz="8" w:space="0" w:color="000000"/>
              <w:left w:val="single" w:sz="8" w:space="0" w:color="000000"/>
              <w:bottom w:val="single" w:sz="8" w:space="0" w:color="000000"/>
              <w:right w:val="single" w:sz="8" w:space="0" w:color="000000"/>
            </w:tcBorders>
            <w:noWrap/>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序号</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对比项目</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同品种产品</w:t>
            </w:r>
          </w:p>
        </w:tc>
        <w:tc>
          <w:tcPr>
            <w:tcW w:w="698"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申报产品</w:t>
            </w: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相同性</w:t>
            </w: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差异性</w:t>
            </w:r>
          </w:p>
        </w:tc>
        <w:tc>
          <w:tcPr>
            <w:tcW w:w="127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支持性资料概述</w:t>
            </w:r>
          </w:p>
        </w:tc>
      </w:tr>
      <w:tr w:rsidR="004C0056">
        <w:trPr>
          <w:trHeight w:val="397"/>
          <w:jc w:val="center"/>
        </w:trPr>
        <w:tc>
          <w:tcPr>
            <w:tcW w:w="1377" w:type="dxa"/>
            <w:vMerge w:val="restart"/>
            <w:tcBorders>
              <w:top w:val="nil"/>
              <w:left w:val="single" w:sz="8" w:space="0" w:color="000000"/>
              <w:bottom w:val="single" w:sz="8" w:space="0" w:color="000000"/>
              <w:right w:val="single" w:sz="8" w:space="0" w:color="000000"/>
            </w:tcBorders>
            <w:noWrap/>
            <w:vAlign w:val="center"/>
          </w:tcPr>
          <w:p w:rsidR="004C0056" w:rsidRDefault="005517AF">
            <w:pPr>
              <w:widowControl/>
              <w:jc w:val="center"/>
              <w:textAlignment w:val="center"/>
              <w:rPr>
                <w:sz w:val="24"/>
              </w:rPr>
            </w:pPr>
            <w:r>
              <w:rPr>
                <w:rStyle w:val="15"/>
                <w:rFonts w:ascii="Times New Roman" w:hAnsi="Times New Roman" w:cs="Times New Roman" w:hint="default"/>
                <w:lang w:bidi="ar"/>
              </w:rPr>
              <w:t>安全性</w:t>
            </w:r>
          </w:p>
          <w:p w:rsidR="004C0056" w:rsidRDefault="005517AF">
            <w:pPr>
              <w:widowControl/>
              <w:jc w:val="center"/>
              <w:textAlignment w:val="center"/>
            </w:pPr>
            <w:r>
              <w:rPr>
                <w:rStyle w:val="15"/>
                <w:rFonts w:ascii="Times New Roman" w:hAnsi="Times New Roman" w:cs="Times New Roman" w:hint="default"/>
                <w:lang w:bidi="ar"/>
              </w:rPr>
              <w:t>评价</w:t>
            </w:r>
          </w:p>
        </w:tc>
        <w:tc>
          <w:tcPr>
            <w:tcW w:w="602"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7.1</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通用电气安全</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69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7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315"/>
          <w:jc w:val="center"/>
        </w:trPr>
        <w:tc>
          <w:tcPr>
            <w:tcW w:w="1377" w:type="dxa"/>
            <w:vMerge/>
            <w:tcBorders>
              <w:top w:val="nil"/>
              <w:left w:val="single" w:sz="8" w:space="0" w:color="000000"/>
              <w:bottom w:val="single" w:sz="8" w:space="0" w:color="000000"/>
              <w:right w:val="single" w:sz="8" w:space="0" w:color="000000"/>
            </w:tcBorders>
            <w:noWrap/>
            <w:vAlign w:val="center"/>
          </w:tcPr>
          <w:p w:rsidR="004C0056" w:rsidRDefault="004C0056">
            <w:pPr>
              <w:jc w:val="center"/>
              <w:rPr>
                <w:szCs w:val="22"/>
              </w:rPr>
            </w:pPr>
          </w:p>
        </w:tc>
        <w:tc>
          <w:tcPr>
            <w:tcW w:w="602"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7.2</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专用安全</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69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7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335"/>
          <w:jc w:val="center"/>
        </w:trPr>
        <w:tc>
          <w:tcPr>
            <w:tcW w:w="1377" w:type="dxa"/>
            <w:vMerge/>
            <w:tcBorders>
              <w:top w:val="nil"/>
              <w:left w:val="single" w:sz="8" w:space="0" w:color="000000"/>
              <w:bottom w:val="single" w:sz="8" w:space="0" w:color="000000"/>
              <w:right w:val="single" w:sz="8" w:space="0" w:color="000000"/>
            </w:tcBorders>
            <w:noWrap/>
            <w:vAlign w:val="center"/>
          </w:tcPr>
          <w:p w:rsidR="004C0056" w:rsidRDefault="004C0056">
            <w:pPr>
              <w:jc w:val="center"/>
              <w:rPr>
                <w:szCs w:val="22"/>
              </w:rPr>
            </w:pPr>
          </w:p>
        </w:tc>
        <w:tc>
          <w:tcPr>
            <w:tcW w:w="602"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7.3</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网络安全</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69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6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7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bl>
    <w:p w:rsidR="004C0056" w:rsidRDefault="004C0056">
      <w:pPr>
        <w:pStyle w:val="21"/>
        <w:widowControl/>
        <w:spacing w:before="0" w:beforeAutospacing="0" w:after="0"/>
        <w:ind w:leftChars="0" w:left="0" w:firstLine="640"/>
        <w:rPr>
          <w:rFonts w:ascii="Times New Roman" w:eastAsia="仿宋_GB2312" w:hAnsi="Times New Roman" w:hint="default"/>
          <w:bCs w:val="0"/>
          <w:color w:val="000000"/>
          <w:sz w:val="32"/>
          <w:szCs w:val="32"/>
        </w:rPr>
      </w:pPr>
    </w:p>
    <w:p w:rsidR="004C0056" w:rsidRDefault="005517AF">
      <w:pPr>
        <w:pStyle w:val="21"/>
        <w:widowControl/>
        <w:spacing w:before="0" w:beforeAutospacing="0" w:after="0"/>
        <w:ind w:leftChars="0" w:left="0" w:firstLine="640"/>
        <w:rPr>
          <w:rFonts w:ascii="Times New Roman" w:eastAsia="仿宋_GB2312" w:hAnsi="Times New Roman" w:hint="default"/>
          <w:bCs w:val="0"/>
          <w:sz w:val="32"/>
          <w:szCs w:val="32"/>
        </w:rPr>
      </w:pPr>
      <w:r>
        <w:rPr>
          <w:rFonts w:ascii="Times New Roman" w:eastAsia="仿宋_GB2312" w:hAnsi="Times New Roman" w:hint="default"/>
          <w:bCs w:val="0"/>
          <w:color w:val="000000"/>
          <w:sz w:val="32"/>
          <w:szCs w:val="32"/>
        </w:rPr>
        <w:t>8.</w:t>
      </w:r>
      <w:r>
        <w:rPr>
          <w:rFonts w:ascii="Times New Roman" w:eastAsia="仿宋_GB2312" w:hAnsi="Times New Roman" w:hint="default"/>
          <w:bCs w:val="0"/>
          <w:color w:val="000000"/>
          <w:sz w:val="32"/>
          <w:szCs w:val="32"/>
        </w:rPr>
        <w:t>其他</w:t>
      </w:r>
    </w:p>
    <w:tbl>
      <w:tblPr>
        <w:tblW w:w="8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981"/>
        <w:gridCol w:w="2158"/>
        <w:gridCol w:w="976"/>
        <w:gridCol w:w="737"/>
        <w:gridCol w:w="770"/>
        <w:gridCol w:w="780"/>
        <w:gridCol w:w="1228"/>
      </w:tblGrid>
      <w:tr w:rsidR="004C0056">
        <w:trPr>
          <w:trHeight w:val="165"/>
          <w:jc w:val="center"/>
        </w:trPr>
        <w:tc>
          <w:tcPr>
            <w:tcW w:w="1979"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kern w:val="0"/>
                <w:sz w:val="24"/>
              </w:rPr>
            </w:pPr>
            <w:r>
              <w:rPr>
                <w:rFonts w:eastAsia="黑体"/>
                <w:color w:val="000000"/>
                <w:kern w:val="0"/>
                <w:sz w:val="24"/>
                <w:lang w:bidi="ar"/>
              </w:rPr>
              <w:t>序号</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sz w:val="24"/>
              </w:rPr>
            </w:pPr>
            <w:r>
              <w:rPr>
                <w:rFonts w:eastAsia="黑体"/>
                <w:color w:val="000000"/>
                <w:kern w:val="0"/>
                <w:sz w:val="24"/>
                <w:lang w:bidi="ar"/>
              </w:rPr>
              <w:t>对比项目</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sz w:val="24"/>
              </w:rPr>
            </w:pPr>
            <w:r>
              <w:rPr>
                <w:rFonts w:eastAsia="黑体"/>
                <w:color w:val="000000"/>
                <w:kern w:val="0"/>
                <w:sz w:val="24"/>
                <w:lang w:bidi="ar"/>
              </w:rPr>
              <w:t>同品种产品</w:t>
            </w:r>
          </w:p>
        </w:tc>
        <w:tc>
          <w:tcPr>
            <w:tcW w:w="73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sz w:val="24"/>
              </w:rPr>
            </w:pPr>
            <w:r>
              <w:rPr>
                <w:rFonts w:eastAsia="黑体"/>
                <w:color w:val="000000"/>
                <w:kern w:val="0"/>
                <w:sz w:val="24"/>
                <w:lang w:bidi="ar"/>
              </w:rPr>
              <w:t>申报产品</w:t>
            </w: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sz w:val="24"/>
              </w:rPr>
            </w:pPr>
            <w:r>
              <w:rPr>
                <w:rFonts w:eastAsia="黑体"/>
                <w:color w:val="000000"/>
                <w:kern w:val="0"/>
                <w:sz w:val="24"/>
                <w:lang w:bidi="ar"/>
              </w:rPr>
              <w:t>相同性</w:t>
            </w: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sz w:val="24"/>
              </w:rPr>
            </w:pPr>
            <w:r>
              <w:rPr>
                <w:rFonts w:eastAsia="黑体"/>
                <w:color w:val="000000"/>
                <w:kern w:val="0"/>
                <w:sz w:val="24"/>
                <w:lang w:bidi="ar"/>
              </w:rPr>
              <w:t>差异性</w:t>
            </w: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rFonts w:eastAsia="黑体"/>
                <w:color w:val="000000"/>
                <w:sz w:val="24"/>
              </w:rPr>
            </w:pPr>
            <w:r>
              <w:rPr>
                <w:rFonts w:eastAsia="黑体"/>
                <w:color w:val="000000"/>
                <w:kern w:val="0"/>
                <w:sz w:val="24"/>
                <w:lang w:bidi="ar"/>
              </w:rPr>
              <w:t>支持性资料概述</w:t>
            </w:r>
          </w:p>
        </w:tc>
      </w:tr>
      <w:tr w:rsidR="004C0056">
        <w:trPr>
          <w:trHeight w:val="96"/>
          <w:jc w:val="center"/>
        </w:trPr>
        <w:tc>
          <w:tcPr>
            <w:tcW w:w="1979"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8</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标签</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40"/>
          <w:jc w:val="center"/>
        </w:trPr>
        <w:tc>
          <w:tcPr>
            <w:tcW w:w="1979"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9</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产品说明书</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r>
      <w:tr w:rsidR="004C0056">
        <w:trPr>
          <w:trHeight w:val="90"/>
          <w:jc w:val="center"/>
        </w:trPr>
        <w:tc>
          <w:tcPr>
            <w:tcW w:w="1979"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10</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禁忌证</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223"/>
          <w:jc w:val="center"/>
        </w:trPr>
        <w:tc>
          <w:tcPr>
            <w:tcW w:w="1979"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11</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sz w:val="24"/>
              </w:rPr>
            </w:pPr>
            <w:r>
              <w:rPr>
                <w:color w:val="000000"/>
                <w:kern w:val="0"/>
                <w:sz w:val="24"/>
                <w:lang w:bidi="ar"/>
              </w:rPr>
              <w:t>防范措施和警告</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532"/>
          <w:jc w:val="center"/>
        </w:trPr>
        <w:tc>
          <w:tcPr>
            <w:tcW w:w="1979"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12</w:t>
            </w: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产品符合的国家</w:t>
            </w:r>
            <w:r>
              <w:rPr>
                <w:color w:val="000000"/>
                <w:kern w:val="0"/>
                <w:sz w:val="24"/>
                <w:lang w:bidi="ar"/>
              </w:rPr>
              <w:t>/</w:t>
            </w:r>
            <w:r>
              <w:rPr>
                <w:color w:val="000000"/>
                <w:kern w:val="0"/>
                <w:sz w:val="24"/>
                <w:lang w:bidi="ar"/>
              </w:rPr>
              <w:t>行业标准</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r w:rsidR="004C0056">
        <w:trPr>
          <w:trHeight w:val="312"/>
          <w:jc w:val="center"/>
        </w:trPr>
        <w:tc>
          <w:tcPr>
            <w:tcW w:w="1979"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kern w:val="0"/>
                <w:sz w:val="24"/>
              </w:rPr>
            </w:pPr>
          </w:p>
        </w:tc>
        <w:tc>
          <w:tcPr>
            <w:tcW w:w="2157" w:type="dxa"/>
            <w:tcBorders>
              <w:top w:val="single" w:sz="8" w:space="0" w:color="000000"/>
              <w:left w:val="single" w:sz="8" w:space="0" w:color="000000"/>
              <w:bottom w:val="single" w:sz="8" w:space="0" w:color="000000"/>
              <w:right w:val="single" w:sz="8" w:space="0" w:color="000000"/>
            </w:tcBorders>
            <w:vAlign w:val="center"/>
          </w:tcPr>
          <w:p w:rsidR="004C0056" w:rsidRDefault="005517AF">
            <w:pPr>
              <w:widowControl/>
              <w:jc w:val="center"/>
              <w:textAlignment w:val="center"/>
              <w:rPr>
                <w:color w:val="000000"/>
                <w:kern w:val="0"/>
                <w:sz w:val="24"/>
              </w:rPr>
            </w:pPr>
            <w:r>
              <w:rPr>
                <w:color w:val="000000"/>
                <w:kern w:val="0"/>
                <w:sz w:val="24"/>
                <w:lang w:bidi="ar"/>
              </w:rPr>
              <w:t>...</w:t>
            </w:r>
          </w:p>
        </w:tc>
        <w:tc>
          <w:tcPr>
            <w:tcW w:w="976" w:type="dxa"/>
            <w:tcBorders>
              <w:top w:val="single" w:sz="8" w:space="0" w:color="000000"/>
              <w:left w:val="single" w:sz="8" w:space="0" w:color="000000"/>
              <w:bottom w:val="single" w:sz="8" w:space="0" w:color="000000"/>
              <w:right w:val="single" w:sz="8" w:space="0" w:color="000000"/>
            </w:tcBorders>
            <w:vAlign w:val="center"/>
          </w:tcPr>
          <w:p w:rsidR="004C0056" w:rsidRDefault="004C0056">
            <w:pPr>
              <w:widowControl/>
              <w:jc w:val="center"/>
              <w:textAlignment w:val="center"/>
              <w:rPr>
                <w:color w:val="000000"/>
                <w:sz w:val="24"/>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7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780"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c>
          <w:tcPr>
            <w:tcW w:w="1228" w:type="dxa"/>
            <w:tcBorders>
              <w:top w:val="single" w:sz="8" w:space="0" w:color="000000"/>
              <w:left w:val="single" w:sz="8" w:space="0" w:color="000000"/>
              <w:bottom w:val="single" w:sz="8" w:space="0" w:color="000000"/>
              <w:right w:val="single" w:sz="8" w:space="0" w:color="000000"/>
            </w:tcBorders>
            <w:vAlign w:val="center"/>
          </w:tcPr>
          <w:p w:rsidR="004C0056" w:rsidRDefault="004C0056">
            <w:pPr>
              <w:jc w:val="center"/>
              <w:rPr>
                <w:color w:val="000000"/>
                <w:sz w:val="24"/>
              </w:rPr>
            </w:pPr>
          </w:p>
        </w:tc>
      </w:tr>
    </w:tbl>
    <w:p w:rsidR="004C0056" w:rsidRPr="0047508E" w:rsidRDefault="005517AF" w:rsidP="0047508E">
      <w:pPr>
        <w:autoSpaceDE w:val="0"/>
        <w:autoSpaceDN w:val="0"/>
        <w:adjustRightInd w:val="0"/>
        <w:spacing w:line="520" w:lineRule="exact"/>
        <w:ind w:firstLineChars="200" w:firstLine="640"/>
        <w:rPr>
          <w:rFonts w:eastAsia="仿宋_GB2312" w:hint="eastAsia"/>
          <w:color w:val="000000"/>
          <w:sz w:val="28"/>
          <w:szCs w:val="28"/>
        </w:rPr>
      </w:pPr>
      <w:r>
        <w:rPr>
          <w:rFonts w:eastAsia="仿宋_GB2312"/>
          <w:color w:val="000000"/>
          <w:szCs w:val="32"/>
          <w:lang w:bidi="ar"/>
        </w:rPr>
        <w:t>以上所列出的内容为申报产品与同品种基因测序仪对比需</w:t>
      </w:r>
      <w:r>
        <w:rPr>
          <w:rFonts w:eastAsia="仿宋_GB2312"/>
          <w:color w:val="000000"/>
          <w:szCs w:val="32"/>
          <w:lang w:bidi="ar"/>
        </w:rPr>
        <w:lastRenderedPageBreak/>
        <w:t>要具体考虑的事项，申请人可根据产品特点增加对比项目。</w:t>
      </w:r>
      <w:bookmarkStart w:id="1" w:name="_GoBack"/>
      <w:bookmarkEnd w:id="1"/>
    </w:p>
    <w:sectPr w:rsidR="004C0056" w:rsidRPr="0047508E">
      <w:footerReference w:type="default" r:id="rId10"/>
      <w:type w:val="continuous"/>
      <w:pgSz w:w="11906" w:h="16838"/>
      <w:pgMar w:top="2098" w:right="1588" w:bottom="2098" w:left="1588" w:header="851" w:footer="992" w:gutter="0"/>
      <w:cols w:space="425"/>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7AF" w:rsidRDefault="005517AF">
      <w:r>
        <w:separator/>
      </w:r>
    </w:p>
  </w:endnote>
  <w:endnote w:type="continuationSeparator" w:id="0">
    <w:p w:rsidR="005517AF" w:rsidRDefault="0055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仿宋 Std R">
    <w:altName w:val="仿宋"/>
    <w:charset w:val="86"/>
    <w:family w:val="roman"/>
    <w:pitch w:val="default"/>
    <w:sig w:usb0="00000000" w:usb1="00000000" w:usb2="00000016" w:usb3="00000000" w:csb0="00060007"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Times New Roman"/>
    <w:charset w:val="00"/>
    <w:family w:val="roman"/>
    <w:pitch w:val="default"/>
    <w:sig w:usb0="00000000" w:usb1="00000000" w:usb2="00000008" w:usb3="00000000" w:csb0="000001FF" w:csb1="00000000"/>
  </w:font>
  <w:font w:name="Angsana New">
    <w:panose1 w:val="02020603050405020304"/>
    <w:charset w:val="00"/>
    <w:family w:val="roman"/>
    <w:pitch w:val="default"/>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sig w:usb0="00000000" w:usb1="00000000" w:usb2="00000000" w:usb3="00000000" w:csb0="00000001" w:csb1="00000000"/>
  </w:font>
  <w:font w:name="方正小标宋_GBK">
    <w:altName w:val="Microsoft YaHei UI"/>
    <w:charset w:val="86"/>
    <w:family w:val="script"/>
    <w:pitch w:val="default"/>
    <w:sig w:usb0="00000000" w:usb1="0000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056" w:rsidRDefault="005517AF">
    <w:pPr>
      <w:pStyle w:val="af"/>
      <w:wordWrap w:val="0"/>
      <w:jc w:val="right"/>
      <w:rPr>
        <w:sz w:val="28"/>
        <w:szCs w:val="28"/>
      </w:rPr>
    </w:pPr>
    <w:r>
      <w:rPr>
        <w:sz w:val="28"/>
        <w:szCs w:val="28"/>
      </w:rPr>
      <w:t xml:space="preserve">— </w:t>
    </w:r>
    <w:sdt>
      <w:sdtPr>
        <w:rPr>
          <w:sz w:val="28"/>
          <w:szCs w:val="28"/>
        </w:rPr>
        <w:id w:val="2138830727"/>
      </w:sdtPr>
      <w:sdtEndPr/>
      <w:sdtContent>
        <w:r>
          <w:rPr>
            <w:sz w:val="28"/>
            <w:szCs w:val="28"/>
          </w:rPr>
          <w:fldChar w:fldCharType="begin"/>
        </w:r>
        <w:r>
          <w:rPr>
            <w:sz w:val="28"/>
            <w:szCs w:val="28"/>
          </w:rPr>
          <w:instrText>PAGE   \* MERGEFORMAT</w:instrText>
        </w:r>
        <w:r>
          <w:rPr>
            <w:sz w:val="28"/>
            <w:szCs w:val="28"/>
          </w:rPr>
          <w:fldChar w:fldCharType="separate"/>
        </w:r>
        <w:r w:rsidR="0047508E" w:rsidRPr="0047508E">
          <w:rPr>
            <w:noProof/>
            <w:sz w:val="28"/>
            <w:szCs w:val="28"/>
            <w:lang w:val="zh-CN"/>
          </w:rPr>
          <w:t>17</w:t>
        </w:r>
        <w:r>
          <w:rPr>
            <w:sz w:val="28"/>
            <w:szCs w:val="28"/>
          </w:rPr>
          <w:fldChar w:fldCharType="end"/>
        </w:r>
        <w:r>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7AF" w:rsidRDefault="005517AF">
      <w:r>
        <w:separator/>
      </w:r>
    </w:p>
  </w:footnote>
  <w:footnote w:type="continuationSeparator" w:id="0">
    <w:p w:rsidR="005517AF" w:rsidRDefault="005517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D1B6"/>
    <w:multiLevelType w:val="singleLevel"/>
    <w:tmpl w:val="13A9D1B6"/>
    <w:lvl w:ilvl="0">
      <w:start w:val="1"/>
      <w:numFmt w:val="decimal"/>
      <w:lvlText w:val="%1."/>
      <w:lvlJc w:val="left"/>
      <w:pPr>
        <w:tabs>
          <w:tab w:val="left" w:pos="312"/>
        </w:tabs>
      </w:pPr>
    </w:lvl>
  </w:abstractNum>
  <w:abstractNum w:abstractNumId="1" w15:restartNumberingAfterBreak="0">
    <w:nsid w:val="28F20BCD"/>
    <w:multiLevelType w:val="multilevel"/>
    <w:tmpl w:val="28F20BCD"/>
    <w:lvl w:ilvl="0">
      <w:start w:val="2022"/>
      <w:numFmt w:val="bullet"/>
      <w:lvlText w:val="—"/>
      <w:lvlJc w:val="left"/>
      <w:pPr>
        <w:ind w:left="360" w:hanging="360"/>
      </w:pPr>
      <w:rPr>
        <w:rFonts w:ascii="Times New Roman" w:eastAsia="Adobe 仿宋 Std R"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206D8E8"/>
    <w:multiLevelType w:val="multilevel"/>
    <w:tmpl w:val="3206D8E8"/>
    <w:lvl w:ilvl="0">
      <w:start w:val="2"/>
      <w:numFmt w:val="chineseCounting"/>
      <w:suff w:val="nothing"/>
      <w:lvlText w:val="%1、"/>
      <w:lvlJc w:val="left"/>
      <w:pPr>
        <w:ind w:left="0" w:firstLine="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xZjVlMGZhZTM5OTk4NTFlYjlhMzU3NTY5YzkwYWIifQ=="/>
  </w:docVars>
  <w:rsids>
    <w:rsidRoot w:val="00787F7E"/>
    <w:rsid w:val="DEF70035"/>
    <w:rsid w:val="DFFFE17D"/>
    <w:rsid w:val="ED776AC6"/>
    <w:rsid w:val="EF9F915E"/>
    <w:rsid w:val="FBB7C68F"/>
    <w:rsid w:val="FDF752B8"/>
    <w:rsid w:val="FF7F9E8F"/>
    <w:rsid w:val="00003451"/>
    <w:rsid w:val="00020162"/>
    <w:rsid w:val="00021955"/>
    <w:rsid w:val="0002396E"/>
    <w:rsid w:val="00032F46"/>
    <w:rsid w:val="00056A28"/>
    <w:rsid w:val="00060C10"/>
    <w:rsid w:val="00066D66"/>
    <w:rsid w:val="0007686E"/>
    <w:rsid w:val="000778E3"/>
    <w:rsid w:val="000B4C9B"/>
    <w:rsid w:val="000B5D87"/>
    <w:rsid w:val="000C48A1"/>
    <w:rsid w:val="000E5335"/>
    <w:rsid w:val="0010320F"/>
    <w:rsid w:val="00145167"/>
    <w:rsid w:val="0015622E"/>
    <w:rsid w:val="001832C0"/>
    <w:rsid w:val="00193094"/>
    <w:rsid w:val="001C3A87"/>
    <w:rsid w:val="001E0961"/>
    <w:rsid w:val="001E4E81"/>
    <w:rsid w:val="0022585F"/>
    <w:rsid w:val="00241E57"/>
    <w:rsid w:val="00242375"/>
    <w:rsid w:val="00244DF7"/>
    <w:rsid w:val="00246390"/>
    <w:rsid w:val="00275A48"/>
    <w:rsid w:val="00277473"/>
    <w:rsid w:val="00291759"/>
    <w:rsid w:val="002925B7"/>
    <w:rsid w:val="00294D2B"/>
    <w:rsid w:val="00295369"/>
    <w:rsid w:val="002B2048"/>
    <w:rsid w:val="002B24A0"/>
    <w:rsid w:val="002D3B6C"/>
    <w:rsid w:val="002F2978"/>
    <w:rsid w:val="002F309D"/>
    <w:rsid w:val="0030368E"/>
    <w:rsid w:val="003047D2"/>
    <w:rsid w:val="0031186D"/>
    <w:rsid w:val="003137C1"/>
    <w:rsid w:val="00332DE8"/>
    <w:rsid w:val="003450A4"/>
    <w:rsid w:val="003549E8"/>
    <w:rsid w:val="00355421"/>
    <w:rsid w:val="00365AB2"/>
    <w:rsid w:val="003948E9"/>
    <w:rsid w:val="00410598"/>
    <w:rsid w:val="0041581E"/>
    <w:rsid w:val="00417579"/>
    <w:rsid w:val="00435AC6"/>
    <w:rsid w:val="00440708"/>
    <w:rsid w:val="00440AA4"/>
    <w:rsid w:val="004410B9"/>
    <w:rsid w:val="0045151A"/>
    <w:rsid w:val="0046669C"/>
    <w:rsid w:val="0047508E"/>
    <w:rsid w:val="00483A83"/>
    <w:rsid w:val="00493D2A"/>
    <w:rsid w:val="004B2F13"/>
    <w:rsid w:val="004C0056"/>
    <w:rsid w:val="004C4DBC"/>
    <w:rsid w:val="004C7137"/>
    <w:rsid w:val="004E39ED"/>
    <w:rsid w:val="004E3D4B"/>
    <w:rsid w:val="004F0151"/>
    <w:rsid w:val="005041BA"/>
    <w:rsid w:val="005277E2"/>
    <w:rsid w:val="00530384"/>
    <w:rsid w:val="00534F4C"/>
    <w:rsid w:val="00545B8B"/>
    <w:rsid w:val="005517AF"/>
    <w:rsid w:val="005609D1"/>
    <w:rsid w:val="005A1410"/>
    <w:rsid w:val="005A204F"/>
    <w:rsid w:val="005A654A"/>
    <w:rsid w:val="005B570A"/>
    <w:rsid w:val="005D1959"/>
    <w:rsid w:val="006014D4"/>
    <w:rsid w:val="006126F6"/>
    <w:rsid w:val="0061504E"/>
    <w:rsid w:val="0062419A"/>
    <w:rsid w:val="00654011"/>
    <w:rsid w:val="0065418E"/>
    <w:rsid w:val="00670933"/>
    <w:rsid w:val="006A1165"/>
    <w:rsid w:val="006A1A01"/>
    <w:rsid w:val="006C00CB"/>
    <w:rsid w:val="006C6375"/>
    <w:rsid w:val="006E68A9"/>
    <w:rsid w:val="006E7148"/>
    <w:rsid w:val="00701D58"/>
    <w:rsid w:val="00716619"/>
    <w:rsid w:val="007206A1"/>
    <w:rsid w:val="00725E46"/>
    <w:rsid w:val="00745098"/>
    <w:rsid w:val="00753D08"/>
    <w:rsid w:val="007646FC"/>
    <w:rsid w:val="0078317A"/>
    <w:rsid w:val="00787F7E"/>
    <w:rsid w:val="007904F6"/>
    <w:rsid w:val="007B4B78"/>
    <w:rsid w:val="007D0D0B"/>
    <w:rsid w:val="007D341A"/>
    <w:rsid w:val="00815364"/>
    <w:rsid w:val="00815993"/>
    <w:rsid w:val="00821079"/>
    <w:rsid w:val="0083192A"/>
    <w:rsid w:val="00845C30"/>
    <w:rsid w:val="0087100E"/>
    <w:rsid w:val="00872134"/>
    <w:rsid w:val="008939CD"/>
    <w:rsid w:val="008961B3"/>
    <w:rsid w:val="008A4F25"/>
    <w:rsid w:val="008F5D20"/>
    <w:rsid w:val="00920A47"/>
    <w:rsid w:val="00937F0E"/>
    <w:rsid w:val="009437A5"/>
    <w:rsid w:val="0095790E"/>
    <w:rsid w:val="00970C99"/>
    <w:rsid w:val="0098100B"/>
    <w:rsid w:val="009C2BF6"/>
    <w:rsid w:val="009C41FF"/>
    <w:rsid w:val="009E2514"/>
    <w:rsid w:val="009F209D"/>
    <w:rsid w:val="00A23EC2"/>
    <w:rsid w:val="00A25C1A"/>
    <w:rsid w:val="00A2761C"/>
    <w:rsid w:val="00A572C9"/>
    <w:rsid w:val="00A73BFE"/>
    <w:rsid w:val="00A7566A"/>
    <w:rsid w:val="00AA4FCB"/>
    <w:rsid w:val="00AB660B"/>
    <w:rsid w:val="00AB7E5C"/>
    <w:rsid w:val="00AD08D9"/>
    <w:rsid w:val="00AF26B9"/>
    <w:rsid w:val="00AF3558"/>
    <w:rsid w:val="00AF5D76"/>
    <w:rsid w:val="00B10832"/>
    <w:rsid w:val="00B27DA2"/>
    <w:rsid w:val="00B32C6C"/>
    <w:rsid w:val="00B41578"/>
    <w:rsid w:val="00B63009"/>
    <w:rsid w:val="00B637FF"/>
    <w:rsid w:val="00B66355"/>
    <w:rsid w:val="00B85063"/>
    <w:rsid w:val="00B9118A"/>
    <w:rsid w:val="00BB2596"/>
    <w:rsid w:val="00BC2983"/>
    <w:rsid w:val="00BC7C84"/>
    <w:rsid w:val="00BD300F"/>
    <w:rsid w:val="00BE2402"/>
    <w:rsid w:val="00BE669C"/>
    <w:rsid w:val="00C0562D"/>
    <w:rsid w:val="00C151FE"/>
    <w:rsid w:val="00C25F69"/>
    <w:rsid w:val="00C40950"/>
    <w:rsid w:val="00C43B65"/>
    <w:rsid w:val="00C5010B"/>
    <w:rsid w:val="00C55908"/>
    <w:rsid w:val="00C55C2E"/>
    <w:rsid w:val="00C86C9F"/>
    <w:rsid w:val="00CA0BE6"/>
    <w:rsid w:val="00CB4CCD"/>
    <w:rsid w:val="00CB56D1"/>
    <w:rsid w:val="00CD1907"/>
    <w:rsid w:val="00CE24E2"/>
    <w:rsid w:val="00CE2A90"/>
    <w:rsid w:val="00D026E7"/>
    <w:rsid w:val="00D076F0"/>
    <w:rsid w:val="00D256A9"/>
    <w:rsid w:val="00D277BD"/>
    <w:rsid w:val="00D32614"/>
    <w:rsid w:val="00D36F91"/>
    <w:rsid w:val="00D4450D"/>
    <w:rsid w:val="00D73732"/>
    <w:rsid w:val="00D865D6"/>
    <w:rsid w:val="00D93E3E"/>
    <w:rsid w:val="00DA771D"/>
    <w:rsid w:val="00DB1CED"/>
    <w:rsid w:val="00DC3951"/>
    <w:rsid w:val="00DD6FC8"/>
    <w:rsid w:val="00DD740E"/>
    <w:rsid w:val="00DE5DEB"/>
    <w:rsid w:val="00E07E6A"/>
    <w:rsid w:val="00E113E4"/>
    <w:rsid w:val="00E11D78"/>
    <w:rsid w:val="00E72EF4"/>
    <w:rsid w:val="00E7330F"/>
    <w:rsid w:val="00E771F1"/>
    <w:rsid w:val="00EB19B3"/>
    <w:rsid w:val="00EB1A04"/>
    <w:rsid w:val="00EC523A"/>
    <w:rsid w:val="00ED0226"/>
    <w:rsid w:val="00EE261B"/>
    <w:rsid w:val="00EE3620"/>
    <w:rsid w:val="00EE4EBB"/>
    <w:rsid w:val="00EE6D79"/>
    <w:rsid w:val="00F25847"/>
    <w:rsid w:val="00F31CB3"/>
    <w:rsid w:val="00F45E55"/>
    <w:rsid w:val="00F4680C"/>
    <w:rsid w:val="00F741A3"/>
    <w:rsid w:val="00F801A1"/>
    <w:rsid w:val="00F81D1A"/>
    <w:rsid w:val="00FA36EA"/>
    <w:rsid w:val="00FB46B2"/>
    <w:rsid w:val="00FC6BE6"/>
    <w:rsid w:val="00FF0F38"/>
    <w:rsid w:val="272D4324"/>
    <w:rsid w:val="282E1004"/>
    <w:rsid w:val="4D1A42CA"/>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C66444A"/>
  <w15:docId w15:val="{3DCE769C-7CF6-4549-82B3-356C3C8F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uiPriority="0" w:unhideWhenUsed="1" w:qFormat="1"/>
    <w:lsdException w:name="line number" w:semiHidden="1" w:uiPriority="0" w:unhideWhenUsed="1"/>
    <w:lsdException w:name="page number" w:uiPriority="0"/>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qFormat/>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nhideWhenUsed/>
    <w:qFormat/>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sz w:val="20"/>
      <w:szCs w:val="20"/>
    </w:rPr>
  </w:style>
  <w:style w:type="paragraph" w:styleId="a4">
    <w:name w:val="annotation text"/>
    <w:basedOn w:val="a"/>
    <w:link w:val="a5"/>
    <w:unhideWhenUsed/>
    <w:qFormat/>
    <w:pPr>
      <w:jc w:val="left"/>
    </w:pPr>
  </w:style>
  <w:style w:type="paragraph" w:styleId="a6">
    <w:name w:val="Body Text"/>
    <w:basedOn w:val="a"/>
    <w:link w:val="a7"/>
    <w:qFormat/>
    <w:pPr>
      <w:spacing w:after="120" w:line="300" w:lineRule="auto"/>
      <w:ind w:firstLineChars="200" w:firstLine="200"/>
    </w:pPr>
    <w:rPr>
      <w:rFonts w:eastAsia="仿宋_GB2312"/>
      <w:snapToGrid w:val="0"/>
      <w:kern w:val="0"/>
      <w:szCs w:val="32"/>
    </w:rPr>
  </w:style>
  <w:style w:type="paragraph" w:styleId="a8">
    <w:name w:val="Body Text Indent"/>
    <w:basedOn w:val="a"/>
    <w:qFormat/>
    <w:pPr>
      <w:spacing w:after="120"/>
      <w:ind w:leftChars="200" w:left="420"/>
    </w:pPr>
    <w:rPr>
      <w:szCs w:val="21"/>
    </w:rPr>
  </w:style>
  <w:style w:type="paragraph" w:styleId="a9">
    <w:name w:val="Plain Text"/>
    <w:basedOn w:val="a"/>
    <w:link w:val="aa"/>
    <w:uiPriority w:val="99"/>
    <w:qFormat/>
    <w:pPr>
      <w:spacing w:line="300" w:lineRule="auto"/>
      <w:ind w:firstLineChars="200" w:firstLine="200"/>
    </w:pPr>
    <w:rPr>
      <w:rFonts w:asciiTheme="minorEastAsia" w:eastAsiaTheme="minorEastAsia" w:hAnsi="Courier New" w:cs="Courier New"/>
      <w:snapToGrid w:val="0"/>
      <w:kern w:val="0"/>
      <w:szCs w:val="32"/>
    </w:rPr>
  </w:style>
  <w:style w:type="paragraph" w:styleId="ab">
    <w:name w:val="endnote text"/>
    <w:basedOn w:val="a"/>
    <w:link w:val="ac"/>
    <w:semiHidden/>
    <w:unhideWhenUsed/>
    <w:pPr>
      <w:snapToGrid w:val="0"/>
      <w:spacing w:line="300" w:lineRule="auto"/>
      <w:ind w:firstLineChars="200" w:firstLine="200"/>
      <w:jc w:val="left"/>
    </w:pPr>
    <w:rPr>
      <w:rFonts w:eastAsia="仿宋_GB2312"/>
      <w:snapToGrid w:val="0"/>
      <w:kern w:val="0"/>
      <w:szCs w:val="32"/>
    </w:rPr>
  </w:style>
  <w:style w:type="paragraph" w:styleId="ad">
    <w:name w:val="Balloon Text"/>
    <w:basedOn w:val="a"/>
    <w:link w:val="ae"/>
    <w:unhideWhenUsed/>
    <w:rPr>
      <w:sz w:val="18"/>
      <w:szCs w:val="18"/>
    </w:rPr>
  </w:style>
  <w:style w:type="paragraph" w:styleId="af">
    <w:name w:val="footer"/>
    <w:basedOn w:val="a"/>
    <w:link w:val="af0"/>
    <w:uiPriority w:val="99"/>
    <w:unhideWhenUsed/>
    <w:qFormat/>
    <w:pPr>
      <w:tabs>
        <w:tab w:val="center" w:pos="4153"/>
        <w:tab w:val="right" w:pos="8306"/>
      </w:tabs>
      <w:snapToGrid w:val="0"/>
      <w:jc w:val="left"/>
    </w:pPr>
    <w:rPr>
      <w:sz w:val="18"/>
    </w:rPr>
  </w:style>
  <w:style w:type="paragraph" w:styleId="af1">
    <w:name w:val="header"/>
    <w:basedOn w:val="a"/>
    <w:link w:val="af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f3">
    <w:name w:val="Subtitle"/>
    <w:basedOn w:val="a"/>
    <w:next w:val="a"/>
    <w:link w:val="af4"/>
    <w:uiPriority w:val="11"/>
    <w:qFormat/>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paragraph" w:styleId="af5">
    <w:name w:val="footnote text"/>
    <w:basedOn w:val="a"/>
    <w:link w:val="af6"/>
    <w:unhideWhenUsed/>
    <w:pPr>
      <w:adjustRightInd w:val="0"/>
      <w:snapToGrid w:val="0"/>
      <w:spacing w:line="264" w:lineRule="auto"/>
      <w:jc w:val="left"/>
    </w:pPr>
    <w:rPr>
      <w:rFonts w:eastAsia="仿宋_GB2312"/>
      <w:snapToGrid w:val="0"/>
      <w:kern w:val="0"/>
      <w:sz w:val="18"/>
      <w:szCs w:val="18"/>
    </w:rPr>
  </w:style>
  <w:style w:type="paragraph" w:styleId="af7">
    <w:name w:val="Normal (Web)"/>
    <w:basedOn w:val="a"/>
    <w:qFormat/>
    <w:pPr>
      <w:spacing w:before="100" w:beforeAutospacing="1" w:after="100" w:afterAutospacing="1"/>
    </w:pPr>
    <w:rPr>
      <w:rFonts w:ascii="宋体" w:eastAsia="宋体" w:hAnsi="宋体" w:hint="eastAsia"/>
      <w:sz w:val="24"/>
    </w:rPr>
  </w:style>
  <w:style w:type="paragraph" w:styleId="af8">
    <w:name w:val="annotation subject"/>
    <w:basedOn w:val="a4"/>
    <w:next w:val="a4"/>
    <w:link w:val="af9"/>
    <w:uiPriority w:val="99"/>
    <w:unhideWhenUsed/>
    <w:rPr>
      <w:b/>
      <w:bCs/>
    </w:rPr>
  </w:style>
  <w:style w:type="paragraph" w:styleId="21">
    <w:name w:val="Body Text First Indent 2"/>
    <w:basedOn w:val="a8"/>
    <w:pPr>
      <w:spacing w:before="100" w:beforeAutospacing="1"/>
      <w:ind w:firstLineChars="200" w:firstLine="480"/>
    </w:pPr>
    <w:rPr>
      <w:rFonts w:ascii="宋体" w:hAnsi="宋体" w:hint="eastAsia"/>
      <w:bCs/>
      <w:sz w:val="24"/>
      <w:szCs w:val="24"/>
    </w:rPr>
  </w:style>
  <w:style w:type="table" w:styleId="afa">
    <w:name w:val="Table Grid"/>
    <w:basedOn w:val="a1"/>
    <w:uiPriority w:val="59"/>
    <w:qFormat/>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qFormat/>
    <w:rPr>
      <w:b/>
    </w:rPr>
  </w:style>
  <w:style w:type="character" w:styleId="afc">
    <w:name w:val="page number"/>
    <w:basedOn w:val="a0"/>
  </w:style>
  <w:style w:type="character" w:styleId="afd">
    <w:name w:val="Emphasis"/>
    <w:basedOn w:val="a0"/>
    <w:qFormat/>
    <w:rPr>
      <w:i/>
      <w:iCs/>
    </w:rPr>
  </w:style>
  <w:style w:type="character" w:styleId="afe">
    <w:name w:val="annotation reference"/>
    <w:basedOn w:val="a0"/>
    <w:unhideWhenUsed/>
    <w:qFormat/>
    <w:rPr>
      <w:sz w:val="21"/>
      <w:szCs w:val="21"/>
    </w:rPr>
  </w:style>
  <w:style w:type="character" w:styleId="aff">
    <w:name w:val="footnote reference"/>
    <w:basedOn w:val="a0"/>
    <w:semiHidden/>
    <w:unhideWhenUsed/>
    <w:rPr>
      <w:vertAlign w:val="superscript"/>
    </w:rPr>
  </w:style>
  <w:style w:type="character" w:customStyle="1" w:styleId="10">
    <w:name w:val="标题 1 字符"/>
    <w:basedOn w:val="a0"/>
    <w:link w:val="1"/>
    <w:uiPriority w:val="9"/>
    <w:rPr>
      <w:rFonts w:ascii="Calibri" w:eastAsia="黑体" w:hAnsi="Calibri" w:cs="Times New Roman"/>
      <w:kern w:val="2"/>
      <w:sz w:val="32"/>
      <w:szCs w:val="22"/>
    </w:rPr>
  </w:style>
  <w:style w:type="character" w:customStyle="1" w:styleId="20">
    <w:name w:val="标题 2 字符"/>
    <w:basedOn w:val="a0"/>
    <w:link w:val="2"/>
    <w:uiPriority w:val="9"/>
    <w:rPr>
      <w:rFonts w:ascii="Cambria" w:eastAsia="黑体" w:hAnsi="Cambria" w:cs="Times New Roman"/>
      <w:b/>
      <w:bCs/>
      <w:snapToGrid w:val="0"/>
      <w:sz w:val="32"/>
      <w:szCs w:val="32"/>
      <w:lang w:val="zh-CN"/>
    </w:rPr>
  </w:style>
  <w:style w:type="character" w:customStyle="1" w:styleId="30">
    <w:name w:val="标题 3 字符"/>
    <w:basedOn w:val="a0"/>
    <w:link w:val="3"/>
    <w:uiPriority w:val="9"/>
    <w:rPr>
      <w:rFonts w:ascii="Times New Roman" w:eastAsia="仿宋_GB2312" w:hAnsi="Times New Roman" w:cs="Times New Roman"/>
      <w:bCs/>
      <w:snapToGrid w:val="0"/>
      <w:sz w:val="32"/>
      <w:szCs w:val="32"/>
    </w:rPr>
  </w:style>
  <w:style w:type="character" w:customStyle="1" w:styleId="40">
    <w:name w:val="标题 4 字符"/>
    <w:basedOn w:val="a0"/>
    <w:link w:val="4"/>
    <w:uiPriority w:val="9"/>
    <w:qFormat/>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qFormat/>
    <w:rPr>
      <w:rFonts w:ascii="Times New Roman" w:eastAsia="仿宋_GB2312" w:hAnsi="Times New Roman" w:cs="Times New Roman"/>
      <w:b/>
      <w:bCs/>
      <w:snapToGrid w:val="0"/>
      <w:sz w:val="28"/>
      <w:szCs w:val="28"/>
    </w:rPr>
  </w:style>
  <w:style w:type="character" w:customStyle="1" w:styleId="af0">
    <w:name w:val="页脚 字符"/>
    <w:basedOn w:val="a0"/>
    <w:link w:val="af"/>
    <w:uiPriority w:val="99"/>
    <w:qFormat/>
    <w:rPr>
      <w:rFonts w:ascii="Times New Roman" w:eastAsia="Adobe 仿宋 Std R" w:hAnsi="Times New Roman" w:cs="Times New Roman"/>
      <w:kern w:val="2"/>
      <w:sz w:val="18"/>
      <w:szCs w:val="24"/>
    </w:rPr>
  </w:style>
  <w:style w:type="character" w:customStyle="1" w:styleId="af2">
    <w:name w:val="页眉 字符"/>
    <w:basedOn w:val="a0"/>
    <w:link w:val="af1"/>
    <w:uiPriority w:val="99"/>
    <w:rPr>
      <w:rFonts w:ascii="DejaVu Sans" w:eastAsia="Adobe 仿宋 Std R" w:hAnsi="DejaVu Sans" w:cs="Times New Roman"/>
      <w:kern w:val="2"/>
      <w:sz w:val="18"/>
      <w:szCs w:val="24"/>
    </w:rPr>
  </w:style>
  <w:style w:type="paragraph" w:customStyle="1" w:styleId="11">
    <w:name w:val="列出段落1"/>
    <w:basedOn w:val="a"/>
    <w:link w:val="Char"/>
    <w:uiPriority w:val="34"/>
    <w:qFormat/>
    <w:pPr>
      <w:ind w:firstLineChars="200" w:firstLine="420"/>
    </w:pPr>
    <w:rPr>
      <w:rFonts w:eastAsia="仿宋_GB2312"/>
      <w:szCs w:val="32"/>
    </w:rPr>
  </w:style>
  <w:style w:type="character" w:customStyle="1" w:styleId="Char">
    <w:name w:val="列出段落 Char"/>
    <w:basedOn w:val="a0"/>
    <w:link w:val="11"/>
    <w:uiPriority w:val="34"/>
    <w:qFormat/>
    <w:rPr>
      <w:rFonts w:ascii="Times New Roman" w:eastAsia="仿宋_GB2312" w:hAnsi="Times New Roman" w:cs="Times New Roman"/>
      <w:sz w:val="32"/>
      <w:szCs w:val="32"/>
    </w:rPr>
  </w:style>
  <w:style w:type="character" w:customStyle="1" w:styleId="ae">
    <w:name w:val="批注框文本 字符"/>
    <w:basedOn w:val="a0"/>
    <w:link w:val="ad"/>
    <w:rPr>
      <w:rFonts w:ascii="Times New Roman" w:eastAsia="Adobe 仿宋 Std R" w:hAnsi="Times New Roman" w:cs="Times New Roman"/>
      <w:kern w:val="2"/>
      <w:sz w:val="18"/>
      <w:szCs w:val="18"/>
    </w:rPr>
  </w:style>
  <w:style w:type="paragraph" w:styleId="aff0">
    <w:name w:val="List Paragraph"/>
    <w:basedOn w:val="a"/>
    <w:link w:val="aff1"/>
    <w:uiPriority w:val="34"/>
    <w:unhideWhenUsed/>
    <w:qFormat/>
    <w:pPr>
      <w:ind w:firstLineChars="200" w:firstLine="420"/>
    </w:pPr>
  </w:style>
  <w:style w:type="character" w:customStyle="1" w:styleId="aff1">
    <w:name w:val="列出段落 字符"/>
    <w:link w:val="aff0"/>
    <w:uiPriority w:val="34"/>
    <w:rPr>
      <w:rFonts w:ascii="Times New Roman" w:eastAsia="Adobe 仿宋 Std R" w:hAnsi="Times New Roman" w:cs="Times New Roman"/>
      <w:kern w:val="2"/>
      <w:sz w:val="32"/>
      <w:szCs w:val="24"/>
    </w:rPr>
  </w:style>
  <w:style w:type="character" w:customStyle="1" w:styleId="a5">
    <w:name w:val="批注文字 字符"/>
    <w:basedOn w:val="a0"/>
    <w:link w:val="a4"/>
    <w:rPr>
      <w:rFonts w:ascii="Times New Roman" w:eastAsia="Adobe 仿宋 Std R" w:hAnsi="Times New Roman" w:cs="Times New Roman"/>
      <w:kern w:val="2"/>
      <w:sz w:val="32"/>
      <w:szCs w:val="24"/>
    </w:rPr>
  </w:style>
  <w:style w:type="character" w:customStyle="1" w:styleId="af9">
    <w:name w:val="批注主题 字符"/>
    <w:basedOn w:val="a5"/>
    <w:link w:val="af8"/>
    <w:uiPriority w:val="99"/>
    <w:rPr>
      <w:rFonts w:ascii="Times New Roman" w:eastAsia="Adobe 仿宋 Std R" w:hAnsi="Times New Roman" w:cs="Times New Roman"/>
      <w:b/>
      <w:bCs/>
      <w:kern w:val="2"/>
      <w:sz w:val="32"/>
      <w:szCs w:val="24"/>
    </w:rPr>
  </w:style>
  <w:style w:type="paragraph" w:customStyle="1" w:styleId="Style28">
    <w:name w:val="_Style 28"/>
    <w:basedOn w:val="a"/>
    <w:next w:val="aff0"/>
    <w:uiPriority w:val="34"/>
    <w:qFormat/>
    <w:pPr>
      <w:ind w:firstLineChars="200" w:firstLine="420"/>
    </w:pPr>
    <w:rPr>
      <w:rFonts w:eastAsia="宋体"/>
      <w:sz w:val="21"/>
    </w:rPr>
  </w:style>
  <w:style w:type="character" w:customStyle="1" w:styleId="a7">
    <w:name w:val="正文文本 字符"/>
    <w:basedOn w:val="a0"/>
    <w:link w:val="a6"/>
    <w:qFormat/>
    <w:rPr>
      <w:rFonts w:ascii="Times New Roman" w:eastAsia="仿宋_GB2312" w:hAnsi="Times New Roman" w:cs="Times New Roman"/>
      <w:snapToGrid w:val="0"/>
      <w:sz w:val="32"/>
      <w:szCs w:val="32"/>
    </w:rPr>
  </w:style>
  <w:style w:type="character" w:customStyle="1" w:styleId="af4">
    <w:name w:val="副标题 字符"/>
    <w:basedOn w:val="a0"/>
    <w:link w:val="af3"/>
    <w:uiPriority w:val="11"/>
    <w:rPr>
      <w:rFonts w:ascii="Cambria" w:eastAsia="仿宋_GB2312" w:hAnsi="Cambria" w:cs="Times New Roman"/>
      <w:b/>
      <w:bCs/>
      <w:snapToGrid w:val="0"/>
      <w:kern w:val="28"/>
      <w:sz w:val="32"/>
      <w:szCs w:val="32"/>
      <w:lang w:val="zh-CN"/>
    </w:rPr>
  </w:style>
  <w:style w:type="paragraph" w:customStyle="1" w:styleId="12">
    <w:name w:val="修订1"/>
    <w:hidden/>
    <w:uiPriority w:val="99"/>
    <w:semiHidden/>
    <w:qFormat/>
    <w:rPr>
      <w:rFonts w:ascii="Times New Roman" w:eastAsia="仿宋_GB2312" w:hAnsi="Times New Roman" w:cs="Times New Roman"/>
      <w:snapToGrid w:val="0"/>
      <w:kern w:val="2"/>
      <w:sz w:val="21"/>
      <w:szCs w:val="32"/>
    </w:rPr>
  </w:style>
  <w:style w:type="character" w:customStyle="1" w:styleId="aa">
    <w:name w:val="纯文本 字符"/>
    <w:basedOn w:val="a0"/>
    <w:link w:val="a9"/>
    <w:uiPriority w:val="99"/>
    <w:qFormat/>
    <w:rPr>
      <w:rFonts w:asciiTheme="minorEastAsia" w:hAnsi="Courier New" w:cs="Courier New"/>
      <w:snapToGrid w:val="0"/>
      <w:sz w:val="32"/>
      <w:szCs w:val="32"/>
    </w:rPr>
  </w:style>
  <w:style w:type="character" w:styleId="aff2">
    <w:name w:val="Placeholder Text"/>
    <w:basedOn w:val="a0"/>
    <w:uiPriority w:val="99"/>
    <w:semiHidden/>
    <w:rPr>
      <w:color w:val="808080"/>
    </w:rPr>
  </w:style>
  <w:style w:type="table" w:customStyle="1" w:styleId="TableNormal1">
    <w:name w:val="Table Normal1"/>
    <w:uiPriority w:val="2"/>
    <w:semiHidden/>
    <w:unhideWhenUsed/>
    <w:qFormat/>
    <w:pPr>
      <w:widowControl w:val="0"/>
      <w:autoSpaceDE w:val="0"/>
      <w:autoSpaceDN w:val="0"/>
    </w:pPr>
    <w:rPr>
      <w:rFonts w:ascii="Calibri" w:eastAsia="宋体" w:hAnsi="Calibri" w:cs="Times New Roman"/>
      <w:sz w:val="22"/>
      <w:szCs w:val="22"/>
      <w:lang w:eastAsia="en-US"/>
    </w:rPr>
    <w:tblPr>
      <w:tblCellMar>
        <w:top w:w="0" w:type="dxa"/>
        <w:left w:w="0" w:type="dxa"/>
        <w:bottom w:w="0" w:type="dxa"/>
        <w:right w:w="0" w:type="dxa"/>
      </w:tblCellMar>
    </w:tblPr>
  </w:style>
  <w:style w:type="table" w:customStyle="1" w:styleId="13">
    <w:name w:val="网格型1"/>
    <w:basedOn w:val="a1"/>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39"/>
    <w:qFormat/>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31">
    <w:name w:val="网格型3"/>
    <w:basedOn w:val="a1"/>
    <w:uiPriority w:val="3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TableNormal12">
    <w:name w:val="Table Normal12"/>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character" w:customStyle="1" w:styleId="af6">
    <w:name w:val="脚注文本 字符"/>
    <w:basedOn w:val="a0"/>
    <w:link w:val="af5"/>
    <w:rPr>
      <w:rFonts w:ascii="Times New Roman" w:eastAsia="仿宋_GB2312" w:hAnsi="Times New Roman" w:cs="Times New Roman"/>
      <w:snapToGrid w:val="0"/>
      <w:sz w:val="18"/>
      <w:szCs w:val="18"/>
    </w:rPr>
  </w:style>
  <w:style w:type="character" w:customStyle="1" w:styleId="ac">
    <w:name w:val="尾注文本 字符"/>
    <w:basedOn w:val="a0"/>
    <w:link w:val="ab"/>
    <w:semiHidden/>
    <w:rPr>
      <w:rFonts w:ascii="Times New Roman" w:eastAsia="仿宋_GB2312" w:hAnsi="Times New Roman" w:cs="Times New Roman"/>
      <w:snapToGrid w:val="0"/>
      <w:sz w:val="32"/>
      <w:szCs w:val="32"/>
    </w:rPr>
  </w:style>
  <w:style w:type="paragraph" w:customStyle="1" w:styleId="Aff3">
    <w:name w:val="正文A"/>
    <w:qFormat/>
    <w:pPr>
      <w:widowControl w:val="0"/>
      <w:spacing w:line="600" w:lineRule="exact"/>
      <w:ind w:firstLine="720"/>
      <w:jc w:val="both"/>
    </w:pPr>
    <w:rPr>
      <w:rFonts w:ascii="仿宋_GB2312" w:eastAsia="仿宋_GB2312" w:hAnsi="黑体" w:cs="Times New Roman"/>
      <w:kern w:val="2"/>
      <w:sz w:val="32"/>
      <w:szCs w:val="32"/>
    </w:rPr>
  </w:style>
  <w:style w:type="paragraph" w:customStyle="1" w:styleId="23">
    <w:name w:val="修订2"/>
    <w:hidden/>
    <w:uiPriority w:val="99"/>
    <w:semiHidden/>
    <w:rPr>
      <w:rFonts w:ascii="Times New Roman" w:eastAsia="仿宋_GB2312" w:hAnsi="Times New Roman" w:cs="Times New Roman"/>
      <w:snapToGrid w:val="0"/>
      <w:sz w:val="32"/>
      <w:szCs w:val="32"/>
    </w:rPr>
  </w:style>
  <w:style w:type="character" w:customStyle="1" w:styleId="Char0">
    <w:name w:val="批注框文本 Char"/>
    <w:uiPriority w:val="99"/>
    <w:semiHidden/>
    <w:rPr>
      <w:rFonts w:ascii="Times New Roman" w:hAnsi="Times New Roman"/>
      <w:kern w:val="2"/>
      <w:sz w:val="18"/>
      <w:szCs w:val="18"/>
    </w:rPr>
  </w:style>
  <w:style w:type="character" w:customStyle="1" w:styleId="Char1">
    <w:name w:val="批注文字 Char"/>
    <w:uiPriority w:val="99"/>
    <w:rPr>
      <w:rFonts w:ascii="Times New Roman" w:hAnsi="Times New Roman"/>
      <w:kern w:val="2"/>
      <w:sz w:val="21"/>
      <w:szCs w:val="24"/>
    </w:rPr>
  </w:style>
  <w:style w:type="character" w:customStyle="1" w:styleId="aff4">
    <w:name w:val="无"/>
  </w:style>
  <w:style w:type="character" w:customStyle="1" w:styleId="FontStyle47">
    <w:name w:val="Font Style47"/>
    <w:rPr>
      <w:rFonts w:ascii="Times New Roman" w:hAnsi="Times New Roman" w:cs="Times New Roman"/>
      <w:sz w:val="22"/>
      <w:szCs w:val="22"/>
    </w:rPr>
  </w:style>
  <w:style w:type="character" w:customStyle="1" w:styleId="shorttext">
    <w:name w:val="short_text"/>
    <w:qFormat/>
  </w:style>
  <w:style w:type="paragraph" w:customStyle="1" w:styleId="aff5">
    <w:name w:val="调查项目"/>
    <w:basedOn w:val="a"/>
    <w:qFormat/>
    <w:pPr>
      <w:widowControl/>
      <w:jc w:val="left"/>
      <w:outlineLvl w:val="1"/>
    </w:pPr>
    <w:rPr>
      <w:rFonts w:ascii="Tahoma" w:eastAsia="黑体" w:hAnsi="Tahoma"/>
      <w:bCs/>
      <w:color w:val="333399"/>
      <w:kern w:val="0"/>
      <w:sz w:val="18"/>
      <w:szCs w:val="18"/>
    </w:rPr>
  </w:style>
  <w:style w:type="paragraph" w:customStyle="1" w:styleId="Aff6">
    <w:name w:val="正文 A"/>
    <w:pPr>
      <w:widowControl w:val="0"/>
      <w:pBdr>
        <w:top w:val="none" w:sz="0" w:space="31" w:color="FFFFFF"/>
        <w:left w:val="none" w:sz="0" w:space="31" w:color="FFFFFF"/>
        <w:bottom w:val="none" w:sz="0" w:space="31" w:color="FFFFFF"/>
        <w:right w:val="none" w:sz="0" w:space="31" w:color="FFFFFF"/>
      </w:pBdr>
      <w:jc w:val="both"/>
    </w:pPr>
    <w:rPr>
      <w:rFonts w:ascii="Times New Roman" w:eastAsia="Times New Roman" w:hAnsi="Times New Roman" w:cs="Arial Unicode MS"/>
      <w:color w:val="000000"/>
      <w:kern w:val="2"/>
      <w:sz w:val="21"/>
      <w:szCs w:val="21"/>
      <w:u w:color="000000"/>
    </w:rPr>
  </w:style>
  <w:style w:type="paragraph" w:customStyle="1" w:styleId="aff7">
    <w:name w:val="列标题"/>
    <w:basedOn w:val="2"/>
    <w:qFormat/>
    <w:pPr>
      <w:keepNext w:val="0"/>
      <w:keepLines w:val="0"/>
      <w:widowControl/>
      <w:spacing w:before="0" w:after="0" w:line="240" w:lineRule="auto"/>
      <w:ind w:firstLineChars="0" w:firstLine="0"/>
      <w:jc w:val="center"/>
    </w:pPr>
    <w:rPr>
      <w:rFonts w:ascii="Tahoma" w:hAnsi="Tahoma"/>
      <w:b w:val="0"/>
      <w:snapToGrid/>
      <w:color w:val="333399"/>
      <w:sz w:val="18"/>
      <w:szCs w:val="18"/>
      <w:lang w:val="en-US"/>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aff8">
    <w:name w:val="表格正文文本"/>
    <w:basedOn w:val="a"/>
    <w:qFormat/>
    <w:pPr>
      <w:widowControl/>
      <w:jc w:val="center"/>
    </w:pPr>
    <w:rPr>
      <w:rFonts w:ascii="Tahoma" w:eastAsia="宋体" w:hAnsi="Tahoma"/>
      <w:kern w:val="0"/>
      <w:sz w:val="18"/>
      <w:szCs w:val="20"/>
    </w:rPr>
  </w:style>
  <w:style w:type="character" w:customStyle="1" w:styleId="15">
    <w:name w:val="15"/>
    <w:qFormat/>
    <w:rPr>
      <w:rFonts w:ascii="宋体" w:eastAsia="宋体" w:hAnsi="宋体" w:cs="宋体" w:hint="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8E76B0-2332-427F-83B7-849D10EE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1227</Words>
  <Characters>6998</Characters>
  <Application>Microsoft Office Word</Application>
  <DocSecurity>0</DocSecurity>
  <Lines>58</Lines>
  <Paragraphs>16</Paragraphs>
  <ScaleCrop>false</ScaleCrop>
  <Company>Microsoft</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pc</cp:lastModifiedBy>
  <cp:revision>5</cp:revision>
  <cp:lastPrinted>2022-07-18T05:28:00Z</cp:lastPrinted>
  <dcterms:created xsi:type="dcterms:W3CDTF">2022-11-14T07:07:00Z</dcterms:created>
  <dcterms:modified xsi:type="dcterms:W3CDTF">2022-11-24T02:37:00Z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390DEA6B7C5F49E6ABEDD6F43AB0C781</vt:lpwstr>
  </property>
</Properties>
</file>