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67" w:rightChars="-32"/>
        <w:jc w:val="left"/>
        <w:rPr>
          <w:rFonts w:hint="eastAsia" w:ascii="黑体" w:hAnsi="黑体" w:eastAsia="黑体" w:cs="黑体"/>
          <w:color w:val="000000"/>
          <w:sz w:val="32"/>
          <w:szCs w:val="32"/>
          <w:lang w:val="en-US" w:eastAsia="zh-CN"/>
        </w:rPr>
      </w:pPr>
      <w:bookmarkStart w:id="4" w:name="_GoBack"/>
      <w:bookmarkEnd w:id="4"/>
      <w:r>
        <w:rPr>
          <w:rFonts w:hint="eastAsia" w:ascii="黑体" w:hAnsi="黑体" w:eastAsia="黑体" w:cs="黑体"/>
          <w:color w:val="000000"/>
          <w:sz w:val="32"/>
          <w:szCs w:val="32"/>
          <w:lang w:val="en-US" w:eastAsia="zh-CN"/>
        </w:rPr>
        <w:t>附件1</w:t>
      </w:r>
    </w:p>
    <w:p>
      <w:pPr>
        <w:spacing w:line="520" w:lineRule="exact"/>
        <w:ind w:right="-67" w:rightChars="-32"/>
        <w:jc w:val="left"/>
        <w:rPr>
          <w:rFonts w:hint="eastAsia" w:ascii="黑体" w:hAnsi="黑体" w:eastAsia="黑体" w:cs="黑体"/>
          <w:color w:val="000000"/>
          <w:sz w:val="32"/>
          <w:szCs w:val="32"/>
          <w:lang w:val="en-US" w:eastAsia="zh-CN"/>
        </w:rPr>
      </w:pPr>
    </w:p>
    <w:p>
      <w:pPr>
        <w:spacing w:line="520" w:lineRule="exact"/>
        <w:ind w:right="-67" w:rightChars="-32"/>
        <w:jc w:val="center"/>
        <w:rPr>
          <w:rFonts w:eastAsia="方正小标宋简体"/>
          <w:color w:val="000000"/>
          <w:sz w:val="44"/>
          <w:szCs w:val="44"/>
        </w:rPr>
      </w:pPr>
      <w:r>
        <w:rPr>
          <w:rFonts w:hint="eastAsia" w:eastAsia="方正小标宋简体"/>
          <w:color w:val="000000"/>
          <w:sz w:val="44"/>
          <w:szCs w:val="44"/>
        </w:rPr>
        <w:t>一次性使用心脏固定器</w:t>
      </w:r>
      <w:r>
        <w:rPr>
          <w:rFonts w:eastAsia="方正小标宋简体"/>
          <w:color w:val="000000"/>
          <w:sz w:val="44"/>
          <w:szCs w:val="44"/>
        </w:rPr>
        <w:t>注册</w:t>
      </w:r>
      <w:r>
        <w:rPr>
          <w:rFonts w:hint="eastAsia" w:eastAsia="方正小标宋简体"/>
          <w:color w:val="000000"/>
          <w:sz w:val="44"/>
          <w:szCs w:val="44"/>
        </w:rPr>
        <w:t>审查</w:t>
      </w:r>
      <w:r>
        <w:rPr>
          <w:rFonts w:eastAsia="方正小标宋简体"/>
          <w:color w:val="000000"/>
          <w:sz w:val="44"/>
          <w:szCs w:val="44"/>
        </w:rPr>
        <w:t>指导原则</w:t>
      </w:r>
    </w:p>
    <w:p>
      <w:pPr>
        <w:spacing w:line="520" w:lineRule="exact"/>
        <w:ind w:firstLine="640" w:firstLineChars="200"/>
        <w:rPr>
          <w:rFonts w:eastAsia="仿宋_GB2312"/>
          <w:color w:val="000000"/>
          <w:sz w:val="32"/>
          <w:szCs w:val="32"/>
        </w:rPr>
      </w:pPr>
    </w:p>
    <w:p>
      <w:pPr>
        <w:spacing w:line="520" w:lineRule="exact"/>
        <w:ind w:firstLine="640" w:firstLineChars="200"/>
        <w:rPr>
          <w:rFonts w:eastAsia="仿宋_GB2312"/>
          <w:color w:val="000000"/>
          <w:sz w:val="32"/>
          <w:szCs w:val="32"/>
        </w:rPr>
      </w:pPr>
      <w:r>
        <w:rPr>
          <w:rFonts w:hint="eastAsia" w:eastAsia="仿宋_GB2312"/>
          <w:color w:val="000000"/>
          <w:sz w:val="32"/>
          <w:szCs w:val="32"/>
        </w:rPr>
        <w:t>本指导原则旨在指导注册申请人对</w:t>
      </w:r>
      <w:r>
        <w:rPr>
          <w:rFonts w:hint="eastAsia" w:eastAsia="仿宋"/>
          <w:color w:val="000000"/>
          <w:sz w:val="32"/>
          <w:szCs w:val="32"/>
        </w:rPr>
        <w:t>一次性使用心脏固定器</w:t>
      </w:r>
      <w:r>
        <w:rPr>
          <w:rFonts w:hint="eastAsia" w:eastAsia="仿宋_GB2312"/>
          <w:color w:val="000000"/>
          <w:sz w:val="32"/>
          <w:szCs w:val="32"/>
        </w:rPr>
        <w:t>注册申报资料的准备及撰写，同时也为技术审评部门提供参考。</w:t>
      </w:r>
    </w:p>
    <w:p>
      <w:pPr>
        <w:spacing w:line="520" w:lineRule="exact"/>
        <w:ind w:firstLine="640" w:firstLineChars="200"/>
        <w:rPr>
          <w:rFonts w:eastAsia="仿宋_GB2312"/>
          <w:color w:val="000000"/>
          <w:sz w:val="32"/>
          <w:szCs w:val="32"/>
        </w:rPr>
      </w:pPr>
      <w:r>
        <w:rPr>
          <w:rFonts w:hint="eastAsia" w:eastAsia="仿宋_GB2312"/>
          <w:color w:val="000000"/>
          <w:sz w:val="32"/>
          <w:szCs w:val="32"/>
        </w:rPr>
        <w:t>本指导原则是对一次性使用</w:t>
      </w:r>
      <w:r>
        <w:rPr>
          <w:rFonts w:hint="eastAsia" w:eastAsia="仿宋"/>
          <w:color w:val="000000"/>
          <w:sz w:val="32"/>
          <w:szCs w:val="32"/>
        </w:rPr>
        <w:t>心脏固定器</w:t>
      </w:r>
      <w:r>
        <w:rPr>
          <w:rFonts w:hint="eastAsia" w:eastAsia="仿宋_GB2312"/>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eastAsia="仿宋_GB2312"/>
          <w:color w:val="000000"/>
          <w:sz w:val="32"/>
          <w:szCs w:val="32"/>
        </w:rPr>
      </w:pPr>
      <w:r>
        <w:rPr>
          <w:rFonts w:hint="eastAsia" w:eastAsia="仿宋_GB2312"/>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pacing w:line="520" w:lineRule="exact"/>
        <w:ind w:firstLine="640" w:firstLineChars="200"/>
        <w:rPr>
          <w:rFonts w:eastAsia="仿宋_GB2312"/>
          <w:color w:val="000000"/>
          <w:sz w:val="32"/>
          <w:szCs w:val="32"/>
        </w:rPr>
      </w:pPr>
      <w:r>
        <w:rPr>
          <w:rFonts w:hint="eastAsia" w:eastAsia="仿宋_GB2312"/>
          <w:color w:val="000000"/>
          <w:sz w:val="32"/>
          <w:szCs w:val="32"/>
        </w:rPr>
        <w:t>本指导原则是在现行法规和标准体系以及当前认知水平下制定，随着法规和标准的不断完善，以及科学技术的不断发展，相关内容也将适时进行调整，以确认申报产品是否符合法规要求。</w:t>
      </w:r>
    </w:p>
    <w:p>
      <w:pPr>
        <w:spacing w:line="520" w:lineRule="exact"/>
        <w:ind w:right="-67" w:rightChars="-32" w:firstLine="640" w:firstLineChars="200"/>
        <w:rPr>
          <w:rFonts w:eastAsia="黑体"/>
          <w:color w:val="000000"/>
          <w:sz w:val="32"/>
          <w:szCs w:val="32"/>
        </w:rPr>
      </w:pPr>
      <w:r>
        <w:rPr>
          <w:rFonts w:eastAsia="黑体"/>
          <w:color w:val="000000"/>
          <w:sz w:val="32"/>
          <w:szCs w:val="32"/>
        </w:rPr>
        <w:t>一、适用范围</w:t>
      </w:r>
    </w:p>
    <w:p>
      <w:pPr>
        <w:spacing w:line="520" w:lineRule="exact"/>
        <w:ind w:right="-67" w:rightChars="-32" w:firstLine="640" w:firstLineChars="200"/>
        <w:rPr>
          <w:rFonts w:eastAsia="仿宋_GB2312"/>
          <w:color w:val="000000"/>
          <w:sz w:val="32"/>
          <w:szCs w:val="32"/>
        </w:rPr>
      </w:pPr>
      <w:r>
        <w:rPr>
          <w:rFonts w:hint="eastAsia" w:eastAsia="仿宋_GB2312"/>
          <w:color w:val="000000"/>
          <w:sz w:val="32"/>
          <w:szCs w:val="32"/>
        </w:rPr>
        <w:t>本指导原则适用于一次性使用心脏固定器。根据《医疗器械分类目录》规定，一次性使用心脏固定器管理类别为Ⅱ类，子目录为03神经和心血管手术器械，一级产品类别为14神经和心血管手术器械-其他器械，二级产品类别为02固位器。</w:t>
      </w:r>
    </w:p>
    <w:p>
      <w:pPr>
        <w:spacing w:line="520" w:lineRule="exact"/>
        <w:ind w:firstLine="640" w:firstLineChars="200"/>
        <w:rPr>
          <w:rFonts w:eastAsia="仿宋"/>
          <w:color w:val="000000"/>
          <w:sz w:val="32"/>
          <w:szCs w:val="32"/>
        </w:rPr>
      </w:pPr>
      <w:r>
        <w:rPr>
          <w:rFonts w:hint="eastAsia" w:eastAsia="仿宋"/>
          <w:color w:val="000000"/>
          <w:sz w:val="32"/>
          <w:szCs w:val="32"/>
        </w:rPr>
        <w:t>常见产品及组件举例如下图：</w:t>
      </w:r>
    </w:p>
    <w:p>
      <w:pPr>
        <w:tabs>
          <w:tab w:val="left" w:pos="3627"/>
        </w:tabs>
        <w:spacing w:line="480" w:lineRule="auto"/>
        <w:ind w:firstLine="640" w:firstLineChars="200"/>
        <w:rPr>
          <w:rFonts w:eastAsia="仿宋"/>
          <w:color w:val="000000"/>
          <w:sz w:val="32"/>
          <w:szCs w:val="32"/>
        </w:rPr>
      </w:pPr>
      <w:r>
        <w:rPr>
          <w:rFonts w:eastAsia="仿宋"/>
          <w:color w:val="000000"/>
          <w:sz w:val="32"/>
          <w:szCs w:val="32"/>
        </w:rPr>
        <w:tab/>
      </w:r>
    </w:p>
    <w:p>
      <w:pPr>
        <w:pStyle w:val="2"/>
        <w:spacing w:line="560" w:lineRule="exact"/>
        <w:ind w:firstLine="560" w:firstLineChars="200"/>
        <w:rPr>
          <w:rFonts w:ascii="Times New Roman" w:hAnsi="Times New Roman" w:eastAsia="仿宋"/>
          <w:sz w:val="28"/>
          <w:szCs w:val="28"/>
        </w:rPr>
      </w:pPr>
      <w:r>
        <w:rPr>
          <w:rFonts w:ascii="Times New Roman" w:hAnsi="Times New Roman" w:eastAsia="仿宋"/>
          <w:sz w:val="28"/>
          <w:szCs w:val="28"/>
        </w:rPr>
        <w:pict>
          <v:shape id="_x0000_s1026" o:spid="_x0000_s1026" o:spt="202" type="#_x0000_t202" style="position:absolute;left:0pt;margin-left:75.5pt;margin-top:8.3pt;height:223.5pt;width:331pt;z-index:251661312;mso-width-relative:page;mso-height-relative:page;" fillcolor="#FFFFFF" filled="t" stroked="t" coordsize="21600,21600" o:gfxdata="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OnuXtcA&#10;AAAKAQAADwAAAAAAAAABACAAAAAiAAAAZHJzL2Rvd25yZXYueG1sUEsBAhQAFAAAAAgAh07iQLCd&#10;rnFZAgAAwAQAAA4AAAAAAAAAAQAgAAAAJgEAAGRycy9lMm9Eb2MueG1sUEsFBgAAAAAGAAYAWQEA&#10;APEFAAAAAA==&#10;">
            <v:path/>
            <v:fill on="t" color2="#FFFFFF" focussize="0,0"/>
            <v:stroke color="#FFFFFF" joinstyle="miter"/>
            <v:imagedata o:title=""/>
            <o:lock v:ext="edit" aspectratio="f"/>
            <v:textbox>
              <w:txbxContent>
                <w:p>
                  <w:pPr>
                    <w:rPr>
                      <w:rFonts w:ascii="仿宋" w:hAnsi="仿宋" w:eastAsia="仿宋"/>
                      <w:color w:val="000000"/>
                      <w:sz w:val="28"/>
                      <w:szCs w:val="28"/>
                    </w:rPr>
                  </w:pPr>
                  <w:r>
                    <w:rPr>
                      <w:rFonts w:hint="eastAsia"/>
                    </w:rPr>
                    <w:drawing>
                      <wp:inline distT="0" distB="0" distL="0" distR="0">
                        <wp:extent cx="3648075" cy="2270125"/>
                        <wp:effectExtent l="19050" t="0" r="9525" b="0"/>
                        <wp:docPr id="10" name="图片 12" descr="{545971B3-F692-40C3-9E12-D97C39ABA4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545971B3-F692-40C3-9E12-D97C39ABA407}.bmp"/>
                                <pic:cNvPicPr>
                                  <a:picLocks noChangeAspect="1"/>
                                </pic:cNvPicPr>
                              </pic:nvPicPr>
                              <pic:blipFill>
                                <a:blip r:embed="rId7" cstate="screen"/>
                                <a:stretch>
                                  <a:fillRect/>
                                </a:stretch>
                              </pic:blipFill>
                              <pic:spPr>
                                <a:xfrm>
                                  <a:off x="0" y="0"/>
                                  <a:ext cx="3648075" cy="2270374"/>
                                </a:xfrm>
                                <a:prstGeom prst="rect">
                                  <a:avLst/>
                                </a:prstGeom>
                              </pic:spPr>
                            </pic:pic>
                          </a:graphicData>
                        </a:graphic>
                      </wp:inline>
                    </w:drawing>
                  </w:r>
                </w:p>
                <w:p>
                  <w:pPr>
                    <w:jc w:val="center"/>
                    <w:rPr>
                      <w:rFonts w:ascii="黑体" w:hAnsi="黑体" w:eastAsia="黑体"/>
                      <w:color w:val="000000"/>
                      <w:sz w:val="28"/>
                      <w:szCs w:val="28"/>
                    </w:rPr>
                  </w:pPr>
                  <w:r>
                    <w:rPr>
                      <w:rFonts w:hint="eastAsia" w:ascii="黑体" w:hAnsi="黑体" w:eastAsia="黑体"/>
                      <w:color w:val="000000"/>
                      <w:sz w:val="28"/>
                      <w:szCs w:val="28"/>
                    </w:rPr>
                    <w:t>图1一次性使用心脏固定器</w:t>
                  </w:r>
                </w:p>
                <w:p/>
                <w:p/>
                <w:p/>
              </w:txbxContent>
            </v:textbox>
          </v:shape>
        </w:pict>
      </w: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r>
        <w:rPr>
          <w:rFonts w:hint="eastAsia" w:ascii="仿宋" w:hAnsi="仿宋" w:eastAsia="仿宋"/>
          <w:color w:val="000000"/>
          <w:sz w:val="28"/>
          <w:szCs w:val="28"/>
        </w:rPr>
        <w:drawing>
          <wp:anchor distT="0" distB="0" distL="114300" distR="114300" simplePos="0" relativeHeight="251667456" behindDoc="0" locked="0" layoutInCell="1" allowOverlap="1">
            <wp:simplePos x="0" y="0"/>
            <wp:positionH relativeFrom="column">
              <wp:posOffset>3350895</wp:posOffset>
            </wp:positionH>
            <wp:positionV relativeFrom="paragraph">
              <wp:posOffset>553720</wp:posOffset>
            </wp:positionV>
            <wp:extent cx="1784985" cy="2583815"/>
            <wp:effectExtent l="0" t="0" r="0" b="0"/>
            <wp:wrapTopAndBottom/>
            <wp:docPr id="11" name="图片 1" descr="{7EFF5E1B-2CA3-40FB-BD4C-136970632DE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7EFF5E1B-2CA3-40FB-BD4C-136970632DEF}.bmp"/>
                    <pic:cNvPicPr>
                      <a:picLocks noChangeAspect="1"/>
                    </pic:cNvPicPr>
                  </pic:nvPicPr>
                  <pic:blipFill>
                    <a:blip r:embed="rId8" cstate="screen">
                      <a:extLst>
                        <a:ext uri="{28A0092B-C50C-407E-A947-70E740481C1C}">
                          <a14:useLocalDpi xmlns:a14="http://schemas.microsoft.com/office/drawing/2010/main" val="0"/>
                        </a:ext>
                      </a:extLst>
                    </a:blip>
                    <a:stretch>
                      <a:fillRect/>
                    </a:stretch>
                  </pic:blipFill>
                  <pic:spPr>
                    <a:xfrm>
                      <a:off x="0" y="0"/>
                      <a:ext cx="1784985" cy="2583815"/>
                    </a:xfrm>
                    <a:prstGeom prst="rect">
                      <a:avLst/>
                    </a:prstGeom>
                  </pic:spPr>
                </pic:pic>
              </a:graphicData>
            </a:graphic>
          </wp:anchor>
        </w:drawing>
      </w:r>
      <w:r>
        <w:rPr>
          <w:rFonts w:ascii="Times New Roman" w:hAnsi="Times New Roman" w:eastAsia="仿宋"/>
          <w:sz w:val="28"/>
          <w:szCs w:val="28"/>
        </w:rPr>
        <w:pict>
          <v:shape id="_x0000_s1030" o:spid="_x0000_s1030" o:spt="202" type="#_x0000_t202" style="position:absolute;left:0pt;margin-left:31.95pt;margin-top:240.25pt;height:59.8pt;width:188.45pt;z-index:251663360;mso-width-relative:page;mso-height-relative:page;" stroked="t" coordsize="21600,21600" o:gfxdata="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Ap00NYA&#10;AAAIAQAADwAAAAAAAAABACAAAAAiAAAAZHJzL2Rvd25yZXYueG1sUEsBAhQAFAAAAAgAh07iQPHv&#10;vDJaAgAAvgQAAA4AAAAAAAAAAQAgAAAAJQEAAGRycy9lMm9Eb2MueG1sUEsFBgAAAAAGAAYAWQEA&#10;APEFAAAAAA==&#10;">
            <v:path/>
            <v:fill focussize="0,0"/>
            <v:stroke color="#FFFFFF" joinstyle="miter"/>
            <v:imagedata o:title=""/>
            <o:lock v:ext="edit"/>
            <v:textbox>
              <w:txbxContent>
                <w:p>
                  <w:pPr>
                    <w:jc w:val="center"/>
                  </w:pPr>
                </w:p>
                <w:p>
                  <w:pPr>
                    <w:rPr>
                      <w:rFonts w:ascii="黑体" w:hAnsi="黑体" w:eastAsia="黑体"/>
                      <w:color w:val="000000"/>
                      <w:sz w:val="28"/>
                      <w:szCs w:val="28"/>
                    </w:rPr>
                  </w:pPr>
                  <w:r>
                    <w:rPr>
                      <w:rFonts w:hint="eastAsia" w:ascii="黑体" w:hAnsi="黑体" w:eastAsia="黑体"/>
                      <w:color w:val="000000"/>
                      <w:sz w:val="28"/>
                      <w:szCs w:val="28"/>
                    </w:rPr>
                    <w:t>图2吸引固定型压脚叶</w:t>
                  </w:r>
                </w:p>
              </w:txbxContent>
            </v:textbox>
          </v:shape>
        </w:pict>
      </w:r>
    </w:p>
    <w:p>
      <w:pPr>
        <w:pStyle w:val="2"/>
        <w:spacing w:line="560" w:lineRule="exact"/>
        <w:ind w:firstLine="560" w:firstLineChars="200"/>
        <w:rPr>
          <w:rFonts w:ascii="Times New Roman" w:hAnsi="Times New Roman" w:eastAsia="仿宋"/>
          <w:sz w:val="28"/>
          <w:szCs w:val="28"/>
        </w:rPr>
      </w:pPr>
      <w:r>
        <w:rPr>
          <w:rFonts w:ascii="Times New Roman" w:hAnsi="Times New Roman" w:eastAsia="仿宋"/>
          <w:sz w:val="28"/>
          <w:szCs w:val="28"/>
        </w:rPr>
        <w:pict>
          <v:shape id="_x0000_s1029" o:spid="_x0000_s1029" o:spt="202" type="#_x0000_t202" style="position:absolute;left:0pt;margin-left:66.25pt;margin-top:226pt;height:31.95pt;width:201.6pt;z-index:251666432;mso-width-relative:page;mso-height-relative:page;" stroked="t" coordsize="21600,21600" o:gfxdata="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qnahTYAAAA&#10;CgEAAA8AAAAAAAAAAQAgAAAAIgAAAGRycy9kb3ducmV2LnhtbFBLAQIUABQAAAAIAIdO4kB/zOlH&#10;VgIAAPMEAAAOAAAAAAAAAAEAIAAAACcBAABkcnMvZTJvRG9jLnhtbFBLBQYAAAAABgAGAFkBAADv&#10;BQAAAAA=&#10;">
            <v:path/>
            <v:fill focussize="0,0"/>
            <v:stroke color="#FFFFFF" joinstyle="miter"/>
            <v:imagedata o:title=""/>
            <o:lock v:ext="edit"/>
            <v:textbox>
              <w:txbxContent>
                <w:p>
                  <w:pPr>
                    <w:jc w:val="left"/>
                    <w:rPr>
                      <w:rFonts w:ascii="黑体" w:hAnsi="黑体" w:eastAsia="黑体"/>
                      <w:color w:val="000000"/>
                      <w:sz w:val="28"/>
                      <w:szCs w:val="28"/>
                    </w:rPr>
                  </w:pPr>
                  <w:r>
                    <w:rPr>
                      <w:rFonts w:hint="eastAsia" w:ascii="黑体" w:hAnsi="黑体" w:eastAsia="黑体"/>
                      <w:color w:val="000000"/>
                      <w:sz w:val="28"/>
                      <w:szCs w:val="28"/>
                    </w:rPr>
                    <w:t>图</w:t>
                  </w:r>
                  <w:r>
                    <w:rPr>
                      <w:rFonts w:ascii="黑体" w:hAnsi="黑体" w:eastAsia="黑体"/>
                      <w:color w:val="000000"/>
                      <w:sz w:val="28"/>
                      <w:szCs w:val="28"/>
                    </w:rPr>
                    <w:t xml:space="preserve">3 </w:t>
                  </w:r>
                  <w:r>
                    <w:rPr>
                      <w:rFonts w:hint="eastAsia" w:ascii="黑体" w:hAnsi="黑体" w:eastAsia="黑体"/>
                      <w:color w:val="000000"/>
                      <w:sz w:val="28"/>
                      <w:szCs w:val="28"/>
                    </w:rPr>
                    <w:t>机械固定型压脚叶</w:t>
                  </w:r>
                </w:p>
                <w:p/>
              </w:txbxContent>
            </v:textbox>
          </v:shape>
        </w:pict>
      </w:r>
      <w:r>
        <w:drawing>
          <wp:anchor distT="0" distB="0" distL="114300" distR="114300" simplePos="0" relativeHeight="251660288" behindDoc="0" locked="0" layoutInCell="1" allowOverlap="1">
            <wp:simplePos x="0" y="0"/>
            <wp:positionH relativeFrom="column">
              <wp:posOffset>434975</wp:posOffset>
            </wp:positionH>
            <wp:positionV relativeFrom="paragraph">
              <wp:posOffset>234315</wp:posOffset>
            </wp:positionV>
            <wp:extent cx="1755140" cy="2552065"/>
            <wp:effectExtent l="0" t="0" r="0" b="0"/>
            <wp:wrapSquare wrapText="bothSides"/>
            <wp:docPr id="12" name="图片 0" descr="{F00F8F03-0C4A-411E-9EBC-64A481EC5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0" descr="{F00F8F03-0C4A-411E-9EBC-64A481EC5126}.bmp"/>
                    <pic:cNvPicPr>
                      <a:picLocks noChangeAspect="1"/>
                    </pic:cNvPicPr>
                  </pic:nvPicPr>
                  <pic:blipFill>
                    <a:blip r:embed="rId9" cstate="screen">
                      <a:extLst>
                        <a:ext uri="{28A0092B-C50C-407E-A947-70E740481C1C}">
                          <a14:useLocalDpi xmlns:a14="http://schemas.microsoft.com/office/drawing/2010/main" val="0"/>
                        </a:ext>
                      </a:extLst>
                    </a:blip>
                    <a:stretch>
                      <a:fillRect/>
                    </a:stretch>
                  </pic:blipFill>
                  <pic:spPr>
                    <a:xfrm>
                      <a:off x="0" y="0"/>
                      <a:ext cx="1755140" cy="2552065"/>
                    </a:xfrm>
                    <a:prstGeom prst="rect">
                      <a:avLst/>
                    </a:prstGeom>
                  </pic:spPr>
                </pic:pic>
              </a:graphicData>
            </a:graphic>
          </wp:anchor>
        </w:drawing>
      </w:r>
      <w:r>
        <w:rPr>
          <w:rFonts w:ascii="Times New Roman" w:hAnsi="Times New Roman" w:eastAsia="仿宋"/>
          <w:sz w:val="28"/>
          <w:szCs w:val="28"/>
        </w:rPr>
        <w:pict>
          <v:shape id="_x0000_s1031" o:spid="_x0000_s1031" o:spt="202" type="#_x0000_t202" style="position:absolute;left:0pt;margin-left:247.4pt;margin-top:1.5pt;height:218.25pt;width:153pt;z-index:251662336;mso-width-relative:page;mso-height-relative:page;" stroked="t" coordsize="21600,21600" o:gfxdata="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3or81gAA&#10;AAkBAAAPAAAAAAAAAAEAIAAAACIAAABkcnMvZG93bnJldi54bWxQSwECFAAUAAAACACHTuJA+WVQ&#10;NFkCAAC+BAAADgAAAAAAAAABACAAAAAlAQAAZHJzL2Uyb0RvYy54bWxQSwUGAAAAAAYABgBZAQAA&#10;8AUAAAAA&#10;">
            <v:path/>
            <v:fill focussize="0,0"/>
            <v:stroke color="#FFFFFF" joinstyle="miter"/>
            <v:imagedata o:title=""/>
            <o:lock v:ext="edit"/>
            <v:textbox>
              <w:txbxContent>
                <w:p/>
              </w:txbxContent>
            </v:textbox>
          </v:shape>
        </w:pict>
      </w: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pStyle w:val="2"/>
        <w:spacing w:line="560" w:lineRule="exact"/>
        <w:rPr>
          <w:rFonts w:ascii="Times New Roman" w:hAnsi="Times New Roman" w:eastAsia="仿宋"/>
          <w:sz w:val="28"/>
          <w:szCs w:val="28"/>
        </w:rPr>
      </w:pPr>
    </w:p>
    <w:p>
      <w:pPr>
        <w:pStyle w:val="2"/>
        <w:spacing w:line="560" w:lineRule="exact"/>
        <w:ind w:firstLine="560" w:firstLineChars="200"/>
        <w:rPr>
          <w:rFonts w:ascii="Times New Roman" w:hAnsi="Times New Roman" w:eastAsia="仿宋"/>
          <w:sz w:val="28"/>
          <w:szCs w:val="28"/>
        </w:rPr>
      </w:pPr>
    </w:p>
    <w:p>
      <w:pPr>
        <w:spacing w:line="520" w:lineRule="exact"/>
        <w:ind w:firstLine="640" w:firstLineChars="200"/>
        <w:rPr>
          <w:rFonts w:eastAsia="楷体"/>
          <w:sz w:val="32"/>
          <w:szCs w:val="32"/>
        </w:rPr>
      </w:pPr>
      <w:r>
        <w:rPr>
          <w:rFonts w:eastAsia="楷体"/>
          <w:sz w:val="32"/>
          <w:szCs w:val="32"/>
        </w:rPr>
        <w:pict>
          <v:shape id="_x0000_s1028" o:spid="_x0000_s1028" o:spt="202" type="#_x0000_t202" style="position:absolute;left:0pt;margin-left:46.5pt;margin-top:1pt;height:320.25pt;width:346.5pt;mso-position-horizontal-relative:margin;mso-wrap-distance-bottom:3.6pt;mso-wrap-distance-left:9pt;mso-wrap-distance-right:9pt;mso-wrap-distance-top:3.6pt;z-index:251664384;mso-width-relative:page;mso-height-relative:page;" stroked="t" coordsize="21600,21600" o:gfxdata="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&#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WD8Nh2AAAAAgBAAAPAAAAAAAAAAEAIAAAACIAAABk&#10;cnMvZG93bnJldi54bWxQSwECFAAUAAAACACHTuJAKk4Guj8CAAB8BAAADgAAAAAAAAABACAAAAAn&#10;AQAAZHJzL2Uyb0RvYy54bWxQSwUGAAAAAAYABgBZAQAA2AUAAAAA&#10;">
            <v:path/>
            <v:fill focussize="0,0"/>
            <v:stroke color="#F8F8F8" joinstyle="miter"/>
            <v:imagedata o:title=""/>
            <o:lock v:ext="edit"/>
            <v:textbox>
              <w:txbxContent>
                <w:p/>
                <w:p>
                  <w:r>
                    <w:drawing>
                      <wp:inline distT="0" distB="0" distL="0" distR="0">
                        <wp:extent cx="4324985" cy="2945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5510" cy="2946252"/>
                                </a:xfrm>
                                <a:prstGeom prst="rect">
                                  <a:avLst/>
                                </a:prstGeom>
                              </pic:spPr>
                            </pic:pic>
                          </a:graphicData>
                        </a:graphic>
                      </wp:inline>
                    </w:drawing>
                  </w:r>
                </w:p>
                <w:p>
                  <w:pPr>
                    <w:ind w:firstLine="1120" w:firstLineChars="400"/>
                    <w:jc w:val="center"/>
                    <w:rPr>
                      <w:rFonts w:ascii="黑体" w:hAnsi="黑体" w:eastAsia="黑体"/>
                      <w:color w:val="000000"/>
                      <w:sz w:val="28"/>
                      <w:szCs w:val="28"/>
                    </w:rPr>
                  </w:pPr>
                  <w:r>
                    <w:rPr>
                      <w:rFonts w:hint="eastAsia" w:ascii="黑体" w:hAnsi="黑体" w:eastAsia="黑体"/>
                      <w:color w:val="000000"/>
                      <w:sz w:val="28"/>
                      <w:szCs w:val="28"/>
                    </w:rPr>
                    <w:t>图</w:t>
                  </w:r>
                  <w:r>
                    <w:rPr>
                      <w:rFonts w:ascii="黑体" w:hAnsi="黑体" w:eastAsia="黑体"/>
                      <w:color w:val="000000"/>
                      <w:sz w:val="28"/>
                      <w:szCs w:val="28"/>
                    </w:rPr>
                    <w:t>4心脏</w:t>
                  </w:r>
                  <w:r>
                    <w:rPr>
                      <w:rFonts w:hint="eastAsia" w:ascii="黑体" w:hAnsi="黑体" w:eastAsia="黑体"/>
                      <w:color w:val="000000"/>
                      <w:sz w:val="28"/>
                      <w:szCs w:val="28"/>
                    </w:rPr>
                    <w:t>固定器组件名称</w:t>
                  </w:r>
                </w:p>
                <w:p>
                  <w:pPr>
                    <w:ind w:firstLine="1120" w:firstLineChars="400"/>
                    <w:rPr>
                      <w:rFonts w:ascii="仿宋" w:hAnsi="仿宋" w:eastAsia="仿宋"/>
                      <w:color w:val="000000"/>
                      <w:sz w:val="28"/>
                      <w:szCs w:val="28"/>
                    </w:rPr>
                  </w:pPr>
                </w:p>
                <w:p>
                  <w:pPr>
                    <w:ind w:firstLine="1120" w:firstLineChars="400"/>
                    <w:rPr>
                      <w:rFonts w:ascii="仿宋" w:hAnsi="仿宋" w:eastAsia="仿宋"/>
                      <w:color w:val="000000"/>
                      <w:sz w:val="28"/>
                      <w:szCs w:val="28"/>
                    </w:rPr>
                  </w:pPr>
                </w:p>
                <w:p/>
                <w:p/>
                <w:p/>
              </w:txbxContent>
            </v:textbox>
            <w10:wrap type="square"/>
          </v:shape>
        </w:pict>
      </w: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r>
        <w:rPr>
          <w:rFonts w:eastAsia="楷体"/>
          <w:sz w:val="32"/>
          <w:szCs w:val="32"/>
        </w:rPr>
        <w:pict>
          <v:shape id="_x0000_s1027" o:spid="_x0000_s1027" o:spt="202" type="#_x0000_t202" style="position:absolute;left:0pt;margin-left:47pt;margin-top:24.5pt;height:319.5pt;width:342.5pt;mso-wrap-distance-bottom:3.6pt;mso-wrap-distance-left:9pt;mso-wrap-distance-right:9pt;mso-wrap-distance-top:3.6pt;z-index:251665408;mso-width-relative:page;mso-height-relative:page;" stroked="f" coordsize="21600,21600" o:gfxdata="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qLJndYAAAAJAQAADwAAAAAAAAABACAAAAAiAAAAZHJzL2Rvd25y&#10;ZXYueG1sUEsBAhQAFAAAAAgAh07iQEBBW+g5AgAAUwQAAA4AAAAAAAAAAQAgAAAAJQEAAGRycy9l&#10;Mm9Eb2MueG1sUEsFBgAAAAAGAAYAWQEAANAFAAAAAA==&#10;">
            <v:path/>
            <v:fill focussize="0,0"/>
            <v:stroke on="f" joinstyle="miter"/>
            <v:imagedata o:title=""/>
            <o:lock v:ext="edit"/>
            <v:textbox>
              <w:txbxContent>
                <w:p>
                  <w:r>
                    <w:drawing>
                      <wp:inline distT="0" distB="0" distL="0" distR="0">
                        <wp:extent cx="4261485" cy="2679065"/>
                        <wp:effectExtent l="0" t="0" r="0" b="0"/>
                        <wp:docPr id="15" name="图片 2" descr="新建位图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新建位图图像.bmp"/>
                                <pic:cNvPicPr>
                                  <a:picLocks noChangeAspect="1"/>
                                </pic:cNvPicPr>
                              </pic:nvPicPr>
                              <pic:blipFill>
                                <a:blip r:embed="rId11"/>
                                <a:stretch>
                                  <a:fillRect/>
                                </a:stretch>
                              </pic:blipFill>
                              <pic:spPr>
                                <a:xfrm>
                                  <a:off x="0" y="0"/>
                                  <a:ext cx="4339614" cy="2728409"/>
                                </a:xfrm>
                                <a:prstGeom prst="rect">
                                  <a:avLst/>
                                </a:prstGeom>
                                <a:noFill/>
                                <a:ln>
                                  <a:noFill/>
                                </a:ln>
                              </pic:spPr>
                            </pic:pic>
                          </a:graphicData>
                        </a:graphic>
                      </wp:inline>
                    </w:drawing>
                  </w:r>
                </w:p>
                <w:p>
                  <w:pPr>
                    <w:spacing w:line="276" w:lineRule="auto"/>
                    <w:jc w:val="center"/>
                    <w:rPr>
                      <w:rFonts w:eastAsia="仿宋_GB2312"/>
                      <w:color w:val="000000"/>
                      <w:sz w:val="24"/>
                    </w:rPr>
                  </w:pPr>
                  <w:r>
                    <w:rPr>
                      <w:rFonts w:eastAsia="仿宋_GB2312"/>
                      <w:color w:val="000000"/>
                      <w:sz w:val="24"/>
                    </w:rPr>
                    <w:t>1.</w:t>
                  </w:r>
                  <w:r>
                    <w:rPr>
                      <w:rFonts w:hint="eastAsia" w:eastAsia="仿宋_GB2312"/>
                      <w:color w:val="000000"/>
                      <w:sz w:val="24"/>
                    </w:rPr>
                    <w:t>旋柄</w:t>
                  </w:r>
                  <w:r>
                    <w:rPr>
                      <w:rFonts w:eastAsia="仿宋_GB2312"/>
                      <w:color w:val="000000"/>
                      <w:sz w:val="24"/>
                    </w:rPr>
                    <w:t>；2.锁紧旋钮；3.固定</w:t>
                  </w:r>
                  <w:r>
                    <w:rPr>
                      <w:rFonts w:hint="eastAsia" w:eastAsia="仿宋_GB2312"/>
                      <w:color w:val="000000"/>
                      <w:sz w:val="24"/>
                    </w:rPr>
                    <w:t>卡</w:t>
                  </w:r>
                  <w:r>
                    <w:rPr>
                      <w:rFonts w:eastAsia="仿宋_GB2312"/>
                      <w:color w:val="000000"/>
                      <w:sz w:val="24"/>
                    </w:rPr>
                    <w:t>座；4.转动架；5.</w:t>
                  </w:r>
                  <w:r>
                    <w:rPr>
                      <w:rFonts w:hint="eastAsia" w:eastAsia="仿宋_GB2312"/>
                      <w:color w:val="000000"/>
                      <w:sz w:val="24"/>
                    </w:rPr>
                    <w:t>调节</w:t>
                  </w:r>
                  <w:r>
                    <w:rPr>
                      <w:rFonts w:eastAsia="仿宋_GB2312"/>
                      <w:color w:val="000000"/>
                      <w:sz w:val="24"/>
                    </w:rPr>
                    <w:t>臂；6.护套管； 7.U型压脚固定座；8.U型压脚</w:t>
                  </w:r>
                  <w:r>
                    <w:rPr>
                      <w:rFonts w:hint="eastAsia" w:eastAsia="仿宋_GB2312"/>
                      <w:color w:val="000000"/>
                      <w:sz w:val="24"/>
                    </w:rPr>
                    <w:t>（或称吸盘、吸脚）</w:t>
                  </w:r>
                  <w:r>
                    <w:rPr>
                      <w:rFonts w:eastAsia="仿宋_GB2312"/>
                      <w:color w:val="000000"/>
                      <w:sz w:val="24"/>
                    </w:rPr>
                    <w:t>；9.前端吸管；10.三通；11.后端吸管；12.鲁尔接头</w:t>
                  </w:r>
                </w:p>
                <w:p>
                  <w:pPr>
                    <w:jc w:val="center"/>
                    <w:rPr>
                      <w:rFonts w:ascii="黑体" w:hAnsi="黑体" w:eastAsia="黑体"/>
                    </w:rPr>
                  </w:pPr>
                  <w:r>
                    <w:rPr>
                      <w:rFonts w:ascii="黑体" w:hAnsi="黑体" w:eastAsia="黑体"/>
                      <w:color w:val="000000"/>
                      <w:sz w:val="28"/>
                      <w:szCs w:val="28"/>
                    </w:rPr>
                    <w:t>图5心脏</w:t>
                  </w:r>
                  <w:r>
                    <w:rPr>
                      <w:rFonts w:hint="eastAsia" w:ascii="黑体" w:hAnsi="黑体" w:eastAsia="黑体"/>
                      <w:color w:val="000000"/>
                      <w:sz w:val="28"/>
                      <w:szCs w:val="28"/>
                    </w:rPr>
                    <w:t>固定器组件名称</w:t>
                  </w:r>
                </w:p>
              </w:txbxContent>
            </v:textbox>
            <w10:wrap type="square"/>
          </v:shape>
        </w:pict>
      </w: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firstLine="640" w:firstLineChars="200"/>
        <w:rPr>
          <w:rFonts w:eastAsia="楷体"/>
          <w:sz w:val="32"/>
          <w:szCs w:val="32"/>
        </w:rPr>
      </w:pPr>
    </w:p>
    <w:p>
      <w:pPr>
        <w:spacing w:line="520" w:lineRule="exact"/>
        <w:ind w:right="-67" w:rightChars="-32" w:firstLine="640" w:firstLineChars="200"/>
        <w:rPr>
          <w:rFonts w:eastAsia="仿宋_GB2312" w:cstheme="minorBidi"/>
          <w:color w:val="000000"/>
          <w:sz w:val="32"/>
          <w:szCs w:val="32"/>
        </w:rPr>
      </w:pPr>
      <w:r>
        <w:rPr>
          <w:rFonts w:hint="eastAsia" w:eastAsia="仿宋_GB2312" w:cstheme="minorBidi"/>
          <w:color w:val="000000"/>
          <w:sz w:val="32"/>
          <w:szCs w:val="32"/>
        </w:rPr>
        <w:t>本指导原则不适用于重复使用的心脏固定器。</w:t>
      </w:r>
    </w:p>
    <w:p>
      <w:pPr>
        <w:spacing w:line="520" w:lineRule="exact"/>
        <w:ind w:right="-67" w:rightChars="-32" w:firstLine="640" w:firstLineChars="200"/>
        <w:rPr>
          <w:rFonts w:eastAsia="楷体_GB2312"/>
          <w:color w:val="000000"/>
          <w:sz w:val="32"/>
          <w:szCs w:val="32"/>
        </w:rPr>
      </w:pPr>
      <w:r>
        <w:rPr>
          <w:rFonts w:eastAsia="黑体"/>
          <w:color w:val="000000"/>
          <w:sz w:val="32"/>
          <w:szCs w:val="32"/>
        </w:rPr>
        <w:t>二、</w:t>
      </w:r>
      <w:r>
        <w:rPr>
          <w:rFonts w:hint="eastAsia" w:eastAsia="黑体"/>
          <w:color w:val="000000"/>
          <w:sz w:val="32"/>
          <w:szCs w:val="32"/>
        </w:rPr>
        <w:t>注册</w:t>
      </w:r>
      <w:r>
        <w:rPr>
          <w:rFonts w:eastAsia="黑体"/>
          <w:color w:val="000000"/>
          <w:sz w:val="32"/>
          <w:szCs w:val="32"/>
        </w:rPr>
        <w:t>审查要点</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（一）</w:t>
      </w:r>
      <w:r>
        <w:rPr>
          <w:rFonts w:hint="eastAsia" w:eastAsia="楷体_GB2312"/>
          <w:color w:val="000000"/>
          <w:sz w:val="32"/>
          <w:szCs w:val="32"/>
        </w:rPr>
        <w:t>监管信息</w:t>
      </w:r>
    </w:p>
    <w:p>
      <w:pPr>
        <w:spacing w:line="520" w:lineRule="exact"/>
        <w:ind w:firstLine="640" w:firstLineChars="200"/>
        <w:rPr>
          <w:rFonts w:eastAsia="仿宋_GB2312"/>
          <w:color w:val="000000"/>
          <w:sz w:val="32"/>
          <w:szCs w:val="32"/>
        </w:rPr>
      </w:pPr>
      <w:r>
        <w:rPr>
          <w:rFonts w:eastAsia="仿宋_GB2312"/>
          <w:color w:val="000000"/>
          <w:sz w:val="32"/>
          <w:szCs w:val="32"/>
        </w:rPr>
        <w:t>申请人应提供申请表、既往沟通记录（如不适用，应当明确声明申报产品没有既往申报和/或申报前沟通）、主文档授权信（如适用）、关联文件</w:t>
      </w:r>
      <w:r>
        <w:rPr>
          <w:rFonts w:hint="eastAsia" w:eastAsia="仿宋_GB2312"/>
          <w:color w:val="000000"/>
          <w:sz w:val="32"/>
          <w:szCs w:val="32"/>
        </w:rPr>
        <w:t>及其他管理信息等。</w:t>
      </w:r>
    </w:p>
    <w:p>
      <w:pPr>
        <w:spacing w:line="520" w:lineRule="exact"/>
        <w:ind w:firstLine="640" w:firstLineChars="200"/>
        <w:rPr>
          <w:rFonts w:eastAsia="仿宋_GB2312"/>
          <w:sz w:val="32"/>
          <w:szCs w:val="32"/>
        </w:rPr>
      </w:pPr>
      <w:r>
        <w:rPr>
          <w:rFonts w:hint="eastAsia" w:eastAsia="仿宋_GB2312"/>
          <w:sz w:val="32"/>
          <w:szCs w:val="32"/>
        </w:rPr>
        <w:t>1.产品名称的要求</w:t>
      </w:r>
    </w:p>
    <w:p>
      <w:pPr>
        <w:pStyle w:val="2"/>
        <w:spacing w:line="520" w:lineRule="exact"/>
        <w:ind w:firstLine="640" w:firstLineChars="200"/>
        <w:rPr>
          <w:rFonts w:ascii="Times New Roman" w:hAnsi="Times New Roman" w:eastAsia="仿宋_GB2312" w:cstheme="minorBidi"/>
          <w:color w:val="000000"/>
          <w:kern w:val="2"/>
          <w:sz w:val="32"/>
          <w:szCs w:val="32"/>
        </w:rPr>
      </w:pPr>
      <w:r>
        <w:rPr>
          <w:rFonts w:hint="eastAsia" w:ascii="Times New Roman" w:hAnsi="Times New Roman" w:eastAsia="仿宋_GB2312" w:cstheme="minorBidi"/>
          <w:color w:val="000000"/>
          <w:kern w:val="2"/>
          <w:sz w:val="32"/>
          <w:szCs w:val="32"/>
        </w:rPr>
        <w:t>产品名称应以产品的预期用途和适用范围为依据，</w:t>
      </w:r>
      <w:bookmarkStart w:id="0" w:name="_Hlk523650005"/>
      <w:r>
        <w:rPr>
          <w:rFonts w:hint="eastAsia" w:ascii="Times New Roman" w:hAnsi="Times New Roman" w:eastAsia="仿宋_GB2312" w:cstheme="minorBidi"/>
          <w:color w:val="000000"/>
          <w:kern w:val="2"/>
          <w:sz w:val="32"/>
          <w:szCs w:val="32"/>
        </w:rPr>
        <w:t>一般应为一次性使用心脏固定器</w:t>
      </w:r>
      <w:r>
        <w:rPr>
          <w:rFonts w:hint="eastAsia" w:ascii="Times New Roman" w:hAnsi="Times New Roman" w:eastAsia="仿宋_GB2312"/>
          <w:color w:val="000000"/>
          <w:sz w:val="32"/>
          <w:szCs w:val="32"/>
        </w:rPr>
        <w:t>（</w:t>
      </w:r>
      <w:bookmarkStart w:id="1" w:name="_Hlk523649549"/>
      <w:r>
        <w:rPr>
          <w:rFonts w:hint="eastAsia" w:ascii="Times New Roman" w:hAnsi="Times New Roman" w:eastAsia="仿宋_GB2312"/>
          <w:color w:val="000000"/>
          <w:sz w:val="32"/>
          <w:szCs w:val="32"/>
        </w:rPr>
        <w:t>以下简称为“心脏固定器”</w:t>
      </w:r>
      <w:bookmarkEnd w:id="1"/>
      <w:r>
        <w:rPr>
          <w:rFonts w:hint="eastAsia" w:ascii="Times New Roman" w:hAnsi="Times New Roman" w:eastAsia="仿宋_GB2312"/>
          <w:color w:val="000000"/>
          <w:sz w:val="32"/>
          <w:szCs w:val="32"/>
        </w:rPr>
        <w:t>）</w:t>
      </w:r>
      <w:r>
        <w:rPr>
          <w:rFonts w:hint="eastAsia" w:ascii="Times New Roman" w:hAnsi="Times New Roman" w:eastAsia="仿宋_GB2312" w:cstheme="minorBidi"/>
          <w:color w:val="000000"/>
          <w:kern w:val="2"/>
          <w:sz w:val="32"/>
          <w:szCs w:val="32"/>
        </w:rPr>
        <w:t>、一次性使用心脏稳定器。</w:t>
      </w:r>
    </w:p>
    <w:p>
      <w:pPr>
        <w:spacing w:line="520" w:lineRule="exact"/>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分类代码</w:t>
      </w:r>
    </w:p>
    <w:p>
      <w:pPr>
        <w:spacing w:line="520" w:lineRule="exact"/>
        <w:ind w:right="-67" w:rightChars="-32" w:firstLine="640" w:firstLineChars="200"/>
        <w:rPr>
          <w:rFonts w:eastAsia="仿宋_GB2312"/>
          <w:color w:val="000000"/>
          <w:sz w:val="32"/>
          <w:szCs w:val="32"/>
        </w:rPr>
      </w:pPr>
      <w:r>
        <w:rPr>
          <w:rFonts w:hint="eastAsia" w:eastAsia="仿宋_GB2312"/>
          <w:color w:val="000000"/>
          <w:sz w:val="32"/>
          <w:szCs w:val="32"/>
        </w:rPr>
        <w:t>根据《医疗器械分类目录》规定，心脏固定器管理类别为Ⅱ类，子目录为03神经和心血管手术器械，一级产品类别为14神经和心血管手术器械-其他器械，二级产品类别为02固位器。</w:t>
      </w:r>
    </w:p>
    <w:p>
      <w:pPr>
        <w:spacing w:line="520" w:lineRule="exact"/>
        <w:ind w:firstLine="640" w:firstLineChars="200"/>
        <w:rPr>
          <w:rFonts w:eastAsia="仿宋_GB2312"/>
          <w:sz w:val="32"/>
          <w:szCs w:val="32"/>
        </w:rPr>
      </w:pPr>
      <w:r>
        <w:rPr>
          <w:rFonts w:hint="eastAsia" w:eastAsia="仿宋_GB2312"/>
          <w:sz w:val="32"/>
          <w:szCs w:val="32"/>
        </w:rPr>
        <w:t>3</w:t>
      </w:r>
      <w:r>
        <w:rPr>
          <w:rFonts w:eastAsia="仿宋_GB2312"/>
          <w:sz w:val="32"/>
          <w:szCs w:val="32"/>
        </w:rPr>
        <w:t>.</w:t>
      </w:r>
      <w:r>
        <w:rPr>
          <w:rFonts w:hint="eastAsia" w:eastAsia="仿宋_GB2312"/>
          <w:sz w:val="32"/>
          <w:szCs w:val="32"/>
        </w:rPr>
        <w:t>注册单元划分的原则和实例</w:t>
      </w:r>
    </w:p>
    <w:p>
      <w:pPr>
        <w:spacing w:line="520" w:lineRule="exact"/>
        <w:ind w:firstLine="640" w:firstLineChars="200"/>
        <w:rPr>
          <w:rFonts w:eastAsia="仿宋_GB2312"/>
          <w:sz w:val="32"/>
          <w:szCs w:val="32"/>
        </w:rPr>
      </w:pPr>
      <w:r>
        <w:rPr>
          <w:rFonts w:hint="eastAsia" w:eastAsia="仿宋_GB2312"/>
          <w:sz w:val="32"/>
          <w:szCs w:val="32"/>
        </w:rPr>
        <w:t>注册单元划分应根据相关法规文件要求，医疗器械注册单元原则上以产品的技术原理、结构组成、性能指标和适用范围为划分依据。</w:t>
      </w:r>
    </w:p>
    <w:p>
      <w:pPr>
        <w:spacing w:line="520" w:lineRule="exact"/>
        <w:ind w:firstLine="640" w:firstLineChars="200"/>
        <w:rPr>
          <w:rFonts w:eastAsia="仿宋_GB2312"/>
          <w:sz w:val="32"/>
          <w:szCs w:val="32"/>
        </w:rPr>
      </w:pPr>
      <w:r>
        <w:rPr>
          <w:rFonts w:hint="eastAsia" w:eastAsia="仿宋_GB2312"/>
          <w:sz w:val="32"/>
          <w:szCs w:val="32"/>
        </w:rPr>
        <w:t>心脏固定器产品不同规格、型号可为同一注册单元，如吸引固定型和机械固定型产品可划为同一注册单元。</w:t>
      </w:r>
    </w:p>
    <w:p>
      <w:pPr>
        <w:spacing w:line="520" w:lineRule="exact"/>
        <w:ind w:firstLine="640" w:firstLineChars="200"/>
        <w:rPr>
          <w:rFonts w:eastAsia="仿宋_GB2312"/>
          <w:sz w:val="32"/>
          <w:szCs w:val="32"/>
        </w:rPr>
      </w:pPr>
      <w:r>
        <w:rPr>
          <w:rFonts w:hint="eastAsia" w:eastAsia="仿宋_GB2312"/>
          <w:sz w:val="32"/>
          <w:szCs w:val="32"/>
        </w:rPr>
        <w:t>本指导原则列举的均为常见的心脏固定器产品，可作为同一注册单元，但还可能有其他不同结构形式的其他产品，如符合本指导原则的注册单元划分原则，可视实际情况判定其注册单元划分。</w:t>
      </w:r>
    </w:p>
    <w:bookmarkEnd w:id="0"/>
    <w:p>
      <w:pPr>
        <w:spacing w:line="520" w:lineRule="exact"/>
        <w:ind w:firstLine="640" w:firstLineChars="200"/>
        <w:rPr>
          <w:rFonts w:eastAsia="仿宋_GB2312"/>
          <w:sz w:val="32"/>
          <w:szCs w:val="32"/>
        </w:rPr>
      </w:pPr>
      <w:r>
        <w:rPr>
          <w:rFonts w:hint="eastAsia" w:eastAsia="仿宋_GB2312"/>
          <w:sz w:val="32"/>
          <w:szCs w:val="32"/>
        </w:rPr>
        <w:t>4</w:t>
      </w:r>
      <w:r>
        <w:rPr>
          <w:rFonts w:eastAsia="仿宋_GB2312"/>
          <w:sz w:val="32"/>
          <w:szCs w:val="32"/>
        </w:rPr>
        <w:t>.</w:t>
      </w:r>
      <w:r>
        <w:rPr>
          <w:rFonts w:hint="eastAsia" w:eastAsia="仿宋_GB2312"/>
          <w:sz w:val="32"/>
          <w:szCs w:val="32"/>
        </w:rPr>
        <w:t>产品列表</w:t>
      </w:r>
    </w:p>
    <w:p>
      <w:pPr>
        <w:spacing w:line="520" w:lineRule="exact"/>
        <w:ind w:right="-67" w:rightChars="-32" w:firstLine="640" w:firstLineChars="200"/>
        <w:rPr>
          <w:rFonts w:eastAsia="仿宋_GB2312"/>
          <w:sz w:val="32"/>
          <w:szCs w:val="32"/>
        </w:rPr>
      </w:pPr>
      <w:r>
        <w:rPr>
          <w:rFonts w:hint="eastAsia" w:eastAsia="仿宋_GB2312"/>
          <w:sz w:val="32"/>
          <w:szCs w:val="32"/>
        </w:rPr>
        <w:t>以表格形式列出拟申报产品的型号、规格、结构及组成、附件，以及每个型号规格的标识（如型号或部件的编号，器械唯一标识等）和描述说明（如尺寸、材质等）。</w:t>
      </w:r>
    </w:p>
    <w:p>
      <w:pPr>
        <w:spacing w:line="520" w:lineRule="exact"/>
        <w:ind w:firstLine="640" w:firstLineChars="200"/>
        <w:rPr>
          <w:rFonts w:eastAsia="仿宋_GB2312"/>
          <w:color w:val="000000"/>
          <w:sz w:val="32"/>
          <w:szCs w:val="32"/>
        </w:rPr>
      </w:pPr>
      <w:r>
        <w:rPr>
          <w:rFonts w:hint="eastAsia" w:eastAsia="仿宋_GB2312"/>
          <w:color w:val="000000"/>
          <w:sz w:val="32"/>
          <w:szCs w:val="32"/>
        </w:rPr>
        <w:t>5. 关联文件</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 境内注册申请人应当提供：</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5.1.1企业营业执照副本或事业单位法人证书的复印件。</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5.1.2按照《创新医疗器械特别审查程序》审批的境内医疗器械申请注册时，应当提交通过创新医疗器械审查的相关说明。</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5.1.3按照《医疗器械应急审批程序》审批的医疗器械产品申请注册时，应当提交通过医疗器械应急审批的相关说明。</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5.1.4委托其他企业生产的，应当提供受托企业资格文件（营业执照副本复印件）、委托合同和质量协议。</w:t>
      </w:r>
    </w:p>
    <w:p>
      <w:pPr>
        <w:spacing w:line="520" w:lineRule="exact"/>
        <w:ind w:firstLine="640" w:firstLineChars="200"/>
        <w:rPr>
          <w:rFonts w:eastAsia="仿宋_GB2312"/>
          <w:color w:val="000000"/>
          <w:sz w:val="32"/>
          <w:szCs w:val="32"/>
        </w:rPr>
      </w:pPr>
      <w:r>
        <w:rPr>
          <w:rFonts w:hint="eastAsia" w:eastAsia="仿宋_GB2312"/>
          <w:color w:val="000000"/>
          <w:sz w:val="32"/>
          <w:szCs w:val="32"/>
        </w:rPr>
        <w:t>5.1.5进口医疗器械注册申请人通过其在境内设立的外商投资企业按照进口医疗器械产品在中国境内企业生产有关规定申请注册时，应当提交进口医疗器械注册申请人同意注册申报的声明或授权文件；还应提供注册申请人与进口医疗器械注册申请人的关系（包括法律责任）说明文件，应当附相关协议、质量责任等文件。</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 境外注册申请人应当提供：</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5.2.1企业资格证明文件：境外注册申请人注册地所在国家（地区）公司登记主管部门或医疗器械主管部门出具的能够证明境外注册申请人存续且具备相应医疗器械生产资格的证明文件；或第三方认证机构为境外注册申请人出具的能够证明境外注册申请人具备相应医疗器械生产资格的证明文件。</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5.2.2境外注册申请人注册地或生产地所在国家（地区）医疗器械主管部门出具的准许该产品上市销售的证明文件，未在境外注册申请人注册地或生产地所在国家（地区）上市的创新医疗器械可以不提交。</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5.2.3境外注册申请人注册地或者生产地所在国家（地区）未将该产品作为医疗器械管理的，注册申请人需要提供相关文件，包括注册地或者生产地所在国家（地区）准许该产品上市销售的证明文件，未在境外注册申请人注册地或生产地所在国家（地区）上市的创新医疗器械可以不提交。</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5.2.4在中国境内指定代理人的委托书、代理人承诺书及营业执照副本复印件。</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5.2.5按照《创新医疗器械特别审查程序》审批的进口医疗器械申请注册时，应当提交通过创新医疗器械审查的相关说明。</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5.2.6按照《医疗器械应急审批程序》审批的进口医疗器械产品申请注册时，应当提交通过医疗器械应急审批的相关说明。</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5.2.7委托其他企业生产的，应当提供受托企业资格文件、委托合同和质量协议。</w:t>
      </w:r>
    </w:p>
    <w:p>
      <w:pPr>
        <w:spacing w:line="520" w:lineRule="exact"/>
        <w:ind w:firstLine="640" w:firstLineChars="200"/>
        <w:rPr>
          <w:rFonts w:eastAsia="仿宋_GB2312"/>
          <w:color w:val="000000"/>
          <w:sz w:val="32"/>
          <w:szCs w:val="32"/>
        </w:rPr>
      </w:pPr>
      <w:r>
        <w:rPr>
          <w:rFonts w:hint="eastAsia" w:eastAsia="仿宋_GB2312"/>
          <w:color w:val="000000"/>
          <w:sz w:val="32"/>
          <w:szCs w:val="32"/>
        </w:rPr>
        <w:t>6</w:t>
      </w:r>
      <w:r>
        <w:rPr>
          <w:rFonts w:eastAsia="仿宋_GB2312"/>
          <w:color w:val="000000"/>
          <w:sz w:val="32"/>
          <w:szCs w:val="32"/>
        </w:rPr>
        <w:t>.</w:t>
      </w:r>
      <w:r>
        <w:rPr>
          <w:rFonts w:hint="eastAsia" w:eastAsia="仿宋_GB2312"/>
          <w:color w:val="000000"/>
          <w:sz w:val="32"/>
          <w:szCs w:val="32"/>
        </w:rPr>
        <w:t>主文档授权信</w:t>
      </w:r>
    </w:p>
    <w:p>
      <w:pPr>
        <w:spacing w:line="520" w:lineRule="exact"/>
        <w:ind w:firstLine="640" w:firstLineChars="200"/>
        <w:rPr>
          <w:rFonts w:eastAsia="仿宋_GB2312"/>
          <w:color w:val="000000"/>
          <w:sz w:val="32"/>
          <w:szCs w:val="32"/>
        </w:rPr>
      </w:pPr>
      <w:r>
        <w:rPr>
          <w:rFonts w:eastAsia="仿宋_GB2312"/>
          <w:color w:val="000000"/>
          <w:sz w:val="32"/>
          <w:szCs w:val="32"/>
        </w:rPr>
        <w:t>如适用，注册申请人应当对主文档引用的情况进行说明。注册申请人应当提交由主文档所有者或其备案代理机构出具的授权注册申请人引用主文档信息的授权信。授权信中应当包括引用主文档的注册申请人信息、产品名称、已备案的主文档编号、授权引用的主文档页码/章节信息等内容。</w:t>
      </w:r>
    </w:p>
    <w:p>
      <w:pPr>
        <w:spacing w:line="520" w:lineRule="exact"/>
        <w:ind w:firstLine="640" w:firstLineChars="200"/>
        <w:rPr>
          <w:rFonts w:eastAsia="楷体_GB2312"/>
          <w:color w:val="000000"/>
          <w:sz w:val="32"/>
          <w:szCs w:val="32"/>
        </w:rPr>
      </w:pPr>
      <w:r>
        <w:rPr>
          <w:rFonts w:eastAsia="楷体_GB2312"/>
          <w:color w:val="000000"/>
          <w:sz w:val="32"/>
          <w:szCs w:val="32"/>
        </w:rPr>
        <w:t>（</w:t>
      </w:r>
      <w:r>
        <w:rPr>
          <w:rFonts w:hint="eastAsia" w:eastAsia="楷体_GB2312"/>
          <w:color w:val="000000"/>
          <w:sz w:val="32"/>
          <w:szCs w:val="32"/>
        </w:rPr>
        <w:t>二</w:t>
      </w:r>
      <w:r>
        <w:rPr>
          <w:rFonts w:eastAsia="楷体_GB2312"/>
          <w:color w:val="000000"/>
          <w:sz w:val="32"/>
          <w:szCs w:val="32"/>
        </w:rPr>
        <w:t>）</w:t>
      </w:r>
      <w:r>
        <w:rPr>
          <w:rFonts w:hint="eastAsia" w:eastAsia="楷体_GB2312"/>
          <w:color w:val="000000"/>
          <w:sz w:val="32"/>
          <w:szCs w:val="32"/>
        </w:rPr>
        <w:t>综述资料</w:t>
      </w:r>
    </w:p>
    <w:p>
      <w:pPr>
        <w:spacing w:line="520" w:lineRule="exact"/>
        <w:ind w:firstLine="640" w:firstLineChars="200"/>
        <w:rPr>
          <w:rFonts w:eastAsia="仿宋_GB2312"/>
          <w:color w:val="000000"/>
          <w:sz w:val="32"/>
          <w:szCs w:val="32"/>
        </w:rPr>
      </w:pPr>
      <w:r>
        <w:rPr>
          <w:rFonts w:eastAsia="仿宋_GB2312"/>
          <w:sz w:val="32"/>
          <w:szCs w:val="32"/>
        </w:rPr>
        <w:t>1.</w:t>
      </w:r>
      <w:r>
        <w:rPr>
          <w:rFonts w:hint="eastAsia" w:eastAsia="仿宋_GB2312"/>
          <w:color w:val="000000"/>
          <w:sz w:val="32"/>
          <w:szCs w:val="32"/>
        </w:rPr>
        <w:t>产品的结构组成</w:t>
      </w:r>
    </w:p>
    <w:p>
      <w:pPr>
        <w:spacing w:line="520" w:lineRule="exact"/>
        <w:ind w:firstLine="640" w:firstLineChars="200"/>
        <w:rPr>
          <w:rFonts w:eastAsia="仿宋_GB2312"/>
          <w:sz w:val="32"/>
          <w:szCs w:val="32"/>
        </w:rPr>
      </w:pPr>
      <w:r>
        <w:rPr>
          <w:rFonts w:hint="eastAsia" w:eastAsia="仿宋_GB2312"/>
          <w:sz w:val="32"/>
          <w:szCs w:val="32"/>
        </w:rPr>
        <w:t>心脏固定器产品通常分为吸引固定型和机械固定型。一般由调节手柄、固定卡座、万向支撑臂、吸盘、负压吸引管组成，也可由压脚叶（或吸脚固定座、吸脚）、负压连接管、三通阀、定向夹头组件、调节臂、固定座、调节手柄、旋柄、内穿拉紧钢丝组件组成。</w:t>
      </w:r>
    </w:p>
    <w:p>
      <w:pPr>
        <w:spacing w:line="520" w:lineRule="exact"/>
        <w:ind w:firstLine="640" w:firstLineChars="200"/>
        <w:rPr>
          <w:rFonts w:eastAsia="仿宋_GB2312"/>
          <w:color w:val="000000"/>
          <w:sz w:val="32"/>
          <w:szCs w:val="32"/>
        </w:rPr>
      </w:pPr>
      <w:r>
        <w:rPr>
          <w:rFonts w:hint="eastAsia" w:eastAsia="仿宋_GB2312"/>
          <w:sz w:val="32"/>
          <w:szCs w:val="32"/>
        </w:rPr>
        <w:t>2</w:t>
      </w:r>
      <w:r>
        <w:rPr>
          <w:rFonts w:eastAsia="仿宋_GB2312"/>
          <w:sz w:val="32"/>
          <w:szCs w:val="32"/>
        </w:rPr>
        <w:t>.</w:t>
      </w:r>
      <w:r>
        <w:rPr>
          <w:rFonts w:hint="eastAsia" w:eastAsia="仿宋_GB2312"/>
          <w:color w:val="000000"/>
          <w:sz w:val="32"/>
          <w:szCs w:val="32"/>
        </w:rPr>
        <w:t>产品工作原理</w:t>
      </w:r>
    </w:p>
    <w:p>
      <w:pPr>
        <w:spacing w:line="520" w:lineRule="exact"/>
        <w:ind w:firstLine="200"/>
        <w:rPr>
          <w:rFonts w:eastAsia="仿宋_GB2312"/>
          <w:sz w:val="32"/>
          <w:szCs w:val="32"/>
        </w:rPr>
      </w:pPr>
      <w:r>
        <w:rPr>
          <w:rFonts w:eastAsia="仿宋_GB2312"/>
          <w:sz w:val="32"/>
          <w:szCs w:val="32"/>
        </w:rPr>
        <w:t>心脏固定器产品</w:t>
      </w:r>
      <w:r>
        <w:rPr>
          <w:rFonts w:hint="eastAsia" w:eastAsia="仿宋_GB2312"/>
          <w:sz w:val="32"/>
          <w:szCs w:val="32"/>
        </w:rPr>
        <w:t>主要通过</w:t>
      </w:r>
      <w:r>
        <w:rPr>
          <w:rFonts w:eastAsia="仿宋_GB2312"/>
          <w:sz w:val="32"/>
          <w:szCs w:val="32"/>
        </w:rPr>
        <w:t>活</w:t>
      </w:r>
      <w:r>
        <w:rPr>
          <w:rFonts w:hint="eastAsia" w:eastAsia="仿宋_GB2312"/>
          <w:sz w:val="32"/>
          <w:szCs w:val="32"/>
        </w:rPr>
        <w:t>动调节</w:t>
      </w:r>
      <w:r>
        <w:rPr>
          <w:rFonts w:eastAsia="仿宋_GB2312"/>
          <w:sz w:val="32"/>
          <w:szCs w:val="32"/>
        </w:rPr>
        <w:t>臂支撑一固定终端，按压在心脏表面</w:t>
      </w:r>
      <w:r>
        <w:rPr>
          <w:rFonts w:hint="eastAsia" w:eastAsia="仿宋_GB2312"/>
          <w:sz w:val="32"/>
          <w:szCs w:val="32"/>
        </w:rPr>
        <w:t>，采用负压吸引方式或机械压迫方式，在心脏不停跳的情况下，对心脏手术区域进行固定，提供相对稳定的手术操作视野。</w:t>
      </w:r>
    </w:p>
    <w:p>
      <w:pPr>
        <w:spacing w:line="520" w:lineRule="exact"/>
        <w:ind w:firstLine="200"/>
        <w:rPr>
          <w:rFonts w:eastAsia="仿宋_GB2312"/>
          <w:sz w:val="32"/>
          <w:szCs w:val="32"/>
        </w:rPr>
      </w:pPr>
      <w:r>
        <w:rPr>
          <w:rFonts w:eastAsia="仿宋_GB2312"/>
          <w:color w:val="000000"/>
          <w:sz w:val="32"/>
          <w:szCs w:val="32"/>
        </w:rPr>
        <w:t xml:space="preserve">  </w:t>
      </w:r>
      <w:r>
        <w:rPr>
          <w:rFonts w:hint="eastAsia" w:eastAsia="仿宋_GB2312"/>
          <w:color w:val="000000"/>
          <w:sz w:val="32"/>
          <w:szCs w:val="32"/>
        </w:rPr>
        <w:t xml:space="preserve">    </w:t>
      </w:r>
      <w:r>
        <w:rPr>
          <w:rFonts w:eastAsia="仿宋_GB2312"/>
          <w:color w:val="000000"/>
          <w:sz w:val="32"/>
          <w:szCs w:val="32"/>
        </w:rPr>
        <w:t>3.</w:t>
      </w:r>
      <w:r>
        <w:rPr>
          <w:rFonts w:hint="eastAsia" w:eastAsia="仿宋_GB2312"/>
          <w:sz w:val="32"/>
          <w:szCs w:val="32"/>
        </w:rPr>
        <w:t>包装描述</w:t>
      </w:r>
    </w:p>
    <w:p>
      <w:pPr>
        <w:spacing w:line="520" w:lineRule="exact"/>
        <w:ind w:firstLine="672" w:firstLineChars="210"/>
        <w:rPr>
          <w:rFonts w:eastAsia="仿宋_GB2312"/>
          <w:sz w:val="32"/>
          <w:szCs w:val="32"/>
        </w:rPr>
      </w:pPr>
      <w:r>
        <w:rPr>
          <w:rFonts w:hint="eastAsia" w:eastAsia="仿宋_GB2312"/>
          <w:sz w:val="32"/>
          <w:szCs w:val="32"/>
        </w:rPr>
        <w:t xml:space="preserve">应说明心脏固定器产品所有组成的包装信息，明确其无菌屏障系统信息。 </w:t>
      </w:r>
    </w:p>
    <w:p>
      <w:pPr>
        <w:spacing w:line="520" w:lineRule="exact"/>
        <w:ind w:firstLine="640" w:firstLineChars="200"/>
        <w:rPr>
          <w:rFonts w:eastAsia="仿宋_GB2312"/>
          <w:color w:val="000000"/>
          <w:sz w:val="32"/>
          <w:szCs w:val="32"/>
        </w:rPr>
      </w:pPr>
      <w:r>
        <w:rPr>
          <w:rFonts w:eastAsia="仿宋_GB2312"/>
          <w:color w:val="000000"/>
          <w:sz w:val="32"/>
          <w:szCs w:val="32"/>
        </w:rPr>
        <w:t>4</w:t>
      </w:r>
      <w:r>
        <w:rPr>
          <w:rFonts w:hint="eastAsia" w:eastAsia="仿宋_GB2312"/>
          <w:color w:val="000000"/>
          <w:sz w:val="32"/>
          <w:szCs w:val="32"/>
        </w:rPr>
        <w:t>.产品的适用范围/禁忌证</w:t>
      </w:r>
    </w:p>
    <w:p>
      <w:pPr>
        <w:spacing w:line="520" w:lineRule="exact"/>
        <w:ind w:firstLine="640" w:firstLineChars="200"/>
        <w:rPr>
          <w:rFonts w:eastAsia="仿宋_GB2312"/>
          <w:sz w:val="32"/>
          <w:szCs w:val="32"/>
        </w:rPr>
      </w:pPr>
      <w:r>
        <w:rPr>
          <w:rFonts w:hint="eastAsia" w:eastAsia="仿宋_GB2312"/>
          <w:sz w:val="32"/>
          <w:szCs w:val="32"/>
        </w:rPr>
        <w:t>适用范围：心脏固定器适用于心脏搭桥手术时，</w:t>
      </w:r>
      <w:bookmarkStart w:id="2" w:name="_Hlk523650721"/>
      <w:r>
        <w:rPr>
          <w:rFonts w:hint="eastAsia" w:eastAsia="仿宋_GB2312"/>
          <w:sz w:val="32"/>
          <w:szCs w:val="32"/>
        </w:rPr>
        <w:t>在心脏的目标血管处建立一个固定的手术区域</w:t>
      </w:r>
      <w:bookmarkEnd w:id="2"/>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禁忌证：暂未发现。</w:t>
      </w:r>
    </w:p>
    <w:p>
      <w:pPr>
        <w:spacing w:line="520" w:lineRule="exact"/>
        <w:ind w:firstLine="640" w:firstLineChars="200"/>
        <w:rPr>
          <w:rFonts w:eastAsia="仿宋_GB2312"/>
          <w:color w:val="000000"/>
          <w:sz w:val="32"/>
          <w:szCs w:val="32"/>
        </w:rPr>
      </w:pPr>
      <w:r>
        <w:rPr>
          <w:rFonts w:eastAsia="仿宋_GB2312"/>
          <w:color w:val="000000"/>
          <w:sz w:val="32"/>
          <w:szCs w:val="32"/>
        </w:rPr>
        <w:t>5</w:t>
      </w:r>
      <w:r>
        <w:rPr>
          <w:rFonts w:hint="eastAsia" w:eastAsia="仿宋_GB2312"/>
          <w:color w:val="000000"/>
          <w:sz w:val="32"/>
          <w:szCs w:val="32"/>
        </w:rPr>
        <w:t>.产品的不良事件历史记录</w:t>
      </w:r>
    </w:p>
    <w:p>
      <w:pPr>
        <w:spacing w:line="520" w:lineRule="exact"/>
        <w:ind w:firstLine="640" w:firstLineChars="200"/>
        <w:rPr>
          <w:rFonts w:eastAsia="仿宋_GB2312"/>
          <w:color w:val="000000"/>
          <w:sz w:val="32"/>
          <w:szCs w:val="32"/>
        </w:rPr>
      </w:pPr>
      <w:r>
        <w:rPr>
          <w:rFonts w:hint="eastAsia" w:eastAsia="仿宋_GB2312"/>
          <w:color w:val="000000"/>
          <w:sz w:val="32"/>
          <w:szCs w:val="32"/>
        </w:rPr>
        <w:t>目前非心脏固定器主要不良事件有：产品损坏、部件缺失等。未见心脏固定器产品的召回信息。</w:t>
      </w:r>
    </w:p>
    <w:p>
      <w:pPr>
        <w:spacing w:line="520" w:lineRule="exact"/>
        <w:ind w:firstLine="640" w:firstLineChars="200"/>
        <w:rPr>
          <w:rFonts w:eastAsia="仿宋_GB2312"/>
          <w:color w:val="000000"/>
          <w:sz w:val="32"/>
          <w:szCs w:val="32"/>
        </w:rPr>
      </w:pPr>
      <w:bookmarkStart w:id="3" w:name="_Toc81253087"/>
      <w:r>
        <w:rPr>
          <w:rFonts w:eastAsia="仿宋_GB2312"/>
          <w:color w:val="000000"/>
          <w:sz w:val="32"/>
          <w:szCs w:val="32"/>
        </w:rPr>
        <w:t>6</w:t>
      </w:r>
      <w:r>
        <w:rPr>
          <w:rFonts w:hint="eastAsia" w:eastAsia="仿宋_GB2312"/>
          <w:color w:val="000000"/>
          <w:sz w:val="32"/>
          <w:szCs w:val="32"/>
        </w:rPr>
        <w:t>.研发背景</w:t>
      </w:r>
      <w:bookmarkEnd w:id="3"/>
    </w:p>
    <w:p>
      <w:pPr>
        <w:spacing w:line="520" w:lineRule="exact"/>
        <w:ind w:firstLine="640" w:firstLineChars="200"/>
        <w:rPr>
          <w:rFonts w:eastAsia="仿宋_GB2312"/>
          <w:color w:val="000000"/>
          <w:sz w:val="32"/>
          <w:szCs w:val="32"/>
        </w:rPr>
      </w:pPr>
      <w:r>
        <w:rPr>
          <w:rFonts w:hint="eastAsia" w:eastAsia="仿宋_GB2312"/>
          <w:color w:val="000000"/>
          <w:sz w:val="32"/>
          <w:szCs w:val="32"/>
        </w:rPr>
        <w:t>阐述申请注册产品的研发背景和目的。如有参考的同类产品或前代产品，宜提供其上市情况；同时列表比较说明与同类产品在工作原理、结构组成、原材料、性能指标、灭菌方式、适用范围等方面的异同。</w:t>
      </w:r>
    </w:p>
    <w:p>
      <w:pPr>
        <w:spacing w:line="520" w:lineRule="exact"/>
        <w:ind w:firstLine="640" w:firstLineChars="200"/>
        <w:rPr>
          <w:rFonts w:eastAsia="楷体_GB2312"/>
          <w:color w:val="000000"/>
          <w:sz w:val="32"/>
          <w:szCs w:val="32"/>
        </w:rPr>
      </w:pPr>
      <w:r>
        <w:rPr>
          <w:rFonts w:eastAsia="楷体_GB2312"/>
          <w:color w:val="000000"/>
          <w:sz w:val="32"/>
          <w:szCs w:val="32"/>
        </w:rPr>
        <w:t>（</w:t>
      </w:r>
      <w:r>
        <w:rPr>
          <w:rFonts w:hint="eastAsia" w:eastAsia="楷体_GB2312"/>
          <w:color w:val="000000"/>
          <w:sz w:val="32"/>
          <w:szCs w:val="32"/>
        </w:rPr>
        <w:t>三</w:t>
      </w:r>
      <w:r>
        <w:rPr>
          <w:rFonts w:eastAsia="楷体_GB2312"/>
          <w:color w:val="000000"/>
          <w:sz w:val="32"/>
          <w:szCs w:val="32"/>
        </w:rPr>
        <w:t>）</w:t>
      </w:r>
      <w:r>
        <w:rPr>
          <w:rFonts w:hint="eastAsia" w:eastAsia="楷体_GB2312"/>
          <w:color w:val="000000"/>
          <w:sz w:val="32"/>
          <w:szCs w:val="32"/>
        </w:rPr>
        <w:t>非临床资料</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w:t>
      </w:r>
      <w:r>
        <w:rPr>
          <w:rFonts w:hint="eastAsia" w:eastAsia="仿宋_GB2312"/>
          <w:sz w:val="32"/>
          <w:szCs w:val="32"/>
        </w:rPr>
        <w:t>产品风险管理资料</w:t>
      </w:r>
    </w:p>
    <w:p>
      <w:pPr>
        <w:overflowPunct w:val="0"/>
        <w:spacing w:line="520" w:lineRule="exact"/>
        <w:ind w:firstLine="640" w:firstLineChars="200"/>
        <w:rPr>
          <w:rFonts w:eastAsia="仿宋_GB2312"/>
          <w:bCs/>
          <w:sz w:val="32"/>
          <w:szCs w:val="32"/>
        </w:rPr>
      </w:pPr>
      <w:r>
        <w:rPr>
          <w:rFonts w:hint="eastAsia" w:eastAsia="仿宋_GB2312"/>
          <w:bCs/>
          <w:sz w:val="32"/>
          <w:szCs w:val="32"/>
        </w:rPr>
        <w:t>注册申请人需对产品全生命周期实施风险管理，提交风险管理资料，参照</w:t>
      </w:r>
      <w:r>
        <w:rPr>
          <w:rFonts w:eastAsia="仿宋_GB2312"/>
          <w:bCs/>
          <w:sz w:val="32"/>
          <w:szCs w:val="32"/>
        </w:rPr>
        <w:t>YY/T 0316</w:t>
      </w:r>
      <w:r>
        <w:rPr>
          <w:rFonts w:hint="eastAsia" w:eastAsia="仿宋_GB2312"/>
          <w:bCs/>
          <w:sz w:val="32"/>
          <w:szCs w:val="32"/>
        </w:rPr>
        <w:t>《医疗器械风险管理对医疗器械的应用》。注册申请人在产品注册上市前，需对风险管理过程进行评审。评审需至少确保：风险管理计划已被适当地实施，综合剩余风险是可接受的。评审结果需形成风险管理报告。申报资料格式需符合现行有效的法规文件的要求。</w:t>
      </w:r>
    </w:p>
    <w:p>
      <w:pPr>
        <w:overflowPunct w:val="0"/>
        <w:spacing w:line="520" w:lineRule="exact"/>
        <w:ind w:firstLine="640" w:firstLineChars="200"/>
        <w:rPr>
          <w:rFonts w:eastAsia="仿宋_GB2312"/>
          <w:bCs/>
          <w:sz w:val="32"/>
          <w:szCs w:val="32"/>
        </w:rPr>
      </w:pPr>
      <w:r>
        <w:rPr>
          <w:rFonts w:hint="eastAsia" w:eastAsia="仿宋_GB2312"/>
          <w:bCs/>
          <w:sz w:val="32"/>
          <w:szCs w:val="32"/>
        </w:rPr>
        <w:t>除无源医疗器械已识别的共性风险外，对于</w:t>
      </w:r>
      <w:r>
        <w:rPr>
          <w:rFonts w:hint="eastAsia" w:eastAsia="仿宋_GB2312" w:cs="Courier New"/>
          <w:sz w:val="32"/>
          <w:szCs w:val="32"/>
        </w:rPr>
        <w:t>心脏固定器产品</w:t>
      </w:r>
      <w:r>
        <w:rPr>
          <w:rFonts w:hint="eastAsia" w:eastAsia="仿宋_GB2312"/>
          <w:bCs/>
          <w:sz w:val="32"/>
          <w:szCs w:val="32"/>
        </w:rPr>
        <w:t>，注册申请人至少还需关注以下方面的风险：</w:t>
      </w:r>
    </w:p>
    <w:p>
      <w:pPr>
        <w:spacing w:line="520" w:lineRule="exact"/>
        <w:ind w:firstLine="640" w:firstLineChars="200"/>
        <w:rPr>
          <w:rFonts w:eastAsia="仿宋_GB2312"/>
          <w:bCs/>
          <w:sz w:val="32"/>
          <w:szCs w:val="32"/>
        </w:rPr>
      </w:pPr>
      <w:r>
        <w:rPr>
          <w:rFonts w:hint="eastAsia" w:eastAsia="仿宋_GB2312"/>
          <w:bCs/>
          <w:sz w:val="32"/>
          <w:szCs w:val="32"/>
        </w:rPr>
        <w:t>（</w:t>
      </w:r>
      <w:r>
        <w:rPr>
          <w:rFonts w:eastAsia="仿宋_GB2312"/>
          <w:bCs/>
          <w:sz w:val="32"/>
          <w:szCs w:val="32"/>
        </w:rPr>
        <w:t>1</w:t>
      </w:r>
      <w:r>
        <w:rPr>
          <w:rFonts w:hint="eastAsia" w:eastAsia="仿宋_GB2312"/>
          <w:bCs/>
          <w:sz w:val="32"/>
          <w:szCs w:val="32"/>
        </w:rPr>
        <w:t>）生物或化学危害</w:t>
      </w:r>
    </w:p>
    <w:p>
      <w:pPr>
        <w:spacing w:line="520" w:lineRule="exact"/>
        <w:ind w:firstLine="420" w:firstLineChars="200"/>
        <w:rPr>
          <w:rFonts w:eastAsia="仿宋_GB2312"/>
          <w:bCs/>
          <w:sz w:val="32"/>
          <w:szCs w:val="32"/>
        </w:rPr>
      </w:pPr>
      <w:r>
        <w:fldChar w:fldCharType="begin"/>
      </w:r>
      <w:r>
        <w:instrText xml:space="preserve"> HYPERLINK "file:///D:\\工作\\指导原则2022\\1%20一次性使用心脏固定器注册技术审查指导原则（上报稿）1129%20(1).docx" </w:instrText>
      </w:r>
      <w:r>
        <w:fldChar w:fldCharType="separate"/>
      </w:r>
      <w:r>
        <w:rPr>
          <w:rFonts w:hint="eastAsia" w:eastAsia="仿宋_GB2312"/>
          <w:bCs/>
          <w:sz w:val="32"/>
          <w:szCs w:val="32"/>
        </w:rPr>
        <w:t>产品材料的选择未经过生物学评价</w:t>
      </w:r>
      <w:r>
        <w:rPr>
          <w:rFonts w:hint="eastAsia" w:eastAsia="仿宋_GB2312"/>
          <w:bCs/>
          <w:sz w:val="32"/>
          <w:szCs w:val="32"/>
        </w:rPr>
        <w:fldChar w:fldCharType="end"/>
      </w:r>
      <w:r>
        <w:rPr>
          <w:rFonts w:hint="eastAsia" w:eastAsia="仿宋_GB2312"/>
          <w:bCs/>
          <w:sz w:val="32"/>
          <w:szCs w:val="32"/>
        </w:rPr>
        <w:t>，生物不相容材料接触患者，造成患者刺激过敏等症状，损害患者健康；生产过程中原材料、包装材料等微生物的污染，导致产品菌落超标，产品灭菌不彻底，或生产环境的微生物超标，导致灭菌不彻底，产品带菌，导致细菌进入人体，患者被细菌感染，严重时导致发热、休克。</w:t>
      </w:r>
    </w:p>
    <w:p>
      <w:pPr>
        <w:spacing w:line="520" w:lineRule="exact"/>
        <w:ind w:firstLine="640" w:firstLineChars="200"/>
        <w:rPr>
          <w:rFonts w:eastAsia="仿宋_GB2312"/>
          <w:bCs/>
          <w:sz w:val="32"/>
          <w:szCs w:val="32"/>
        </w:rPr>
      </w:pPr>
      <w:r>
        <w:rPr>
          <w:rFonts w:hint="eastAsia" w:eastAsia="仿宋_GB2312"/>
          <w:bCs/>
          <w:sz w:val="32"/>
          <w:szCs w:val="32"/>
        </w:rPr>
        <w:t>（</w:t>
      </w:r>
      <w:r>
        <w:rPr>
          <w:rFonts w:eastAsia="仿宋_GB2312"/>
          <w:bCs/>
          <w:sz w:val="32"/>
          <w:szCs w:val="32"/>
        </w:rPr>
        <w:t>2</w:t>
      </w:r>
      <w:r>
        <w:rPr>
          <w:rFonts w:hint="eastAsia" w:eastAsia="仿宋_GB2312"/>
          <w:bCs/>
          <w:sz w:val="32"/>
          <w:szCs w:val="32"/>
        </w:rPr>
        <w:t>）操作危害</w:t>
      </w:r>
    </w:p>
    <w:p>
      <w:pPr>
        <w:spacing w:line="520" w:lineRule="exact"/>
        <w:ind w:firstLine="640" w:firstLineChars="200"/>
        <w:rPr>
          <w:rFonts w:eastAsia="仿宋_GB2312"/>
          <w:bCs/>
          <w:sz w:val="32"/>
          <w:szCs w:val="32"/>
        </w:rPr>
      </w:pPr>
      <w:r>
        <w:rPr>
          <w:rFonts w:hint="eastAsia" w:eastAsia="仿宋_GB2312"/>
          <w:bCs/>
          <w:sz w:val="32"/>
          <w:szCs w:val="32"/>
        </w:rPr>
        <w:t>与牵开器不配套，不能固定在支架上，无法进行手术操作，延误治疗，影响手术效果。</w:t>
      </w:r>
    </w:p>
    <w:p>
      <w:pPr>
        <w:spacing w:line="520" w:lineRule="exact"/>
        <w:ind w:firstLine="640" w:firstLineChars="200"/>
        <w:rPr>
          <w:rFonts w:eastAsia="仿宋_GB2312"/>
          <w:bCs/>
          <w:sz w:val="32"/>
          <w:szCs w:val="32"/>
        </w:rPr>
      </w:pPr>
      <w:r>
        <w:rPr>
          <w:rFonts w:hint="eastAsia" w:eastAsia="仿宋_GB2312"/>
          <w:bCs/>
          <w:sz w:val="32"/>
          <w:szCs w:val="32"/>
        </w:rPr>
        <w:t>（</w:t>
      </w:r>
      <w:r>
        <w:rPr>
          <w:rFonts w:eastAsia="仿宋_GB2312"/>
          <w:bCs/>
          <w:sz w:val="32"/>
          <w:szCs w:val="32"/>
        </w:rPr>
        <w:t>3</w:t>
      </w:r>
      <w:r>
        <w:rPr>
          <w:rFonts w:hint="eastAsia" w:eastAsia="仿宋_GB2312"/>
          <w:bCs/>
          <w:sz w:val="32"/>
          <w:szCs w:val="32"/>
        </w:rPr>
        <w:t>）灭菌</w:t>
      </w:r>
    </w:p>
    <w:p>
      <w:pPr>
        <w:spacing w:line="520" w:lineRule="exact"/>
        <w:ind w:firstLine="640" w:firstLineChars="200"/>
        <w:rPr>
          <w:rFonts w:eastAsia="仿宋_GB2312"/>
          <w:bCs/>
          <w:sz w:val="32"/>
          <w:szCs w:val="32"/>
        </w:rPr>
      </w:pPr>
      <w:r>
        <w:rPr>
          <w:rFonts w:hint="eastAsia" w:eastAsia="仿宋_GB2312"/>
          <w:bCs/>
          <w:sz w:val="32"/>
          <w:szCs w:val="32"/>
        </w:rPr>
        <w:t>（若采用环氧乙烷灭菌）对环氧乙烷残留量的控制未确认，或未能按确认的结果实施控制，解析不彻底，致使环氧乙烷残留量超标，超量的环氧乙烷输入人体，损害患者健康。</w:t>
      </w:r>
    </w:p>
    <w:p>
      <w:pPr>
        <w:overflowPunct w:val="0"/>
        <w:spacing w:line="520" w:lineRule="exact"/>
        <w:ind w:firstLine="640" w:firstLineChars="200"/>
        <w:rPr>
          <w:rFonts w:eastAsia="仿宋_GB2312"/>
          <w:bCs/>
          <w:sz w:val="32"/>
          <w:szCs w:val="32"/>
        </w:rPr>
      </w:pPr>
      <w:r>
        <w:rPr>
          <w:rFonts w:eastAsia="仿宋_GB2312"/>
          <w:bCs/>
          <w:sz w:val="32"/>
          <w:szCs w:val="32"/>
        </w:rPr>
        <w:t xml:space="preserve">2. </w:t>
      </w:r>
      <w:r>
        <w:rPr>
          <w:rFonts w:hint="eastAsia" w:eastAsia="仿宋_GB2312"/>
          <w:bCs/>
          <w:sz w:val="32"/>
          <w:szCs w:val="32"/>
        </w:rPr>
        <w:t>产品技术要求</w:t>
      </w:r>
    </w:p>
    <w:p>
      <w:pPr>
        <w:spacing w:line="520" w:lineRule="exact"/>
        <w:ind w:firstLine="640" w:firstLineChars="200"/>
        <w:rPr>
          <w:rFonts w:eastAsia="仿宋_GB2312"/>
          <w:bCs/>
          <w:sz w:val="32"/>
          <w:szCs w:val="32"/>
        </w:rPr>
      </w:pPr>
      <w:r>
        <w:rPr>
          <w:rFonts w:hint="eastAsia" w:eastAsia="仿宋_GB2312"/>
          <w:bCs/>
          <w:sz w:val="32"/>
          <w:szCs w:val="32"/>
        </w:rPr>
        <w:t>注册申请人应结合产品的技术特征和临床使用情况来编制技术要求，对宣称的所有技术参数和功能，应在产品技术要求中予以规定；产品技术要求中的内容引用国家标准、行业标准的应保证其适用性。</w:t>
      </w:r>
      <w:r>
        <w:rPr>
          <w:rFonts w:hint="eastAsia" w:eastAsia="仿宋_GB2312"/>
          <w:sz w:val="32"/>
          <w:szCs w:val="22"/>
        </w:rPr>
        <w:t>若以下相关性能指标要求（包括国家标准或行业标准中规定的要求）未适用，注册申请人应在提交注册材料的研究资料中对未适用情况进行合理的说明。</w:t>
      </w:r>
    </w:p>
    <w:p>
      <w:pPr>
        <w:overflowPunct w:val="0"/>
        <w:spacing w:line="520" w:lineRule="exact"/>
        <w:ind w:firstLine="640" w:firstLineChars="200"/>
        <w:rPr>
          <w:rFonts w:eastAsia="仿宋_GB2312"/>
          <w:bCs/>
          <w:sz w:val="32"/>
          <w:szCs w:val="32"/>
        </w:rPr>
      </w:pPr>
      <w:r>
        <w:rPr>
          <w:rFonts w:hint="eastAsia" w:eastAsia="仿宋_GB2312"/>
          <w:bCs/>
          <w:sz w:val="32"/>
          <w:szCs w:val="32"/>
        </w:rPr>
        <w:t>产品技术要求应包括但不局限于以下内容：</w:t>
      </w:r>
    </w:p>
    <w:p>
      <w:pPr>
        <w:spacing w:line="520" w:lineRule="exact"/>
        <w:ind w:firstLine="640" w:firstLineChars="200"/>
        <w:rPr>
          <w:rFonts w:eastAsia="仿宋_GB2312"/>
          <w:sz w:val="32"/>
          <w:szCs w:val="32"/>
        </w:rPr>
      </w:pPr>
      <w:r>
        <w:rPr>
          <w:rFonts w:hint="eastAsia" w:eastAsia="仿宋_GB2312"/>
          <w:sz w:val="32"/>
          <w:szCs w:val="32"/>
        </w:rPr>
        <w:t>2.1外观</w:t>
      </w:r>
    </w:p>
    <w:p>
      <w:pPr>
        <w:spacing w:line="520" w:lineRule="exact"/>
        <w:ind w:firstLine="640" w:firstLineChars="200"/>
        <w:rPr>
          <w:rFonts w:eastAsia="仿宋_GB2312"/>
          <w:sz w:val="32"/>
          <w:szCs w:val="32"/>
        </w:rPr>
      </w:pPr>
      <w:r>
        <w:rPr>
          <w:rFonts w:hint="eastAsia" w:eastAsia="仿宋_GB2312"/>
          <w:sz w:val="32"/>
          <w:szCs w:val="32"/>
        </w:rPr>
        <w:t>心脏固定器产品应明确外观要求。产品外观一般应光滑，表面应无非设计预期的锋棱、裂纹、毛刺等。</w:t>
      </w:r>
    </w:p>
    <w:p>
      <w:pPr>
        <w:spacing w:line="520" w:lineRule="exact"/>
        <w:ind w:firstLine="640" w:firstLineChars="200"/>
        <w:rPr>
          <w:rFonts w:eastAsia="仿宋_GB2312"/>
          <w:sz w:val="32"/>
          <w:szCs w:val="32"/>
        </w:rPr>
      </w:pPr>
      <w:r>
        <w:rPr>
          <w:rFonts w:hint="eastAsia" w:eastAsia="仿宋_GB2312"/>
          <w:sz w:val="32"/>
          <w:szCs w:val="32"/>
        </w:rPr>
        <w:t>2.2尺寸</w:t>
      </w:r>
    </w:p>
    <w:p>
      <w:pPr>
        <w:spacing w:line="520" w:lineRule="exact"/>
        <w:ind w:firstLine="640" w:firstLineChars="200"/>
        <w:rPr>
          <w:rFonts w:eastAsia="仿宋_GB2312"/>
          <w:sz w:val="32"/>
          <w:szCs w:val="32"/>
        </w:rPr>
      </w:pPr>
      <w:r>
        <w:rPr>
          <w:rFonts w:hint="eastAsia" w:eastAsia="仿宋_GB2312"/>
          <w:sz w:val="32"/>
          <w:szCs w:val="32"/>
        </w:rPr>
        <w:t>心脏固定器产品的压脚叶、调节臂、固定卡座等组件的尺寸及允差，在临床使用中对于稳定心脏靶血管区域、提供手术操作空间具有重要作用，应标明上述关键组件的尺寸及允差。。</w:t>
      </w:r>
    </w:p>
    <w:p>
      <w:pPr>
        <w:spacing w:line="520" w:lineRule="exact"/>
        <w:ind w:firstLine="640" w:firstLineChars="200"/>
        <w:rPr>
          <w:rFonts w:eastAsia="仿宋_GB2312"/>
          <w:sz w:val="32"/>
          <w:szCs w:val="32"/>
        </w:rPr>
      </w:pPr>
      <w:r>
        <w:rPr>
          <w:rFonts w:hint="eastAsia" w:eastAsia="仿宋_GB2312"/>
          <w:sz w:val="32"/>
          <w:szCs w:val="32"/>
        </w:rPr>
        <w:t>2.3耐腐蚀性</w:t>
      </w:r>
    </w:p>
    <w:p>
      <w:pPr>
        <w:spacing w:line="520" w:lineRule="exact"/>
        <w:ind w:firstLine="640" w:firstLineChars="200"/>
        <w:rPr>
          <w:rFonts w:eastAsia="仿宋_GB2312"/>
          <w:sz w:val="32"/>
          <w:szCs w:val="32"/>
        </w:rPr>
      </w:pPr>
      <w:r>
        <w:rPr>
          <w:rFonts w:hint="eastAsia" w:eastAsia="仿宋_GB2312"/>
          <w:sz w:val="32"/>
          <w:szCs w:val="32"/>
        </w:rPr>
        <w:t>心脏固定器产品应明确其耐腐蚀性的要求。产品中不锈钢材料组件的耐腐蚀性能应至少符合相关标准（如YY/T 0149）中5.4b级的规定。</w:t>
      </w:r>
    </w:p>
    <w:p>
      <w:pPr>
        <w:spacing w:line="520" w:lineRule="exact"/>
        <w:ind w:firstLine="640" w:firstLineChars="200"/>
        <w:rPr>
          <w:rFonts w:eastAsia="仿宋_GB2312"/>
          <w:sz w:val="32"/>
          <w:szCs w:val="32"/>
        </w:rPr>
      </w:pPr>
      <w:r>
        <w:rPr>
          <w:rFonts w:hint="eastAsia" w:eastAsia="仿宋_GB2312"/>
          <w:sz w:val="32"/>
          <w:szCs w:val="32"/>
        </w:rPr>
        <w:t>2.4吸引组件的性能</w:t>
      </w:r>
    </w:p>
    <w:p>
      <w:pPr>
        <w:spacing w:line="520" w:lineRule="exact"/>
        <w:ind w:firstLine="640" w:firstLineChars="200"/>
        <w:rPr>
          <w:rFonts w:eastAsia="仿宋_GB2312"/>
          <w:sz w:val="32"/>
          <w:szCs w:val="32"/>
        </w:rPr>
      </w:pPr>
      <w:r>
        <w:rPr>
          <w:rFonts w:hint="eastAsia" w:eastAsia="仿宋_GB2312"/>
          <w:sz w:val="32"/>
          <w:szCs w:val="32"/>
        </w:rPr>
        <w:t>心脏固定器产品中设有内腔预期可进行吸引的组件，应明确其通畅性、组件牢固性能、耐负压性能等要求。如负压吸引管、压脚叶等组件的内孔应畅通，不得有堵塞现象；负压吸引管路组件连接部位应牢固可靠；三通阀组件应开闭灵活，在打开状态下，压脚叶、负压吸引管等组件在承受企业设定的负压值并保持一定时间，不得出现扁塌或变形，且心脏固定器能吸引一定重量的物件，保持一定时间不脱落，在三通阀关闭状态下，应能有效阻断气路。</w:t>
      </w:r>
    </w:p>
    <w:p>
      <w:pPr>
        <w:spacing w:line="520" w:lineRule="exact"/>
        <w:ind w:firstLine="640" w:firstLineChars="200"/>
        <w:rPr>
          <w:rFonts w:eastAsia="仿宋_GB2312"/>
          <w:sz w:val="32"/>
          <w:szCs w:val="32"/>
        </w:rPr>
      </w:pPr>
      <w:r>
        <w:rPr>
          <w:rFonts w:hint="eastAsia" w:eastAsia="仿宋_GB2312"/>
          <w:sz w:val="32"/>
          <w:szCs w:val="32"/>
        </w:rPr>
        <w:t>2.5化学性能</w:t>
      </w:r>
    </w:p>
    <w:p>
      <w:pPr>
        <w:spacing w:line="520" w:lineRule="exact"/>
        <w:ind w:firstLine="640" w:firstLineChars="200"/>
        <w:rPr>
          <w:rFonts w:eastAsia="仿宋_GB2312"/>
          <w:sz w:val="32"/>
          <w:szCs w:val="32"/>
        </w:rPr>
      </w:pPr>
      <w:r>
        <w:rPr>
          <w:rFonts w:hint="eastAsia" w:eastAsia="仿宋_GB2312"/>
          <w:sz w:val="32"/>
          <w:szCs w:val="32"/>
        </w:rPr>
        <w:t>心脏固定器产品中直接和间接接触人体组织的组件应明确其化学性能要求。化学性能包括重金属、酸碱度、蒸发残渣、还原物质、紫外吸光度、EO残留量（如适用）等。</w:t>
      </w:r>
    </w:p>
    <w:p>
      <w:pPr>
        <w:spacing w:line="520" w:lineRule="exact"/>
        <w:ind w:firstLine="640" w:firstLineChars="200"/>
        <w:rPr>
          <w:rFonts w:eastAsia="仿宋_GB2312"/>
          <w:sz w:val="32"/>
          <w:szCs w:val="32"/>
        </w:rPr>
      </w:pPr>
      <w:r>
        <w:rPr>
          <w:rFonts w:hint="eastAsia" w:eastAsia="仿宋_GB2312"/>
          <w:sz w:val="32"/>
          <w:szCs w:val="32"/>
        </w:rPr>
        <w:t>2.6生物性能</w:t>
      </w:r>
    </w:p>
    <w:p>
      <w:pPr>
        <w:spacing w:line="520" w:lineRule="exact"/>
        <w:ind w:firstLine="640" w:firstLineChars="200"/>
        <w:rPr>
          <w:rFonts w:eastAsia="仿宋_GB2312"/>
          <w:sz w:val="32"/>
          <w:szCs w:val="32"/>
        </w:rPr>
      </w:pPr>
      <w:r>
        <w:rPr>
          <w:rFonts w:hint="eastAsia" w:eastAsia="仿宋_GB2312"/>
          <w:sz w:val="32"/>
          <w:szCs w:val="32"/>
        </w:rPr>
        <w:t>心脏固定器产品通过一个已验证的灭菌过程后应无菌。</w:t>
      </w:r>
    </w:p>
    <w:p>
      <w:pPr>
        <w:spacing w:line="520" w:lineRule="exact"/>
        <w:ind w:firstLine="640" w:firstLineChars="200"/>
        <w:rPr>
          <w:rFonts w:eastAsia="仿宋_GB2312"/>
          <w:sz w:val="32"/>
          <w:szCs w:val="32"/>
        </w:rPr>
      </w:pPr>
      <w:r>
        <w:rPr>
          <w:rFonts w:hint="eastAsia" w:eastAsia="仿宋_GB2312"/>
          <w:sz w:val="32"/>
          <w:szCs w:val="32"/>
        </w:rPr>
        <w:t>2.7其他</w:t>
      </w:r>
    </w:p>
    <w:p>
      <w:pPr>
        <w:spacing w:line="520" w:lineRule="exact"/>
        <w:ind w:firstLine="640" w:firstLineChars="200"/>
        <w:rPr>
          <w:rFonts w:eastAsia="仿宋_GB2312"/>
          <w:sz w:val="32"/>
          <w:szCs w:val="32"/>
        </w:rPr>
      </w:pPr>
      <w:r>
        <w:rPr>
          <w:rFonts w:hint="eastAsia" w:eastAsia="仿宋_GB2312"/>
          <w:sz w:val="32"/>
          <w:szCs w:val="32"/>
        </w:rPr>
        <w:t>为了保证器械安全有效而设定的其他性能，应能满足使用要求。</w:t>
      </w:r>
    </w:p>
    <w:p>
      <w:pPr>
        <w:spacing w:line="520" w:lineRule="exact"/>
        <w:ind w:firstLine="640" w:firstLineChars="200"/>
        <w:rPr>
          <w:rFonts w:eastAsia="仿宋_GB2312"/>
          <w:sz w:val="32"/>
          <w:szCs w:val="32"/>
        </w:rPr>
      </w:pPr>
      <w:r>
        <w:rPr>
          <w:rFonts w:hint="eastAsia" w:eastAsia="仿宋_GB2312"/>
          <w:sz w:val="32"/>
          <w:szCs w:val="32"/>
        </w:rPr>
        <w:t>产品的检验方法应根据技术性能指标设定，检验方法应优先采用公认的或已颁布的标准检验方法；如果没有现行的标准检验方法可采用时，规定的检验方法应具有可操作性和可重现性，必要时可附相应图示进行说明，文本较大的可以附录形式提供。</w:t>
      </w:r>
    </w:p>
    <w:p>
      <w:pPr>
        <w:overflowPunct w:val="0"/>
        <w:spacing w:line="520" w:lineRule="exact"/>
        <w:ind w:firstLine="640" w:firstLineChars="200"/>
        <w:rPr>
          <w:rFonts w:eastAsia="仿宋_GB2312"/>
          <w:bCs/>
          <w:sz w:val="32"/>
          <w:szCs w:val="32"/>
        </w:rPr>
      </w:pPr>
      <w:r>
        <w:rPr>
          <w:rFonts w:eastAsia="仿宋_GB2312"/>
          <w:bCs/>
          <w:sz w:val="32"/>
          <w:szCs w:val="32"/>
        </w:rPr>
        <w:t>3.</w:t>
      </w:r>
      <w:r>
        <w:rPr>
          <w:rFonts w:hint="eastAsia" w:eastAsia="仿宋_GB2312"/>
          <w:bCs/>
          <w:sz w:val="32"/>
          <w:szCs w:val="32"/>
        </w:rPr>
        <w:t>研究资料</w:t>
      </w:r>
    </w:p>
    <w:p>
      <w:pPr>
        <w:overflowPunct w:val="0"/>
        <w:spacing w:line="520" w:lineRule="exact"/>
        <w:ind w:firstLine="640" w:firstLineChars="200"/>
        <w:rPr>
          <w:rFonts w:eastAsia="仿宋_GB2312"/>
          <w:bCs/>
          <w:sz w:val="32"/>
          <w:szCs w:val="32"/>
        </w:rPr>
      </w:pPr>
      <w:r>
        <w:rPr>
          <w:rFonts w:hint="eastAsia" w:eastAsia="楷体_GB2312" w:cs="Courier New"/>
          <w:sz w:val="32"/>
          <w:szCs w:val="32"/>
        </w:rPr>
        <w:t>3.1</w:t>
      </w:r>
      <w:r>
        <w:rPr>
          <w:rFonts w:hint="eastAsia" w:eastAsia="仿宋_GB2312"/>
          <w:bCs/>
          <w:sz w:val="32"/>
          <w:szCs w:val="32"/>
        </w:rPr>
        <w:t>产品性能研究</w:t>
      </w:r>
    </w:p>
    <w:p>
      <w:pPr>
        <w:spacing w:line="520" w:lineRule="exact"/>
        <w:ind w:firstLine="640" w:firstLineChars="200"/>
        <w:rPr>
          <w:rFonts w:eastAsia="仿宋_GB2312"/>
          <w:bCs/>
          <w:sz w:val="32"/>
          <w:szCs w:val="32"/>
        </w:rPr>
      </w:pPr>
      <w:r>
        <w:rPr>
          <w:rFonts w:hint="eastAsia" w:eastAsia="仿宋_GB2312"/>
          <w:bCs/>
          <w:sz w:val="32"/>
          <w:szCs w:val="32"/>
        </w:rPr>
        <w:t>应当提供产品性能研究资料以及产品技术要求的研究和编写说明，应至少对所申报产品的代表性样件进行功能性、安全性指标研究，如配合性能、使用性能等。应对产品的整体性能及在模拟临床使用的情况进行评价，若通过台架试验不能确认产品风险控制措施有效性时，必要时可开展动物试验研究。注册人应提交与质量控制相关的其他指标的确定依据，所采用的标准或方法、采用的原因及理论基础。</w:t>
      </w:r>
    </w:p>
    <w:p>
      <w:pPr>
        <w:spacing w:line="520" w:lineRule="exact"/>
        <w:ind w:firstLine="640" w:firstLineChars="200"/>
        <w:rPr>
          <w:rFonts w:eastAsia="仿宋_GB2312"/>
          <w:sz w:val="32"/>
          <w:szCs w:val="32"/>
        </w:rPr>
      </w:pPr>
      <w:r>
        <w:rPr>
          <w:rFonts w:hint="eastAsia" w:eastAsia="楷体_GB2312" w:cs="MS Shell Dlg"/>
          <w:color w:val="000000"/>
          <w:kern w:val="0"/>
          <w:sz w:val="32"/>
          <w:szCs w:val="32"/>
        </w:rPr>
        <w:t>3.2</w:t>
      </w:r>
      <w:r>
        <w:rPr>
          <w:rFonts w:hint="eastAsia" w:eastAsia="仿宋_GB2312"/>
          <w:sz w:val="32"/>
          <w:szCs w:val="32"/>
        </w:rPr>
        <w:t>生物相容性的评价研究</w:t>
      </w:r>
    </w:p>
    <w:p>
      <w:pPr>
        <w:spacing w:line="520" w:lineRule="exact"/>
        <w:ind w:firstLine="640" w:firstLineChars="200"/>
        <w:rPr>
          <w:rFonts w:eastAsia="仿宋_GB2312"/>
          <w:sz w:val="32"/>
          <w:szCs w:val="32"/>
        </w:rPr>
      </w:pPr>
      <w:r>
        <w:rPr>
          <w:rFonts w:hint="eastAsia" w:eastAsia="仿宋_GB2312"/>
          <w:sz w:val="32"/>
          <w:szCs w:val="32"/>
        </w:rPr>
        <w:t>心脏固定器直接与人体组织接触，应按照GB/T 16886系列标准对产品进行全面的生物学评价，并提交生物学评价报告证明其安全性。在进行生物评价过程中，应明确心脏固定器与人体接触组件或部位的材料性质，如材料牌号、化学成分、生产加工中引入加工助剂等。</w:t>
      </w:r>
    </w:p>
    <w:p>
      <w:pPr>
        <w:spacing w:line="520" w:lineRule="exact"/>
        <w:ind w:firstLine="640" w:firstLineChars="200"/>
        <w:rPr>
          <w:rFonts w:eastAsia="仿宋_GB2312"/>
          <w:sz w:val="32"/>
          <w:szCs w:val="32"/>
        </w:rPr>
      </w:pPr>
      <w:r>
        <w:rPr>
          <w:rFonts w:hint="eastAsia" w:eastAsia="仿宋_GB2312"/>
          <w:sz w:val="32"/>
          <w:szCs w:val="32"/>
        </w:rPr>
        <w:t>生物相容性评价研究资料应当包括：生物相容性评价的依据和方法；产品所用材料的描述及与人体接触的性质；实施或豁免生物学试验的理由和论证；对于现有数据或试验结果的评价。</w:t>
      </w:r>
    </w:p>
    <w:p>
      <w:pPr>
        <w:spacing w:line="520" w:lineRule="exact"/>
        <w:ind w:firstLine="640" w:firstLineChars="200"/>
        <w:rPr>
          <w:rFonts w:eastAsia="仿宋_GB2312"/>
          <w:sz w:val="32"/>
          <w:szCs w:val="32"/>
        </w:rPr>
      </w:pPr>
      <w:r>
        <w:rPr>
          <w:rFonts w:hint="eastAsia" w:eastAsia="楷体_GB2312"/>
          <w:sz w:val="32"/>
          <w:szCs w:val="32"/>
        </w:rPr>
        <w:t>3.3</w:t>
      </w:r>
      <w:r>
        <w:rPr>
          <w:rFonts w:hint="eastAsia" w:eastAsia="仿宋_GB2312"/>
          <w:sz w:val="32"/>
          <w:szCs w:val="32"/>
        </w:rPr>
        <w:t>产品灭菌工艺研究</w:t>
      </w:r>
    </w:p>
    <w:p>
      <w:pPr>
        <w:spacing w:line="520" w:lineRule="exact"/>
        <w:ind w:firstLine="640" w:firstLineChars="200"/>
        <w:rPr>
          <w:rFonts w:eastAsia="仿宋_GB2312"/>
          <w:sz w:val="32"/>
          <w:szCs w:val="32"/>
        </w:rPr>
      </w:pPr>
      <w:r>
        <w:rPr>
          <w:rFonts w:hint="eastAsia" w:eastAsia="仿宋_GB2312"/>
          <w:sz w:val="32"/>
          <w:szCs w:val="32"/>
        </w:rPr>
        <w:t>3.3.1应明确灭菌工艺（方法和参数）及其选择依据和无菌保证水平（SAL），并提供灭菌确认报告。心脏固定器的无菌保证水平（SAL）应达到1×10</w:t>
      </w:r>
      <w:r>
        <w:rPr>
          <w:rFonts w:hint="eastAsia" w:eastAsia="仿宋_GB2312"/>
          <w:sz w:val="32"/>
          <w:szCs w:val="32"/>
          <w:vertAlign w:val="superscript"/>
        </w:rPr>
        <w:t>－6</w:t>
      </w:r>
      <w:r>
        <w:rPr>
          <w:rFonts w:hint="eastAsia" w:eastAsia="仿宋_GB2312"/>
          <w:sz w:val="32"/>
          <w:szCs w:val="32"/>
        </w:rPr>
        <w:t>。</w:t>
      </w:r>
    </w:p>
    <w:p>
      <w:pPr>
        <w:spacing w:line="520" w:lineRule="exact"/>
        <w:ind w:firstLine="640" w:firstLineChars="200"/>
        <w:rPr>
          <w:rFonts w:eastAsia="仿宋_GB2312"/>
          <w:sz w:val="32"/>
          <w:szCs w:val="32"/>
        </w:rPr>
      </w:pPr>
      <w:r>
        <w:rPr>
          <w:rFonts w:hint="eastAsia" w:eastAsia="仿宋_GB2312"/>
          <w:sz w:val="32"/>
          <w:szCs w:val="32"/>
        </w:rPr>
        <w:t>3.3.2残留毒性：</w:t>
      </w:r>
      <w:r>
        <w:rPr>
          <w:rFonts w:eastAsia="仿宋_GB2312"/>
          <w:sz w:val="32"/>
          <w:szCs w:val="32"/>
        </w:rPr>
        <w:t>若灭菌使用的方法容易出现残留，应当明确残留物信息、控制标准及采取的处理方法，并提供研究资料。</w:t>
      </w:r>
    </w:p>
    <w:p>
      <w:pPr>
        <w:spacing w:line="520" w:lineRule="exact"/>
        <w:ind w:firstLine="640" w:firstLineChars="200"/>
        <w:rPr>
          <w:rFonts w:eastAsia="仿宋_GB2312"/>
          <w:color w:val="000000"/>
          <w:sz w:val="32"/>
          <w:szCs w:val="32"/>
        </w:rPr>
      </w:pPr>
      <w:r>
        <w:rPr>
          <w:rFonts w:hint="eastAsia" w:eastAsia="仿宋_GB2312"/>
          <w:color w:val="000000"/>
          <w:sz w:val="32"/>
          <w:szCs w:val="32"/>
        </w:rPr>
        <w:t>3.4产品有效期/使用期限和包装研究</w:t>
      </w:r>
    </w:p>
    <w:p>
      <w:pPr>
        <w:spacing w:line="520" w:lineRule="exact"/>
        <w:ind w:firstLine="640" w:firstLineChars="200"/>
        <w:rPr>
          <w:rFonts w:eastAsia="仿宋_GB2312"/>
          <w:color w:val="000000"/>
          <w:sz w:val="32"/>
          <w:szCs w:val="32"/>
        </w:rPr>
      </w:pPr>
      <w:r>
        <w:rPr>
          <w:rFonts w:hint="eastAsia" w:eastAsia="仿宋_GB2312"/>
          <w:color w:val="000000"/>
          <w:sz w:val="32"/>
          <w:szCs w:val="32"/>
        </w:rPr>
        <w:t>可参考《无源植入性医疗器械货架有效期注册申报资料指导原则》对心脏固定器货架有效期和包装完整性进行研究。</w:t>
      </w:r>
    </w:p>
    <w:p>
      <w:pPr>
        <w:spacing w:line="520" w:lineRule="exact"/>
        <w:ind w:firstLine="640" w:firstLineChars="200"/>
        <w:rPr>
          <w:rFonts w:eastAsia="仿宋_GB2312"/>
          <w:color w:val="000000"/>
          <w:sz w:val="32"/>
          <w:szCs w:val="32"/>
        </w:rPr>
      </w:pPr>
      <w:r>
        <w:rPr>
          <w:rFonts w:hint="eastAsia" w:eastAsia="仿宋_GB2312"/>
          <w:color w:val="000000"/>
          <w:sz w:val="32"/>
          <w:szCs w:val="32"/>
        </w:rPr>
        <w:t>货架有效期的验证试验通常可分为加速稳定性试验和实时稳定性试验。若注册申报时仅完成加速稳定性研究，分析产品是否适用于加速老化，若适用，可采用加速老化研究资料作为货架有效期的支持性资料。老化方案和报告中宜明确具体老化条件，如实时老化温度、湿度、时间；加速老化温度、湿度、环境温度（TRT）、时间等。提供老化方案中验证项目、验证方法及接受标准、取样时间点及各项目样品数量的确定依据和相关研究资料。</w:t>
      </w:r>
    </w:p>
    <w:p>
      <w:pPr>
        <w:spacing w:line="520" w:lineRule="exact"/>
        <w:ind w:firstLine="640" w:firstLineChars="200"/>
        <w:rPr>
          <w:rFonts w:eastAsia="仿宋_GB2312"/>
          <w:color w:val="000000"/>
          <w:sz w:val="32"/>
          <w:szCs w:val="32"/>
        </w:rPr>
      </w:pPr>
      <w:r>
        <w:rPr>
          <w:rFonts w:hint="eastAsia" w:eastAsia="仿宋_GB2312"/>
          <w:color w:val="000000"/>
          <w:sz w:val="32"/>
          <w:szCs w:val="32"/>
        </w:rPr>
        <w:t>货架有效期验证项目包括产品自身性能和包装系统性能两方面。产品自身性能验证需选择与心脏固定器货架有效期密切相关的物理、化学项目，包括耐腐蚀性。涉及产品生物相容性可能发生改变的产品，需进行生物学评价。包装系统性能验证根据适用情况可选择目力检测包装密封完整性、染色液穿透法测定透气包装的密封泄漏、气泡法测定软性包装泄漏、软性屏障材料密封强度、无约束包装抗内压破坏、微生物屏障等试验。</w:t>
      </w:r>
    </w:p>
    <w:p>
      <w:pPr>
        <w:spacing w:line="520" w:lineRule="exact"/>
        <w:ind w:firstLine="640" w:firstLineChars="200"/>
        <w:rPr>
          <w:rFonts w:eastAsia="仿宋_GB2312"/>
          <w:color w:val="000000"/>
          <w:sz w:val="32"/>
          <w:szCs w:val="32"/>
        </w:rPr>
      </w:pPr>
      <w:r>
        <w:rPr>
          <w:rFonts w:hint="eastAsia" w:eastAsia="仿宋_GB2312"/>
          <w:color w:val="000000"/>
          <w:sz w:val="32"/>
          <w:szCs w:val="32"/>
        </w:rPr>
        <w:t>产品包装完整性除考虑储存条件外，还需考虑运输条件，根据适用情况可选择人工搬运、堆码、振动、低气压、集中冲击等模拟运输试验验证包装系统性能。</w:t>
      </w:r>
    </w:p>
    <w:p>
      <w:pPr>
        <w:spacing w:line="520" w:lineRule="exact"/>
        <w:ind w:firstLine="640" w:firstLineChars="200"/>
        <w:rPr>
          <w:rFonts w:eastAsia="仿宋_GB2312"/>
          <w:color w:val="000000"/>
          <w:sz w:val="32"/>
          <w:szCs w:val="32"/>
        </w:rPr>
      </w:pPr>
      <w:r>
        <w:rPr>
          <w:rFonts w:hint="eastAsia" w:eastAsia="仿宋_GB2312"/>
          <w:color w:val="000000"/>
          <w:sz w:val="32"/>
          <w:szCs w:val="32"/>
        </w:rPr>
        <w:t>4.产品检验报告</w:t>
      </w:r>
    </w:p>
    <w:p>
      <w:pPr>
        <w:spacing w:line="520" w:lineRule="exact"/>
        <w:ind w:firstLine="640" w:firstLineChars="200"/>
        <w:rPr>
          <w:rFonts w:eastAsia="仿宋_GB2312"/>
          <w:color w:val="000000"/>
          <w:sz w:val="32"/>
          <w:szCs w:val="32"/>
        </w:rPr>
      </w:pPr>
      <w:r>
        <w:rPr>
          <w:rFonts w:hint="eastAsia" w:eastAsia="仿宋_GB2312"/>
          <w:color w:val="000000"/>
          <w:sz w:val="32"/>
          <w:szCs w:val="32"/>
        </w:rPr>
        <w:t>注册申请人应提供产品检验报告，产品检验报告应符合国务院药品监督管理部门的要求，可以是医疗器械注册申请人的自检报告，也可以是委托具有医疗器械检验资质的医疗器械检验机构出具的检验报告。</w:t>
      </w:r>
    </w:p>
    <w:p>
      <w:pPr>
        <w:spacing w:line="520" w:lineRule="exact"/>
        <w:ind w:firstLine="640" w:firstLineChars="200"/>
        <w:rPr>
          <w:rFonts w:eastAsia="仿宋_GB2312"/>
          <w:color w:val="000000"/>
          <w:sz w:val="32"/>
          <w:szCs w:val="32"/>
        </w:rPr>
      </w:pPr>
      <w:r>
        <w:rPr>
          <w:rFonts w:hint="eastAsia" w:eastAsia="仿宋_GB2312"/>
          <w:color w:val="000000"/>
          <w:sz w:val="32"/>
          <w:szCs w:val="32"/>
        </w:rPr>
        <w:t>注册申请人应提供典型性检验样品的选择说明，所检验型号产品应当是本注册单元内能够代表申报的其他型号产品安全性和有效性的典型产品。若一个型号规格不能覆盖，应选择不同型号规格进行差异性检验，如如吸引固定型和机械固定型产品组件应分别送检。</w:t>
      </w:r>
    </w:p>
    <w:p>
      <w:pPr>
        <w:spacing w:line="520" w:lineRule="exact"/>
        <w:ind w:firstLine="640" w:firstLineChars="200"/>
        <w:rPr>
          <w:rFonts w:eastAsia="仿宋_GB2312"/>
          <w:color w:val="000000"/>
          <w:sz w:val="32"/>
          <w:szCs w:val="32"/>
        </w:rPr>
      </w:pPr>
      <w:r>
        <w:rPr>
          <w:rFonts w:eastAsia="楷体_GB2312"/>
          <w:color w:val="000000"/>
          <w:sz w:val="32"/>
          <w:szCs w:val="32"/>
        </w:rPr>
        <w:t>（四）</w:t>
      </w:r>
      <w:r>
        <w:rPr>
          <w:rFonts w:hint="eastAsia" w:eastAsia="楷体_GB2312"/>
          <w:color w:val="000000"/>
          <w:sz w:val="32"/>
          <w:szCs w:val="32"/>
        </w:rPr>
        <w:t>临床评价资料</w:t>
      </w:r>
    </w:p>
    <w:p>
      <w:pPr>
        <w:spacing w:line="520" w:lineRule="exact"/>
        <w:ind w:firstLine="640" w:firstLineChars="200"/>
        <w:rPr>
          <w:rFonts w:eastAsia="仿宋_GB2312"/>
          <w:color w:val="000000"/>
          <w:sz w:val="32"/>
          <w:szCs w:val="32"/>
        </w:rPr>
      </w:pPr>
      <w:r>
        <w:rPr>
          <w:rFonts w:hint="eastAsia" w:eastAsia="仿宋_GB2312"/>
          <w:color w:val="000000"/>
          <w:sz w:val="32"/>
          <w:szCs w:val="32"/>
        </w:rPr>
        <w:t>对于符合《免于临床评价医疗器械目录》（以下简称《目录》）下分类编码为03-14-02的一次性使用心脏固定器，免于进行临床评价，因此一般不涉及临床评价资料。对于《目录》以外的心脏固定器，需提交相应的临床评价资料。</w:t>
      </w:r>
    </w:p>
    <w:p>
      <w:pPr>
        <w:spacing w:line="520" w:lineRule="exact"/>
        <w:ind w:firstLine="640" w:firstLineChars="200"/>
        <w:rPr>
          <w:rFonts w:eastAsia="楷体_GB2312"/>
          <w:color w:val="000000"/>
          <w:sz w:val="32"/>
          <w:szCs w:val="32"/>
        </w:rPr>
      </w:pPr>
      <w:r>
        <w:rPr>
          <w:rFonts w:hint="eastAsia" w:eastAsia="楷体_GB2312"/>
          <w:color w:val="000000"/>
          <w:sz w:val="32"/>
          <w:szCs w:val="32"/>
        </w:rPr>
        <w:t>（五）产品说明书和标签样稿</w:t>
      </w:r>
    </w:p>
    <w:p>
      <w:pPr>
        <w:spacing w:line="520" w:lineRule="exact"/>
        <w:ind w:firstLine="640" w:firstLineChars="200"/>
        <w:rPr>
          <w:rFonts w:eastAsia="仿宋_GB2312"/>
          <w:sz w:val="32"/>
          <w:szCs w:val="32"/>
        </w:rPr>
      </w:pPr>
      <w:r>
        <w:rPr>
          <w:rFonts w:hint="eastAsia" w:eastAsia="仿宋_GB2312"/>
          <w:sz w:val="32"/>
          <w:szCs w:val="32"/>
        </w:rPr>
        <w:t>产品说明书和标签的编写要求应符合相关法规文件和YY/T 0466.1的要求。所提交的文本和标签样稿应内容清晰、完整。说明书中的适用范围、禁忌证、注意事项、警示信息、有效期等信息应与产品综述资料、研究资料和临床评价资料中所描述及验证的内容一致。</w:t>
      </w:r>
    </w:p>
    <w:p>
      <w:pPr>
        <w:spacing w:line="520" w:lineRule="exact"/>
        <w:ind w:right="-67" w:rightChars="-32" w:firstLine="640" w:firstLineChars="200"/>
        <w:rPr>
          <w:rFonts w:eastAsia="仿宋_GB2312"/>
          <w:sz w:val="32"/>
          <w:szCs w:val="32"/>
        </w:rPr>
      </w:pPr>
      <w:r>
        <w:rPr>
          <w:rFonts w:hint="eastAsia" w:eastAsia="楷体_GB2312"/>
          <w:color w:val="000000"/>
          <w:sz w:val="32"/>
          <w:szCs w:val="32"/>
        </w:rPr>
        <w:t>（六）质量管理体系文件</w:t>
      </w:r>
    </w:p>
    <w:p>
      <w:pPr>
        <w:spacing w:line="520" w:lineRule="exact"/>
        <w:ind w:right="-67" w:rightChars="-32" w:firstLine="640" w:firstLineChars="200"/>
        <w:rPr>
          <w:rFonts w:eastAsia="仿宋_GB2312"/>
          <w:sz w:val="32"/>
          <w:szCs w:val="32"/>
        </w:rPr>
      </w:pPr>
      <w:r>
        <w:rPr>
          <w:rFonts w:hint="eastAsia" w:eastAsia="仿宋_GB2312"/>
          <w:sz w:val="32"/>
          <w:szCs w:val="32"/>
        </w:rPr>
        <w:t>详述产品的工艺原理和生产过程，提供生产工艺流程图，明确特殊过程和关键工序，提供特殊过程的确认资料以及关键工序的验证资料。明确产品的清洗过程，提供经清洗过程后加工助剂残留控制的验证资料。当某一生产过程的输出不能由后续的监视或测量加以验证时，需对这样的过程实施确认并提供相应的过程确认报告。</w:t>
      </w:r>
    </w:p>
    <w:p>
      <w:pPr>
        <w:spacing w:line="520" w:lineRule="exact"/>
        <w:ind w:right="-67" w:rightChars="-32" w:firstLine="640" w:firstLineChars="200"/>
        <w:rPr>
          <w:rFonts w:eastAsia="黑体"/>
          <w:color w:val="000000"/>
          <w:sz w:val="32"/>
          <w:szCs w:val="32"/>
        </w:rPr>
      </w:pPr>
      <w:r>
        <w:rPr>
          <w:rFonts w:hint="eastAsia" w:eastAsia="黑体"/>
          <w:color w:val="000000"/>
          <w:sz w:val="32"/>
          <w:szCs w:val="32"/>
        </w:rPr>
        <w:t>三、参考文献</w:t>
      </w:r>
    </w:p>
    <w:p>
      <w:pPr>
        <w:spacing w:line="520" w:lineRule="exact"/>
        <w:ind w:right="-67" w:rightChars="-32" w:firstLine="640" w:firstLineChars="200"/>
        <w:rPr>
          <w:rFonts w:eastAsia="仿宋_GB2312"/>
          <w:color w:val="000000"/>
          <w:sz w:val="32"/>
          <w:szCs w:val="32"/>
        </w:rPr>
      </w:pPr>
      <w:r>
        <w:rPr>
          <w:rFonts w:eastAsia="仿宋_GB2312"/>
          <w:sz w:val="32"/>
          <w:szCs w:val="32"/>
        </w:rPr>
        <w:t>[1]</w:t>
      </w:r>
      <w:r>
        <w:rPr>
          <w:rFonts w:eastAsia="仿宋_GB2312"/>
          <w:color w:val="000000"/>
          <w:sz w:val="32"/>
          <w:szCs w:val="32"/>
          <w:lang w:val="en"/>
        </w:rPr>
        <w:t>中华人民共和国国务院</w:t>
      </w:r>
      <w:r>
        <w:rPr>
          <w:rFonts w:hint="eastAsia" w:eastAsia="仿宋_GB2312"/>
          <w:color w:val="000000"/>
          <w:sz w:val="32"/>
          <w:szCs w:val="32"/>
          <w:lang w:val="en"/>
        </w:rPr>
        <w:t>.</w:t>
      </w:r>
      <w:r>
        <w:rPr>
          <w:rFonts w:eastAsia="仿宋_GB2312"/>
          <w:color w:val="000000"/>
          <w:sz w:val="32"/>
          <w:szCs w:val="32"/>
        </w:rPr>
        <w:t>医疗器械监督管理条例</w:t>
      </w:r>
      <w:r>
        <w:rPr>
          <w:rFonts w:hint="eastAsia" w:eastAsia="仿宋_GB2312"/>
          <w:color w:val="000000"/>
          <w:sz w:val="32"/>
          <w:szCs w:val="32"/>
        </w:rPr>
        <w:t>:</w:t>
      </w:r>
      <w:r>
        <w:rPr>
          <w:rFonts w:eastAsia="仿宋_GB2312"/>
          <w:color w:val="000000"/>
          <w:sz w:val="32"/>
          <w:szCs w:val="32"/>
          <w:lang w:val="en"/>
        </w:rPr>
        <w:t>中华人民共和国国务院令第739号</w:t>
      </w:r>
      <w:r>
        <w:rPr>
          <w:rFonts w:eastAsia="仿宋_GB2312"/>
          <w:color w:val="000000"/>
          <w:sz w:val="32"/>
          <w:szCs w:val="32"/>
        </w:rPr>
        <w:t>[Z].</w:t>
      </w:r>
    </w:p>
    <w:p>
      <w:pPr>
        <w:spacing w:line="520" w:lineRule="exact"/>
        <w:ind w:right="-67" w:rightChars="-32"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2</w:t>
      </w:r>
      <w:r>
        <w:rPr>
          <w:rFonts w:eastAsia="仿宋_GB2312"/>
          <w:sz w:val="32"/>
          <w:szCs w:val="32"/>
        </w:rPr>
        <w:t>]</w:t>
      </w:r>
      <w:r>
        <w:rPr>
          <w:rFonts w:eastAsia="仿宋_GB2312"/>
          <w:color w:val="000000"/>
          <w:sz w:val="32"/>
          <w:szCs w:val="32"/>
        </w:rPr>
        <w:t>国家市场监督管理总局</w:t>
      </w:r>
      <w:r>
        <w:rPr>
          <w:rFonts w:hint="eastAsia" w:eastAsia="仿宋_GB2312"/>
          <w:color w:val="000000"/>
          <w:sz w:val="32"/>
          <w:szCs w:val="32"/>
        </w:rPr>
        <w:t>.</w:t>
      </w:r>
      <w:r>
        <w:rPr>
          <w:rFonts w:eastAsia="仿宋_GB2312"/>
          <w:color w:val="000000"/>
          <w:sz w:val="32"/>
          <w:szCs w:val="32"/>
        </w:rPr>
        <w:t>医疗器械注册与备案管理办法:国家市场监督管理总局令第47号[Z].</w:t>
      </w:r>
    </w:p>
    <w:p>
      <w:pPr>
        <w:spacing w:line="52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3</w:t>
      </w:r>
      <w:r>
        <w:rPr>
          <w:rFonts w:eastAsia="仿宋_GB2312"/>
          <w:sz w:val="32"/>
          <w:szCs w:val="32"/>
        </w:rPr>
        <w:t>]</w:t>
      </w:r>
      <w:r>
        <w:rPr>
          <w:rFonts w:hint="eastAsia" w:eastAsia="仿宋_GB2312"/>
          <w:sz w:val="32"/>
          <w:szCs w:val="32"/>
        </w:rPr>
        <w:t>国家食品药品监督管理局.医疗器械说明书和标签管理规定:国家食品药品监督管理总局令第6号[Z].</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4</w:t>
      </w:r>
      <w:r>
        <w:rPr>
          <w:rFonts w:eastAsia="仿宋_GB2312"/>
          <w:sz w:val="32"/>
          <w:szCs w:val="32"/>
        </w:rPr>
        <w:t>]</w:t>
      </w:r>
      <w:r>
        <w:rPr>
          <w:rFonts w:hint="eastAsia" w:eastAsia="仿宋_GB2312"/>
          <w:color w:val="000000"/>
          <w:sz w:val="32"/>
          <w:szCs w:val="32"/>
        </w:rPr>
        <w:t>国家药品监督管理局.</w:t>
      </w:r>
      <w:r>
        <w:rPr>
          <w:rFonts w:eastAsia="仿宋_GB2312"/>
          <w:color w:val="000000"/>
          <w:sz w:val="32"/>
          <w:szCs w:val="32"/>
        </w:rPr>
        <w:t>免于临床评价医疗器械目录</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w:t>
      </w:r>
      <w:r>
        <w:rPr>
          <w:rFonts w:eastAsia="仿宋_GB2312"/>
          <w:color w:val="000000"/>
          <w:sz w:val="32"/>
          <w:szCs w:val="32"/>
          <w:lang w:val="en"/>
        </w:rPr>
        <w:t>局</w:t>
      </w:r>
      <w:r>
        <w:rPr>
          <w:rFonts w:hint="eastAsia" w:eastAsia="仿宋_GB2312"/>
          <w:color w:val="000000"/>
          <w:sz w:val="32"/>
          <w:szCs w:val="32"/>
          <w:lang w:val="en"/>
        </w:rPr>
        <w:t>关于发布</w:t>
      </w:r>
      <w:r>
        <w:rPr>
          <w:rFonts w:eastAsia="仿宋_GB2312"/>
          <w:color w:val="000000"/>
          <w:sz w:val="32"/>
          <w:szCs w:val="32"/>
        </w:rPr>
        <w:t>免于临床评价医疗器械目录</w:t>
      </w:r>
      <w:r>
        <w:rPr>
          <w:rFonts w:hint="eastAsia" w:eastAsia="仿宋_GB2312"/>
          <w:color w:val="000000"/>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71</w:t>
      </w:r>
      <w:r>
        <w:rPr>
          <w:rFonts w:eastAsia="仿宋_GB2312"/>
          <w:color w:val="000000"/>
          <w:sz w:val="32"/>
          <w:szCs w:val="32"/>
          <w:lang w:val="en"/>
        </w:rPr>
        <w:t>号</w:t>
      </w:r>
      <w:r>
        <w:rPr>
          <w:rFonts w:eastAsia="仿宋_GB2312"/>
          <w:color w:val="000000"/>
          <w:sz w:val="32"/>
          <w:szCs w:val="32"/>
        </w:rPr>
        <w:t>[Z].</w:t>
      </w:r>
    </w:p>
    <w:p>
      <w:pPr>
        <w:pStyle w:val="15"/>
        <w:overflowPunct w:val="0"/>
        <w:autoSpaceDE w:val="0"/>
        <w:autoSpaceDN w:val="0"/>
        <w:spacing w:line="520" w:lineRule="exact"/>
        <w:ind w:firstLine="640"/>
        <w:outlineLvl w:val="2"/>
        <w:rPr>
          <w:rFonts w:eastAsia="仿宋_GB2312"/>
          <w:sz w:val="32"/>
          <w:szCs w:val="32"/>
        </w:rPr>
      </w:pPr>
      <w:r>
        <w:rPr>
          <w:rFonts w:eastAsia="仿宋_GB2312"/>
          <w:sz w:val="32"/>
          <w:szCs w:val="32"/>
        </w:rPr>
        <w:t>[</w:t>
      </w:r>
      <w:r>
        <w:rPr>
          <w:rFonts w:hint="eastAsia" w:eastAsia="仿宋_GB2312"/>
          <w:sz w:val="32"/>
          <w:szCs w:val="32"/>
        </w:rPr>
        <w:t>5</w:t>
      </w:r>
      <w:r>
        <w:rPr>
          <w:rFonts w:eastAsia="仿宋_GB2312"/>
          <w:sz w:val="32"/>
          <w:szCs w:val="32"/>
        </w:rPr>
        <w:t>]</w:t>
      </w:r>
      <w:r>
        <w:rPr>
          <w:rFonts w:hint="eastAsia" w:eastAsia="仿宋_GB2312"/>
          <w:sz w:val="32"/>
          <w:szCs w:val="32"/>
        </w:rPr>
        <w:t>国家药品监督管理局.医疗器械临床评价技术指导原则等5项技术指导原则:国家药监局关于发布医疗器械临床评价技术指导原则等5项技术指导原则的通告2021年第73号</w:t>
      </w:r>
      <w:r>
        <w:rPr>
          <w:rFonts w:eastAsia="仿宋_GB2312"/>
          <w:sz w:val="32"/>
          <w:szCs w:val="32"/>
        </w:rPr>
        <w:t>[Z].</w:t>
      </w:r>
    </w:p>
    <w:p>
      <w:pPr>
        <w:spacing w:line="52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6</w:t>
      </w:r>
      <w:r>
        <w:rPr>
          <w:rFonts w:eastAsia="仿宋_GB2312"/>
          <w:sz w:val="32"/>
          <w:szCs w:val="32"/>
        </w:rPr>
        <w:t>]</w:t>
      </w:r>
      <w:r>
        <w:rPr>
          <w:rFonts w:hint="eastAsia" w:eastAsia="仿宋_GB2312"/>
          <w:sz w:val="32"/>
          <w:szCs w:val="32"/>
        </w:rPr>
        <w:t xml:space="preserve"> GB/T 191,包装储运图示标志</w:t>
      </w:r>
      <w:r>
        <w:rPr>
          <w:rFonts w:eastAsia="仿宋_GB2312"/>
          <w:sz w:val="32"/>
          <w:szCs w:val="32"/>
        </w:rPr>
        <w:t>[S].</w:t>
      </w:r>
    </w:p>
    <w:p>
      <w:pPr>
        <w:spacing w:line="52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7</w:t>
      </w:r>
      <w:r>
        <w:rPr>
          <w:rFonts w:eastAsia="仿宋_GB2312"/>
          <w:sz w:val="32"/>
          <w:szCs w:val="32"/>
        </w:rPr>
        <w:t>]</w:t>
      </w:r>
      <w:r>
        <w:rPr>
          <w:rFonts w:hint="eastAsia" w:eastAsia="仿宋_GB2312"/>
          <w:sz w:val="32"/>
          <w:szCs w:val="32"/>
        </w:rPr>
        <w:t xml:space="preserve"> GB/T 14233.1</w:t>
      </w:r>
      <w:r>
        <w:rPr>
          <w:rFonts w:eastAsia="仿宋_GB2312"/>
          <w:color w:val="000000"/>
          <w:sz w:val="32"/>
          <w:szCs w:val="32"/>
        </w:rPr>
        <w:t>,</w:t>
      </w:r>
      <w:r>
        <w:rPr>
          <w:rFonts w:hint="eastAsia" w:eastAsia="仿宋_GB2312"/>
          <w:color w:val="000000"/>
          <w:sz w:val="32"/>
          <w:szCs w:val="32"/>
        </w:rPr>
        <w:t>医用输液、输血、注射器具检验方法第1部分：化学分析方法</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8</w:t>
      </w:r>
      <w:r>
        <w:rPr>
          <w:rFonts w:eastAsia="仿宋_GB2312"/>
          <w:sz w:val="32"/>
          <w:szCs w:val="32"/>
        </w:rPr>
        <w:t>]</w:t>
      </w:r>
      <w:r>
        <w:rPr>
          <w:rFonts w:hint="eastAsia" w:eastAsia="仿宋_GB2312"/>
          <w:sz w:val="32"/>
          <w:szCs w:val="32"/>
        </w:rPr>
        <w:t>GB/T 14233.2</w:t>
      </w:r>
      <w:r>
        <w:rPr>
          <w:rFonts w:hint="eastAsia" w:eastAsia="仿宋_GB2312"/>
          <w:color w:val="000000"/>
          <w:sz w:val="32"/>
          <w:szCs w:val="32"/>
        </w:rPr>
        <w:t>,医用输液、输血、注射器具检验方法第2部分：生物学试验方法</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9</w:t>
      </w:r>
      <w:r>
        <w:rPr>
          <w:rFonts w:eastAsia="仿宋_GB2312"/>
          <w:sz w:val="32"/>
          <w:szCs w:val="32"/>
        </w:rPr>
        <w:t>]</w:t>
      </w:r>
      <w:r>
        <w:rPr>
          <w:rFonts w:hint="eastAsia" w:eastAsia="仿宋_GB2312"/>
          <w:sz w:val="32"/>
          <w:szCs w:val="32"/>
        </w:rPr>
        <w:t>GB/T 16886.1</w:t>
      </w:r>
      <w:r>
        <w:rPr>
          <w:rFonts w:hint="eastAsia" w:eastAsia="仿宋_GB2312"/>
          <w:color w:val="000000"/>
          <w:sz w:val="32"/>
          <w:szCs w:val="32"/>
        </w:rPr>
        <w:t>,医疗器械生物学评价第1部分：风险管理过程中的评价与试验</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10</w:t>
      </w:r>
      <w:r>
        <w:rPr>
          <w:rFonts w:eastAsia="仿宋_GB2312"/>
          <w:sz w:val="32"/>
          <w:szCs w:val="32"/>
        </w:rPr>
        <w:t>]</w:t>
      </w:r>
      <w:r>
        <w:rPr>
          <w:rFonts w:hint="eastAsia" w:eastAsia="仿宋_GB2312"/>
          <w:sz w:val="32"/>
          <w:szCs w:val="32"/>
        </w:rPr>
        <w:t>GB/T 16886.5</w:t>
      </w:r>
      <w:r>
        <w:rPr>
          <w:rFonts w:hint="eastAsia" w:eastAsia="仿宋_GB2312"/>
          <w:color w:val="000000"/>
          <w:sz w:val="32"/>
          <w:szCs w:val="32"/>
        </w:rPr>
        <w:t>,医疗器械生物学评价第5部分：体外细胞毒性试验</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11</w:t>
      </w:r>
      <w:r>
        <w:rPr>
          <w:rFonts w:eastAsia="仿宋_GB2312"/>
          <w:sz w:val="32"/>
          <w:szCs w:val="32"/>
        </w:rPr>
        <w:t>]GB/T16886.10</w:t>
      </w:r>
      <w:r>
        <w:rPr>
          <w:rFonts w:hint="eastAsia" w:eastAsia="仿宋_GB2312"/>
          <w:color w:val="000000"/>
          <w:sz w:val="32"/>
          <w:szCs w:val="32"/>
        </w:rPr>
        <w:t>,医疗器械生物学评价第10部分：刺激与皮肤致敏试验</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12</w:t>
      </w:r>
      <w:r>
        <w:rPr>
          <w:rFonts w:eastAsia="仿宋_GB2312"/>
          <w:sz w:val="32"/>
          <w:szCs w:val="32"/>
        </w:rPr>
        <w:t>]</w:t>
      </w:r>
      <w:r>
        <w:rPr>
          <w:rFonts w:hint="eastAsia" w:eastAsia="仿宋_GB2312"/>
          <w:sz w:val="32"/>
          <w:szCs w:val="32"/>
        </w:rPr>
        <w:t>GB/T 16886.11</w:t>
      </w:r>
      <w:r>
        <w:rPr>
          <w:rFonts w:hint="eastAsia" w:eastAsia="仿宋_GB2312"/>
          <w:color w:val="000000"/>
          <w:sz w:val="32"/>
          <w:szCs w:val="32"/>
        </w:rPr>
        <w:t>,医疗器械生物学评价第11部分：全身毒性试验</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13</w:t>
      </w:r>
      <w:r>
        <w:rPr>
          <w:rFonts w:eastAsia="仿宋_GB2312"/>
          <w:sz w:val="32"/>
          <w:szCs w:val="32"/>
        </w:rPr>
        <w:t>]</w:t>
      </w:r>
      <w:r>
        <w:rPr>
          <w:rFonts w:hint="eastAsia" w:eastAsia="仿宋_GB2312"/>
          <w:sz w:val="32"/>
          <w:szCs w:val="32"/>
        </w:rPr>
        <w:t>YY/T 0149</w:t>
      </w:r>
      <w:r>
        <w:rPr>
          <w:rFonts w:hint="eastAsia" w:eastAsia="仿宋_GB2312"/>
          <w:color w:val="000000"/>
          <w:sz w:val="32"/>
          <w:szCs w:val="32"/>
        </w:rPr>
        <w:t>,不锈钢医用器械耐腐蚀性能试验方法</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14</w:t>
      </w:r>
      <w:r>
        <w:rPr>
          <w:rFonts w:eastAsia="仿宋_GB2312"/>
          <w:sz w:val="32"/>
          <w:szCs w:val="32"/>
        </w:rPr>
        <w:t>]</w:t>
      </w:r>
      <w:r>
        <w:rPr>
          <w:rFonts w:hint="eastAsia" w:eastAsia="仿宋_GB2312"/>
          <w:sz w:val="32"/>
          <w:szCs w:val="32"/>
        </w:rPr>
        <w:t>YY/T 0313</w:t>
      </w:r>
      <w:r>
        <w:rPr>
          <w:rFonts w:hint="eastAsia" w:eastAsia="仿宋_GB2312"/>
          <w:color w:val="000000"/>
          <w:sz w:val="32"/>
          <w:szCs w:val="32"/>
        </w:rPr>
        <w:t>,医用高分子产品包装和制造商提供信息的要求</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15</w:t>
      </w:r>
      <w:r>
        <w:rPr>
          <w:rFonts w:eastAsia="仿宋_GB2312"/>
          <w:sz w:val="32"/>
          <w:szCs w:val="32"/>
        </w:rPr>
        <w:t>]</w:t>
      </w:r>
      <w:r>
        <w:rPr>
          <w:rFonts w:hint="eastAsia" w:eastAsia="仿宋_GB2312"/>
          <w:sz w:val="32"/>
          <w:szCs w:val="32"/>
        </w:rPr>
        <w:t>YY/T 0316</w:t>
      </w:r>
      <w:r>
        <w:rPr>
          <w:rFonts w:hint="eastAsia" w:eastAsia="仿宋_GB2312"/>
          <w:color w:val="000000"/>
          <w:sz w:val="32"/>
          <w:szCs w:val="32"/>
        </w:rPr>
        <w:t>,医疗器械风险管理对医疗器械的应用</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16</w:t>
      </w:r>
      <w:r>
        <w:rPr>
          <w:rFonts w:eastAsia="仿宋_GB2312"/>
          <w:sz w:val="32"/>
          <w:szCs w:val="32"/>
        </w:rPr>
        <w:t>]</w:t>
      </w:r>
      <w:r>
        <w:rPr>
          <w:rFonts w:hint="eastAsia" w:eastAsia="仿宋_GB2312"/>
          <w:sz w:val="32"/>
          <w:szCs w:val="32"/>
        </w:rPr>
        <w:t>YY/T  0466.1</w:t>
      </w:r>
      <w:r>
        <w:rPr>
          <w:rFonts w:hint="eastAsia" w:eastAsia="仿宋_GB2312"/>
          <w:color w:val="000000"/>
          <w:sz w:val="32"/>
          <w:szCs w:val="32"/>
        </w:rPr>
        <w:t>,医疗器械</w:t>
      </w:r>
      <w:r>
        <w:rPr>
          <w:rFonts w:hint="eastAsia" w:eastAsia="仿宋_GB2312"/>
          <w:color w:val="000000"/>
          <w:sz w:val="32"/>
          <w:szCs w:val="32"/>
        </w:rPr>
        <w:tab/>
      </w:r>
      <w:r>
        <w:rPr>
          <w:rFonts w:hint="eastAsia" w:eastAsia="仿宋_GB2312"/>
          <w:color w:val="000000"/>
          <w:sz w:val="32"/>
          <w:szCs w:val="32"/>
        </w:rPr>
        <w:t>用于医疗器械标签、标记和提供信息的符号第 1 部分：通用要求</w:t>
      </w:r>
      <w:r>
        <w:rPr>
          <w:rFonts w:eastAsia="仿宋_GB2312"/>
          <w:sz w:val="32"/>
          <w:szCs w:val="32"/>
        </w:rPr>
        <w:t>[S].</w:t>
      </w:r>
    </w:p>
    <w:p>
      <w:pPr>
        <w:spacing w:line="520" w:lineRule="exact"/>
        <w:ind w:firstLine="640" w:firstLineChars="200"/>
        <w:rPr>
          <w:rFonts w:eastAsia="仿宋_GB2312"/>
          <w:color w:val="000000"/>
          <w:sz w:val="32"/>
          <w:szCs w:val="32"/>
        </w:rPr>
      </w:pPr>
      <w:r>
        <w:rPr>
          <w:rFonts w:eastAsia="仿宋_GB2312"/>
          <w:sz w:val="32"/>
          <w:szCs w:val="32"/>
        </w:rPr>
        <w:t>[</w:t>
      </w:r>
      <w:r>
        <w:rPr>
          <w:rFonts w:hint="eastAsia" w:eastAsia="仿宋_GB2312"/>
          <w:sz w:val="32"/>
          <w:szCs w:val="32"/>
        </w:rPr>
        <w:t>17</w:t>
      </w:r>
      <w:r>
        <w:rPr>
          <w:rFonts w:eastAsia="仿宋_GB2312"/>
          <w:sz w:val="32"/>
          <w:szCs w:val="32"/>
        </w:rPr>
        <w:t>]</w:t>
      </w:r>
      <w:r>
        <w:rPr>
          <w:rFonts w:hint="eastAsia" w:eastAsia="仿宋_GB2312"/>
          <w:sz w:val="32"/>
          <w:szCs w:val="32"/>
        </w:rPr>
        <w:t>YY/T 0615.1</w:t>
      </w:r>
      <w:r>
        <w:rPr>
          <w:rFonts w:hint="eastAsia" w:eastAsia="仿宋_GB2312"/>
          <w:color w:val="000000"/>
          <w:sz w:val="32"/>
          <w:szCs w:val="32"/>
        </w:rPr>
        <w:t>,标示“无菌”医疗器械的要求第1部分：最终灭菌医疗器械的要求</w:t>
      </w:r>
      <w:r>
        <w:rPr>
          <w:rFonts w:eastAsia="仿宋_GB2312"/>
          <w:sz w:val="32"/>
          <w:szCs w:val="32"/>
        </w:rPr>
        <w:t>[S].</w:t>
      </w:r>
    </w:p>
    <w:p>
      <w:pPr>
        <w:spacing w:line="52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18</w:t>
      </w:r>
      <w:r>
        <w:rPr>
          <w:rFonts w:eastAsia="仿宋_GB2312"/>
          <w:sz w:val="32"/>
          <w:szCs w:val="32"/>
        </w:rPr>
        <w:t>]</w:t>
      </w:r>
      <w:r>
        <w:rPr>
          <w:rFonts w:hint="eastAsia" w:eastAsia="仿宋_GB2312"/>
          <w:sz w:val="32"/>
          <w:szCs w:val="32"/>
        </w:rPr>
        <w:t>YY/T 0681.1</w:t>
      </w:r>
      <w:r>
        <w:rPr>
          <w:rFonts w:hint="eastAsia" w:eastAsia="仿宋_GB2312"/>
          <w:color w:val="000000"/>
          <w:sz w:val="32"/>
          <w:szCs w:val="32"/>
        </w:rPr>
        <w:t>,无菌医疗器械包装试验方法第1部分：加速老化试验指南</w:t>
      </w:r>
      <w:r>
        <w:rPr>
          <w:rFonts w:eastAsia="仿宋_GB2312"/>
          <w:sz w:val="32"/>
          <w:szCs w:val="32"/>
        </w:rPr>
        <w:t>[S].</w:t>
      </w:r>
    </w:p>
    <w:p>
      <w:pPr>
        <w:spacing w:line="520" w:lineRule="exact"/>
        <w:ind w:firstLine="640" w:firstLineChars="200"/>
        <w:rPr>
          <w:rFonts w:eastAsia="仿宋_GB2312"/>
          <w:sz w:val="32"/>
          <w:szCs w:val="32"/>
        </w:rPr>
      </w:pPr>
    </w:p>
    <w:p>
      <w:pPr>
        <w:spacing w:line="520" w:lineRule="exact"/>
        <w:ind w:firstLine="200"/>
        <w:rPr>
          <w:rFonts w:eastAsia="仿宋_GB2312"/>
          <w:color w:val="000000"/>
          <w:sz w:val="32"/>
          <w:szCs w:val="32"/>
        </w:rPr>
      </w:pPr>
    </w:p>
    <w:p>
      <w:pPr>
        <w:spacing w:line="520" w:lineRule="exact"/>
        <w:ind w:firstLine="200"/>
        <w:rPr>
          <w:rFonts w:eastAsia="仿宋_GB2312"/>
          <w:color w:val="000000"/>
          <w:sz w:val="32"/>
          <w:szCs w:val="32"/>
        </w:rPr>
      </w:pPr>
    </w:p>
    <w:p>
      <w:pPr>
        <w:spacing w:line="520" w:lineRule="exact"/>
        <w:ind w:firstLine="200"/>
        <w:rPr>
          <w:rFonts w:eastAsia="仿宋_GB2312"/>
          <w:color w:val="000000"/>
          <w:sz w:val="32"/>
          <w:szCs w:val="32"/>
        </w:rPr>
      </w:pPr>
    </w:p>
    <w:p>
      <w:pPr>
        <w:spacing w:line="520" w:lineRule="exact"/>
        <w:ind w:firstLine="200"/>
        <w:rPr>
          <w:rFonts w:eastAsia="仿宋_GB2312"/>
          <w:color w:val="000000"/>
          <w:sz w:val="32"/>
          <w:szCs w:val="32"/>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29" w:usb3="00000000" w:csb0="000101F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18"/>
      </w:rPr>
    </w:pPr>
    <w:r>
      <w:rPr>
        <w:sz w:val="18"/>
      </w:rP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jc w:val="cente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13</w:t>
                </w:r>
                <w:r>
                  <w:rPr>
                    <w:sz w:val="28"/>
                    <w:szCs w:val="28"/>
                  </w:rPr>
                  <w:fldChar w:fldCharType="end"/>
                </w:r>
                <w:r>
                  <w:rPr>
                    <w:rFonts w:hint="eastAsia"/>
                    <w:sz w:val="28"/>
                    <w:szCs w:val="28"/>
                  </w:rPr>
                  <w:t xml:space="preserve"> —</w:t>
                </w:r>
                <w:r>
                  <w:rPr>
                    <w:rFonts w:hint="eastAsia"/>
                    <w:color w:val="FFFFFF"/>
                    <w:sz w:val="28"/>
                    <w:szCs w:val="28"/>
                  </w:rPr>
                  <w:t>—</w:t>
                </w:r>
              </w:p>
            </w:txbxContent>
          </v:textbox>
        </v:shape>
      </w:pict>
    </w:r>
  </w:p>
  <w:sdt>
    <w:sdtPr>
      <w:id w:val="-793282553"/>
      <w:docPartObj>
        <w:docPartGallery w:val="autotext"/>
      </w:docPartObj>
    </w:sdtPr>
    <w:sdtContent>
      <w:p>
        <w:pPr>
          <w:pStyle w:val="4"/>
          <w:jc w:val="center"/>
        </w:pPr>
      </w:p>
      <w:p>
        <w:pPr>
          <w:pStyle w:val="4"/>
          <w:jc w:val="center"/>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1"/>
  <w:bordersDoNotSurroundFooter w:val="1"/>
  <w:documentProtection w:enforcement="0"/>
  <w:defaultTabStop w:val="420"/>
  <w:characterSpacingControl w:val="doNotCompress"/>
  <w:hdrShapeDefaults>
    <o:shapelayout v:ext="edit">
      <o:idmap v:ext="edit" data="2"/>
    </o:shapelayout>
  </w:hdrShapeDefaults>
  <w:footnotePr>
    <w:footnote w:id="0"/>
    <w:footnote w:id="1"/>
  </w:footnotePr>
  <w:endnotePr>
    <w:endnote w:id="0"/>
    <w:endnote w:id="1"/>
  </w:endnotePr>
  <w:compat>
    <w:useFELayout/>
    <w:compatSetting w:name="compatibilityMode" w:uri="http://schemas.microsoft.com/office/word" w:val="12"/>
  </w:compat>
  <w:docVars>
    <w:docVar w:name="commondata" w:val="eyJoZGlkIjoiMzIxZjVlMGZhZTM5OTk4NTFlYjlhMzU3NTY5YzkwYWIifQ=="/>
  </w:docVars>
  <w:rsids>
    <w:rsidRoot w:val="006D6F23"/>
    <w:rsid w:val="000113B3"/>
    <w:rsid w:val="00024786"/>
    <w:rsid w:val="0005224D"/>
    <w:rsid w:val="00067C8C"/>
    <w:rsid w:val="00067E54"/>
    <w:rsid w:val="0009357E"/>
    <w:rsid w:val="000A02E4"/>
    <w:rsid w:val="000B08EC"/>
    <w:rsid w:val="000B3103"/>
    <w:rsid w:val="000B3DC5"/>
    <w:rsid w:val="000C4B4F"/>
    <w:rsid w:val="000D4EC3"/>
    <w:rsid w:val="000D5A5C"/>
    <w:rsid w:val="000D7B10"/>
    <w:rsid w:val="000E5D52"/>
    <w:rsid w:val="000E5E38"/>
    <w:rsid w:val="001001E4"/>
    <w:rsid w:val="001218E6"/>
    <w:rsid w:val="00142303"/>
    <w:rsid w:val="00142973"/>
    <w:rsid w:val="00160FBB"/>
    <w:rsid w:val="0019011E"/>
    <w:rsid w:val="001B7866"/>
    <w:rsid w:val="001C61E4"/>
    <w:rsid w:val="001C71A0"/>
    <w:rsid w:val="001D2EAC"/>
    <w:rsid w:val="001E5F16"/>
    <w:rsid w:val="001E7B56"/>
    <w:rsid w:val="001F1775"/>
    <w:rsid w:val="002179B3"/>
    <w:rsid w:val="00217F73"/>
    <w:rsid w:val="002423D0"/>
    <w:rsid w:val="00243818"/>
    <w:rsid w:val="00250A79"/>
    <w:rsid w:val="00262198"/>
    <w:rsid w:val="00263C94"/>
    <w:rsid w:val="0026432D"/>
    <w:rsid w:val="00273797"/>
    <w:rsid w:val="00274EF9"/>
    <w:rsid w:val="002B07BF"/>
    <w:rsid w:val="002C1871"/>
    <w:rsid w:val="002D40AD"/>
    <w:rsid w:val="002E06ED"/>
    <w:rsid w:val="002F1CF9"/>
    <w:rsid w:val="002F3D9E"/>
    <w:rsid w:val="00336AC6"/>
    <w:rsid w:val="00343DB1"/>
    <w:rsid w:val="0035406B"/>
    <w:rsid w:val="00354835"/>
    <w:rsid w:val="003765D1"/>
    <w:rsid w:val="003B4387"/>
    <w:rsid w:val="003C135C"/>
    <w:rsid w:val="003D2DDD"/>
    <w:rsid w:val="003E30EF"/>
    <w:rsid w:val="003E6B2A"/>
    <w:rsid w:val="00426C86"/>
    <w:rsid w:val="00427573"/>
    <w:rsid w:val="004337E2"/>
    <w:rsid w:val="004408AE"/>
    <w:rsid w:val="00452CBE"/>
    <w:rsid w:val="0045633E"/>
    <w:rsid w:val="004A3E6B"/>
    <w:rsid w:val="004A7F14"/>
    <w:rsid w:val="004B77BA"/>
    <w:rsid w:val="004C47E8"/>
    <w:rsid w:val="004F6803"/>
    <w:rsid w:val="00501E8F"/>
    <w:rsid w:val="00525903"/>
    <w:rsid w:val="0055629F"/>
    <w:rsid w:val="00564AAB"/>
    <w:rsid w:val="00570B93"/>
    <w:rsid w:val="00572B22"/>
    <w:rsid w:val="00590D9D"/>
    <w:rsid w:val="00597588"/>
    <w:rsid w:val="005A535F"/>
    <w:rsid w:val="005B365F"/>
    <w:rsid w:val="005C46A7"/>
    <w:rsid w:val="005E1897"/>
    <w:rsid w:val="005F3095"/>
    <w:rsid w:val="005F348A"/>
    <w:rsid w:val="00601982"/>
    <w:rsid w:val="006257B9"/>
    <w:rsid w:val="00635C0F"/>
    <w:rsid w:val="00642708"/>
    <w:rsid w:val="0064756A"/>
    <w:rsid w:val="00662B87"/>
    <w:rsid w:val="00670D58"/>
    <w:rsid w:val="006779DE"/>
    <w:rsid w:val="00691A4A"/>
    <w:rsid w:val="006B0076"/>
    <w:rsid w:val="006D2FF1"/>
    <w:rsid w:val="006D6F23"/>
    <w:rsid w:val="006F20BA"/>
    <w:rsid w:val="006F433A"/>
    <w:rsid w:val="00725431"/>
    <w:rsid w:val="00734578"/>
    <w:rsid w:val="00757440"/>
    <w:rsid w:val="00763358"/>
    <w:rsid w:val="00765C4E"/>
    <w:rsid w:val="007679E4"/>
    <w:rsid w:val="007750A7"/>
    <w:rsid w:val="007818A6"/>
    <w:rsid w:val="0078702B"/>
    <w:rsid w:val="00790800"/>
    <w:rsid w:val="00793A10"/>
    <w:rsid w:val="007A4317"/>
    <w:rsid w:val="007A4955"/>
    <w:rsid w:val="007B59D0"/>
    <w:rsid w:val="007C6FB8"/>
    <w:rsid w:val="007D3DC5"/>
    <w:rsid w:val="007D6022"/>
    <w:rsid w:val="007F12F2"/>
    <w:rsid w:val="00815DD2"/>
    <w:rsid w:val="00823F54"/>
    <w:rsid w:val="00830DAA"/>
    <w:rsid w:val="008457CA"/>
    <w:rsid w:val="008632E4"/>
    <w:rsid w:val="00870C39"/>
    <w:rsid w:val="0087581E"/>
    <w:rsid w:val="00875B28"/>
    <w:rsid w:val="0088677D"/>
    <w:rsid w:val="008936B3"/>
    <w:rsid w:val="008A31C3"/>
    <w:rsid w:val="008B1E8D"/>
    <w:rsid w:val="008D254E"/>
    <w:rsid w:val="008E4FE8"/>
    <w:rsid w:val="009070B6"/>
    <w:rsid w:val="00930EC3"/>
    <w:rsid w:val="00935C4B"/>
    <w:rsid w:val="00980CF1"/>
    <w:rsid w:val="0098735C"/>
    <w:rsid w:val="00990526"/>
    <w:rsid w:val="00993B76"/>
    <w:rsid w:val="009B0CA1"/>
    <w:rsid w:val="009C6414"/>
    <w:rsid w:val="009D172F"/>
    <w:rsid w:val="009D1B6F"/>
    <w:rsid w:val="009E3639"/>
    <w:rsid w:val="00A02DEC"/>
    <w:rsid w:val="00A062FF"/>
    <w:rsid w:val="00A17CD0"/>
    <w:rsid w:val="00A22325"/>
    <w:rsid w:val="00A36F6F"/>
    <w:rsid w:val="00A402B6"/>
    <w:rsid w:val="00A95BFC"/>
    <w:rsid w:val="00AA426F"/>
    <w:rsid w:val="00AA467C"/>
    <w:rsid w:val="00AA49D6"/>
    <w:rsid w:val="00AD0CD8"/>
    <w:rsid w:val="00AE7EEA"/>
    <w:rsid w:val="00AF4AEA"/>
    <w:rsid w:val="00AF67C7"/>
    <w:rsid w:val="00AF7010"/>
    <w:rsid w:val="00B0419B"/>
    <w:rsid w:val="00B5547A"/>
    <w:rsid w:val="00B57061"/>
    <w:rsid w:val="00B665FF"/>
    <w:rsid w:val="00B721A0"/>
    <w:rsid w:val="00B90A44"/>
    <w:rsid w:val="00B955E0"/>
    <w:rsid w:val="00BB05B3"/>
    <w:rsid w:val="00BB469D"/>
    <w:rsid w:val="00BB5DD8"/>
    <w:rsid w:val="00BB6B3F"/>
    <w:rsid w:val="00BC4CD7"/>
    <w:rsid w:val="00C03ADA"/>
    <w:rsid w:val="00C06672"/>
    <w:rsid w:val="00C157E2"/>
    <w:rsid w:val="00C31ECA"/>
    <w:rsid w:val="00C352E8"/>
    <w:rsid w:val="00C404CC"/>
    <w:rsid w:val="00C43AE9"/>
    <w:rsid w:val="00C52E69"/>
    <w:rsid w:val="00C57CCF"/>
    <w:rsid w:val="00C62B58"/>
    <w:rsid w:val="00C63200"/>
    <w:rsid w:val="00C67FCE"/>
    <w:rsid w:val="00C703A4"/>
    <w:rsid w:val="00C7055A"/>
    <w:rsid w:val="00C767A9"/>
    <w:rsid w:val="00C846D0"/>
    <w:rsid w:val="00C930BE"/>
    <w:rsid w:val="00C94D37"/>
    <w:rsid w:val="00CA72B7"/>
    <w:rsid w:val="00CB75EC"/>
    <w:rsid w:val="00CC200D"/>
    <w:rsid w:val="00CC557D"/>
    <w:rsid w:val="00CC753B"/>
    <w:rsid w:val="00CC7C29"/>
    <w:rsid w:val="00CD1B8E"/>
    <w:rsid w:val="00CD5EC1"/>
    <w:rsid w:val="00CE1787"/>
    <w:rsid w:val="00CF41D5"/>
    <w:rsid w:val="00CF4D81"/>
    <w:rsid w:val="00D03428"/>
    <w:rsid w:val="00D244BA"/>
    <w:rsid w:val="00D31D0F"/>
    <w:rsid w:val="00D500F2"/>
    <w:rsid w:val="00D64CAB"/>
    <w:rsid w:val="00D81EAE"/>
    <w:rsid w:val="00D85B64"/>
    <w:rsid w:val="00D95FB9"/>
    <w:rsid w:val="00DA1543"/>
    <w:rsid w:val="00DC70F0"/>
    <w:rsid w:val="00E00737"/>
    <w:rsid w:val="00E256EB"/>
    <w:rsid w:val="00E2655F"/>
    <w:rsid w:val="00E30EE7"/>
    <w:rsid w:val="00E4477F"/>
    <w:rsid w:val="00E65058"/>
    <w:rsid w:val="00E7288F"/>
    <w:rsid w:val="00EA4458"/>
    <w:rsid w:val="00EB2E15"/>
    <w:rsid w:val="00EB43E0"/>
    <w:rsid w:val="00EC23FF"/>
    <w:rsid w:val="00EC3C76"/>
    <w:rsid w:val="00ED57D0"/>
    <w:rsid w:val="00ED6F33"/>
    <w:rsid w:val="00EF1147"/>
    <w:rsid w:val="00F16D6F"/>
    <w:rsid w:val="00F2063D"/>
    <w:rsid w:val="00F269C0"/>
    <w:rsid w:val="00F27608"/>
    <w:rsid w:val="00F4541A"/>
    <w:rsid w:val="00F72AF7"/>
    <w:rsid w:val="00F852D5"/>
    <w:rsid w:val="00FC0C62"/>
    <w:rsid w:val="00FC4561"/>
    <w:rsid w:val="00FE7CD4"/>
    <w:rsid w:val="00FF477D"/>
    <w:rsid w:val="036B3FBB"/>
    <w:rsid w:val="16C6318D"/>
    <w:rsid w:val="26053F1F"/>
    <w:rsid w:val="5EE82AF5"/>
    <w:rsid w:val="602C3081"/>
    <w:rsid w:val="73D32F9B"/>
    <w:rsid w:val="76DF486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nhideWhenUsed/>
    <w:qFormat/>
    <w:uiPriority w:val="0"/>
    <w:rPr>
      <w:rFonts w:ascii="宋体" w:hAnsi="Courier New"/>
      <w:kern w:val="0"/>
      <w:sz w:val="20"/>
      <w:szCs w:val="21"/>
    </w:r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rPr>
  </w:style>
  <w:style w:type="character" w:customStyle="1" w:styleId="9">
    <w:name w:val="纯文本 字符"/>
    <w:basedOn w:val="7"/>
    <w:link w:val="2"/>
    <w:qFormat/>
    <w:uiPriority w:val="99"/>
    <w:rPr>
      <w:rFonts w:ascii="宋体" w:hAnsi="Courier New" w:eastAsia="宋体" w:cs="Times New Roman"/>
      <w:kern w:val="0"/>
      <w:sz w:val="20"/>
      <w:szCs w:val="21"/>
    </w:rPr>
  </w:style>
  <w:style w:type="paragraph" w:customStyle="1" w:styleId="10">
    <w:name w:val="段"/>
    <w:basedOn w:val="1"/>
    <w:link w:val="11"/>
    <w:qFormat/>
    <w:uiPriority w:val="0"/>
    <w:pPr>
      <w:ind w:firstLine="425"/>
    </w:pPr>
    <w:rPr>
      <w:rFonts w:ascii="宋体"/>
      <w:szCs w:val="20"/>
    </w:rPr>
  </w:style>
  <w:style w:type="character" w:customStyle="1" w:styleId="11">
    <w:name w:val="段 Char Char"/>
    <w:link w:val="10"/>
    <w:qFormat/>
    <w:uiPriority w:val="0"/>
    <w:rPr>
      <w:rFonts w:ascii="宋体" w:hAnsi="Times New Roman" w:eastAsia="宋体" w:cs="Times New Roman"/>
      <w:szCs w:val="20"/>
    </w:rPr>
  </w:style>
  <w:style w:type="character" w:customStyle="1" w:styleId="12">
    <w:name w:val="页眉 字符"/>
    <w:basedOn w:val="7"/>
    <w:link w:val="5"/>
    <w:qFormat/>
    <w:uiPriority w:val="99"/>
    <w:rPr>
      <w:rFonts w:ascii="Times New Roman" w:hAnsi="Times New Roman" w:eastAsia="宋体" w:cs="Times New Roman"/>
      <w:sz w:val="18"/>
      <w:szCs w:val="18"/>
    </w:rPr>
  </w:style>
  <w:style w:type="character" w:customStyle="1" w:styleId="13">
    <w:name w:val="页脚 字符"/>
    <w:basedOn w:val="7"/>
    <w:link w:val="4"/>
    <w:qFormat/>
    <w:uiPriority w:val="99"/>
    <w:rPr>
      <w:rFonts w:ascii="Times New Roman" w:hAnsi="Times New Roman" w:eastAsia="宋体" w:cs="Times New Roman"/>
      <w:sz w:val="18"/>
      <w:szCs w:val="18"/>
    </w:rPr>
  </w:style>
  <w:style w:type="character" w:customStyle="1" w:styleId="14">
    <w:name w:val="批注框文本 字符"/>
    <w:basedOn w:val="7"/>
    <w:link w:val="3"/>
    <w:semiHidden/>
    <w:qFormat/>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30"/>
    <customShpInfo spid="_x0000_s1029"/>
    <customShpInfo spid="_x0000_s103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15</Pages>
  <Words>6040</Words>
  <Characters>6429</Characters>
  <Lines>47</Lines>
  <Paragraphs>13</Paragraphs>
  <TotalTime>0</TotalTime>
  <ScaleCrop>false</ScaleCrop>
  <LinksUpToDate>false</LinksUpToDate>
  <CharactersWithSpaces>6463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2022-07-21T02:12:00Z</dcterms:created>
  <dc:creator>guo xu</dc:creator>
  <cp:lastModifiedBy>马琼荣</cp:lastModifiedBy>
  <dcterms:modified xsi:type="dcterms:W3CDTF">2022-11-25T03:35:16Z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1E87FBD8096648CFB9F9A501ABE1CEBB</vt:lpwstr>
  </property>
</Properties>
</file>