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line="520" w:lineRule="exact"/>
        <w:jc w:val="left"/>
        <w:rPr>
          <w:rFonts w:hint="eastAsia" w:ascii="黑体" w:hAnsi="黑体" w:eastAsia="黑体" w:cs="黑体"/>
          <w:sz w:val="32"/>
          <w:szCs w:val="32"/>
          <w:lang w:val="en-US" w:eastAsia="zh-CN"/>
        </w:rPr>
      </w:pPr>
      <w:bookmarkStart w:id="0" w:name="zhengwen"/>
      <w:bookmarkStart w:id="9" w:name="_GoBack"/>
      <w:bookmarkEnd w:id="9"/>
      <w:r>
        <w:rPr>
          <w:rFonts w:hint="eastAsia" w:ascii="黑体" w:hAnsi="黑体" w:eastAsia="黑体" w:cs="黑体"/>
          <w:sz w:val="32"/>
          <w:szCs w:val="32"/>
          <w:lang w:val="en-US" w:eastAsia="zh-CN"/>
        </w:rPr>
        <w:t>附件10</w:t>
      </w:r>
    </w:p>
    <w:p>
      <w:pPr>
        <w:adjustRightInd/>
        <w:snapToGrid/>
        <w:spacing w:after="0" w:line="520" w:lineRule="exact"/>
        <w:jc w:val="left"/>
        <w:rPr>
          <w:rFonts w:hint="eastAsia" w:ascii="黑体" w:hAnsi="黑体" w:eastAsia="黑体" w:cs="黑体"/>
          <w:sz w:val="32"/>
          <w:szCs w:val="32"/>
          <w:lang w:val="en-US" w:eastAsia="zh-CN"/>
        </w:rPr>
      </w:pPr>
    </w:p>
    <w:p>
      <w:pPr>
        <w:adjustRightInd/>
        <w:snapToGrid/>
        <w:spacing w:after="0" w:line="520" w:lineRule="exact"/>
        <w:jc w:val="center"/>
        <w:rPr>
          <w:rFonts w:ascii="Times New Roman" w:hAnsi="Times New Roman" w:eastAsia="方正小标宋简体" w:cs="Times New Roman"/>
          <w:sz w:val="44"/>
          <w:szCs w:val="36"/>
        </w:rPr>
      </w:pPr>
      <w:r>
        <w:rPr>
          <w:rFonts w:ascii="Times New Roman" w:hAnsi="Times New Roman" w:eastAsia="方正小标宋简体" w:cs="Times New Roman"/>
          <w:sz w:val="44"/>
          <w:szCs w:val="36"/>
        </w:rPr>
        <w:t>一次性使用无菌阴道扩张器注册审查</w:t>
      </w:r>
    </w:p>
    <w:p>
      <w:pPr>
        <w:adjustRightInd/>
        <w:snapToGrid/>
        <w:spacing w:after="0" w:line="520" w:lineRule="exact"/>
        <w:jc w:val="center"/>
        <w:rPr>
          <w:rFonts w:ascii="Times New Roman" w:hAnsi="Times New Roman" w:eastAsia="方正小标宋简体" w:cs="Times New Roman"/>
          <w:sz w:val="44"/>
          <w:szCs w:val="36"/>
        </w:rPr>
      </w:pPr>
      <w:r>
        <w:rPr>
          <w:rFonts w:ascii="Times New Roman" w:hAnsi="Times New Roman" w:eastAsia="方正小标宋简体" w:cs="Times New Roman"/>
          <w:sz w:val="44"/>
          <w:szCs w:val="36"/>
        </w:rPr>
        <w:t>指导原则</w:t>
      </w:r>
    </w:p>
    <w:p>
      <w:pPr>
        <w:adjustRightInd/>
        <w:snapToGrid/>
        <w:spacing w:after="0"/>
        <w:ind w:firstLine="640" w:firstLineChars="200"/>
        <w:jc w:val="both"/>
        <w:rPr>
          <w:rFonts w:ascii="Times New Roman" w:hAnsi="Times New Roman" w:eastAsia="仿宋" w:cs="Times New Roman"/>
          <w:color w:val="000000"/>
          <w:sz w:val="32"/>
          <w:szCs w:val="32"/>
        </w:rPr>
      </w:pPr>
    </w:p>
    <w:p>
      <w:pPr>
        <w:adjustRightInd/>
        <w:snapToGrid/>
        <w:spacing w:after="0" w:line="52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本指导原则旨在帮助和指导申请人对一次性使用无菌阴道扩张器（以下简称扩张器）注册申报资料的准备及撰写，同时也为技术审评部门提供参考。</w:t>
      </w:r>
    </w:p>
    <w:p>
      <w:pPr>
        <w:adjustRightInd/>
        <w:snapToGrid/>
        <w:spacing w:after="0" w:line="52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本指导原则是对扩张器的一般要求，申请人应依据产品的具体特性确定其中内容是否适用。若不适用，需具体阐述理由及相应的科学依据，并依据产品的具体特性对注册申报资料的内容进行充实和细化。</w:t>
      </w:r>
    </w:p>
    <w:p>
      <w:pPr>
        <w:adjustRightInd/>
        <w:snapToGrid/>
        <w:spacing w:after="0" w:line="52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adjustRightInd/>
        <w:snapToGrid/>
        <w:spacing w:after="0" w:line="52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本指导原则是在现行法规和标准体系以及当前认知水平下制定，随着法规和标准的不断完善，以及科学技术的不断发展，相关内容也将适时进行调整。</w:t>
      </w:r>
    </w:p>
    <w:p>
      <w:pPr>
        <w:adjustRightInd/>
        <w:snapToGrid/>
        <w:spacing w:after="0" w:line="520" w:lineRule="exact"/>
        <w:ind w:firstLine="640" w:firstLineChars="200"/>
        <w:jc w:val="both"/>
        <w:rPr>
          <w:rFonts w:ascii="Times New Roman" w:hAnsi="Times New Roman" w:eastAsia="黑体" w:cs="Times New Roman"/>
          <w:sz w:val="32"/>
          <w:szCs w:val="32"/>
        </w:rPr>
      </w:pPr>
      <w:bookmarkStart w:id="1" w:name="_Toc311102034"/>
      <w:bookmarkStart w:id="2" w:name="_Toc278788273"/>
      <w:r>
        <w:rPr>
          <w:rFonts w:ascii="Times New Roman" w:hAnsi="Times New Roman" w:eastAsia="黑体" w:cs="Times New Roman"/>
          <w:sz w:val="32"/>
          <w:szCs w:val="32"/>
        </w:rPr>
        <w:t>一、适用范围</w:t>
      </w:r>
      <w:bookmarkEnd w:id="1"/>
      <w:bookmarkEnd w:id="2"/>
    </w:p>
    <w:p>
      <w:pPr>
        <w:adjustRightInd/>
        <w:snapToGrid/>
        <w:spacing w:after="0" w:line="52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本指导原则适用于《医疗器械分类目录》18-01-05中的一次性使用无菌阴道扩张器。</w:t>
      </w:r>
    </w:p>
    <w:p>
      <w:pPr>
        <w:adjustRightInd/>
        <w:snapToGrid/>
        <w:spacing w:after="0" w:line="52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本指导原则不适用于带光源阴道扩张器产品和手术用阴道扩张器，但可参考适用部分。</w:t>
      </w:r>
    </w:p>
    <w:p>
      <w:pPr>
        <w:adjustRightInd/>
        <w:snapToGrid/>
        <w:spacing w:after="0" w:line="520" w:lineRule="exact"/>
        <w:ind w:firstLine="640" w:firstLineChars="200"/>
        <w:jc w:val="both"/>
        <w:rPr>
          <w:rFonts w:ascii="Times New Roman" w:hAnsi="Times New Roman" w:eastAsia="黑体" w:cs="Times New Roman"/>
          <w:sz w:val="32"/>
          <w:szCs w:val="32"/>
        </w:rPr>
      </w:pPr>
      <w:bookmarkStart w:id="3" w:name="_Toc311102035"/>
      <w:r>
        <w:rPr>
          <w:rFonts w:ascii="Times New Roman" w:hAnsi="Times New Roman" w:eastAsia="黑体" w:cs="Times New Roman"/>
          <w:sz w:val="32"/>
          <w:szCs w:val="32"/>
        </w:rPr>
        <w:t>二、注册审查要点</w:t>
      </w:r>
      <w:bookmarkEnd w:id="3"/>
    </w:p>
    <w:p>
      <w:pPr>
        <w:overflowPunct w:val="0"/>
        <w:spacing w:after="0" w:line="520" w:lineRule="exact"/>
        <w:ind w:firstLine="640" w:firstLineChars="200"/>
        <w:rPr>
          <w:rFonts w:ascii="Times New Roman" w:hAnsi="Times New Roman" w:eastAsia="楷体_GB2312" w:cs="Times New Roman"/>
          <w:sz w:val="32"/>
          <w:szCs w:val="32"/>
        </w:rPr>
      </w:pPr>
      <w:bookmarkStart w:id="4" w:name="_Toc278788275"/>
      <w:bookmarkStart w:id="5" w:name="_Toc311102036"/>
      <w:r>
        <w:rPr>
          <w:rFonts w:ascii="Times New Roman" w:hAnsi="Times New Roman" w:eastAsia="楷体_GB2312" w:cs="Times New Roman"/>
          <w:sz w:val="32"/>
          <w:szCs w:val="32"/>
        </w:rPr>
        <w:t>（一）监管信息</w:t>
      </w:r>
    </w:p>
    <w:p>
      <w:pPr>
        <w:overflowPunct w:val="0"/>
        <w:spacing w:after="0" w:line="520" w:lineRule="exact"/>
        <w:ind w:firstLine="640" w:firstLineChars="200"/>
        <w:rPr>
          <w:rFonts w:ascii="Times New Roman" w:hAnsi="Times New Roman" w:eastAsia="仿宋_GB2312" w:cs="Times New Roman"/>
          <w:snapToGrid w:val="0"/>
          <w:sz w:val="32"/>
          <w:szCs w:val="32"/>
        </w:rPr>
      </w:pPr>
      <w:r>
        <w:rPr>
          <w:rFonts w:ascii="Times New Roman" w:hAnsi="Times New Roman" w:eastAsia="仿宋_GB2312" w:cs="Times New Roman"/>
          <w:sz w:val="32"/>
          <w:szCs w:val="32"/>
        </w:rPr>
        <w:t>申请人应提供申请表、产品列表、既往沟通记录、主文档授权信以及其它管理信息</w:t>
      </w:r>
      <w:r>
        <w:rPr>
          <w:rFonts w:ascii="Times New Roman" w:hAnsi="Times New Roman" w:eastAsia="仿宋_GB2312" w:cs="Times New Roman"/>
          <w:snapToGrid w:val="0"/>
          <w:sz w:val="32"/>
          <w:szCs w:val="32"/>
        </w:rPr>
        <w:t>。</w:t>
      </w:r>
    </w:p>
    <w:p>
      <w:pPr>
        <w:overflowPunct w:val="0"/>
        <w:autoSpaceDE w:val="0"/>
        <w:autoSpaceDN w:val="0"/>
        <w:spacing w:after="0" w:line="520" w:lineRule="exact"/>
        <w:ind w:firstLine="640" w:firstLineChars="200"/>
        <w:rPr>
          <w:rFonts w:ascii="Times New Roman" w:hAnsi="Times New Roman" w:eastAsia="仿宋_GB2312" w:cs="Times New Roman"/>
          <w:snapToGrid w:val="0"/>
          <w:sz w:val="32"/>
          <w:szCs w:val="32"/>
        </w:rPr>
      </w:pPr>
      <w:r>
        <w:rPr>
          <w:rFonts w:ascii="Times New Roman" w:hAnsi="Times New Roman" w:eastAsia="仿宋_GB2312" w:cs="Times New Roman"/>
          <w:snapToGrid w:val="0"/>
          <w:sz w:val="32"/>
          <w:szCs w:val="32"/>
        </w:rPr>
        <w:t>1.申请表</w:t>
      </w:r>
    </w:p>
    <w:p>
      <w:pPr>
        <w:overflowPunct w:val="0"/>
        <w:autoSpaceDE w:val="0"/>
        <w:autoSpaceDN w:val="0"/>
        <w:spacing w:after="0" w:line="520" w:lineRule="exact"/>
        <w:ind w:firstLine="640" w:firstLineChars="200"/>
        <w:rPr>
          <w:rFonts w:ascii="Times New Roman" w:hAnsi="Times New Roman" w:eastAsia="仿宋_GB2312" w:cs="Times New Roman"/>
          <w:snapToGrid w:val="0"/>
          <w:sz w:val="32"/>
          <w:szCs w:val="32"/>
        </w:rPr>
      </w:pPr>
      <w:r>
        <w:rPr>
          <w:rFonts w:ascii="Times New Roman" w:hAnsi="Times New Roman" w:eastAsia="仿宋_GB2312" w:cs="Times New Roman"/>
          <w:snapToGrid w:val="0"/>
          <w:sz w:val="32"/>
          <w:szCs w:val="32"/>
        </w:rPr>
        <w:t>产品命名应符合《医疗器械通用名称命名规则》的要求，可采用《医疗器械分类目录》或相关国家标准、行业标准上的通用名称，或以产品结构和适用范围为依据命名。如“一次性使用无菌阴道扩张器”等。</w:t>
      </w:r>
    </w:p>
    <w:p>
      <w:pPr>
        <w:overflowPunct w:val="0"/>
        <w:autoSpaceDE w:val="0"/>
        <w:autoSpaceDN w:val="0"/>
        <w:spacing w:after="0" w:line="520" w:lineRule="exact"/>
        <w:ind w:firstLine="640" w:firstLineChars="200"/>
        <w:rPr>
          <w:rFonts w:ascii="Times New Roman" w:hAnsi="Times New Roman" w:eastAsia="仿宋_GB2312" w:cs="Times New Roman"/>
          <w:snapToGrid w:val="0"/>
          <w:sz w:val="32"/>
          <w:szCs w:val="32"/>
        </w:rPr>
      </w:pPr>
      <w:r>
        <w:rPr>
          <w:rFonts w:ascii="Times New Roman" w:hAnsi="Times New Roman" w:eastAsia="仿宋_GB2312" w:cs="Times New Roman"/>
          <w:snapToGrid w:val="0"/>
          <w:sz w:val="32"/>
          <w:szCs w:val="32"/>
        </w:rPr>
        <w:t>2.分类编码</w:t>
      </w:r>
    </w:p>
    <w:p>
      <w:pPr>
        <w:overflowPunct w:val="0"/>
        <w:autoSpaceDE w:val="0"/>
        <w:autoSpaceDN w:val="0"/>
        <w:spacing w:after="0" w:line="520" w:lineRule="exact"/>
        <w:ind w:firstLine="640" w:firstLineChars="200"/>
        <w:rPr>
          <w:rFonts w:ascii="Times New Roman" w:hAnsi="Times New Roman" w:eastAsia="仿宋_GB2312" w:cs="Times New Roman"/>
          <w:snapToGrid w:val="0"/>
          <w:sz w:val="32"/>
          <w:szCs w:val="32"/>
        </w:rPr>
      </w:pPr>
      <w:r>
        <w:rPr>
          <w:rFonts w:ascii="Times New Roman" w:hAnsi="Times New Roman" w:eastAsia="仿宋_GB2312" w:cs="Times New Roman"/>
          <w:snapToGrid w:val="0"/>
          <w:sz w:val="32"/>
          <w:szCs w:val="32"/>
        </w:rPr>
        <w:t>根据《医疗器械分类目录》，申报产品属于子目录18-妇产科、辅助生殖和避孕器械，一级产品类别01-妇产科手术器械，二级产品类别05-</w:t>
      </w:r>
      <w:r>
        <w:rPr>
          <w:rFonts w:ascii="Times New Roman" w:hAnsi="Times New Roman" w:eastAsia="仿宋_GB2312" w:cs="Times New Roman"/>
          <w:sz w:val="32"/>
          <w:szCs w:val="32"/>
        </w:rPr>
        <w:t>妇产科用扩张器、牵开器</w:t>
      </w:r>
      <w:r>
        <w:rPr>
          <w:rFonts w:ascii="Times New Roman" w:hAnsi="Times New Roman" w:eastAsia="仿宋_GB2312" w:cs="Times New Roman"/>
          <w:snapToGrid w:val="0"/>
          <w:sz w:val="32"/>
          <w:szCs w:val="32"/>
        </w:rPr>
        <w:t>。</w:t>
      </w:r>
    </w:p>
    <w:p>
      <w:pPr>
        <w:overflowPunct w:val="0"/>
        <w:autoSpaceDE w:val="0"/>
        <w:autoSpaceDN w:val="0"/>
        <w:spacing w:after="0" w:line="520" w:lineRule="exact"/>
        <w:ind w:firstLine="640" w:firstLineChars="200"/>
        <w:rPr>
          <w:rFonts w:ascii="Times New Roman" w:hAnsi="Times New Roman" w:eastAsia="仿宋_GB2312" w:cs="Times New Roman"/>
          <w:snapToGrid w:val="0"/>
          <w:sz w:val="32"/>
          <w:szCs w:val="32"/>
        </w:rPr>
      </w:pPr>
      <w:r>
        <w:rPr>
          <w:rFonts w:ascii="Times New Roman" w:hAnsi="Times New Roman" w:eastAsia="仿宋_GB2312" w:cs="Times New Roman"/>
          <w:snapToGrid w:val="0"/>
          <w:sz w:val="32"/>
          <w:szCs w:val="32"/>
        </w:rPr>
        <w:t>3.注册单元划分</w:t>
      </w:r>
    </w:p>
    <w:p>
      <w:pPr>
        <w:overflowPunct w:val="0"/>
        <w:autoSpaceDE w:val="0"/>
        <w:autoSpaceDN w:val="0"/>
        <w:spacing w:after="0" w:line="520" w:lineRule="exact"/>
        <w:ind w:firstLine="640" w:firstLineChars="200"/>
        <w:rPr>
          <w:rFonts w:ascii="Times New Roman" w:hAnsi="Times New Roman" w:eastAsia="仿宋_GB2312" w:cs="Times New Roman"/>
          <w:snapToGrid w:val="0"/>
          <w:sz w:val="32"/>
          <w:szCs w:val="32"/>
        </w:rPr>
      </w:pPr>
      <w:r>
        <w:rPr>
          <w:rFonts w:ascii="Times New Roman" w:hAnsi="Times New Roman" w:eastAsia="仿宋_GB2312" w:cs="Times New Roman"/>
          <w:snapToGrid w:val="0"/>
          <w:sz w:val="32"/>
          <w:szCs w:val="32"/>
        </w:rPr>
        <w:t>注册单元的划分应参照《总局关于发布医疗器械注册单元划分指导原则的通告》，以产品的技术原理、结构组成、性能指标和适用范围等因素为划分依据。</w:t>
      </w:r>
    </w:p>
    <w:p>
      <w:pPr>
        <w:spacing w:after="0" w:line="520" w:lineRule="exact"/>
        <w:ind w:right="-70"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（二）综述资料</w:t>
      </w:r>
    </w:p>
    <w:p>
      <w:pPr>
        <w:pStyle w:val="5"/>
        <w:overflowPunct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1.概述</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1.1依据医疗器械分类目录，扩张器管理类别为</w:t>
      </w:r>
      <w:r>
        <w:rPr>
          <w:rFonts w:ascii="Times New Roman" w:hAnsi="Times New Roman" w:eastAsia="宋体" w:cs="Times New Roman"/>
          <w:sz w:val="32"/>
          <w:szCs w:val="32"/>
        </w:rPr>
        <w:t>Ⅱ</w:t>
      </w:r>
      <w:r>
        <w:rPr>
          <w:rFonts w:ascii="Times New Roman" w:hAnsi="Times New Roman" w:eastAsia="仿宋_GB2312" w:cs="Times New Roman"/>
          <w:sz w:val="32"/>
          <w:szCs w:val="32"/>
        </w:rPr>
        <w:t>类医疗器械，分类编码为18-01-05（</w:t>
      </w:r>
      <w:r>
        <w:rPr>
          <w:rFonts w:ascii="Times New Roman" w:hAnsi="Times New Roman" w:eastAsia="仿宋_GB2312" w:cs="Times New Roman"/>
          <w:snapToGrid w:val="0"/>
          <w:sz w:val="32"/>
          <w:szCs w:val="32"/>
        </w:rPr>
        <w:t>妇产科、辅助生殖和避孕器械-妇产科手术器械-05-</w:t>
      </w:r>
      <w:r>
        <w:rPr>
          <w:rFonts w:ascii="Times New Roman" w:hAnsi="Times New Roman" w:eastAsia="仿宋_GB2312" w:cs="Times New Roman"/>
          <w:sz w:val="32"/>
          <w:szCs w:val="32"/>
        </w:rPr>
        <w:t>妇产科用扩张器、牵开器）。</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1.2产品命名应符合《医疗器械通用名称命名规则》和国家标准、行业标准中的通用名称要求，如：一次性使用无菌阴道扩张器。</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2.产品描述</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2.1产品的结构和组成</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扩张器通常可采用聚丙烯、聚苯乙烯等适用的高分子材料制成，按结构型式主要分为推拉式、轴转式；按尺寸大小分为大号、中号、小号三种。扩张器主要由上叶、下叶、手柄等组成。产品结构示意图，如图1、图2。</w:t>
      </w:r>
    </w:p>
    <w:p>
      <w:pPr>
        <w:rPr>
          <w:rFonts w:ascii="Times New Roman" w:hAnsi="Times New Roman" w:eastAsia="仿宋_GB2312" w:cs="Times New Roman"/>
          <w:sz w:val="32"/>
          <w:szCs w:val="32"/>
        </w:rPr>
      </w:pPr>
    </w:p>
    <w:p>
      <w:pPr>
        <w:rPr>
          <w:rFonts w:ascii="Times New Roman" w:hAnsi="Times New Roman" w:eastAsia="仿宋_GB2312" w:cs="Times New Roman"/>
          <w:sz w:val="32"/>
          <w:szCs w:val="32"/>
        </w:rPr>
      </w:pPr>
      <w:r>
        <w:rPr>
          <w:rFonts w:ascii="Times New Roman" w:hAnsi="Times New Roman" w:eastAsia="仿宋_GB2312" w:cs="Times New Roman"/>
          <w:sz w:val="32"/>
          <w:szCs w:val="32"/>
        </w:rPr>
        <w:drawing>
          <wp:anchor distT="0" distB="0" distL="114300" distR="114300" simplePos="0" relativeHeight="251661312" behindDoc="0" locked="0" layoutInCell="1" allowOverlap="1">
            <wp:simplePos x="0" y="0"/>
            <wp:positionH relativeFrom="margin">
              <wp:posOffset>3110230</wp:posOffset>
            </wp:positionH>
            <wp:positionV relativeFrom="margin">
              <wp:posOffset>1687830</wp:posOffset>
            </wp:positionV>
            <wp:extent cx="2266950" cy="1514475"/>
            <wp:effectExtent l="1905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rcRect l="4335" t="17175" r="6812" b="14120"/>
                    <a:stretch>
                      <a:fillRect/>
                    </a:stretch>
                  </pic:blipFill>
                  <pic:spPr>
                    <a:xfrm>
                      <a:off x="0" y="0"/>
                      <a:ext cx="2266950" cy="1514475"/>
                    </a:xfrm>
                    <a:prstGeom prst="rect">
                      <a:avLst/>
                    </a:prstGeom>
                    <a:noFill/>
                    <a:ln>
                      <a:noFill/>
                    </a:ln>
                  </pic:spPr>
                </pic:pic>
              </a:graphicData>
            </a:graphic>
          </wp:anchor>
        </w:drawing>
      </w:r>
      <w:r>
        <w:rPr>
          <w:rFonts w:ascii="Times New Roman" w:hAnsi="Times New Roman" w:eastAsia="仿宋_GB2312" w:cs="Times New Roman"/>
          <w:sz w:val="32"/>
          <w:szCs w:val="32"/>
        </w:rPr>
        <w:drawing>
          <wp:anchor distT="0" distB="0" distL="114300" distR="114300" simplePos="0" relativeHeight="251659264" behindDoc="0" locked="0" layoutInCell="1" allowOverlap="1">
            <wp:simplePos x="0" y="0"/>
            <wp:positionH relativeFrom="margin">
              <wp:posOffset>85725</wp:posOffset>
            </wp:positionH>
            <wp:positionV relativeFrom="margin">
              <wp:posOffset>1687830</wp:posOffset>
            </wp:positionV>
            <wp:extent cx="2343150" cy="1495425"/>
            <wp:effectExtent l="19050" t="0" r="0" b="0"/>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3150" cy="1495425"/>
                    </a:xfrm>
                    <a:prstGeom prst="rect">
                      <a:avLst/>
                    </a:prstGeom>
                    <a:noFill/>
                    <a:ln>
                      <a:noFill/>
                    </a:ln>
                  </pic:spPr>
                </pic:pic>
              </a:graphicData>
            </a:graphic>
          </wp:anchor>
        </w:drawing>
      </w:r>
    </w:p>
    <w:p>
      <w:pPr>
        <w:rPr>
          <w:rFonts w:ascii="Times New Roman" w:hAnsi="Times New Roman" w:eastAsia="仿宋_GB2312" w:cs="Times New Roman"/>
          <w:sz w:val="32"/>
          <w:szCs w:val="32"/>
        </w:rPr>
      </w:pPr>
    </w:p>
    <w:p>
      <w:pPr>
        <w:rPr>
          <w:rFonts w:ascii="Times New Roman" w:hAnsi="Times New Roman" w:eastAsia="仿宋_GB2312" w:cs="Times New Roman"/>
          <w:sz w:val="32"/>
          <w:szCs w:val="32"/>
        </w:rPr>
      </w:pPr>
    </w:p>
    <w:p>
      <w:pPr>
        <w:rPr>
          <w:rFonts w:ascii="Times New Roman" w:hAnsi="Times New Roman" w:eastAsia="仿宋_GB2312" w:cs="Times New Roman"/>
          <w:sz w:val="32"/>
          <w:szCs w:val="32"/>
        </w:rPr>
      </w:pPr>
    </w:p>
    <w:p>
      <w:pPr>
        <w:rPr>
          <w:rFonts w:ascii="Times New Roman" w:hAnsi="Times New Roman" w:eastAsia="仿宋_GB2312" w:cs="Times New Roman"/>
          <w:sz w:val="32"/>
          <w:szCs w:val="32"/>
        </w:rPr>
      </w:pPr>
    </w:p>
    <w:p>
      <w:pPr>
        <w:rPr>
          <w:rFonts w:ascii="Times New Roman" w:hAnsi="Times New Roman" w:eastAsia="仿宋_GB2312" w:cs="Times New Roman"/>
          <w:sz w:val="32"/>
          <w:szCs w:val="32"/>
        </w:rPr>
      </w:pPr>
    </w:p>
    <w:p>
      <w:pPr>
        <w:tabs>
          <w:tab w:val="left" w:pos="1150"/>
          <w:tab w:val="left" w:pos="5960"/>
        </w:tabs>
        <w:overflowPunct w:val="0"/>
        <w:spacing w:after="0"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ab/>
      </w:r>
      <w:r>
        <w:rPr>
          <w:rFonts w:ascii="Times New Roman" w:hAnsi="Times New Roman" w:eastAsia="黑体" w:cs="Times New Roman"/>
          <w:sz w:val="28"/>
          <w:szCs w:val="28"/>
        </w:rPr>
        <w:t xml:space="preserve">图1 轴转式 </w:t>
      </w:r>
      <w:r>
        <w:rPr>
          <w:rFonts w:ascii="Times New Roman" w:hAnsi="Times New Roman" w:eastAsia="黑体" w:cs="Times New Roman"/>
          <w:sz w:val="28"/>
          <w:szCs w:val="28"/>
        </w:rPr>
        <w:tab/>
      </w:r>
      <w:r>
        <w:rPr>
          <w:rFonts w:ascii="Times New Roman" w:hAnsi="Times New Roman" w:eastAsia="黑体" w:cs="Times New Roman"/>
          <w:sz w:val="28"/>
          <w:szCs w:val="28"/>
        </w:rPr>
        <w:t>图2 推拉式</w:t>
      </w:r>
    </w:p>
    <w:p>
      <w:pPr>
        <w:overflowPunct w:val="0"/>
        <w:spacing w:after="0" w:line="540" w:lineRule="exact"/>
        <w:ind w:firstLine="640" w:firstLineChars="200"/>
        <w:rPr>
          <w:rFonts w:ascii="Times New Roman" w:hAnsi="Times New Roman" w:eastAsia="仿宋_GB2312" w:cs="Times New Roman"/>
          <w:sz w:val="32"/>
          <w:szCs w:val="32"/>
        </w:rPr>
      </w:pP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2.2产品工作原理/作用机理</w:t>
      </w:r>
    </w:p>
    <w:p>
      <w:pPr>
        <w:overflowPunct w:val="0"/>
        <w:spacing w:after="0" w:line="520" w:lineRule="exact"/>
        <w:ind w:firstLine="648" w:firstLineChars="200"/>
        <w:rPr>
          <w:rFonts w:ascii="Times New Roman" w:hAnsi="Times New Roman" w:eastAsia="仿宋_GB2312" w:cs="Times New Roman"/>
          <w:spacing w:val="2"/>
          <w:sz w:val="32"/>
          <w:szCs w:val="32"/>
        </w:rPr>
      </w:pPr>
      <w:r>
        <w:rPr>
          <w:rFonts w:ascii="Times New Roman" w:hAnsi="Times New Roman" w:eastAsia="仿宋_GB2312" w:cs="Times New Roman"/>
          <w:spacing w:val="2"/>
          <w:sz w:val="32"/>
          <w:szCs w:val="32"/>
        </w:rPr>
        <w:t>扩张器下叶上的滑销插入上叶的滑孔内，上下移动上叶进行扩张，通过手柄上的卡齿来锁定扩张的范围；或者利用转轴进行扩张，并利用卡齿锁定扩张的范围，来达到扩张大小的目的。</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3.型号规格</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说明产品的型号规格及划分依据，明确各型号规格的区别。</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4.包装说明</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说明产品的包装层次，写明产品各层次包装（初包装、中包装、大包装）的信息，包括包装所用材料及包装所载明的信息及样图；此外还应当说明无菌屏障系统的信息。</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5.适用范围和禁忌证</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5.1适用范围：供妇产科作阴道诊查用。</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5.2禁忌证：高分子材料过敏者禁用；未婚女性慎用；其他不适宜阴道检查的人群慎用。</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6.参考的同类产品或前代产品</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提供同类产品（国内外已上市）或前代产品（如有）的信息，阐述申请注册产品的研发背景和目的。对于同类产品，说明选择其作为研发参考的原因。申报产品应与已在中国境内上市的同类产品或前代产品进行对比分析，应详述产品间异同。</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7.不良事件情况（如适用）</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应当提交申报产品的上市、销售、不良事件和召回等相关情况分析资料。</w:t>
      </w:r>
    </w:p>
    <w:p>
      <w:pPr>
        <w:spacing w:after="0" w:line="520" w:lineRule="exact"/>
        <w:ind w:right="-70"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（三）非临床资料</w:t>
      </w:r>
    </w:p>
    <w:p>
      <w:pPr>
        <w:spacing w:after="0" w:line="520" w:lineRule="exact"/>
        <w:ind w:right="-70" w:rightChars="-32"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1.产品风险管理资料</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1.1企业必须按质量体系的要求建立风险管理控制程序。应依据YY/T 0316《医疗器械风险管理对医疗器械的应用》的要求，对扩张器整个生命周期过程中的风险进行有效的分析、评价和控制，并对全部剩余风险的可接受进行评估，使产品的收益大于风险。</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企业应建立风险管理文档，具有风险分析方法：</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1.1.1在对风险的判定及分析中，要考虑合理的可预见的情况，它们包括：正常使用条件下，非正常使用条件下。</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1.1.2风险判定及分析应包括：对于患者的危害，对于操作者的危害，对于环境的危害。</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1.1.3风险形成的初始原因应包括：原材料选择不当；产品结构因素；设计；生产风险；运输与防护不当等；人为因素（包括不合理的操作）；使用错误、综合危害；环境条件。</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1.1.4风险判定及分析考虑的问题包括：产品原材料生物学危害；产品质量是否会导致使用中出现不正常结果；操作信息，包括警示性语言、注意事项以及使用方法的准确性等。</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1.2企业应建立风险分析清单</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扩张器风险管理报告应符合YY/T 0316《医疗器械风险管理对医疗器械的应用》的有关要求，审查要点包括：</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1.2.1产品定性定量分析是否准确可参考YY/T 0316《医疗器械风险管理对医疗器械的应用》的附录A；</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1.2.2危害分析是否全面可参考YY/T 0316《医疗器械风险管理对医疗器械的应用》的附录E；</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1.2.3风险可接收准则，降低风险的措施及采取措施后风险的可接收程度，是否有新的风险产生。根据YY/T 0316《医疗器械风险管理对医疗器械的应用》的附录E对扩张器已知或可预见的风险进行判定，产品在进行风险分析时至少应包括以下的主要危害，企业还应根据自身产品特点确定其他危害。针对产品的各项风险，企业应采取应对措施，确保风险降到可接受的程度。</w:t>
      </w:r>
    </w:p>
    <w:p>
      <w:pPr>
        <w:overflowPunct w:val="0"/>
        <w:spacing w:after="0" w:line="520" w:lineRule="exact"/>
        <w:ind w:firstLine="640" w:firstLineChars="200"/>
        <w:rPr>
          <w:rFonts w:ascii="Times New Roman" w:hAnsi="Times New Roman" w:eastAsia="仿宋_GB2312" w:cs="Times New Roman"/>
          <w:sz w:val="32"/>
          <w:szCs w:val="32"/>
        </w:rPr>
      </w:pPr>
    </w:p>
    <w:p>
      <w:pPr>
        <w:adjustRightInd/>
        <w:snapToGrid/>
        <w:spacing w:after="0"/>
        <w:jc w:val="center"/>
        <w:rPr>
          <w:rFonts w:ascii="Times New Roman" w:hAnsi="Times New Roman" w:eastAsia="黑体" w:cs="Times New Roman"/>
          <w:sz w:val="28"/>
          <w:szCs w:val="28"/>
        </w:rPr>
      </w:pPr>
      <w:r>
        <w:rPr>
          <w:rFonts w:ascii="Times New Roman" w:hAnsi="Times New Roman" w:eastAsia="黑体" w:cs="Times New Roman"/>
          <w:sz w:val="28"/>
          <w:szCs w:val="28"/>
        </w:rPr>
        <w:t>表1 产品的主要危险（源）（举例）</w:t>
      </w:r>
    </w:p>
    <w:tbl>
      <w:tblPr>
        <w:tblStyle w:val="11"/>
        <w:tblpPr w:leftFromText="180" w:rightFromText="180" w:vertAnchor="text" w:horzAnchor="page" w:tblpX="1650" w:tblpY="2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049"/>
        <w:gridCol w:w="3552"/>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9" w:hRule="exact"/>
        </w:trPr>
        <w:tc>
          <w:tcPr>
            <w:tcW w:w="1231" w:type="pct"/>
            <w:vAlign w:val="center"/>
          </w:tcPr>
          <w:p>
            <w:pPr>
              <w:pStyle w:val="32"/>
              <w:kinsoku w:val="0"/>
              <w:spacing w:before="64"/>
              <w:ind w:firstLine="140" w:firstLineChars="50"/>
              <w:jc w:val="center"/>
              <w:rPr>
                <w:rFonts w:eastAsia="仿宋_GB2312"/>
                <w:sz w:val="28"/>
                <w:szCs w:val="28"/>
              </w:rPr>
            </w:pPr>
            <w:r>
              <w:rPr>
                <w:rFonts w:hint="eastAsia" w:eastAsia="仿宋_GB2312"/>
                <w:sz w:val="28"/>
                <w:szCs w:val="28"/>
              </w:rPr>
              <w:t>危险（源）</w:t>
            </w:r>
          </w:p>
        </w:tc>
        <w:tc>
          <w:tcPr>
            <w:tcW w:w="2134" w:type="pct"/>
            <w:vAlign w:val="center"/>
          </w:tcPr>
          <w:p>
            <w:pPr>
              <w:pStyle w:val="32"/>
              <w:kinsoku w:val="0"/>
              <w:spacing w:before="64"/>
              <w:jc w:val="center"/>
              <w:rPr>
                <w:rFonts w:eastAsia="仿宋_GB2312"/>
                <w:sz w:val="28"/>
                <w:szCs w:val="28"/>
              </w:rPr>
            </w:pPr>
            <w:r>
              <w:rPr>
                <w:rFonts w:hint="eastAsia" w:eastAsia="仿宋_GB2312"/>
                <w:sz w:val="28"/>
                <w:szCs w:val="28"/>
              </w:rPr>
              <w:t>可预见的事件及事件序列</w:t>
            </w:r>
          </w:p>
        </w:tc>
        <w:tc>
          <w:tcPr>
            <w:tcW w:w="1635" w:type="pct"/>
            <w:vAlign w:val="center"/>
          </w:tcPr>
          <w:p>
            <w:pPr>
              <w:pStyle w:val="32"/>
              <w:kinsoku w:val="0"/>
              <w:spacing w:before="64"/>
              <w:jc w:val="center"/>
              <w:rPr>
                <w:rFonts w:eastAsia="仿宋_GB2312"/>
                <w:sz w:val="28"/>
                <w:szCs w:val="28"/>
              </w:rPr>
            </w:pPr>
            <w:r>
              <w:rPr>
                <w:rFonts w:hint="eastAsia" w:eastAsia="仿宋_GB2312"/>
                <w:sz w:val="28"/>
                <w:szCs w:val="28"/>
              </w:rPr>
              <w:t>产生的后果或伤害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60" w:hRule="atLeast"/>
        </w:trPr>
        <w:tc>
          <w:tcPr>
            <w:tcW w:w="1231" w:type="pct"/>
            <w:vMerge w:val="restart"/>
            <w:vAlign w:val="center"/>
          </w:tcPr>
          <w:p>
            <w:pPr>
              <w:pStyle w:val="32"/>
              <w:kinsoku w:val="0"/>
              <w:jc w:val="both"/>
              <w:rPr>
                <w:rFonts w:eastAsia="仿宋_GB2312"/>
                <w:sz w:val="28"/>
                <w:szCs w:val="28"/>
              </w:rPr>
            </w:pPr>
            <w:r>
              <w:rPr>
                <w:rFonts w:eastAsia="仿宋_GB2312"/>
                <w:sz w:val="28"/>
                <w:szCs w:val="28"/>
              </w:rPr>
              <w:t>物理危险（源）</w:t>
            </w:r>
          </w:p>
        </w:tc>
        <w:tc>
          <w:tcPr>
            <w:tcW w:w="2134" w:type="pct"/>
            <w:vAlign w:val="center"/>
          </w:tcPr>
          <w:p>
            <w:pPr>
              <w:pStyle w:val="32"/>
              <w:kinsoku w:val="0"/>
              <w:spacing w:before="11"/>
              <w:jc w:val="both"/>
              <w:rPr>
                <w:rFonts w:eastAsia="仿宋_GB2312"/>
                <w:sz w:val="28"/>
                <w:szCs w:val="28"/>
              </w:rPr>
            </w:pPr>
            <w:r>
              <w:rPr>
                <w:rFonts w:eastAsia="仿宋_GB2312"/>
                <w:sz w:val="28"/>
                <w:szCs w:val="28"/>
              </w:rPr>
              <w:t>外观存在毛刺、结构强度、抗变形能力不够。</w:t>
            </w:r>
          </w:p>
        </w:tc>
        <w:tc>
          <w:tcPr>
            <w:tcW w:w="1635" w:type="pct"/>
            <w:vAlign w:val="center"/>
          </w:tcPr>
          <w:p>
            <w:pPr>
              <w:pStyle w:val="32"/>
              <w:kinsoku w:val="0"/>
              <w:spacing w:before="11"/>
              <w:jc w:val="both"/>
              <w:rPr>
                <w:rFonts w:eastAsia="仿宋_GB2312"/>
                <w:sz w:val="28"/>
                <w:szCs w:val="28"/>
              </w:rPr>
            </w:pPr>
            <w:r>
              <w:rPr>
                <w:rFonts w:eastAsia="仿宋_GB2312"/>
                <w:sz w:val="28"/>
                <w:szCs w:val="28"/>
              </w:rPr>
              <w:t>产品在使用时断裂对患者造成伤害。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78" w:hRule="atLeast"/>
        </w:trPr>
        <w:tc>
          <w:tcPr>
            <w:tcW w:w="1231" w:type="pct"/>
            <w:vMerge w:val="continue"/>
            <w:vAlign w:val="center"/>
          </w:tcPr>
          <w:p>
            <w:pPr>
              <w:pStyle w:val="32"/>
              <w:kinsoku w:val="0"/>
              <w:jc w:val="both"/>
              <w:rPr>
                <w:rFonts w:eastAsia="仿宋_GB2312"/>
                <w:sz w:val="28"/>
                <w:szCs w:val="28"/>
              </w:rPr>
            </w:pPr>
          </w:p>
        </w:tc>
        <w:tc>
          <w:tcPr>
            <w:tcW w:w="2134" w:type="pct"/>
            <w:vAlign w:val="center"/>
          </w:tcPr>
          <w:p>
            <w:pPr>
              <w:pStyle w:val="32"/>
              <w:kinsoku w:val="0"/>
              <w:spacing w:before="11"/>
              <w:jc w:val="both"/>
              <w:rPr>
                <w:rFonts w:eastAsia="仿宋_GB2312"/>
                <w:sz w:val="28"/>
                <w:szCs w:val="28"/>
              </w:rPr>
            </w:pPr>
            <w:r>
              <w:rPr>
                <w:rFonts w:eastAsia="仿宋_GB2312"/>
                <w:sz w:val="28"/>
                <w:szCs w:val="28"/>
              </w:rPr>
              <w:t>储运、使用过程中发生意外的机械性破坏。</w:t>
            </w:r>
          </w:p>
        </w:tc>
        <w:tc>
          <w:tcPr>
            <w:tcW w:w="1635" w:type="pct"/>
            <w:vAlign w:val="center"/>
          </w:tcPr>
          <w:p>
            <w:pPr>
              <w:pStyle w:val="32"/>
              <w:kinsoku w:val="0"/>
              <w:spacing w:before="11"/>
              <w:jc w:val="both"/>
              <w:rPr>
                <w:rFonts w:eastAsia="仿宋_GB2312"/>
                <w:sz w:val="28"/>
                <w:szCs w:val="28"/>
              </w:rPr>
            </w:pPr>
            <w:r>
              <w:rPr>
                <w:rFonts w:eastAsia="仿宋_GB2312"/>
                <w:sz w:val="28"/>
                <w:szCs w:val="28"/>
              </w:rPr>
              <w:t>产品使用性能无法得到保证。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13" w:hRule="exact"/>
        </w:trPr>
        <w:tc>
          <w:tcPr>
            <w:tcW w:w="1231" w:type="pct"/>
            <w:vMerge w:val="restart"/>
            <w:vAlign w:val="center"/>
          </w:tcPr>
          <w:p>
            <w:pPr>
              <w:pStyle w:val="32"/>
              <w:kinsoku w:val="0"/>
              <w:jc w:val="both"/>
              <w:rPr>
                <w:rFonts w:eastAsia="仿宋_GB2312"/>
                <w:sz w:val="28"/>
                <w:szCs w:val="28"/>
              </w:rPr>
            </w:pPr>
          </w:p>
          <w:p>
            <w:pPr>
              <w:pStyle w:val="32"/>
              <w:kinsoku w:val="0"/>
              <w:spacing w:before="5"/>
              <w:jc w:val="both"/>
              <w:rPr>
                <w:rFonts w:eastAsia="仿宋_GB2312"/>
                <w:sz w:val="28"/>
                <w:szCs w:val="28"/>
              </w:rPr>
            </w:pPr>
          </w:p>
          <w:p>
            <w:pPr>
              <w:pStyle w:val="32"/>
              <w:kinsoku w:val="0"/>
              <w:ind w:left="103"/>
              <w:jc w:val="both"/>
              <w:rPr>
                <w:rFonts w:eastAsia="仿宋_GB2312"/>
                <w:sz w:val="28"/>
                <w:szCs w:val="28"/>
              </w:rPr>
            </w:pPr>
            <w:r>
              <w:rPr>
                <w:rFonts w:eastAsia="仿宋_GB2312"/>
                <w:sz w:val="28"/>
                <w:szCs w:val="28"/>
              </w:rPr>
              <w:t>生物学和化学危险（源）</w:t>
            </w:r>
          </w:p>
        </w:tc>
        <w:tc>
          <w:tcPr>
            <w:tcW w:w="2134" w:type="pct"/>
            <w:vAlign w:val="center"/>
          </w:tcPr>
          <w:p>
            <w:pPr>
              <w:pStyle w:val="32"/>
              <w:kinsoku w:val="0"/>
              <w:spacing w:line="272" w:lineRule="auto"/>
              <w:ind w:right="102"/>
              <w:jc w:val="both"/>
              <w:rPr>
                <w:rFonts w:eastAsia="仿宋_GB2312"/>
                <w:sz w:val="28"/>
                <w:szCs w:val="28"/>
              </w:rPr>
            </w:pPr>
            <w:r>
              <w:rPr>
                <w:rFonts w:eastAsia="仿宋_GB2312"/>
                <w:spacing w:val="-1"/>
                <w:w w:val="95"/>
                <w:sz w:val="28"/>
                <w:szCs w:val="28"/>
              </w:rPr>
              <w:t>原材料控制不严；使用了错误的原材料或原材料配方；生产工艺控制不严；后处理未达到要求。</w:t>
            </w:r>
          </w:p>
        </w:tc>
        <w:tc>
          <w:tcPr>
            <w:tcW w:w="1635" w:type="pct"/>
            <w:vAlign w:val="center"/>
          </w:tcPr>
          <w:p>
            <w:pPr>
              <w:pStyle w:val="32"/>
              <w:kinsoku w:val="0"/>
              <w:spacing w:line="272" w:lineRule="auto"/>
              <w:ind w:right="101"/>
              <w:jc w:val="both"/>
              <w:rPr>
                <w:rFonts w:eastAsia="仿宋_GB2312"/>
                <w:sz w:val="28"/>
                <w:szCs w:val="28"/>
              </w:rPr>
            </w:pPr>
            <w:r>
              <w:rPr>
                <w:rFonts w:eastAsia="仿宋_GB2312"/>
                <w:spacing w:val="5"/>
                <w:w w:val="95"/>
                <w:sz w:val="28"/>
                <w:szCs w:val="28"/>
              </w:rPr>
              <w:t>刺激过敏等症状，损</w:t>
            </w:r>
            <w:r>
              <w:rPr>
                <w:rFonts w:eastAsia="仿宋_GB2312"/>
                <w:sz w:val="28"/>
                <w:szCs w:val="28"/>
              </w:rPr>
              <w:t>害患者健康。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09" w:hRule="exact"/>
        </w:trPr>
        <w:tc>
          <w:tcPr>
            <w:tcW w:w="1231" w:type="pct"/>
            <w:vMerge w:val="continue"/>
            <w:vAlign w:val="center"/>
          </w:tcPr>
          <w:p>
            <w:pPr>
              <w:pStyle w:val="32"/>
              <w:kinsoku w:val="0"/>
              <w:spacing w:before="64" w:line="272" w:lineRule="auto"/>
              <w:ind w:left="102" w:right="102"/>
              <w:jc w:val="both"/>
              <w:rPr>
                <w:rFonts w:eastAsia="仿宋_GB2312"/>
                <w:sz w:val="28"/>
                <w:szCs w:val="28"/>
              </w:rPr>
            </w:pPr>
          </w:p>
        </w:tc>
        <w:tc>
          <w:tcPr>
            <w:tcW w:w="2134" w:type="pct"/>
            <w:vAlign w:val="center"/>
          </w:tcPr>
          <w:p>
            <w:pPr>
              <w:pStyle w:val="32"/>
              <w:kinsoku w:val="0"/>
              <w:spacing w:line="272" w:lineRule="auto"/>
              <w:ind w:right="102"/>
              <w:jc w:val="both"/>
              <w:rPr>
                <w:rFonts w:eastAsia="仿宋_GB2312"/>
                <w:sz w:val="28"/>
                <w:szCs w:val="28"/>
              </w:rPr>
            </w:pPr>
            <w:r>
              <w:rPr>
                <w:rFonts w:eastAsia="仿宋_GB2312"/>
                <w:spacing w:val="-1"/>
                <w:w w:val="95"/>
                <w:sz w:val="28"/>
                <w:szCs w:val="28"/>
              </w:rPr>
              <w:t>生</w:t>
            </w:r>
            <w:r>
              <w:rPr>
                <w:rFonts w:eastAsia="仿宋_GB2312"/>
                <w:spacing w:val="1"/>
                <w:w w:val="95"/>
                <w:sz w:val="28"/>
                <w:szCs w:val="28"/>
              </w:rPr>
              <w:t>产</w:t>
            </w:r>
            <w:r>
              <w:rPr>
                <w:rFonts w:eastAsia="仿宋_GB2312"/>
                <w:spacing w:val="-1"/>
                <w:w w:val="95"/>
                <w:sz w:val="28"/>
                <w:szCs w:val="28"/>
              </w:rPr>
              <w:t>过</w:t>
            </w:r>
            <w:r>
              <w:rPr>
                <w:rFonts w:eastAsia="仿宋_GB2312"/>
                <w:spacing w:val="1"/>
                <w:w w:val="95"/>
                <w:sz w:val="28"/>
                <w:szCs w:val="28"/>
              </w:rPr>
              <w:t>程</w:t>
            </w:r>
            <w:r>
              <w:rPr>
                <w:rFonts w:eastAsia="仿宋_GB2312"/>
                <w:spacing w:val="-1"/>
                <w:w w:val="95"/>
                <w:sz w:val="28"/>
                <w:szCs w:val="28"/>
              </w:rPr>
              <w:t>中</w:t>
            </w:r>
            <w:r>
              <w:rPr>
                <w:rFonts w:eastAsia="仿宋_GB2312"/>
                <w:spacing w:val="1"/>
                <w:w w:val="95"/>
                <w:sz w:val="28"/>
                <w:szCs w:val="28"/>
              </w:rPr>
              <w:t>原</w:t>
            </w:r>
            <w:r>
              <w:rPr>
                <w:rFonts w:eastAsia="仿宋_GB2312"/>
                <w:spacing w:val="-1"/>
                <w:w w:val="95"/>
                <w:sz w:val="28"/>
                <w:szCs w:val="28"/>
              </w:rPr>
              <w:t>材</w:t>
            </w:r>
            <w:r>
              <w:rPr>
                <w:rFonts w:eastAsia="仿宋_GB2312"/>
                <w:spacing w:val="1"/>
                <w:w w:val="95"/>
                <w:sz w:val="28"/>
                <w:szCs w:val="28"/>
              </w:rPr>
              <w:t>料</w:t>
            </w:r>
            <w:r>
              <w:rPr>
                <w:rFonts w:eastAsia="仿宋_GB2312"/>
                <w:spacing w:val="-33"/>
                <w:w w:val="95"/>
                <w:sz w:val="28"/>
                <w:szCs w:val="28"/>
              </w:rPr>
              <w:t>、</w:t>
            </w:r>
            <w:r>
              <w:rPr>
                <w:rFonts w:eastAsia="仿宋_GB2312"/>
                <w:spacing w:val="-1"/>
                <w:w w:val="95"/>
                <w:sz w:val="28"/>
                <w:szCs w:val="28"/>
              </w:rPr>
              <w:t>包</w:t>
            </w:r>
            <w:r>
              <w:rPr>
                <w:rFonts w:eastAsia="仿宋_GB2312"/>
                <w:spacing w:val="1"/>
                <w:w w:val="95"/>
                <w:sz w:val="28"/>
                <w:szCs w:val="28"/>
              </w:rPr>
              <w:t>装</w:t>
            </w:r>
            <w:r>
              <w:rPr>
                <w:rFonts w:eastAsia="仿宋_GB2312"/>
                <w:spacing w:val="-1"/>
                <w:w w:val="95"/>
                <w:sz w:val="28"/>
                <w:szCs w:val="28"/>
              </w:rPr>
              <w:t>材</w:t>
            </w:r>
            <w:r>
              <w:rPr>
                <w:rFonts w:eastAsia="仿宋_GB2312"/>
                <w:spacing w:val="1"/>
                <w:w w:val="95"/>
                <w:sz w:val="28"/>
                <w:szCs w:val="28"/>
              </w:rPr>
              <w:t>料</w:t>
            </w:r>
            <w:r>
              <w:rPr>
                <w:rFonts w:eastAsia="仿宋_GB2312"/>
                <w:spacing w:val="-1"/>
                <w:w w:val="95"/>
                <w:sz w:val="28"/>
                <w:szCs w:val="28"/>
              </w:rPr>
              <w:t>等</w:t>
            </w:r>
            <w:r>
              <w:rPr>
                <w:rFonts w:eastAsia="仿宋_GB2312"/>
                <w:spacing w:val="1"/>
                <w:w w:val="95"/>
                <w:sz w:val="28"/>
                <w:szCs w:val="28"/>
              </w:rPr>
              <w:t>微</w:t>
            </w:r>
            <w:r>
              <w:rPr>
                <w:rFonts w:eastAsia="仿宋_GB2312"/>
                <w:spacing w:val="-1"/>
                <w:w w:val="95"/>
                <w:sz w:val="28"/>
                <w:szCs w:val="28"/>
              </w:rPr>
              <w:t>生</w:t>
            </w:r>
            <w:r>
              <w:rPr>
                <w:rFonts w:eastAsia="仿宋_GB2312"/>
                <w:w w:val="95"/>
                <w:sz w:val="28"/>
                <w:szCs w:val="28"/>
              </w:rPr>
              <w:t>物</w:t>
            </w:r>
            <w:r>
              <w:rPr>
                <w:rFonts w:eastAsia="仿宋_GB2312"/>
                <w:spacing w:val="-2"/>
                <w:w w:val="95"/>
                <w:sz w:val="28"/>
                <w:szCs w:val="28"/>
              </w:rPr>
              <w:t>的污染，导致产品菌落超标，产品灭菌</w:t>
            </w:r>
            <w:r>
              <w:rPr>
                <w:rFonts w:eastAsia="仿宋_GB2312"/>
                <w:sz w:val="28"/>
                <w:szCs w:val="28"/>
              </w:rPr>
              <w:t>不彻底</w:t>
            </w:r>
            <w:r>
              <w:rPr>
                <w:rFonts w:hint="eastAsia" w:eastAsia="仿宋_GB2312"/>
                <w:sz w:val="28"/>
                <w:szCs w:val="28"/>
              </w:rPr>
              <w:t>。</w:t>
            </w:r>
          </w:p>
        </w:tc>
        <w:tc>
          <w:tcPr>
            <w:tcW w:w="1635" w:type="pct"/>
            <w:vAlign w:val="center"/>
          </w:tcPr>
          <w:p>
            <w:pPr>
              <w:pStyle w:val="32"/>
              <w:kinsoku w:val="0"/>
              <w:spacing w:line="272" w:lineRule="auto"/>
              <w:ind w:right="101"/>
              <w:jc w:val="both"/>
              <w:rPr>
                <w:rFonts w:eastAsia="仿宋_GB2312"/>
                <w:sz w:val="28"/>
                <w:szCs w:val="28"/>
              </w:rPr>
            </w:pPr>
            <w:r>
              <w:rPr>
                <w:rFonts w:eastAsia="仿宋_GB2312"/>
                <w:spacing w:val="5"/>
                <w:w w:val="95"/>
                <w:sz w:val="28"/>
                <w:szCs w:val="28"/>
              </w:rPr>
              <w:t>产品带菌，引起患者阴道感染。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66" w:hRule="exact"/>
        </w:trPr>
        <w:tc>
          <w:tcPr>
            <w:tcW w:w="1231" w:type="pct"/>
            <w:vMerge w:val="continue"/>
            <w:vAlign w:val="center"/>
          </w:tcPr>
          <w:p>
            <w:pPr>
              <w:pStyle w:val="32"/>
              <w:kinsoku w:val="0"/>
              <w:spacing w:before="63" w:line="272" w:lineRule="auto"/>
              <w:ind w:left="102" w:right="102"/>
              <w:jc w:val="both"/>
              <w:rPr>
                <w:rFonts w:eastAsia="仿宋_GB2312"/>
                <w:sz w:val="28"/>
                <w:szCs w:val="28"/>
              </w:rPr>
            </w:pPr>
          </w:p>
        </w:tc>
        <w:tc>
          <w:tcPr>
            <w:tcW w:w="2134" w:type="pct"/>
            <w:vAlign w:val="center"/>
          </w:tcPr>
          <w:p>
            <w:pPr>
              <w:pStyle w:val="32"/>
              <w:kinsoku w:val="0"/>
              <w:spacing w:before="63" w:line="272" w:lineRule="auto"/>
              <w:ind w:left="102" w:right="102"/>
              <w:jc w:val="both"/>
              <w:rPr>
                <w:rFonts w:eastAsia="仿宋_GB2312"/>
                <w:sz w:val="28"/>
                <w:szCs w:val="28"/>
              </w:rPr>
            </w:pPr>
            <w:r>
              <w:rPr>
                <w:rFonts w:eastAsia="仿宋_GB2312"/>
                <w:spacing w:val="-1"/>
                <w:w w:val="95"/>
                <w:sz w:val="28"/>
                <w:szCs w:val="28"/>
              </w:rPr>
              <w:t>生</w:t>
            </w:r>
            <w:r>
              <w:rPr>
                <w:rFonts w:eastAsia="仿宋_GB2312"/>
                <w:spacing w:val="1"/>
                <w:w w:val="95"/>
                <w:sz w:val="28"/>
                <w:szCs w:val="28"/>
              </w:rPr>
              <w:t>产</w:t>
            </w:r>
            <w:r>
              <w:rPr>
                <w:rFonts w:eastAsia="仿宋_GB2312"/>
                <w:spacing w:val="-1"/>
                <w:w w:val="95"/>
                <w:sz w:val="28"/>
                <w:szCs w:val="28"/>
              </w:rPr>
              <w:t>环</w:t>
            </w:r>
            <w:r>
              <w:rPr>
                <w:rFonts w:eastAsia="仿宋_GB2312"/>
                <w:spacing w:val="1"/>
                <w:w w:val="95"/>
                <w:sz w:val="28"/>
                <w:szCs w:val="28"/>
              </w:rPr>
              <w:t>境</w:t>
            </w:r>
            <w:r>
              <w:rPr>
                <w:rFonts w:eastAsia="仿宋_GB2312"/>
                <w:spacing w:val="-1"/>
                <w:w w:val="95"/>
                <w:sz w:val="28"/>
                <w:szCs w:val="28"/>
              </w:rPr>
              <w:t>控制不好</w:t>
            </w:r>
            <w:r>
              <w:rPr>
                <w:rFonts w:eastAsia="仿宋_GB2312"/>
                <w:spacing w:val="-33"/>
                <w:w w:val="95"/>
                <w:sz w:val="28"/>
                <w:szCs w:val="28"/>
              </w:rPr>
              <w:t>，</w:t>
            </w:r>
            <w:r>
              <w:rPr>
                <w:rFonts w:eastAsia="仿宋_GB2312"/>
                <w:spacing w:val="-1"/>
                <w:w w:val="95"/>
                <w:sz w:val="28"/>
                <w:szCs w:val="28"/>
              </w:rPr>
              <w:t>导</w:t>
            </w:r>
            <w:r>
              <w:rPr>
                <w:rFonts w:eastAsia="仿宋_GB2312"/>
                <w:spacing w:val="1"/>
                <w:w w:val="95"/>
                <w:sz w:val="28"/>
                <w:szCs w:val="28"/>
              </w:rPr>
              <w:t>致</w:t>
            </w:r>
            <w:r>
              <w:rPr>
                <w:rFonts w:eastAsia="仿宋_GB2312"/>
                <w:spacing w:val="-1"/>
                <w:w w:val="95"/>
                <w:sz w:val="28"/>
                <w:szCs w:val="28"/>
              </w:rPr>
              <w:t>灭</w:t>
            </w:r>
            <w:r>
              <w:rPr>
                <w:rFonts w:eastAsia="仿宋_GB2312"/>
                <w:spacing w:val="1"/>
                <w:w w:val="95"/>
                <w:sz w:val="28"/>
                <w:szCs w:val="28"/>
              </w:rPr>
              <w:t>菌</w:t>
            </w:r>
            <w:r>
              <w:rPr>
                <w:rFonts w:eastAsia="仿宋_GB2312"/>
                <w:spacing w:val="-1"/>
                <w:w w:val="95"/>
                <w:sz w:val="28"/>
                <w:szCs w:val="28"/>
              </w:rPr>
              <w:t>不</w:t>
            </w:r>
            <w:r>
              <w:rPr>
                <w:rFonts w:eastAsia="仿宋_GB2312"/>
                <w:w w:val="95"/>
                <w:sz w:val="28"/>
                <w:szCs w:val="28"/>
              </w:rPr>
              <w:t>彻</w:t>
            </w:r>
            <w:r>
              <w:rPr>
                <w:rFonts w:eastAsia="仿宋_GB2312"/>
                <w:sz w:val="28"/>
                <w:szCs w:val="28"/>
              </w:rPr>
              <w:t>底，产品带菌</w:t>
            </w:r>
            <w:r>
              <w:rPr>
                <w:rFonts w:hint="eastAsia" w:eastAsia="仿宋_GB2312"/>
                <w:sz w:val="28"/>
                <w:szCs w:val="28"/>
              </w:rPr>
              <w:t>。</w:t>
            </w:r>
          </w:p>
        </w:tc>
        <w:tc>
          <w:tcPr>
            <w:tcW w:w="1635" w:type="pct"/>
            <w:vAlign w:val="center"/>
          </w:tcPr>
          <w:p>
            <w:pPr>
              <w:pStyle w:val="32"/>
              <w:kinsoku w:val="0"/>
              <w:spacing w:before="63" w:line="272" w:lineRule="auto"/>
              <w:ind w:left="103" w:right="101"/>
              <w:jc w:val="both"/>
              <w:rPr>
                <w:rFonts w:eastAsia="仿宋_GB2312"/>
                <w:sz w:val="28"/>
                <w:szCs w:val="28"/>
              </w:rPr>
            </w:pPr>
            <w:r>
              <w:rPr>
                <w:rFonts w:eastAsia="仿宋_GB2312"/>
                <w:spacing w:val="5"/>
                <w:w w:val="95"/>
                <w:sz w:val="28"/>
                <w:szCs w:val="28"/>
              </w:rPr>
              <w:t>引起患者阴道感染。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53" w:hRule="exact"/>
        </w:trPr>
        <w:tc>
          <w:tcPr>
            <w:tcW w:w="1231" w:type="pct"/>
            <w:vMerge w:val="continue"/>
            <w:vAlign w:val="center"/>
          </w:tcPr>
          <w:p>
            <w:pPr>
              <w:pStyle w:val="32"/>
              <w:kinsoku w:val="0"/>
              <w:spacing w:before="63" w:line="272" w:lineRule="auto"/>
              <w:ind w:left="102" w:right="102"/>
              <w:jc w:val="both"/>
              <w:rPr>
                <w:rFonts w:eastAsia="仿宋_GB2312"/>
                <w:sz w:val="28"/>
                <w:szCs w:val="28"/>
              </w:rPr>
            </w:pPr>
          </w:p>
        </w:tc>
        <w:tc>
          <w:tcPr>
            <w:tcW w:w="2134" w:type="pct"/>
            <w:vAlign w:val="center"/>
          </w:tcPr>
          <w:p>
            <w:pPr>
              <w:pStyle w:val="32"/>
              <w:kinsoku w:val="0"/>
              <w:spacing w:before="63" w:line="271" w:lineRule="auto"/>
              <w:ind w:left="102"/>
              <w:jc w:val="both"/>
              <w:rPr>
                <w:rFonts w:eastAsia="仿宋_GB2312"/>
                <w:sz w:val="28"/>
                <w:szCs w:val="28"/>
              </w:rPr>
            </w:pPr>
            <w:r>
              <w:rPr>
                <w:rFonts w:eastAsia="仿宋_GB2312"/>
                <w:spacing w:val="-1"/>
                <w:sz w:val="28"/>
                <w:szCs w:val="28"/>
              </w:rPr>
              <w:t>产</w:t>
            </w:r>
            <w:r>
              <w:rPr>
                <w:rFonts w:eastAsia="仿宋_GB2312"/>
                <w:spacing w:val="2"/>
                <w:sz w:val="28"/>
                <w:szCs w:val="28"/>
              </w:rPr>
              <w:t>品</w:t>
            </w:r>
            <w:r>
              <w:rPr>
                <w:rFonts w:eastAsia="仿宋_GB2312"/>
                <w:spacing w:val="-1"/>
                <w:sz w:val="28"/>
                <w:szCs w:val="28"/>
              </w:rPr>
              <w:t>未</w:t>
            </w:r>
            <w:r>
              <w:rPr>
                <w:rFonts w:eastAsia="仿宋_GB2312"/>
                <w:spacing w:val="2"/>
                <w:sz w:val="28"/>
                <w:szCs w:val="28"/>
              </w:rPr>
              <w:t>灭菌</w:t>
            </w:r>
            <w:r>
              <w:rPr>
                <w:rFonts w:eastAsia="仿宋_GB2312"/>
                <w:spacing w:val="-38"/>
                <w:sz w:val="28"/>
                <w:szCs w:val="28"/>
              </w:rPr>
              <w:t>，</w:t>
            </w:r>
            <w:r>
              <w:rPr>
                <w:rFonts w:eastAsia="仿宋_GB2312"/>
                <w:spacing w:val="-1"/>
                <w:sz w:val="28"/>
                <w:szCs w:val="28"/>
              </w:rPr>
              <w:t>或</w:t>
            </w:r>
            <w:r>
              <w:rPr>
                <w:rFonts w:eastAsia="仿宋_GB2312"/>
                <w:spacing w:val="2"/>
                <w:sz w:val="28"/>
                <w:szCs w:val="28"/>
              </w:rPr>
              <w:t>未</w:t>
            </w:r>
            <w:r>
              <w:rPr>
                <w:rFonts w:eastAsia="仿宋_GB2312"/>
                <w:spacing w:val="-1"/>
                <w:sz w:val="28"/>
                <w:szCs w:val="28"/>
              </w:rPr>
              <w:t>按</w:t>
            </w:r>
            <w:r>
              <w:rPr>
                <w:rFonts w:eastAsia="仿宋_GB2312"/>
                <w:spacing w:val="2"/>
                <w:sz w:val="28"/>
                <w:szCs w:val="28"/>
              </w:rPr>
              <w:t>已</w:t>
            </w:r>
            <w:r>
              <w:rPr>
                <w:rFonts w:eastAsia="仿宋_GB2312"/>
                <w:spacing w:val="-1"/>
                <w:sz w:val="28"/>
                <w:szCs w:val="28"/>
              </w:rPr>
              <w:t>确</w:t>
            </w:r>
            <w:r>
              <w:rPr>
                <w:rFonts w:eastAsia="仿宋_GB2312"/>
                <w:spacing w:val="2"/>
                <w:sz w:val="28"/>
                <w:szCs w:val="28"/>
              </w:rPr>
              <w:t>定</w:t>
            </w:r>
            <w:r>
              <w:rPr>
                <w:rFonts w:eastAsia="仿宋_GB2312"/>
                <w:spacing w:val="-1"/>
                <w:sz w:val="28"/>
                <w:szCs w:val="28"/>
              </w:rPr>
              <w:t>的</w:t>
            </w:r>
            <w:r>
              <w:rPr>
                <w:rFonts w:eastAsia="仿宋_GB2312"/>
                <w:spacing w:val="2"/>
                <w:sz w:val="28"/>
                <w:szCs w:val="28"/>
              </w:rPr>
              <w:t>工</w:t>
            </w:r>
            <w:r>
              <w:rPr>
                <w:rFonts w:eastAsia="仿宋_GB2312"/>
                <w:spacing w:val="-1"/>
                <w:sz w:val="28"/>
                <w:szCs w:val="28"/>
              </w:rPr>
              <w:t>艺</w:t>
            </w:r>
            <w:r>
              <w:rPr>
                <w:rFonts w:eastAsia="仿宋_GB2312"/>
                <w:spacing w:val="2"/>
                <w:sz w:val="28"/>
                <w:szCs w:val="28"/>
              </w:rPr>
              <w:t>实</w:t>
            </w:r>
            <w:r>
              <w:rPr>
                <w:rFonts w:eastAsia="仿宋_GB2312"/>
                <w:sz w:val="28"/>
                <w:szCs w:val="28"/>
              </w:rPr>
              <w:t>施</w:t>
            </w:r>
            <w:r>
              <w:rPr>
                <w:rFonts w:eastAsia="仿宋_GB2312"/>
                <w:spacing w:val="-1"/>
                <w:w w:val="95"/>
                <w:sz w:val="28"/>
                <w:szCs w:val="28"/>
              </w:rPr>
              <w:t>灭</w:t>
            </w:r>
            <w:r>
              <w:rPr>
                <w:rFonts w:eastAsia="仿宋_GB2312"/>
                <w:spacing w:val="1"/>
                <w:w w:val="95"/>
                <w:sz w:val="28"/>
                <w:szCs w:val="28"/>
              </w:rPr>
              <w:t>菌</w:t>
            </w:r>
            <w:r>
              <w:rPr>
                <w:rFonts w:eastAsia="仿宋_GB2312"/>
                <w:spacing w:val="-68"/>
                <w:w w:val="95"/>
                <w:sz w:val="28"/>
                <w:szCs w:val="28"/>
              </w:rPr>
              <w:t>，</w:t>
            </w:r>
            <w:r>
              <w:rPr>
                <w:rFonts w:eastAsia="仿宋_GB2312"/>
                <w:spacing w:val="-1"/>
                <w:w w:val="95"/>
                <w:sz w:val="28"/>
                <w:szCs w:val="28"/>
              </w:rPr>
              <w:t>产</w:t>
            </w:r>
            <w:r>
              <w:rPr>
                <w:rFonts w:eastAsia="仿宋_GB2312"/>
                <w:spacing w:val="1"/>
                <w:w w:val="95"/>
                <w:sz w:val="28"/>
                <w:szCs w:val="28"/>
              </w:rPr>
              <w:t>品</w:t>
            </w:r>
            <w:r>
              <w:rPr>
                <w:rFonts w:eastAsia="仿宋_GB2312"/>
                <w:spacing w:val="-1"/>
                <w:w w:val="95"/>
                <w:sz w:val="28"/>
                <w:szCs w:val="28"/>
              </w:rPr>
              <w:t>未</w:t>
            </w:r>
            <w:r>
              <w:rPr>
                <w:rFonts w:eastAsia="仿宋_GB2312"/>
                <w:spacing w:val="1"/>
                <w:w w:val="95"/>
                <w:sz w:val="28"/>
                <w:szCs w:val="28"/>
              </w:rPr>
              <w:t>达</w:t>
            </w:r>
            <w:r>
              <w:rPr>
                <w:rFonts w:eastAsia="仿宋_GB2312"/>
                <w:spacing w:val="-1"/>
                <w:w w:val="95"/>
                <w:sz w:val="28"/>
                <w:szCs w:val="28"/>
              </w:rPr>
              <w:t>到</w:t>
            </w:r>
            <w:r>
              <w:rPr>
                <w:rFonts w:eastAsia="仿宋_GB2312"/>
                <w:spacing w:val="1"/>
                <w:w w:val="95"/>
                <w:sz w:val="28"/>
                <w:szCs w:val="28"/>
              </w:rPr>
              <w:t>灭</w:t>
            </w:r>
            <w:r>
              <w:rPr>
                <w:rFonts w:eastAsia="仿宋_GB2312"/>
                <w:spacing w:val="-1"/>
                <w:w w:val="95"/>
                <w:sz w:val="28"/>
                <w:szCs w:val="28"/>
              </w:rPr>
              <w:t>菌</w:t>
            </w:r>
            <w:r>
              <w:rPr>
                <w:rFonts w:eastAsia="仿宋_GB2312"/>
                <w:spacing w:val="1"/>
                <w:w w:val="95"/>
                <w:sz w:val="28"/>
                <w:szCs w:val="28"/>
              </w:rPr>
              <w:t>效果</w:t>
            </w:r>
            <w:r>
              <w:rPr>
                <w:rFonts w:eastAsia="仿宋_GB2312"/>
                <w:w w:val="95"/>
                <w:sz w:val="28"/>
                <w:szCs w:val="28"/>
              </w:rPr>
              <w:t>。</w:t>
            </w:r>
          </w:p>
        </w:tc>
        <w:tc>
          <w:tcPr>
            <w:tcW w:w="1635" w:type="pct"/>
            <w:vAlign w:val="center"/>
          </w:tcPr>
          <w:p>
            <w:pPr>
              <w:pStyle w:val="32"/>
              <w:kinsoku w:val="0"/>
              <w:spacing w:before="63" w:line="272" w:lineRule="auto"/>
              <w:ind w:left="103" w:right="101"/>
              <w:jc w:val="both"/>
              <w:rPr>
                <w:rFonts w:eastAsia="仿宋_GB2312"/>
                <w:sz w:val="28"/>
                <w:szCs w:val="28"/>
              </w:rPr>
            </w:pPr>
            <w:r>
              <w:rPr>
                <w:rFonts w:eastAsia="仿宋_GB2312"/>
                <w:spacing w:val="5"/>
                <w:w w:val="95"/>
                <w:sz w:val="28"/>
                <w:szCs w:val="28"/>
              </w:rPr>
              <w:t>引起患者阴道感染。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14" w:hRule="exact"/>
        </w:trPr>
        <w:tc>
          <w:tcPr>
            <w:tcW w:w="1231" w:type="pct"/>
            <w:vMerge w:val="continue"/>
            <w:vAlign w:val="center"/>
          </w:tcPr>
          <w:p>
            <w:pPr>
              <w:pStyle w:val="32"/>
              <w:kinsoku w:val="0"/>
              <w:ind w:left="102"/>
              <w:jc w:val="both"/>
              <w:rPr>
                <w:rFonts w:eastAsia="仿宋_GB2312"/>
                <w:sz w:val="28"/>
                <w:szCs w:val="28"/>
              </w:rPr>
            </w:pPr>
          </w:p>
        </w:tc>
        <w:tc>
          <w:tcPr>
            <w:tcW w:w="2134" w:type="pct"/>
            <w:vAlign w:val="center"/>
          </w:tcPr>
          <w:p>
            <w:pPr>
              <w:pStyle w:val="32"/>
              <w:kinsoku w:val="0"/>
              <w:spacing w:before="65" w:line="272" w:lineRule="auto"/>
              <w:ind w:left="102" w:right="102"/>
              <w:jc w:val="both"/>
              <w:rPr>
                <w:rFonts w:eastAsia="仿宋_GB2312"/>
                <w:sz w:val="28"/>
                <w:szCs w:val="28"/>
              </w:rPr>
            </w:pPr>
            <w:r>
              <w:rPr>
                <w:rFonts w:eastAsia="仿宋_GB2312"/>
                <w:spacing w:val="-1"/>
                <w:w w:val="95"/>
                <w:sz w:val="28"/>
                <w:szCs w:val="28"/>
              </w:rPr>
              <w:t>对</w:t>
            </w:r>
            <w:r>
              <w:rPr>
                <w:rFonts w:eastAsia="仿宋_GB2312"/>
                <w:spacing w:val="1"/>
                <w:w w:val="95"/>
                <w:sz w:val="28"/>
                <w:szCs w:val="28"/>
              </w:rPr>
              <w:t>环</w:t>
            </w:r>
            <w:r>
              <w:rPr>
                <w:rFonts w:eastAsia="仿宋_GB2312"/>
                <w:spacing w:val="-1"/>
                <w:w w:val="95"/>
                <w:sz w:val="28"/>
                <w:szCs w:val="28"/>
              </w:rPr>
              <w:t>氧</w:t>
            </w:r>
            <w:r>
              <w:rPr>
                <w:rFonts w:eastAsia="仿宋_GB2312"/>
                <w:spacing w:val="1"/>
                <w:w w:val="95"/>
                <w:sz w:val="28"/>
                <w:szCs w:val="28"/>
              </w:rPr>
              <w:t>乙</w:t>
            </w:r>
            <w:r>
              <w:rPr>
                <w:rFonts w:eastAsia="仿宋_GB2312"/>
                <w:spacing w:val="-1"/>
                <w:w w:val="95"/>
                <w:sz w:val="28"/>
                <w:szCs w:val="28"/>
              </w:rPr>
              <w:t>烷</w:t>
            </w:r>
            <w:r>
              <w:rPr>
                <w:rFonts w:eastAsia="仿宋_GB2312"/>
                <w:w w:val="95"/>
                <w:sz w:val="28"/>
                <w:szCs w:val="28"/>
              </w:rPr>
              <w:t>残</w:t>
            </w:r>
            <w:r>
              <w:rPr>
                <w:rFonts w:eastAsia="仿宋_GB2312"/>
                <w:spacing w:val="-1"/>
                <w:w w:val="95"/>
                <w:sz w:val="28"/>
                <w:szCs w:val="28"/>
              </w:rPr>
              <w:t>留</w:t>
            </w:r>
            <w:r>
              <w:rPr>
                <w:rFonts w:eastAsia="仿宋_GB2312"/>
                <w:spacing w:val="1"/>
                <w:w w:val="95"/>
                <w:sz w:val="28"/>
                <w:szCs w:val="28"/>
              </w:rPr>
              <w:t>量</w:t>
            </w:r>
            <w:r>
              <w:rPr>
                <w:rFonts w:eastAsia="仿宋_GB2312"/>
                <w:spacing w:val="-1"/>
                <w:w w:val="95"/>
                <w:sz w:val="28"/>
                <w:szCs w:val="28"/>
              </w:rPr>
              <w:t>的</w:t>
            </w:r>
            <w:r>
              <w:rPr>
                <w:rFonts w:eastAsia="仿宋_GB2312"/>
                <w:spacing w:val="1"/>
                <w:w w:val="95"/>
                <w:sz w:val="28"/>
                <w:szCs w:val="28"/>
              </w:rPr>
              <w:t>控</w:t>
            </w:r>
            <w:r>
              <w:rPr>
                <w:rFonts w:eastAsia="仿宋_GB2312"/>
                <w:spacing w:val="-1"/>
                <w:w w:val="95"/>
                <w:sz w:val="28"/>
                <w:szCs w:val="28"/>
              </w:rPr>
              <w:t>制</w:t>
            </w:r>
            <w:r>
              <w:rPr>
                <w:rFonts w:eastAsia="仿宋_GB2312"/>
                <w:spacing w:val="1"/>
                <w:w w:val="95"/>
                <w:sz w:val="28"/>
                <w:szCs w:val="28"/>
              </w:rPr>
              <w:t>未</w:t>
            </w:r>
            <w:r>
              <w:rPr>
                <w:rFonts w:eastAsia="仿宋_GB2312"/>
                <w:spacing w:val="-1"/>
                <w:w w:val="95"/>
                <w:sz w:val="28"/>
                <w:szCs w:val="28"/>
              </w:rPr>
              <w:t>确</w:t>
            </w:r>
            <w:r>
              <w:rPr>
                <w:rFonts w:eastAsia="仿宋_GB2312"/>
                <w:spacing w:val="1"/>
                <w:w w:val="95"/>
                <w:sz w:val="28"/>
                <w:szCs w:val="28"/>
              </w:rPr>
              <w:t>认</w:t>
            </w:r>
            <w:r>
              <w:rPr>
                <w:rFonts w:eastAsia="仿宋_GB2312"/>
                <w:spacing w:val="-33"/>
                <w:w w:val="95"/>
                <w:sz w:val="28"/>
                <w:szCs w:val="28"/>
              </w:rPr>
              <w:t>，</w:t>
            </w:r>
            <w:r>
              <w:rPr>
                <w:rFonts w:eastAsia="仿宋_GB2312"/>
                <w:spacing w:val="-1"/>
                <w:w w:val="95"/>
                <w:sz w:val="28"/>
                <w:szCs w:val="28"/>
              </w:rPr>
              <w:t>或</w:t>
            </w:r>
            <w:r>
              <w:rPr>
                <w:rFonts w:eastAsia="仿宋_GB2312"/>
                <w:spacing w:val="1"/>
                <w:w w:val="95"/>
                <w:sz w:val="28"/>
                <w:szCs w:val="28"/>
              </w:rPr>
              <w:t>未</w:t>
            </w:r>
            <w:r>
              <w:rPr>
                <w:rFonts w:eastAsia="仿宋_GB2312"/>
                <w:spacing w:val="-1"/>
                <w:w w:val="95"/>
                <w:sz w:val="28"/>
                <w:szCs w:val="28"/>
              </w:rPr>
              <w:t>能</w:t>
            </w:r>
            <w:r>
              <w:rPr>
                <w:rFonts w:eastAsia="仿宋_GB2312"/>
                <w:spacing w:val="1"/>
                <w:w w:val="95"/>
                <w:sz w:val="28"/>
                <w:szCs w:val="28"/>
              </w:rPr>
              <w:t>按</w:t>
            </w:r>
            <w:r>
              <w:rPr>
                <w:rFonts w:eastAsia="仿宋_GB2312"/>
                <w:spacing w:val="-1"/>
                <w:w w:val="95"/>
                <w:sz w:val="28"/>
                <w:szCs w:val="28"/>
              </w:rPr>
              <w:t>确</w:t>
            </w:r>
            <w:r>
              <w:rPr>
                <w:rFonts w:eastAsia="仿宋_GB2312"/>
                <w:spacing w:val="1"/>
                <w:w w:val="95"/>
                <w:sz w:val="28"/>
                <w:szCs w:val="28"/>
              </w:rPr>
              <w:t>认</w:t>
            </w:r>
            <w:r>
              <w:rPr>
                <w:rFonts w:eastAsia="仿宋_GB2312"/>
                <w:spacing w:val="-1"/>
                <w:w w:val="95"/>
                <w:sz w:val="28"/>
                <w:szCs w:val="28"/>
              </w:rPr>
              <w:t>的</w:t>
            </w:r>
            <w:r>
              <w:rPr>
                <w:rFonts w:eastAsia="仿宋_GB2312"/>
                <w:w w:val="95"/>
                <w:sz w:val="28"/>
                <w:szCs w:val="28"/>
              </w:rPr>
              <w:t>结</w:t>
            </w:r>
            <w:r>
              <w:rPr>
                <w:rFonts w:eastAsia="仿宋_GB2312"/>
                <w:spacing w:val="-2"/>
                <w:w w:val="95"/>
                <w:sz w:val="28"/>
                <w:szCs w:val="28"/>
              </w:rPr>
              <w:t>果实施控制，解析不彻底，致使环氧乙</w:t>
            </w:r>
            <w:r>
              <w:rPr>
                <w:rFonts w:eastAsia="仿宋_GB2312"/>
                <w:sz w:val="28"/>
                <w:szCs w:val="28"/>
              </w:rPr>
              <w:t>烷残留量超标</w:t>
            </w:r>
            <w:r>
              <w:rPr>
                <w:rFonts w:hint="eastAsia" w:eastAsia="仿宋_GB2312"/>
                <w:sz w:val="28"/>
                <w:szCs w:val="28"/>
              </w:rPr>
              <w:t>。</w:t>
            </w:r>
          </w:p>
        </w:tc>
        <w:tc>
          <w:tcPr>
            <w:tcW w:w="1635" w:type="pct"/>
            <w:vAlign w:val="center"/>
          </w:tcPr>
          <w:p>
            <w:pPr>
              <w:pStyle w:val="32"/>
              <w:kinsoku w:val="0"/>
              <w:jc w:val="both"/>
              <w:rPr>
                <w:rFonts w:eastAsia="仿宋_GB2312"/>
                <w:sz w:val="28"/>
                <w:szCs w:val="28"/>
              </w:rPr>
            </w:pPr>
            <w:r>
              <w:rPr>
                <w:rFonts w:eastAsia="仿宋_GB2312"/>
                <w:sz w:val="28"/>
                <w:szCs w:val="28"/>
              </w:rPr>
              <w:t>损害患者健康</w:t>
            </w:r>
            <w:r>
              <w:rPr>
                <w:rFonts w:hint="eastAsia" w:eastAsia="仿宋_GB2312"/>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79" w:hRule="exact"/>
        </w:trPr>
        <w:tc>
          <w:tcPr>
            <w:tcW w:w="1231" w:type="pct"/>
            <w:vMerge w:val="continue"/>
            <w:vAlign w:val="center"/>
          </w:tcPr>
          <w:p>
            <w:pPr>
              <w:pStyle w:val="32"/>
              <w:kinsoku w:val="0"/>
              <w:spacing w:line="272" w:lineRule="auto"/>
              <w:ind w:left="102" w:right="102"/>
              <w:jc w:val="both"/>
              <w:rPr>
                <w:rFonts w:eastAsia="仿宋_GB2312"/>
                <w:sz w:val="28"/>
                <w:szCs w:val="28"/>
              </w:rPr>
            </w:pPr>
          </w:p>
        </w:tc>
        <w:tc>
          <w:tcPr>
            <w:tcW w:w="2134" w:type="pct"/>
            <w:vAlign w:val="center"/>
          </w:tcPr>
          <w:p>
            <w:pPr>
              <w:pStyle w:val="32"/>
              <w:kinsoku w:val="0"/>
              <w:spacing w:before="64" w:line="272" w:lineRule="auto"/>
              <w:ind w:left="102" w:right="102"/>
              <w:jc w:val="both"/>
              <w:rPr>
                <w:rFonts w:eastAsia="仿宋_GB2312"/>
                <w:sz w:val="28"/>
                <w:szCs w:val="28"/>
              </w:rPr>
            </w:pPr>
            <w:r>
              <w:rPr>
                <w:rFonts w:eastAsia="仿宋_GB2312"/>
                <w:spacing w:val="-1"/>
                <w:w w:val="95"/>
                <w:sz w:val="28"/>
                <w:szCs w:val="28"/>
              </w:rPr>
              <w:t>在</w:t>
            </w:r>
            <w:r>
              <w:rPr>
                <w:rFonts w:eastAsia="仿宋_GB2312"/>
                <w:spacing w:val="1"/>
                <w:w w:val="95"/>
                <w:sz w:val="28"/>
                <w:szCs w:val="28"/>
              </w:rPr>
              <w:t>标</w:t>
            </w:r>
            <w:r>
              <w:rPr>
                <w:rFonts w:eastAsia="仿宋_GB2312"/>
                <w:spacing w:val="-1"/>
                <w:w w:val="95"/>
                <w:sz w:val="28"/>
                <w:szCs w:val="28"/>
              </w:rPr>
              <w:t>签</w:t>
            </w:r>
            <w:r>
              <w:rPr>
                <w:rFonts w:eastAsia="仿宋_GB2312"/>
                <w:spacing w:val="1"/>
                <w:w w:val="95"/>
                <w:sz w:val="28"/>
                <w:szCs w:val="28"/>
              </w:rPr>
              <w:t>注</w:t>
            </w:r>
            <w:r>
              <w:rPr>
                <w:rFonts w:eastAsia="仿宋_GB2312"/>
                <w:spacing w:val="-1"/>
                <w:w w:val="95"/>
                <w:sz w:val="28"/>
                <w:szCs w:val="28"/>
              </w:rPr>
              <w:t>明</w:t>
            </w:r>
            <w:r>
              <w:rPr>
                <w:rFonts w:eastAsia="仿宋_GB2312"/>
                <w:spacing w:val="1"/>
                <w:w w:val="95"/>
                <w:sz w:val="28"/>
                <w:szCs w:val="28"/>
              </w:rPr>
              <w:t>的</w:t>
            </w:r>
            <w:r>
              <w:rPr>
                <w:rFonts w:eastAsia="仿宋_GB2312"/>
                <w:spacing w:val="-1"/>
                <w:w w:val="95"/>
                <w:sz w:val="28"/>
                <w:szCs w:val="28"/>
              </w:rPr>
              <w:t>有</w:t>
            </w:r>
            <w:r>
              <w:rPr>
                <w:rFonts w:eastAsia="仿宋_GB2312"/>
                <w:spacing w:val="1"/>
                <w:w w:val="95"/>
                <w:sz w:val="28"/>
                <w:szCs w:val="28"/>
              </w:rPr>
              <w:t>效</w:t>
            </w:r>
            <w:r>
              <w:rPr>
                <w:rFonts w:eastAsia="仿宋_GB2312"/>
                <w:spacing w:val="-1"/>
                <w:w w:val="95"/>
                <w:sz w:val="28"/>
                <w:szCs w:val="28"/>
              </w:rPr>
              <w:t>期</w:t>
            </w:r>
            <w:r>
              <w:rPr>
                <w:rFonts w:eastAsia="仿宋_GB2312"/>
                <w:spacing w:val="1"/>
                <w:w w:val="95"/>
                <w:sz w:val="28"/>
                <w:szCs w:val="28"/>
              </w:rPr>
              <w:t>前</w:t>
            </w:r>
            <w:r>
              <w:rPr>
                <w:rFonts w:eastAsia="仿宋_GB2312"/>
                <w:spacing w:val="-33"/>
                <w:w w:val="95"/>
                <w:sz w:val="28"/>
                <w:szCs w:val="28"/>
              </w:rPr>
              <w:t>，</w:t>
            </w:r>
            <w:r>
              <w:rPr>
                <w:rFonts w:eastAsia="仿宋_GB2312"/>
                <w:spacing w:val="-1"/>
                <w:w w:val="95"/>
                <w:sz w:val="28"/>
                <w:szCs w:val="28"/>
              </w:rPr>
              <w:t>包</w:t>
            </w:r>
            <w:r>
              <w:rPr>
                <w:rFonts w:eastAsia="仿宋_GB2312"/>
                <w:spacing w:val="1"/>
                <w:w w:val="95"/>
                <w:sz w:val="28"/>
                <w:szCs w:val="28"/>
              </w:rPr>
              <w:t>装</w:t>
            </w:r>
            <w:r>
              <w:rPr>
                <w:rFonts w:eastAsia="仿宋_GB2312"/>
                <w:spacing w:val="-1"/>
                <w:w w:val="95"/>
                <w:sz w:val="28"/>
                <w:szCs w:val="28"/>
              </w:rPr>
              <w:t>材</w:t>
            </w:r>
            <w:r>
              <w:rPr>
                <w:rFonts w:eastAsia="仿宋_GB2312"/>
                <w:spacing w:val="1"/>
                <w:w w:val="95"/>
                <w:sz w:val="28"/>
                <w:szCs w:val="28"/>
              </w:rPr>
              <w:t>料</w:t>
            </w:r>
            <w:r>
              <w:rPr>
                <w:rFonts w:eastAsia="仿宋_GB2312"/>
                <w:spacing w:val="-1"/>
                <w:w w:val="95"/>
                <w:sz w:val="28"/>
                <w:szCs w:val="28"/>
              </w:rPr>
              <w:t>老</w:t>
            </w:r>
            <w:r>
              <w:rPr>
                <w:rFonts w:eastAsia="仿宋_GB2312"/>
                <w:w w:val="95"/>
                <w:sz w:val="28"/>
                <w:szCs w:val="28"/>
              </w:rPr>
              <w:t>化</w:t>
            </w:r>
            <w:r>
              <w:rPr>
                <w:rFonts w:eastAsia="仿宋_GB2312"/>
                <w:sz w:val="28"/>
                <w:szCs w:val="28"/>
              </w:rPr>
              <w:t>已不能保持无菌</w:t>
            </w:r>
            <w:r>
              <w:rPr>
                <w:rFonts w:hint="eastAsia" w:eastAsia="仿宋_GB2312"/>
                <w:sz w:val="28"/>
                <w:szCs w:val="28"/>
              </w:rPr>
              <w:t>。</w:t>
            </w:r>
          </w:p>
        </w:tc>
        <w:tc>
          <w:tcPr>
            <w:tcW w:w="1635" w:type="pct"/>
            <w:vAlign w:val="center"/>
          </w:tcPr>
          <w:p>
            <w:pPr>
              <w:pStyle w:val="32"/>
              <w:kinsoku w:val="0"/>
              <w:spacing w:before="64" w:line="272" w:lineRule="auto"/>
              <w:ind w:left="103" w:right="101"/>
              <w:jc w:val="both"/>
              <w:rPr>
                <w:rFonts w:eastAsia="仿宋_GB2312"/>
                <w:sz w:val="28"/>
                <w:szCs w:val="28"/>
              </w:rPr>
            </w:pPr>
            <w:r>
              <w:rPr>
                <w:rFonts w:eastAsia="仿宋_GB2312"/>
                <w:spacing w:val="5"/>
                <w:w w:val="95"/>
                <w:sz w:val="28"/>
                <w:szCs w:val="28"/>
              </w:rPr>
              <w:t>损害患者健康，</w:t>
            </w:r>
            <w:r>
              <w:rPr>
                <w:rFonts w:eastAsia="仿宋_GB2312"/>
                <w:sz w:val="28"/>
                <w:szCs w:val="28"/>
              </w:rPr>
              <w:t>可能延误治疗</w:t>
            </w:r>
            <w:r>
              <w:rPr>
                <w:rFonts w:hint="eastAsia" w:eastAsia="仿宋_GB2312"/>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82" w:hRule="exact"/>
        </w:trPr>
        <w:tc>
          <w:tcPr>
            <w:tcW w:w="1231" w:type="pct"/>
            <w:vMerge w:val="restart"/>
            <w:vAlign w:val="center"/>
          </w:tcPr>
          <w:p>
            <w:pPr>
              <w:pStyle w:val="32"/>
              <w:kinsoku w:val="0"/>
              <w:spacing w:before="11"/>
              <w:jc w:val="both"/>
              <w:rPr>
                <w:rFonts w:eastAsia="仿宋_GB2312"/>
                <w:sz w:val="28"/>
                <w:szCs w:val="28"/>
              </w:rPr>
            </w:pPr>
          </w:p>
          <w:p>
            <w:pPr>
              <w:pStyle w:val="32"/>
              <w:kinsoku w:val="0"/>
              <w:ind w:left="103"/>
              <w:jc w:val="both"/>
              <w:rPr>
                <w:rFonts w:eastAsia="仿宋_GB2312"/>
                <w:sz w:val="28"/>
                <w:szCs w:val="28"/>
              </w:rPr>
            </w:pPr>
            <w:r>
              <w:rPr>
                <w:rFonts w:eastAsia="仿宋_GB2312"/>
                <w:sz w:val="28"/>
                <w:szCs w:val="28"/>
              </w:rPr>
              <w:t>操作危险（源）</w:t>
            </w:r>
          </w:p>
        </w:tc>
        <w:tc>
          <w:tcPr>
            <w:tcW w:w="2134" w:type="pct"/>
            <w:vAlign w:val="center"/>
          </w:tcPr>
          <w:p>
            <w:pPr>
              <w:pStyle w:val="32"/>
              <w:kinsoku w:val="0"/>
              <w:jc w:val="both"/>
              <w:rPr>
                <w:rFonts w:eastAsia="仿宋_GB2312"/>
                <w:sz w:val="28"/>
                <w:szCs w:val="28"/>
              </w:rPr>
            </w:pPr>
            <w:r>
              <w:rPr>
                <w:rFonts w:eastAsia="仿宋_GB2312"/>
                <w:sz w:val="28"/>
                <w:szCs w:val="28"/>
              </w:rPr>
              <w:t>使用超过有效期的产品</w:t>
            </w:r>
            <w:r>
              <w:rPr>
                <w:rFonts w:hint="eastAsia" w:eastAsia="仿宋_GB2312"/>
                <w:sz w:val="28"/>
                <w:szCs w:val="28"/>
              </w:rPr>
              <w:t>。</w:t>
            </w:r>
          </w:p>
        </w:tc>
        <w:tc>
          <w:tcPr>
            <w:tcW w:w="1635" w:type="pct"/>
            <w:vAlign w:val="center"/>
          </w:tcPr>
          <w:p>
            <w:pPr>
              <w:pStyle w:val="32"/>
              <w:kinsoku w:val="0"/>
              <w:spacing w:before="64" w:line="272" w:lineRule="auto"/>
              <w:ind w:left="103" w:right="101"/>
              <w:jc w:val="both"/>
              <w:rPr>
                <w:rFonts w:eastAsia="仿宋_GB2312"/>
                <w:sz w:val="28"/>
                <w:szCs w:val="28"/>
              </w:rPr>
            </w:pPr>
            <w:r>
              <w:rPr>
                <w:rFonts w:eastAsia="仿宋_GB2312"/>
                <w:sz w:val="28"/>
                <w:szCs w:val="28"/>
              </w:rPr>
              <w:t>产品带菌，引起患者阴道感染。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09" w:hRule="exact"/>
        </w:trPr>
        <w:tc>
          <w:tcPr>
            <w:tcW w:w="1231" w:type="pct"/>
            <w:vMerge w:val="continue"/>
            <w:vAlign w:val="center"/>
          </w:tcPr>
          <w:p>
            <w:pPr>
              <w:pStyle w:val="32"/>
              <w:kinsoku w:val="0"/>
              <w:spacing w:before="11"/>
              <w:jc w:val="both"/>
              <w:rPr>
                <w:rFonts w:eastAsia="仿宋_GB2312"/>
                <w:sz w:val="28"/>
                <w:szCs w:val="28"/>
              </w:rPr>
            </w:pPr>
          </w:p>
        </w:tc>
        <w:tc>
          <w:tcPr>
            <w:tcW w:w="2134" w:type="pct"/>
            <w:vAlign w:val="center"/>
          </w:tcPr>
          <w:p>
            <w:pPr>
              <w:ind w:right="-75" w:rightChars="-34"/>
              <w:jc w:val="both"/>
              <w:rPr>
                <w:rFonts w:ascii="Times New Roman" w:hAnsi="Times New Roman" w:eastAsia="仿宋_GB2312" w:cs="Times New Roman"/>
                <w:sz w:val="28"/>
                <w:szCs w:val="28"/>
              </w:rPr>
            </w:pPr>
            <w:r>
              <w:rPr>
                <w:rFonts w:ascii="Times New Roman" w:hAnsi="Times New Roman" w:eastAsia="仿宋_GB2312" w:cs="Times New Roman"/>
                <w:sz w:val="28"/>
                <w:szCs w:val="28"/>
              </w:rPr>
              <w:t>操作不熟练、操作失误，产</w:t>
            </w:r>
          </w:p>
          <w:p>
            <w:pPr>
              <w:ind w:left="44" w:leftChars="20" w:right="-75" w:rightChars="-34"/>
              <w:jc w:val="both"/>
              <w:rPr>
                <w:rFonts w:ascii="Times New Roman" w:hAnsi="Times New Roman" w:eastAsia="仿宋_GB2312" w:cs="Times New Roman"/>
                <w:sz w:val="28"/>
                <w:szCs w:val="28"/>
              </w:rPr>
            </w:pPr>
            <w:r>
              <w:rPr>
                <w:rFonts w:ascii="Times New Roman" w:hAnsi="Times New Roman" w:eastAsia="仿宋_GB2312" w:cs="Times New Roman"/>
                <w:sz w:val="28"/>
                <w:szCs w:val="28"/>
              </w:rPr>
              <w:t>品放置位置不合适。</w:t>
            </w:r>
          </w:p>
        </w:tc>
        <w:tc>
          <w:tcPr>
            <w:tcW w:w="1635" w:type="pct"/>
            <w:vAlign w:val="center"/>
          </w:tcPr>
          <w:p>
            <w:pPr>
              <w:pStyle w:val="32"/>
              <w:kinsoku w:val="0"/>
              <w:spacing w:before="63" w:line="272" w:lineRule="auto"/>
              <w:ind w:left="103" w:right="101"/>
              <w:jc w:val="both"/>
              <w:rPr>
                <w:rFonts w:eastAsia="仿宋_GB2312"/>
                <w:spacing w:val="-1"/>
                <w:w w:val="95"/>
                <w:sz w:val="28"/>
                <w:szCs w:val="28"/>
              </w:rPr>
            </w:pPr>
            <w:r>
              <w:rPr>
                <w:rFonts w:eastAsia="仿宋_GB2312"/>
                <w:spacing w:val="-1"/>
                <w:w w:val="95"/>
                <w:sz w:val="28"/>
                <w:szCs w:val="28"/>
              </w:rPr>
              <w:t>造成阴道粘膜摩擦性损伤；扩张效果受影响。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38" w:hRule="exact"/>
        </w:trPr>
        <w:tc>
          <w:tcPr>
            <w:tcW w:w="1231" w:type="pct"/>
            <w:vMerge w:val="continue"/>
            <w:vAlign w:val="center"/>
          </w:tcPr>
          <w:p>
            <w:pPr>
              <w:pStyle w:val="32"/>
              <w:kinsoku w:val="0"/>
              <w:spacing w:before="11"/>
              <w:jc w:val="both"/>
              <w:rPr>
                <w:rFonts w:eastAsia="仿宋_GB2312"/>
                <w:sz w:val="28"/>
                <w:szCs w:val="28"/>
              </w:rPr>
            </w:pPr>
          </w:p>
        </w:tc>
        <w:tc>
          <w:tcPr>
            <w:tcW w:w="2134" w:type="pct"/>
            <w:vAlign w:val="center"/>
          </w:tcPr>
          <w:p>
            <w:pPr>
              <w:ind w:right="-75" w:rightChars="-34"/>
              <w:jc w:val="both"/>
              <w:rPr>
                <w:rFonts w:ascii="Times New Roman" w:hAnsi="Times New Roman" w:eastAsia="仿宋_GB2312" w:cs="Times New Roman"/>
                <w:sz w:val="28"/>
                <w:szCs w:val="28"/>
              </w:rPr>
            </w:pPr>
            <w:r>
              <w:rPr>
                <w:rFonts w:ascii="Times New Roman" w:hAnsi="Times New Roman" w:eastAsia="仿宋_GB2312" w:cs="Times New Roman"/>
                <w:sz w:val="28"/>
                <w:szCs w:val="28"/>
              </w:rPr>
              <w:t>规格型号选用错误。</w:t>
            </w:r>
          </w:p>
        </w:tc>
        <w:tc>
          <w:tcPr>
            <w:tcW w:w="1635" w:type="pct"/>
            <w:vAlign w:val="center"/>
          </w:tcPr>
          <w:p>
            <w:pPr>
              <w:pStyle w:val="32"/>
              <w:kinsoku w:val="0"/>
              <w:spacing w:before="63" w:line="272" w:lineRule="auto"/>
              <w:ind w:left="103" w:right="101"/>
              <w:jc w:val="both"/>
              <w:rPr>
                <w:rFonts w:eastAsia="仿宋_GB2312"/>
                <w:spacing w:val="-1"/>
                <w:w w:val="95"/>
                <w:sz w:val="28"/>
                <w:szCs w:val="28"/>
              </w:rPr>
            </w:pPr>
            <w:r>
              <w:rPr>
                <w:rFonts w:eastAsia="仿宋_GB2312"/>
                <w:spacing w:val="-1"/>
                <w:w w:val="95"/>
                <w:sz w:val="28"/>
                <w:szCs w:val="28"/>
              </w:rPr>
              <w:t>导致无法达到预期使用效果。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5" w:hRule="exact"/>
        </w:trPr>
        <w:tc>
          <w:tcPr>
            <w:tcW w:w="1231" w:type="pct"/>
            <w:vMerge w:val="continue"/>
            <w:vAlign w:val="center"/>
          </w:tcPr>
          <w:p>
            <w:pPr>
              <w:pStyle w:val="32"/>
              <w:kinsoku w:val="0"/>
              <w:spacing w:before="11"/>
              <w:jc w:val="both"/>
              <w:rPr>
                <w:rFonts w:eastAsia="仿宋_GB2312"/>
                <w:sz w:val="28"/>
                <w:szCs w:val="28"/>
              </w:rPr>
            </w:pPr>
          </w:p>
        </w:tc>
        <w:tc>
          <w:tcPr>
            <w:tcW w:w="2134" w:type="pct"/>
            <w:vAlign w:val="center"/>
          </w:tcPr>
          <w:p>
            <w:pPr>
              <w:ind w:right="-75" w:rightChars="-34"/>
              <w:jc w:val="both"/>
              <w:rPr>
                <w:rFonts w:ascii="Times New Roman" w:hAnsi="Times New Roman" w:eastAsia="仿宋_GB2312" w:cs="Times New Roman"/>
                <w:sz w:val="28"/>
                <w:szCs w:val="28"/>
              </w:rPr>
            </w:pPr>
            <w:r>
              <w:rPr>
                <w:rFonts w:ascii="Times New Roman" w:hAnsi="Times New Roman" w:eastAsia="仿宋_GB2312" w:cs="Times New Roman"/>
                <w:sz w:val="28"/>
                <w:szCs w:val="28"/>
              </w:rPr>
              <w:t>重复使用。</w:t>
            </w:r>
          </w:p>
        </w:tc>
        <w:tc>
          <w:tcPr>
            <w:tcW w:w="1635" w:type="pct"/>
            <w:vAlign w:val="center"/>
          </w:tcPr>
          <w:p>
            <w:pPr>
              <w:pStyle w:val="32"/>
              <w:kinsoku w:val="0"/>
              <w:spacing w:before="63" w:line="272" w:lineRule="auto"/>
              <w:ind w:left="103" w:right="101"/>
              <w:jc w:val="both"/>
              <w:rPr>
                <w:rFonts w:eastAsia="仿宋_GB2312"/>
                <w:spacing w:val="-1"/>
                <w:w w:val="95"/>
                <w:sz w:val="28"/>
                <w:szCs w:val="28"/>
              </w:rPr>
            </w:pPr>
            <w:r>
              <w:rPr>
                <w:rFonts w:eastAsia="仿宋_GB2312"/>
                <w:spacing w:val="-1"/>
                <w:w w:val="95"/>
                <w:sz w:val="28"/>
                <w:szCs w:val="28"/>
              </w:rPr>
              <w:t>交叉感染。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38" w:hRule="exact"/>
        </w:trPr>
        <w:tc>
          <w:tcPr>
            <w:tcW w:w="1231" w:type="pct"/>
            <w:vMerge w:val="continue"/>
            <w:vAlign w:val="center"/>
          </w:tcPr>
          <w:p>
            <w:pPr>
              <w:pStyle w:val="32"/>
              <w:kinsoku w:val="0"/>
              <w:spacing w:before="11"/>
              <w:jc w:val="both"/>
              <w:rPr>
                <w:rFonts w:eastAsia="仿宋_GB2312"/>
                <w:sz w:val="28"/>
                <w:szCs w:val="28"/>
              </w:rPr>
            </w:pPr>
          </w:p>
        </w:tc>
        <w:tc>
          <w:tcPr>
            <w:tcW w:w="2134" w:type="pct"/>
            <w:vAlign w:val="center"/>
          </w:tcPr>
          <w:p>
            <w:pPr>
              <w:ind w:right="-75" w:rightChars="-34"/>
              <w:jc w:val="both"/>
              <w:rPr>
                <w:rFonts w:ascii="Times New Roman" w:hAnsi="Times New Roman" w:eastAsia="仿宋_GB2312" w:cs="Times New Roman"/>
                <w:sz w:val="28"/>
                <w:szCs w:val="28"/>
              </w:rPr>
            </w:pPr>
            <w:r>
              <w:rPr>
                <w:rFonts w:ascii="Times New Roman" w:hAnsi="Times New Roman" w:eastAsia="仿宋_GB2312" w:cs="Times New Roman"/>
                <w:sz w:val="28"/>
                <w:szCs w:val="28"/>
              </w:rPr>
              <w:t>使用后的产品没有按照要求集中销毁。</w:t>
            </w:r>
          </w:p>
        </w:tc>
        <w:tc>
          <w:tcPr>
            <w:tcW w:w="1635" w:type="pct"/>
            <w:vAlign w:val="center"/>
          </w:tcPr>
          <w:p>
            <w:pPr>
              <w:pStyle w:val="32"/>
              <w:kinsoku w:val="0"/>
              <w:spacing w:before="63" w:line="272" w:lineRule="auto"/>
              <w:ind w:right="101"/>
              <w:jc w:val="both"/>
              <w:rPr>
                <w:rFonts w:eastAsia="仿宋_GB2312"/>
                <w:spacing w:val="-1"/>
                <w:w w:val="95"/>
                <w:sz w:val="28"/>
                <w:szCs w:val="28"/>
              </w:rPr>
            </w:pPr>
            <w:r>
              <w:rPr>
                <w:rFonts w:eastAsia="仿宋_GB2312"/>
                <w:spacing w:val="-1"/>
                <w:w w:val="95"/>
                <w:sz w:val="28"/>
                <w:szCs w:val="28"/>
              </w:rPr>
              <w:t>造成环境污染或交叉感染。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7" w:hRule="exact"/>
        </w:trPr>
        <w:tc>
          <w:tcPr>
            <w:tcW w:w="1231" w:type="pct"/>
            <w:vMerge w:val="restart"/>
            <w:vAlign w:val="center"/>
          </w:tcPr>
          <w:p>
            <w:pPr>
              <w:pStyle w:val="32"/>
              <w:kinsoku w:val="0"/>
              <w:spacing w:before="11"/>
              <w:jc w:val="both"/>
              <w:rPr>
                <w:rFonts w:eastAsia="仿宋_GB2312"/>
                <w:sz w:val="28"/>
                <w:szCs w:val="28"/>
              </w:rPr>
            </w:pPr>
            <w:r>
              <w:rPr>
                <w:rFonts w:eastAsia="仿宋_GB2312"/>
                <w:sz w:val="28"/>
                <w:szCs w:val="28"/>
              </w:rPr>
              <w:t>信息危险（源）</w:t>
            </w:r>
          </w:p>
        </w:tc>
        <w:tc>
          <w:tcPr>
            <w:tcW w:w="2134" w:type="pct"/>
            <w:vAlign w:val="center"/>
          </w:tcPr>
          <w:p>
            <w:pPr>
              <w:pStyle w:val="32"/>
              <w:kinsoku w:val="0"/>
              <w:spacing w:before="11"/>
              <w:jc w:val="both"/>
              <w:rPr>
                <w:rFonts w:eastAsia="仿宋_GB2312"/>
                <w:sz w:val="28"/>
                <w:szCs w:val="28"/>
              </w:rPr>
            </w:pPr>
          </w:p>
          <w:p>
            <w:pPr>
              <w:pStyle w:val="32"/>
              <w:kinsoku w:val="0"/>
              <w:spacing w:before="11"/>
              <w:jc w:val="both"/>
              <w:rPr>
                <w:rFonts w:eastAsia="仿宋_GB2312"/>
                <w:sz w:val="28"/>
                <w:szCs w:val="28"/>
              </w:rPr>
            </w:pPr>
            <w:r>
              <w:rPr>
                <w:rFonts w:eastAsia="仿宋_GB2312"/>
                <w:sz w:val="28"/>
                <w:szCs w:val="28"/>
              </w:rPr>
              <w:t>产品说明书信息内容不完整或有错误。</w:t>
            </w:r>
          </w:p>
        </w:tc>
        <w:tc>
          <w:tcPr>
            <w:tcW w:w="1635" w:type="pct"/>
            <w:vAlign w:val="center"/>
          </w:tcPr>
          <w:p>
            <w:pPr>
              <w:pStyle w:val="32"/>
              <w:kinsoku w:val="0"/>
              <w:spacing w:before="63" w:line="272" w:lineRule="auto"/>
              <w:ind w:left="103" w:right="101"/>
              <w:jc w:val="both"/>
              <w:rPr>
                <w:rFonts w:eastAsia="仿宋_GB2312"/>
                <w:sz w:val="28"/>
                <w:szCs w:val="28"/>
              </w:rPr>
            </w:pPr>
            <w:r>
              <w:rPr>
                <w:rFonts w:eastAsia="仿宋_GB2312"/>
                <w:sz w:val="28"/>
                <w:szCs w:val="28"/>
              </w:rPr>
              <w:t>产品不能被正确的使用，不合格产品被误用。重复使用，过期使用，危害患者健康。</w:t>
            </w:r>
          </w:p>
          <w:p>
            <w:pPr>
              <w:pStyle w:val="32"/>
              <w:kinsoku w:val="0"/>
              <w:spacing w:before="63" w:line="272" w:lineRule="auto"/>
              <w:ind w:left="103" w:right="101"/>
              <w:jc w:val="both"/>
              <w:rPr>
                <w:rFonts w:eastAsia="仿宋_GB2312"/>
                <w:sz w:val="28"/>
                <w:szCs w:val="28"/>
              </w:rPr>
            </w:pPr>
          </w:p>
          <w:p>
            <w:pPr>
              <w:pStyle w:val="32"/>
              <w:kinsoku w:val="0"/>
              <w:spacing w:before="63" w:line="272" w:lineRule="auto"/>
              <w:ind w:left="103" w:right="101"/>
              <w:jc w:val="both"/>
              <w:rPr>
                <w:rFonts w:eastAsia="仿宋_GB2312"/>
                <w:sz w:val="28"/>
                <w:szCs w:val="28"/>
              </w:rPr>
            </w:pPr>
          </w:p>
          <w:p>
            <w:pPr>
              <w:pStyle w:val="32"/>
              <w:kinsoku w:val="0"/>
              <w:spacing w:before="63" w:line="272" w:lineRule="auto"/>
              <w:ind w:left="103" w:right="101"/>
              <w:jc w:val="both"/>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7" w:hRule="exact"/>
        </w:trPr>
        <w:tc>
          <w:tcPr>
            <w:tcW w:w="1231" w:type="pct"/>
            <w:vMerge w:val="continue"/>
            <w:vAlign w:val="center"/>
          </w:tcPr>
          <w:p>
            <w:pPr>
              <w:pStyle w:val="32"/>
              <w:kinsoku w:val="0"/>
              <w:spacing w:before="11"/>
              <w:jc w:val="both"/>
              <w:rPr>
                <w:rFonts w:eastAsia="仿宋_GB2312"/>
                <w:sz w:val="28"/>
                <w:szCs w:val="28"/>
              </w:rPr>
            </w:pPr>
          </w:p>
        </w:tc>
        <w:tc>
          <w:tcPr>
            <w:tcW w:w="2134" w:type="pct"/>
            <w:vAlign w:val="center"/>
          </w:tcPr>
          <w:p>
            <w:pPr>
              <w:pStyle w:val="32"/>
              <w:kinsoku w:val="0"/>
              <w:spacing w:before="11"/>
              <w:jc w:val="both"/>
              <w:rPr>
                <w:rFonts w:eastAsia="仿宋_GB2312"/>
                <w:sz w:val="28"/>
                <w:szCs w:val="28"/>
              </w:rPr>
            </w:pPr>
            <w:r>
              <w:rPr>
                <w:rFonts w:eastAsia="仿宋_GB2312"/>
                <w:sz w:val="28"/>
                <w:szCs w:val="28"/>
              </w:rPr>
              <w:t>说明书注意事项、禁忌描述不完整。</w:t>
            </w:r>
          </w:p>
        </w:tc>
        <w:tc>
          <w:tcPr>
            <w:tcW w:w="1635" w:type="pct"/>
            <w:vAlign w:val="center"/>
          </w:tcPr>
          <w:p>
            <w:pPr>
              <w:pStyle w:val="32"/>
              <w:kinsoku w:val="0"/>
              <w:spacing w:before="63" w:line="272" w:lineRule="auto"/>
              <w:ind w:left="103" w:right="101"/>
              <w:jc w:val="both"/>
              <w:rPr>
                <w:rFonts w:eastAsia="仿宋_GB2312"/>
                <w:sz w:val="28"/>
                <w:szCs w:val="28"/>
              </w:rPr>
            </w:pPr>
            <w:r>
              <w:rPr>
                <w:rFonts w:eastAsia="仿宋_GB2312"/>
                <w:sz w:val="28"/>
                <w:szCs w:val="28"/>
              </w:rPr>
              <w:t>产生交叉感染或影响使用。</w:t>
            </w:r>
          </w:p>
        </w:tc>
      </w:tr>
    </w:tbl>
    <w:p>
      <w:pPr>
        <w:overflowPunct w:val="0"/>
        <w:spacing w:after="0" w:line="540" w:lineRule="exact"/>
        <w:ind w:firstLine="640" w:firstLineChars="200"/>
        <w:outlineLvl w:val="0"/>
        <w:rPr>
          <w:rFonts w:ascii="Times New Roman" w:hAnsi="Times New Roman" w:eastAsia="楷体_GB2312" w:cs="Times New Roman"/>
          <w:sz w:val="32"/>
          <w:szCs w:val="32"/>
        </w:rPr>
      </w:pP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2.产品技术要求及检验报告</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产品技术要求的制定应符合《医疗器械产品技术要求编写指导原则》的要求。企业应根据自身产品的技术特征和临床使用情况来确定产品安全有效、质量可控的性能指标和检验方法。对宣称的产品的所有技术参数和功能，应在产品技术要求中予以规定。本指导原则给出扩张器需要考虑的基本技术性能指标，其中对产品的技术要求主要参照YY 0336《一次性使用无菌阴道扩张器》。以下如有不适用条款（包括国家标准、行业标准要求），企业应在产品注册资料中加以说明，包括但不限于以下几点。</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2.1外观</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2.2尺寸</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2.3使用性能</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2.4抗变形能力</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2.5结构强度</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2.6无菌</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2.7环氧乙烷残留</w:t>
      </w:r>
    </w:p>
    <w:p>
      <w:pPr>
        <w:overflowPunct w:val="0"/>
        <w:spacing w:after="0" w:line="520" w:lineRule="exact"/>
        <w:ind w:firstLine="640" w:firstLineChars="200"/>
        <w:outlineLvl w:val="0"/>
        <w:rPr>
          <w:rFonts w:ascii="Times New Roman" w:hAnsi="Times New Roman" w:eastAsia="仿宋_GB2312" w:cs="Times New Roman"/>
          <w:sz w:val="32"/>
          <w:szCs w:val="32"/>
        </w:rPr>
      </w:pPr>
      <w:r>
        <w:rPr>
          <w:rFonts w:ascii="Times New Roman" w:hAnsi="Times New Roman" w:eastAsia="仿宋_GB2312" w:cs="Times New Roman"/>
          <w:sz w:val="32"/>
          <w:szCs w:val="32"/>
        </w:rPr>
        <w:t>3.研究资料</w:t>
      </w:r>
    </w:p>
    <w:p>
      <w:pPr>
        <w:overflowPunct w:val="0"/>
        <w:spacing w:after="0" w:line="520" w:lineRule="exact"/>
        <w:ind w:firstLine="640" w:firstLineChars="200"/>
        <w:rPr>
          <w:rFonts w:ascii="Times New Roman" w:hAnsi="Times New Roman" w:eastAsia="仿宋_GB2312" w:cs="Times New Roman"/>
          <w:sz w:val="32"/>
          <w:szCs w:val="32"/>
        </w:rPr>
      </w:pPr>
      <w:bookmarkStart w:id="6" w:name="_Toc498607698"/>
      <w:r>
        <w:rPr>
          <w:rFonts w:ascii="Times New Roman" w:hAnsi="Times New Roman" w:eastAsia="仿宋_GB2312" w:cs="Times New Roman"/>
          <w:sz w:val="32"/>
          <w:szCs w:val="32"/>
        </w:rPr>
        <w:t>申请人应当按照产品技术要求进行检验，并提交检验报告。申请人需提供检验样品型号规格的选择依据，所检验型号应当是能够代表本注册单元内其他型号安全性和有效性的典型产品。</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3.1产品性能研究</w:t>
      </w:r>
      <w:bookmarkEnd w:id="6"/>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提交产品性能的研究资料以及产品技术要求的研究和编制说明，产品性能研究主要包括物理性能、化学性能、生物性能以及与质量控制相关的其他方面的指标要求、采用标准及试验方法的理论基础或实施依据。产品的性能要求及试验方法应依据YY 0336《一次性使用无菌阴道扩张器》进行制定。</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3.2生物相容性评价</w:t>
      </w:r>
    </w:p>
    <w:p>
      <w:pPr>
        <w:overflowPunct w:val="0"/>
        <w:spacing w:after="0" w:line="520" w:lineRule="exact"/>
        <w:ind w:firstLine="640" w:firstLineChars="200"/>
        <w:rPr>
          <w:rFonts w:ascii="Times New Roman" w:hAnsi="Times New Roman" w:eastAsia="仿宋_GB2312" w:cs="Times New Roman"/>
          <w:sz w:val="32"/>
          <w:szCs w:val="32"/>
        </w:rPr>
      </w:pPr>
      <w:bookmarkStart w:id="7" w:name="_Toc498607700"/>
      <w:r>
        <w:rPr>
          <w:rFonts w:ascii="Times New Roman" w:hAnsi="Times New Roman" w:eastAsia="仿宋_GB2312" w:cs="Times New Roman"/>
          <w:sz w:val="32"/>
          <w:szCs w:val="32"/>
        </w:rPr>
        <w:t>应按照GB/T 16886《医疗器械生物学评价》系列标准及《关于印发医疗器械生物学评价和审查指南的通知》相关要求对扩张器进行生物相容性评价。扩张器与阴道黏膜接触，一般应评价的项目包括细胞毒性、迟发型超敏反应和阴道黏膜刺激试验。</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生物相容性评价资料应考虑（包括但不限于）以下方面：生物相容性评价的依据和方法；产品所用材料的描述及与人体接触的性质；实施或豁免生物学试验的理由和论证；对于现有数据或试验结果的评价。</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3.3灭菌工艺研究</w:t>
      </w:r>
      <w:bookmarkEnd w:id="7"/>
    </w:p>
    <w:p>
      <w:pPr>
        <w:overflowPunct w:val="0"/>
        <w:spacing w:after="0" w:line="520" w:lineRule="exact"/>
        <w:ind w:firstLine="640" w:firstLineChars="200"/>
        <w:rPr>
          <w:rFonts w:ascii="Times New Roman" w:hAnsi="Times New Roman" w:eastAsia="仿宋_GB2312" w:cs="Times New Roman"/>
          <w:sz w:val="32"/>
          <w:szCs w:val="32"/>
        </w:rPr>
      </w:pPr>
      <w:bookmarkStart w:id="8" w:name="_Toc498607701"/>
      <w:r>
        <w:rPr>
          <w:rFonts w:ascii="Times New Roman" w:hAnsi="Times New Roman" w:eastAsia="仿宋_GB2312" w:cs="Times New Roman"/>
          <w:sz w:val="32"/>
          <w:szCs w:val="32"/>
        </w:rPr>
        <w:t>企业应明确产品的灭菌方式，产品注册申报时应提交确定灭菌方式的相关研究资料。</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产品通过环氧乙烷进行灭菌，应对灭菌工艺进行确认并提交灭菌确认报告，包括产品灭菌的适用性、包装及材料要求、生物指示物及化学指示物的选取及要求、初始污染菌的要求、灭菌时环氧乙烷浓度等。应根据GB/T16886.7《医疗器械生物学评价 第7部分：环氧乙烷灭菌残留量》明确环氧乙烷残留信息及采取的处理方法，并提供研究资料。</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3.4产品有效期和包装研究</w:t>
      </w:r>
      <w:bookmarkEnd w:id="8"/>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有效期的确定可采用实时老化或加速老化试验进行验证。实时老化的研究是唯一能够反映产品在规定储存条件下实际稳定性要求的方法，应遵循极限试验等原则。加速老化试验应依据YY/T 0681《无菌医疗器械包装试验方法》系列标准相关内容提供产品有效期的验证报告。</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进行加速老化试验研究时应注意：产品选择的环境条件的老化机制应与宣称的贮存、运输环境条件下产品老化的机制相匹配，不应相背离。加速老化研究报告中应明确试验温度、湿度、加速老化时间的确定依据。</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包装及包装完整性：依据GB/T 19633《最终灭菌医疗器械包装》等系列标准对产品包装进行确认，在宣称的有效期内以及运输储存条件下，注册人应提供保持包装完整性的依据。包装性能的测试方法可以参照YY/T 0681《无菌医疗器械包装试验方法》系列标准进行。</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4.其他</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该指导原则所适用的扩张器为《免于临床评价医疗器械目录》产品，应按照《列入免于临床评价医疗器械目录产品对比说明技术指导原则》要求提交资料。</w:t>
      </w:r>
    </w:p>
    <w:p>
      <w:pPr>
        <w:spacing w:after="0" w:line="520" w:lineRule="exact"/>
        <w:ind w:right="-70"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（四）临床评价资料</w:t>
      </w:r>
    </w:p>
    <w:p>
      <w:pPr>
        <w:spacing w:after="0" w:line="520" w:lineRule="exact"/>
        <w:ind w:right="-70" w:rightChars="-32"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该产品列入《免于临床评价医疗器械目录》，申请人无需提交临床评价资料。</w:t>
      </w:r>
    </w:p>
    <w:p>
      <w:pPr>
        <w:spacing w:after="0" w:line="520" w:lineRule="exact"/>
        <w:ind w:right="-70" w:rightChars="-32"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（五）产品说明书和标签样稿</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产品说明书、标签和包装标识的编写应符合《医疗器械说明书和标签管理规定》、YY/T 0466.1《医疗器械 用于医疗器械标签、标记和提供信息的符号 第1部分：通用要求》的要求。至少应包括以下内容：</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1.根据临床评价资料等有关技术文件，明确产品的适用人群。</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2.产品性能、主要结构组成或原材料、适用范围。</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3.明确产品禁忌证、注意事项、警示以及提示的内容。</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4.操作步骤的图示说明，临床常见不良事件的处理和应对措施。</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5.应提示一次性使用，用后销毁，包装如有破损，严禁使用。</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（六）质量管理体系文件</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至少应包括但不限于以下内容：</w:t>
      </w:r>
    </w:p>
    <w:p>
      <w:pPr>
        <w:overflowPunct w:val="0"/>
        <w:spacing w:after="0" w:line="520" w:lineRule="exact"/>
        <w:ind w:firstLine="640" w:firstLineChars="200"/>
        <w:rPr>
          <w:rFonts w:ascii="Times New Roman" w:hAnsi="Times New Roman" w:eastAsia="仿宋_GB2312" w:cs="Times New Roman"/>
          <w:sz w:val="32"/>
        </w:rPr>
      </w:pPr>
      <w:r>
        <w:rPr>
          <w:rFonts w:ascii="Times New Roman" w:hAnsi="Times New Roman" w:eastAsia="仿宋_GB2312" w:cs="Times New Roman"/>
          <w:sz w:val="32"/>
          <w:szCs w:val="32"/>
        </w:rPr>
        <w:t>1.</w:t>
      </w:r>
      <w:r>
        <w:rPr>
          <w:rFonts w:ascii="Times New Roman" w:hAnsi="Times New Roman" w:eastAsia="仿宋_GB2312" w:cs="Times New Roman"/>
          <w:sz w:val="32"/>
        </w:rPr>
        <w:t>生产工艺过程及过程控制点</w:t>
      </w:r>
    </w:p>
    <w:p>
      <w:pPr>
        <w:overflowPunct w:val="0"/>
        <w:spacing w:after="0" w:line="520" w:lineRule="exact"/>
        <w:ind w:firstLine="640" w:firstLineChars="200"/>
        <w:rPr>
          <w:rFonts w:ascii="Times New Roman" w:hAnsi="Times New Roman" w:eastAsia="仿宋_GB2312" w:cs="Times New Roman"/>
          <w:sz w:val="32"/>
        </w:rPr>
      </w:pPr>
      <w:r>
        <w:rPr>
          <w:rFonts w:ascii="Times New Roman" w:hAnsi="Times New Roman" w:eastAsia="仿宋_GB2312" w:cs="Times New Roman"/>
          <w:sz w:val="32"/>
        </w:rPr>
        <w:t>应当明确产品生产工艺过程，可采用流程图的形式，并说明其过程控制点，如注塑、灭菌等工艺过程。各组件生产过程中如使用加工助剂，应明确使用情况及杂质（如残留单体、小分子残留物、致癌物质、拟激素样物质等）的控制要求。生产工艺应已通过验证，能够生产出质量稳定、安全有效的产品。关键工序、特殊过程应编制并执行工艺规程或作业指导书。</w:t>
      </w:r>
    </w:p>
    <w:p>
      <w:pPr>
        <w:overflowPunct w:val="0"/>
        <w:spacing w:after="0" w:line="520" w:lineRule="exact"/>
        <w:ind w:firstLine="640" w:firstLineChars="200"/>
        <w:rPr>
          <w:rFonts w:ascii="Times New Roman" w:hAnsi="Times New Roman" w:eastAsia="仿宋_GB2312" w:cs="Times New Roman"/>
          <w:sz w:val="32"/>
        </w:rPr>
      </w:pPr>
      <w:r>
        <w:rPr>
          <w:rFonts w:ascii="Times New Roman" w:hAnsi="Times New Roman" w:eastAsia="仿宋_GB2312" w:cs="Times New Roman"/>
          <w:sz w:val="32"/>
          <w:szCs w:val="32"/>
        </w:rPr>
        <w:t>2.</w:t>
      </w:r>
      <w:r>
        <w:rPr>
          <w:rFonts w:ascii="Times New Roman" w:hAnsi="Times New Roman" w:eastAsia="仿宋_GB2312" w:cs="Times New Roman"/>
          <w:sz w:val="32"/>
        </w:rPr>
        <w:t>研制、生产场地情况概述</w:t>
      </w:r>
    </w:p>
    <w:p>
      <w:pPr>
        <w:overflowPunct w:val="0"/>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应结合场地平面图详细介绍研发、生产、检验、仓库场地情况。有多个研制、生产场地，应介绍每个研制、生产场地的实际情况。生产场地应与生产规模相适应。生产场地的区域划分应与生产工艺流程相符合。</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3.根据上述质量管理体系程序，申请人应当形成相关质量管理体系文件和记录。应当提交下列资料，在质量管理体系核查时进行检查。</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3.1申请人基本情况表。</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3.2申请人组织机构图。</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3.3生产企业总平面布置图、生产区域分布图。</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3.4生产过程有净化要求的，应当提供有资质的检测机构出具的环境检测报告（附平面布局图）复印件。</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3.5产品生产工艺流程图，应当标明主要控制点与项目及主要原材料、采购件的来源及质量控制方法。</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3.6主要生产设备和检验设备（包括进货检验、过程检验、出厂最终检验所需的相关设备；在净化条件下生产的，还应当提供环境监测设备）目录。</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3.7质量管理体系自查报告。</w:t>
      </w:r>
    </w:p>
    <w:p>
      <w:pPr>
        <w:spacing w:after="0"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3.8如适用，应当提供拟核查产品与既往已通过核查产品在生产条件、生产工艺等方面的对比说明。</w:t>
      </w:r>
    </w:p>
    <w:p>
      <w:pPr>
        <w:spacing w:after="0" w:line="52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三、参考文献</w:t>
      </w:r>
    </w:p>
    <w:p>
      <w:pPr>
        <w:pStyle w:val="31"/>
        <w:overflowPunct w:val="0"/>
        <w:autoSpaceDE w:val="0"/>
        <w:autoSpaceDN w:val="0"/>
        <w:spacing w:after="0" w:line="520" w:lineRule="exact"/>
        <w:ind w:firstLine="640"/>
        <w:outlineLvl w:val="2"/>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[1]中华人民共和国国务院</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医疗器械监督管理条例</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中华人民共和国国务院令第739号[Z].</w:t>
      </w:r>
    </w:p>
    <w:p>
      <w:pPr>
        <w:pStyle w:val="31"/>
        <w:overflowPunct w:val="0"/>
        <w:autoSpaceDE w:val="0"/>
        <w:autoSpaceDN w:val="0"/>
        <w:spacing w:after="0" w:line="520" w:lineRule="exact"/>
        <w:ind w:firstLine="640"/>
        <w:outlineLvl w:val="2"/>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[2]国家市场监督管理总局</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医疗器械注册与备案管理办法:国家市场监督管理总局令第47号[Z].</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[3]</w:t>
      </w:r>
      <w:r>
        <w:rPr>
          <w:rFonts w:hint="eastAsia" w:ascii="Times New Roman" w:hAnsi="Times New Roman" w:eastAsia="仿宋_GB2312" w:cs="Times New Roman"/>
          <w:sz w:val="32"/>
          <w:szCs w:val="32"/>
        </w:rPr>
        <w:t>国家食品药品监督管理局.医疗器械说明书和标签管理规定:国家食品药品监督管理总局令第6号</w:t>
      </w:r>
      <w:r>
        <w:rPr>
          <w:rFonts w:ascii="Times New Roman" w:hAnsi="Times New Roman" w:eastAsia="仿宋_GB2312" w:cs="Times New Roman"/>
          <w:sz w:val="32"/>
          <w:szCs w:val="32"/>
        </w:rPr>
        <w:t>[Z]</w:t>
      </w:r>
      <w:r>
        <w:rPr>
          <w:rFonts w:hint="eastAsia" w:ascii="Times New Roman" w:hAnsi="Times New Roman" w:eastAsia="仿宋_GB2312" w:cs="Times New Roman"/>
          <w:sz w:val="32"/>
          <w:szCs w:val="32"/>
        </w:rPr>
        <w:t>.</w:t>
      </w:r>
    </w:p>
    <w:p>
      <w:pPr>
        <w:pStyle w:val="31"/>
        <w:overflowPunct w:val="0"/>
        <w:autoSpaceDE w:val="0"/>
        <w:autoSpaceDN w:val="0"/>
        <w:spacing w:after="0" w:line="520" w:lineRule="exact"/>
        <w:ind w:firstLine="640"/>
        <w:outlineLvl w:val="2"/>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[4]</w:t>
      </w:r>
      <w:r>
        <w:rPr>
          <w:rFonts w:hint="eastAsia" w:ascii="Times New Roman" w:hAnsi="Times New Roman" w:eastAsia="仿宋_GB2312" w:cs="Times New Roman"/>
          <w:sz w:val="32"/>
          <w:szCs w:val="32"/>
        </w:rPr>
        <w:t>国家药品监督管理局.</w:t>
      </w:r>
      <w:r>
        <w:rPr>
          <w:rFonts w:ascii="Times New Roman" w:hAnsi="Times New Roman" w:eastAsia="仿宋_GB2312" w:cs="Times New Roman"/>
          <w:sz w:val="32"/>
          <w:szCs w:val="32"/>
        </w:rPr>
        <w:t>医疗器械产品技术要求编写指导原则</w:t>
      </w:r>
      <w:r>
        <w:rPr>
          <w:rFonts w:hint="eastAsia" w:ascii="Times New Roman" w:hAnsi="Times New Roman" w:eastAsia="仿宋_GB2312" w:cs="Times New Roman"/>
          <w:sz w:val="32"/>
          <w:szCs w:val="32"/>
        </w:rPr>
        <w:t>:国家药监局关于发布</w:t>
      </w:r>
      <w:r>
        <w:rPr>
          <w:rFonts w:ascii="Times New Roman" w:hAnsi="Times New Roman" w:eastAsia="仿宋_GB2312" w:cs="Times New Roman"/>
          <w:sz w:val="32"/>
          <w:szCs w:val="32"/>
        </w:rPr>
        <w:t>医疗器械产品技术要求编写指导原则</w:t>
      </w:r>
      <w:r>
        <w:rPr>
          <w:rFonts w:hint="eastAsia" w:ascii="Times New Roman" w:hAnsi="Times New Roman" w:eastAsia="仿宋_GB2312" w:cs="Times New Roman"/>
          <w:sz w:val="32"/>
          <w:szCs w:val="32"/>
        </w:rPr>
        <w:t>的通告</w:t>
      </w:r>
      <w:r>
        <w:rPr>
          <w:rFonts w:ascii="Times New Roman" w:hAnsi="Times New Roman" w:eastAsia="仿宋_GB2312" w:cs="Times New Roman"/>
          <w:sz w:val="32"/>
          <w:szCs w:val="32"/>
        </w:rPr>
        <w:t>20</w:t>
      </w:r>
      <w:r>
        <w:rPr>
          <w:rFonts w:hint="eastAsia" w:ascii="Times New Roman" w:hAnsi="Times New Roman" w:eastAsia="仿宋_GB2312" w:cs="Times New Roman"/>
          <w:sz w:val="32"/>
          <w:szCs w:val="32"/>
        </w:rPr>
        <w:t>22</w:t>
      </w:r>
      <w:r>
        <w:rPr>
          <w:rFonts w:ascii="Times New Roman" w:hAnsi="Times New Roman" w:eastAsia="仿宋_GB2312" w:cs="Times New Roman"/>
          <w:sz w:val="32"/>
          <w:szCs w:val="32"/>
        </w:rPr>
        <w:t>年第8号[Z].</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[5]</w:t>
      </w:r>
      <w:r>
        <w:rPr>
          <w:rFonts w:hint="eastAsia" w:ascii="Times New Roman" w:hAnsi="Times New Roman" w:eastAsia="仿宋_GB2312" w:cs="Times New Roman"/>
          <w:sz w:val="32"/>
          <w:szCs w:val="32"/>
        </w:rPr>
        <w:t>国家药品监督管理局:</w:t>
      </w:r>
      <w:r>
        <w:rPr>
          <w:rFonts w:ascii="Times New Roman" w:hAnsi="Times New Roman" w:eastAsia="仿宋_GB2312" w:cs="Times New Roman"/>
          <w:sz w:val="32"/>
          <w:szCs w:val="32"/>
        </w:rPr>
        <w:t>医疗器械注册申报资料要求和批准证明文件格式</w:t>
      </w:r>
      <w:r>
        <w:rPr>
          <w:rFonts w:hint="eastAsia" w:ascii="Times New Roman" w:hAnsi="Times New Roman" w:eastAsia="仿宋_GB2312" w:cs="Times New Roman"/>
          <w:sz w:val="32"/>
          <w:szCs w:val="32"/>
        </w:rPr>
        <w:t>:关于公布医疗器械注册申报资料要求和批准证明文件格式的公告2021年第121号</w:t>
      </w:r>
      <w:r>
        <w:rPr>
          <w:rFonts w:ascii="Times New Roman" w:hAnsi="Times New Roman" w:eastAsia="仿宋_GB2312" w:cs="Times New Roman"/>
          <w:sz w:val="32"/>
          <w:szCs w:val="32"/>
        </w:rPr>
        <w:t>[Z].</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[6]</w:t>
      </w:r>
      <w:r>
        <w:rPr>
          <w:rFonts w:hint="eastAsia" w:ascii="Times New Roman" w:hAnsi="Times New Roman" w:eastAsia="仿宋_GB2312" w:cs="Times New Roman"/>
          <w:sz w:val="32"/>
          <w:szCs w:val="32"/>
        </w:rPr>
        <w:t>国家药品监督管理局.</w:t>
      </w:r>
      <w:r>
        <w:rPr>
          <w:rFonts w:ascii="Times New Roman" w:hAnsi="Times New Roman" w:eastAsia="仿宋_GB2312" w:cs="Times New Roman"/>
          <w:sz w:val="32"/>
          <w:szCs w:val="32"/>
        </w:rPr>
        <w:t>医疗器械临床评价技术指导原则</w:t>
      </w:r>
      <w:r>
        <w:rPr>
          <w:rFonts w:hint="eastAsia" w:ascii="Times New Roman" w:hAnsi="Times New Roman" w:eastAsia="仿宋_GB2312" w:cs="Times New Roman"/>
          <w:sz w:val="32"/>
          <w:szCs w:val="32"/>
        </w:rPr>
        <w:t>:国家药监局关于发布医疗器械临床评价技术指导原则等5项技术指导原则的通告2021年第73号</w:t>
      </w:r>
      <w:r>
        <w:rPr>
          <w:rFonts w:ascii="Times New Roman" w:hAnsi="Times New Roman" w:eastAsia="仿宋_GB2312" w:cs="Times New Roman"/>
          <w:sz w:val="32"/>
          <w:szCs w:val="32"/>
        </w:rPr>
        <w:t>[Z].</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[7]</w:t>
      </w:r>
      <w:r>
        <w:rPr>
          <w:rFonts w:ascii="Times New Roman" w:hAnsi="Times New Roman" w:cs="Times New Roman"/>
        </w:rPr>
        <w:t xml:space="preserve"> </w:t>
      </w:r>
      <w:r>
        <w:rPr>
          <w:rFonts w:ascii="Times New Roman" w:hAnsi="Times New Roman" w:eastAsia="仿宋_GB2312" w:cs="Times New Roman"/>
          <w:sz w:val="32"/>
          <w:szCs w:val="32"/>
        </w:rPr>
        <w:t xml:space="preserve">GB/T 14233.1,医用输液、输血、注射器具检验方法 第1部分：化学分析方法[S]. </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[8]</w:t>
      </w:r>
      <w:r>
        <w:rPr>
          <w:rFonts w:ascii="Times New Roman" w:hAnsi="Times New Roman" w:cs="Times New Roman"/>
        </w:rPr>
        <w:t xml:space="preserve"> </w:t>
      </w:r>
      <w:r>
        <w:rPr>
          <w:rFonts w:ascii="Times New Roman" w:hAnsi="Times New Roman" w:eastAsia="仿宋_GB2312" w:cs="Times New Roman"/>
          <w:sz w:val="32"/>
          <w:szCs w:val="32"/>
        </w:rPr>
        <w:t xml:space="preserve">GB/T 14233.2,医用输液、输血、注射器具检验方法 第2部分：生物学试验方法[S]. </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[9]</w:t>
      </w:r>
      <w:r>
        <w:rPr>
          <w:rFonts w:ascii="Times New Roman" w:hAnsi="Times New Roman" w:cs="Times New Roman"/>
        </w:rPr>
        <w:t xml:space="preserve"> </w:t>
      </w:r>
      <w:r>
        <w:rPr>
          <w:rFonts w:ascii="Times New Roman" w:hAnsi="Times New Roman" w:eastAsia="仿宋_GB2312" w:cs="Times New Roman"/>
          <w:sz w:val="32"/>
          <w:szCs w:val="32"/>
        </w:rPr>
        <w:t>GB/T 16886.1,医疗器械生物学评价  第1部分：风险管理过程中的评价与试验[S].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[10]</w:t>
      </w:r>
      <w:r>
        <w:rPr>
          <w:rFonts w:ascii="Times New Roman" w:hAnsi="Times New Roman" w:cs="Times New Roman"/>
        </w:rPr>
        <w:t xml:space="preserve"> </w:t>
      </w:r>
      <w:r>
        <w:rPr>
          <w:rFonts w:ascii="Times New Roman" w:hAnsi="Times New Roman" w:eastAsia="仿宋_GB2312" w:cs="Times New Roman"/>
          <w:sz w:val="32"/>
          <w:szCs w:val="32"/>
        </w:rPr>
        <w:t>GB/T 16886.5,医疗器械生物学评价 第5部分：体外细胞毒性试验[S].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[11]</w:t>
      </w:r>
      <w:r>
        <w:rPr>
          <w:rFonts w:ascii="Times New Roman" w:hAnsi="Times New Roman" w:cs="Times New Roman"/>
        </w:rPr>
        <w:t xml:space="preserve"> </w:t>
      </w:r>
      <w:r>
        <w:rPr>
          <w:rFonts w:ascii="Times New Roman" w:hAnsi="Times New Roman" w:eastAsia="仿宋_GB2312" w:cs="Times New Roman"/>
          <w:sz w:val="32"/>
          <w:szCs w:val="32"/>
        </w:rPr>
        <w:t>GB/T 16886.7,医疗器械生物学评价 第7部分：环氧乙烷灭菌残留量[S].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[12]</w:t>
      </w:r>
      <w:r>
        <w:rPr>
          <w:rFonts w:ascii="Times New Roman" w:hAnsi="Times New Roman" w:cs="Times New Roman"/>
        </w:rPr>
        <w:t xml:space="preserve"> </w:t>
      </w:r>
      <w:r>
        <w:rPr>
          <w:rFonts w:ascii="Times New Roman" w:hAnsi="Times New Roman" w:eastAsia="仿宋_GB2312" w:cs="Times New Roman"/>
          <w:sz w:val="32"/>
          <w:szCs w:val="32"/>
        </w:rPr>
        <w:t>GB/T 19633.1,最终灭菌医疗器械包装 第1部分：材料、无菌屏障系统和包装系统的要求[S].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[13]</w:t>
      </w:r>
      <w:r>
        <w:rPr>
          <w:rFonts w:ascii="Times New Roman" w:hAnsi="Times New Roman" w:cs="Times New Roman"/>
        </w:rPr>
        <w:t xml:space="preserve"> </w:t>
      </w:r>
      <w:r>
        <w:rPr>
          <w:rFonts w:ascii="Times New Roman" w:hAnsi="Times New Roman" w:eastAsia="仿宋_GB2312" w:cs="Times New Roman"/>
          <w:sz w:val="32"/>
          <w:szCs w:val="32"/>
        </w:rPr>
        <w:t>GB/T 19633.2,最终灭菌医疗器械包装第2部分：成形、密封和装配过程确认的要求[S].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[14]</w:t>
      </w:r>
      <w:r>
        <w:rPr>
          <w:rFonts w:ascii="Times New Roman" w:hAnsi="Times New Roman" w:cs="Times New Roman"/>
        </w:rPr>
        <w:t xml:space="preserve"> </w:t>
      </w:r>
      <w:r>
        <w:rPr>
          <w:rFonts w:ascii="Times New Roman" w:hAnsi="Times New Roman" w:eastAsia="仿宋_GB2312" w:cs="Times New Roman"/>
          <w:sz w:val="32"/>
          <w:szCs w:val="32"/>
        </w:rPr>
        <w:t>YY/T 0681.1,无菌医疗器械包装试验方法 第1部分：加速老化试验指南[S].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[15]</w:t>
      </w:r>
      <w:r>
        <w:rPr>
          <w:rFonts w:ascii="Times New Roman" w:hAnsi="Times New Roman" w:cs="Times New Roman"/>
        </w:rPr>
        <w:t xml:space="preserve"> </w:t>
      </w:r>
      <w:r>
        <w:rPr>
          <w:rFonts w:ascii="Times New Roman" w:hAnsi="Times New Roman" w:eastAsia="仿宋_GB2312" w:cs="Times New Roman"/>
          <w:sz w:val="32"/>
          <w:szCs w:val="32"/>
        </w:rPr>
        <w:t>GB/T 16886.10,医疗器械生物学评价 第10部分：刺激与皮肤致敏试验[S].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[16]</w:t>
      </w:r>
      <w:r>
        <w:rPr>
          <w:rFonts w:ascii="Times New Roman" w:hAnsi="Times New Roman" w:cs="Times New Roman"/>
        </w:rPr>
        <w:t xml:space="preserve"> </w:t>
      </w:r>
      <w:r>
        <w:rPr>
          <w:rFonts w:ascii="Times New Roman" w:hAnsi="Times New Roman" w:eastAsia="仿宋_GB2312" w:cs="Times New Roman"/>
          <w:sz w:val="32"/>
          <w:szCs w:val="32"/>
        </w:rPr>
        <w:t>YY0336,一次性使用无菌阴道扩张器[S].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[17]</w:t>
      </w:r>
      <w:r>
        <w:rPr>
          <w:rFonts w:ascii="Times New Roman" w:hAnsi="Times New Roman" w:cs="Times New Roman"/>
        </w:rPr>
        <w:t xml:space="preserve"> </w:t>
      </w:r>
      <w:r>
        <w:rPr>
          <w:rFonts w:ascii="Times New Roman" w:hAnsi="Times New Roman" w:eastAsia="仿宋_GB2312" w:cs="Times New Roman"/>
          <w:sz w:val="32"/>
          <w:szCs w:val="32"/>
        </w:rPr>
        <w:t>YY/T 0466.1,医疗器械 用于医疗器械标签、标记和提供信息的符号 第1部分：通用要求[S].</w:t>
      </w:r>
    </w:p>
    <w:p>
      <w:pPr>
        <w:pStyle w:val="31"/>
        <w:overflowPunct w:val="0"/>
        <w:autoSpaceDE w:val="0"/>
        <w:autoSpaceDN w:val="0"/>
        <w:spacing w:after="0" w:line="520" w:lineRule="exact"/>
        <w:ind w:firstLine="64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[18]</w:t>
      </w:r>
      <w:r>
        <w:rPr>
          <w:rFonts w:ascii="Times New Roman" w:hAnsi="Times New Roman" w:cs="Times New Roman"/>
        </w:rPr>
        <w:t xml:space="preserve"> </w:t>
      </w:r>
      <w:r>
        <w:rPr>
          <w:rFonts w:ascii="Times New Roman" w:hAnsi="Times New Roman" w:eastAsia="仿宋_GB2312" w:cs="Times New Roman"/>
          <w:sz w:val="32"/>
          <w:szCs w:val="32"/>
        </w:rPr>
        <w:t>YY/T 0316,医疗器械风险管理对医疗器械的应用[S].</w:t>
      </w:r>
    </w:p>
    <w:bookmarkEnd w:id="0"/>
    <w:bookmarkEnd w:id="4"/>
    <w:bookmarkEnd w:id="5"/>
    <w:p>
      <w:pPr>
        <w:adjustRightInd/>
        <w:snapToGrid/>
        <w:spacing w:after="0" w:line="520" w:lineRule="exact"/>
        <w:jc w:val="both"/>
        <w:rPr>
          <w:rFonts w:ascii="Times New Roman" w:hAnsi="Times New Roman" w:eastAsia="楷体" w:cs="Times New Roman"/>
          <w:color w:val="000000"/>
          <w:sz w:val="32"/>
          <w:szCs w:val="32"/>
        </w:rPr>
      </w:pPr>
    </w:p>
    <w:sectPr>
      <w:footerReference r:id="rId4" w:type="default"/>
      <w:footerReference r:id="rId5" w:type="even"/>
      <w:pgSz w:w="11906" w:h="16838"/>
      <w:pgMar w:top="1440" w:right="1797" w:bottom="1440" w:left="1797" w:header="851" w:footer="124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方正小标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8"/>
        <w:szCs w:val="28"/>
      </w:rPr>
    </w:pPr>
    <w:r>
      <w:rPr>
        <w:sz w:val="28"/>
      </w:rPr>
      <w:pict>
        <v:shape id="_x0000_s2049" o:spid="_x0000_s2049"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rPr>
                    <w:rFonts w:hint="default" w:ascii="Times New Roman" w:hAnsi="Times New Roman" w:cs="Times New Roman"/>
                    <w:sz w:val="28"/>
                    <w:szCs w:val="28"/>
                  </w:rPr>
                  <w:id w:val="2797582"/>
                </w:sdtPr>
                <w:sdtEndPr>
                  <w:rPr>
                    <w:sz w:val="28"/>
                    <w:szCs w:val="28"/>
                  </w:rPr>
                </w:sdtEndPr>
                <w:sdtContent>
                  <w:p>
                    <w:pPr>
                      <w:pStyle w:val="7"/>
                      <w:jc w:val="center"/>
                      <w:rPr>
                        <w:sz w:val="28"/>
                        <w:szCs w:val="28"/>
                      </w:rPr>
                    </w:pPr>
                    <w:r>
                      <w:rPr>
                        <w:rFonts w:hint="default" w:ascii="Times New Roman" w:hAnsi="Times New Roman" w:cs="Times New Roman"/>
                        <w:sz w:val="28"/>
                        <w:szCs w:val="28"/>
                        <w:lang w:eastAsia="zh-CN"/>
                      </w:rPr>
                      <w:t>—</w:t>
                    </w:r>
                    <w:r>
                      <w:rPr>
                        <w:rFonts w:hint="default" w:ascii="Times New Roman" w:hAnsi="Times New Roman" w:cs="Times New Roman"/>
                        <w:sz w:val="28"/>
                        <w:szCs w:val="28"/>
                        <w:lang w:val="en-US" w:eastAsia="zh-CN"/>
                      </w:rPr>
                      <w:t xml:space="preserve"> </w:t>
                    </w:r>
                    <w:r>
                      <w:rPr>
                        <w:sz w:val="28"/>
                        <w:szCs w:val="28"/>
                        <w:lang w:val="zh-CN"/>
                      </w:rPr>
                      <w:fldChar w:fldCharType="begin"/>
                    </w:r>
                    <w:r>
                      <w:rPr>
                        <w:sz w:val="28"/>
                        <w:szCs w:val="28"/>
                        <w:lang w:val="zh-CN"/>
                      </w:rPr>
                      <w:instrText xml:space="preserve"> PAGE   \* MERGEFORMAT </w:instrText>
                    </w:r>
                    <w:r>
                      <w:rPr>
                        <w:sz w:val="28"/>
                        <w:szCs w:val="28"/>
                        <w:lang w:val="zh-CN"/>
                      </w:rPr>
                      <w:fldChar w:fldCharType="separate"/>
                    </w:r>
                    <w:r>
                      <w:rPr>
                        <w:sz w:val="28"/>
                        <w:szCs w:val="28"/>
                        <w:lang w:val="zh-CN"/>
                      </w:rPr>
                      <w:t>-</w:t>
                    </w:r>
                    <w:r>
                      <w:rPr>
                        <w:sz w:val="28"/>
                        <w:szCs w:val="28"/>
                      </w:rPr>
                      <w:t xml:space="preserve"> 12 -</w:t>
                    </w:r>
                    <w:r>
                      <w:rPr>
                        <w:sz w:val="28"/>
                        <w:szCs w:val="28"/>
                      </w:rPr>
                      <w:fldChar w:fldCharType="end"/>
                    </w:r>
                    <w:r>
                      <w:rPr>
                        <w:rFonts w:hint="eastAsia"/>
                        <w:sz w:val="28"/>
                        <w:szCs w:val="28"/>
                        <w:lang w:val="en-US" w:eastAsia="zh-CN"/>
                      </w:rPr>
                      <w:t xml:space="preserve"> </w:t>
                    </w:r>
                    <w:r>
                      <w:rPr>
                        <w:rFonts w:hint="default" w:ascii="Times New Roman" w:hAnsi="Times New Roman" w:cs="Times New Roman"/>
                        <w:sz w:val="28"/>
                        <w:szCs w:val="28"/>
                        <w:lang w:eastAsia="zh-CN"/>
                      </w:rPr>
                      <w:t>—</w:t>
                    </w:r>
                    <w:r>
                      <w:rPr>
                        <w:rFonts w:hint="eastAsia"/>
                        <w:sz w:val="28"/>
                        <w:szCs w:val="28"/>
                        <w:lang w:val="en-US" w:eastAsia="zh-CN"/>
                      </w:rPr>
                      <w:t xml:space="preserve"> </w:t>
                    </w:r>
                  </w:p>
                </w:sdtContent>
              </w:sdt>
              <w:p>
                <w:pPr>
                  <w:rPr>
                    <w:sz w:val="28"/>
                    <w:szCs w:val="28"/>
                  </w:rPr>
                </w:pPr>
              </w:p>
            </w:txbxContent>
          </v:textbox>
        </v:shape>
      </w:pict>
    </w:r>
  </w:p>
  <w:p>
    <w:pPr>
      <w:pStyle w:val="7"/>
      <w:wordWrap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28"/>
      </w:rP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24</w:t>
    </w:r>
    <w:r>
      <w:rPr>
        <w:sz w:val="28"/>
        <w:szCs w:val="28"/>
      </w:rPr>
      <w:fldChar w:fldCharType="end"/>
    </w:r>
    <w:r>
      <w:rPr>
        <w:rFonts w:hint="eastAsia"/>
        <w:sz w:val="28"/>
        <w:szCs w:val="28"/>
      </w:rPr>
      <w:t xml:space="preserve"> —</w:t>
    </w:r>
  </w:p>
  <w:p>
    <w:pPr>
      <w:pStyle w:val="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EA2025"/>
    <w:multiLevelType w:val="multilevel"/>
    <w:tmpl w:val="6CEA2025"/>
    <w:lvl w:ilvl="0" w:tentative="0">
      <w:start w:val="1"/>
      <w:numFmt w:val="none"/>
      <w:suff w:val="nothing"/>
      <w:lvlText w:val="%1"/>
      <w:lvlJc w:val="left"/>
      <w:rPr>
        <w:rFonts w:hint="default" w:ascii="Times New Roman" w:hAnsi="Times New Roman" w:cs="Times New Roman"/>
        <w:b/>
        <w:i w:val="0"/>
        <w:sz w:val="21"/>
      </w:rPr>
    </w:lvl>
    <w:lvl w:ilvl="1" w:tentative="0">
      <w:start w:val="1"/>
      <w:numFmt w:val="decimal"/>
      <w:pStyle w:val="21"/>
      <w:suff w:val="nothing"/>
      <w:lvlText w:val="%1%2　"/>
      <w:lvlJc w:val="left"/>
      <w:rPr>
        <w:rFonts w:hint="eastAsia" w:ascii="黑体" w:hAnsi="Times New Roman" w:eastAsia="黑体" w:cs="Times New Roman"/>
        <w:b w:val="0"/>
        <w:i w:val="0"/>
        <w:sz w:val="21"/>
      </w:rPr>
    </w:lvl>
    <w:lvl w:ilvl="2" w:tentative="0">
      <w:start w:val="1"/>
      <w:numFmt w:val="decimal"/>
      <w:pStyle w:val="20"/>
      <w:suff w:val="nothing"/>
      <w:lvlText w:val="%1%2.%3　"/>
      <w:lvlJc w:val="left"/>
      <w:pPr>
        <w:ind w:left="284"/>
      </w:pPr>
      <w:rPr>
        <w:rFonts w:hint="eastAsia" w:ascii="宋体" w:hAnsi="宋体" w:eastAsia="宋体" w:cs="Times New Roman"/>
        <w:b w:val="0"/>
        <w:i w:val="0"/>
        <w:sz w:val="24"/>
        <w:szCs w:val="24"/>
      </w:rPr>
    </w:lvl>
    <w:lvl w:ilvl="3" w:tentative="0">
      <w:start w:val="1"/>
      <w:numFmt w:val="decimal"/>
      <w:pStyle w:val="19"/>
      <w:suff w:val="nothing"/>
      <w:lvlText w:val="%1%2.%3.%4　"/>
      <w:lvlJc w:val="left"/>
      <w:rPr>
        <w:rFonts w:hint="eastAsia" w:ascii="黑体" w:hAnsi="Times New Roman" w:eastAsia="黑体" w:cs="Times New Roman"/>
        <w:b w:val="0"/>
        <w:i w:val="0"/>
        <w:sz w:val="21"/>
      </w:rPr>
    </w:lvl>
    <w:lvl w:ilvl="4" w:tentative="0">
      <w:start w:val="1"/>
      <w:numFmt w:val="decimal"/>
      <w:suff w:val="nothing"/>
      <w:lvlText w:val="%1%2.%3.%4.%5　"/>
      <w:lvlJc w:val="left"/>
      <w:pPr>
        <w:ind w:left="709"/>
      </w:pPr>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noPunctuationKerning w:val="1"/>
  <w:characterSpacingControl w:val="doNotCompress"/>
  <w:hdrShapeDefaults>
    <o:shapelayout v:ext="edit">
      <o:idmap v:ext="edit" data="2"/>
    </o:shapelayout>
  </w:hdrShapeDefaults>
  <w:footnotePr>
    <w:footnote w:id="0"/>
    <w:footnote w:id="1"/>
  </w:footnotePr>
  <w:compat>
    <w:ulTrailSpace/>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MzIxZjVlMGZhZTM5OTk4NTFlYjlhMzU3NTY5YzkwYWIifQ=="/>
  </w:docVars>
  <w:rsids>
    <w:rsidRoot w:val="00D31D50"/>
    <w:rsid w:val="00001188"/>
    <w:rsid w:val="00004A55"/>
    <w:rsid w:val="0001125D"/>
    <w:rsid w:val="00015E5E"/>
    <w:rsid w:val="00016BF2"/>
    <w:rsid w:val="00030F0F"/>
    <w:rsid w:val="00034C99"/>
    <w:rsid w:val="00044C47"/>
    <w:rsid w:val="00045DBB"/>
    <w:rsid w:val="00050D7E"/>
    <w:rsid w:val="00050E7A"/>
    <w:rsid w:val="0005472A"/>
    <w:rsid w:val="00056A5E"/>
    <w:rsid w:val="0005761A"/>
    <w:rsid w:val="00061BB3"/>
    <w:rsid w:val="0006255D"/>
    <w:rsid w:val="00063EF2"/>
    <w:rsid w:val="000669C4"/>
    <w:rsid w:val="00066BEC"/>
    <w:rsid w:val="000679B1"/>
    <w:rsid w:val="00075187"/>
    <w:rsid w:val="0007659D"/>
    <w:rsid w:val="00082E37"/>
    <w:rsid w:val="0008594F"/>
    <w:rsid w:val="00090B60"/>
    <w:rsid w:val="00092C54"/>
    <w:rsid w:val="000A5683"/>
    <w:rsid w:val="000A632B"/>
    <w:rsid w:val="000A6BF0"/>
    <w:rsid w:val="000B0B33"/>
    <w:rsid w:val="000B1324"/>
    <w:rsid w:val="000B7A01"/>
    <w:rsid w:val="000B7FD4"/>
    <w:rsid w:val="000C03B9"/>
    <w:rsid w:val="000C0D00"/>
    <w:rsid w:val="000C205B"/>
    <w:rsid w:val="000C4875"/>
    <w:rsid w:val="000C54B3"/>
    <w:rsid w:val="000C63F5"/>
    <w:rsid w:val="000D2D4E"/>
    <w:rsid w:val="000E1012"/>
    <w:rsid w:val="000E6F24"/>
    <w:rsid w:val="0010347A"/>
    <w:rsid w:val="00106BD4"/>
    <w:rsid w:val="0011102A"/>
    <w:rsid w:val="00112497"/>
    <w:rsid w:val="00114467"/>
    <w:rsid w:val="00116719"/>
    <w:rsid w:val="00117435"/>
    <w:rsid w:val="00117E25"/>
    <w:rsid w:val="00123A7F"/>
    <w:rsid w:val="001271B8"/>
    <w:rsid w:val="00134B38"/>
    <w:rsid w:val="0013671E"/>
    <w:rsid w:val="001368C5"/>
    <w:rsid w:val="00141E1E"/>
    <w:rsid w:val="00142550"/>
    <w:rsid w:val="00146150"/>
    <w:rsid w:val="00147409"/>
    <w:rsid w:val="001474C8"/>
    <w:rsid w:val="00155692"/>
    <w:rsid w:val="00156E71"/>
    <w:rsid w:val="00160E64"/>
    <w:rsid w:val="001611E7"/>
    <w:rsid w:val="00161E9F"/>
    <w:rsid w:val="001653A8"/>
    <w:rsid w:val="00165A68"/>
    <w:rsid w:val="0017768D"/>
    <w:rsid w:val="00177A27"/>
    <w:rsid w:val="00182BAC"/>
    <w:rsid w:val="00187F75"/>
    <w:rsid w:val="001945AB"/>
    <w:rsid w:val="001A2B02"/>
    <w:rsid w:val="001A6F73"/>
    <w:rsid w:val="001B60A2"/>
    <w:rsid w:val="001D0D0B"/>
    <w:rsid w:val="001D4F1A"/>
    <w:rsid w:val="001E2B21"/>
    <w:rsid w:val="001E2EEC"/>
    <w:rsid w:val="001E3446"/>
    <w:rsid w:val="001E47C6"/>
    <w:rsid w:val="001E6322"/>
    <w:rsid w:val="001E76C0"/>
    <w:rsid w:val="001F2D46"/>
    <w:rsid w:val="001F4333"/>
    <w:rsid w:val="001F5311"/>
    <w:rsid w:val="001F5644"/>
    <w:rsid w:val="001F588F"/>
    <w:rsid w:val="001F5DF8"/>
    <w:rsid w:val="002009D5"/>
    <w:rsid w:val="002016B8"/>
    <w:rsid w:val="00202E0F"/>
    <w:rsid w:val="0020772B"/>
    <w:rsid w:val="00213A54"/>
    <w:rsid w:val="00220C28"/>
    <w:rsid w:val="002220B8"/>
    <w:rsid w:val="00224202"/>
    <w:rsid w:val="002309C5"/>
    <w:rsid w:val="00234D58"/>
    <w:rsid w:val="002413D1"/>
    <w:rsid w:val="00241667"/>
    <w:rsid w:val="00241C2A"/>
    <w:rsid w:val="002462E9"/>
    <w:rsid w:val="0025188B"/>
    <w:rsid w:val="00255E83"/>
    <w:rsid w:val="002604B5"/>
    <w:rsid w:val="002631F2"/>
    <w:rsid w:val="00267E81"/>
    <w:rsid w:val="00270D6D"/>
    <w:rsid w:val="00271E92"/>
    <w:rsid w:val="00272CA3"/>
    <w:rsid w:val="00273D0D"/>
    <w:rsid w:val="002746B2"/>
    <w:rsid w:val="00276B9A"/>
    <w:rsid w:val="00281F76"/>
    <w:rsid w:val="00284D37"/>
    <w:rsid w:val="00287BA7"/>
    <w:rsid w:val="002949F1"/>
    <w:rsid w:val="00295984"/>
    <w:rsid w:val="002B32F8"/>
    <w:rsid w:val="002B45B1"/>
    <w:rsid w:val="002B746B"/>
    <w:rsid w:val="002C6B23"/>
    <w:rsid w:val="002D07AB"/>
    <w:rsid w:val="002D08C3"/>
    <w:rsid w:val="002D0B49"/>
    <w:rsid w:val="002D4697"/>
    <w:rsid w:val="002D59CA"/>
    <w:rsid w:val="002D7FB8"/>
    <w:rsid w:val="002F1FCD"/>
    <w:rsid w:val="002F51E1"/>
    <w:rsid w:val="002F567B"/>
    <w:rsid w:val="00311B9A"/>
    <w:rsid w:val="003128B8"/>
    <w:rsid w:val="0031458B"/>
    <w:rsid w:val="00315D7A"/>
    <w:rsid w:val="00320CD3"/>
    <w:rsid w:val="00322BFE"/>
    <w:rsid w:val="00323572"/>
    <w:rsid w:val="00323B43"/>
    <w:rsid w:val="003261F0"/>
    <w:rsid w:val="00334E38"/>
    <w:rsid w:val="0033747B"/>
    <w:rsid w:val="003418C9"/>
    <w:rsid w:val="00354EBE"/>
    <w:rsid w:val="00361C0F"/>
    <w:rsid w:val="00365A8D"/>
    <w:rsid w:val="00365F74"/>
    <w:rsid w:val="003673C0"/>
    <w:rsid w:val="00374EB1"/>
    <w:rsid w:val="00377E3F"/>
    <w:rsid w:val="00381E49"/>
    <w:rsid w:val="0038298D"/>
    <w:rsid w:val="00386381"/>
    <w:rsid w:val="00393F43"/>
    <w:rsid w:val="003978CE"/>
    <w:rsid w:val="003A58E8"/>
    <w:rsid w:val="003A7A9E"/>
    <w:rsid w:val="003B3BBF"/>
    <w:rsid w:val="003B72A8"/>
    <w:rsid w:val="003C161C"/>
    <w:rsid w:val="003C5445"/>
    <w:rsid w:val="003D1371"/>
    <w:rsid w:val="003D2AD8"/>
    <w:rsid w:val="003D37D8"/>
    <w:rsid w:val="003E0726"/>
    <w:rsid w:val="003E1D8F"/>
    <w:rsid w:val="003E2072"/>
    <w:rsid w:val="003E2356"/>
    <w:rsid w:val="003E3FB0"/>
    <w:rsid w:val="003F3039"/>
    <w:rsid w:val="003F3B05"/>
    <w:rsid w:val="004028BD"/>
    <w:rsid w:val="00403660"/>
    <w:rsid w:val="004044FF"/>
    <w:rsid w:val="004069A0"/>
    <w:rsid w:val="00406ABE"/>
    <w:rsid w:val="00426133"/>
    <w:rsid w:val="00430146"/>
    <w:rsid w:val="00431204"/>
    <w:rsid w:val="004318D1"/>
    <w:rsid w:val="004358AB"/>
    <w:rsid w:val="00435B7B"/>
    <w:rsid w:val="00437963"/>
    <w:rsid w:val="00443AC9"/>
    <w:rsid w:val="00445863"/>
    <w:rsid w:val="00451AEC"/>
    <w:rsid w:val="004538A5"/>
    <w:rsid w:val="00453AB5"/>
    <w:rsid w:val="00457925"/>
    <w:rsid w:val="004616A5"/>
    <w:rsid w:val="00464EE0"/>
    <w:rsid w:val="004660E3"/>
    <w:rsid w:val="00472547"/>
    <w:rsid w:val="004728FC"/>
    <w:rsid w:val="00474311"/>
    <w:rsid w:val="00476C4E"/>
    <w:rsid w:val="004774D0"/>
    <w:rsid w:val="00477D13"/>
    <w:rsid w:val="00477EFC"/>
    <w:rsid w:val="0048031A"/>
    <w:rsid w:val="00480756"/>
    <w:rsid w:val="00482CB3"/>
    <w:rsid w:val="0048452B"/>
    <w:rsid w:val="0049129B"/>
    <w:rsid w:val="00491F05"/>
    <w:rsid w:val="004930EC"/>
    <w:rsid w:val="004B77D5"/>
    <w:rsid w:val="004B7867"/>
    <w:rsid w:val="004C09E1"/>
    <w:rsid w:val="004C4C67"/>
    <w:rsid w:val="004C6D40"/>
    <w:rsid w:val="004C7DF8"/>
    <w:rsid w:val="004D193E"/>
    <w:rsid w:val="004D41EB"/>
    <w:rsid w:val="004D7AC9"/>
    <w:rsid w:val="004E521A"/>
    <w:rsid w:val="004E63FF"/>
    <w:rsid w:val="004E6588"/>
    <w:rsid w:val="004F4264"/>
    <w:rsid w:val="005000AF"/>
    <w:rsid w:val="00500470"/>
    <w:rsid w:val="00501EB9"/>
    <w:rsid w:val="0050256D"/>
    <w:rsid w:val="00505AC7"/>
    <w:rsid w:val="005101A5"/>
    <w:rsid w:val="00510726"/>
    <w:rsid w:val="00512444"/>
    <w:rsid w:val="005131FD"/>
    <w:rsid w:val="00513700"/>
    <w:rsid w:val="005145FA"/>
    <w:rsid w:val="0052125C"/>
    <w:rsid w:val="00527826"/>
    <w:rsid w:val="0052791F"/>
    <w:rsid w:val="005318DC"/>
    <w:rsid w:val="00531F41"/>
    <w:rsid w:val="00535A0A"/>
    <w:rsid w:val="0053635F"/>
    <w:rsid w:val="005371C2"/>
    <w:rsid w:val="00540A05"/>
    <w:rsid w:val="00543E93"/>
    <w:rsid w:val="005456D0"/>
    <w:rsid w:val="00550FBF"/>
    <w:rsid w:val="0055404F"/>
    <w:rsid w:val="005557DA"/>
    <w:rsid w:val="005571D3"/>
    <w:rsid w:val="00557B6F"/>
    <w:rsid w:val="005602B2"/>
    <w:rsid w:val="00562C63"/>
    <w:rsid w:val="0056700D"/>
    <w:rsid w:val="005727F6"/>
    <w:rsid w:val="00572B8A"/>
    <w:rsid w:val="00576A4A"/>
    <w:rsid w:val="005879C3"/>
    <w:rsid w:val="0059370B"/>
    <w:rsid w:val="00593DE6"/>
    <w:rsid w:val="005A3C4E"/>
    <w:rsid w:val="005A7BE0"/>
    <w:rsid w:val="005C0339"/>
    <w:rsid w:val="005C2039"/>
    <w:rsid w:val="005C2799"/>
    <w:rsid w:val="005C53F0"/>
    <w:rsid w:val="005C56DD"/>
    <w:rsid w:val="005D14A9"/>
    <w:rsid w:val="005D7376"/>
    <w:rsid w:val="005D74DE"/>
    <w:rsid w:val="005E707D"/>
    <w:rsid w:val="005F0C30"/>
    <w:rsid w:val="00601FC0"/>
    <w:rsid w:val="00603517"/>
    <w:rsid w:val="006120C8"/>
    <w:rsid w:val="00612C5B"/>
    <w:rsid w:val="00614EF4"/>
    <w:rsid w:val="0061737F"/>
    <w:rsid w:val="00617437"/>
    <w:rsid w:val="006209C8"/>
    <w:rsid w:val="0062731F"/>
    <w:rsid w:val="00627D78"/>
    <w:rsid w:val="00631695"/>
    <w:rsid w:val="0063184D"/>
    <w:rsid w:val="00632B76"/>
    <w:rsid w:val="00632E6D"/>
    <w:rsid w:val="00635CFC"/>
    <w:rsid w:val="00646DF9"/>
    <w:rsid w:val="00651E2E"/>
    <w:rsid w:val="0065238F"/>
    <w:rsid w:val="00653D32"/>
    <w:rsid w:val="006556CD"/>
    <w:rsid w:val="0066393F"/>
    <w:rsid w:val="00673E49"/>
    <w:rsid w:val="00674EB8"/>
    <w:rsid w:val="00676D15"/>
    <w:rsid w:val="00677BB2"/>
    <w:rsid w:val="006802DE"/>
    <w:rsid w:val="00680784"/>
    <w:rsid w:val="00683AB2"/>
    <w:rsid w:val="00687CEC"/>
    <w:rsid w:val="00690A0D"/>
    <w:rsid w:val="00691F4F"/>
    <w:rsid w:val="006A15CD"/>
    <w:rsid w:val="006A374F"/>
    <w:rsid w:val="006A4BDF"/>
    <w:rsid w:val="006A5A02"/>
    <w:rsid w:val="006B0344"/>
    <w:rsid w:val="006B25C0"/>
    <w:rsid w:val="006B6371"/>
    <w:rsid w:val="006D5042"/>
    <w:rsid w:val="006E2DDF"/>
    <w:rsid w:val="006E6F75"/>
    <w:rsid w:val="006F3A6B"/>
    <w:rsid w:val="006F5C26"/>
    <w:rsid w:val="00703568"/>
    <w:rsid w:val="00704F42"/>
    <w:rsid w:val="00707B48"/>
    <w:rsid w:val="00711781"/>
    <w:rsid w:val="00715826"/>
    <w:rsid w:val="00715AF1"/>
    <w:rsid w:val="007171C4"/>
    <w:rsid w:val="007214CC"/>
    <w:rsid w:val="00722899"/>
    <w:rsid w:val="00733409"/>
    <w:rsid w:val="007419BE"/>
    <w:rsid w:val="00751ED5"/>
    <w:rsid w:val="00753CC6"/>
    <w:rsid w:val="007545E2"/>
    <w:rsid w:val="00761ACD"/>
    <w:rsid w:val="00762249"/>
    <w:rsid w:val="00763FC7"/>
    <w:rsid w:val="00766F66"/>
    <w:rsid w:val="00767387"/>
    <w:rsid w:val="00767DD1"/>
    <w:rsid w:val="00771FE0"/>
    <w:rsid w:val="007736D6"/>
    <w:rsid w:val="00774795"/>
    <w:rsid w:val="007755A2"/>
    <w:rsid w:val="00777081"/>
    <w:rsid w:val="00783A53"/>
    <w:rsid w:val="00783D9C"/>
    <w:rsid w:val="00793855"/>
    <w:rsid w:val="0079625C"/>
    <w:rsid w:val="007968A7"/>
    <w:rsid w:val="007A2675"/>
    <w:rsid w:val="007A3D05"/>
    <w:rsid w:val="007A43D8"/>
    <w:rsid w:val="007B290F"/>
    <w:rsid w:val="007B3A52"/>
    <w:rsid w:val="007B650B"/>
    <w:rsid w:val="007B7975"/>
    <w:rsid w:val="007C0605"/>
    <w:rsid w:val="007C24B3"/>
    <w:rsid w:val="007C4CF7"/>
    <w:rsid w:val="007D13C7"/>
    <w:rsid w:val="007D6081"/>
    <w:rsid w:val="007E2403"/>
    <w:rsid w:val="007E57C3"/>
    <w:rsid w:val="007E5E8E"/>
    <w:rsid w:val="007F1A0D"/>
    <w:rsid w:val="007F2585"/>
    <w:rsid w:val="007F5271"/>
    <w:rsid w:val="00804C3F"/>
    <w:rsid w:val="00806BE2"/>
    <w:rsid w:val="0081480C"/>
    <w:rsid w:val="0081641C"/>
    <w:rsid w:val="00817E6B"/>
    <w:rsid w:val="008234D4"/>
    <w:rsid w:val="00825B2A"/>
    <w:rsid w:val="00825F10"/>
    <w:rsid w:val="00830E7F"/>
    <w:rsid w:val="0083221A"/>
    <w:rsid w:val="008340CB"/>
    <w:rsid w:val="008351DC"/>
    <w:rsid w:val="0084304A"/>
    <w:rsid w:val="00846B2E"/>
    <w:rsid w:val="00847201"/>
    <w:rsid w:val="00851CA7"/>
    <w:rsid w:val="00852CBD"/>
    <w:rsid w:val="00855503"/>
    <w:rsid w:val="008625C6"/>
    <w:rsid w:val="00866E3D"/>
    <w:rsid w:val="00867833"/>
    <w:rsid w:val="00875662"/>
    <w:rsid w:val="00884004"/>
    <w:rsid w:val="00896B80"/>
    <w:rsid w:val="008A57B1"/>
    <w:rsid w:val="008B2475"/>
    <w:rsid w:val="008B372F"/>
    <w:rsid w:val="008B4A6D"/>
    <w:rsid w:val="008B66D7"/>
    <w:rsid w:val="008B7726"/>
    <w:rsid w:val="008C01EB"/>
    <w:rsid w:val="008C02EB"/>
    <w:rsid w:val="008C6E3B"/>
    <w:rsid w:val="008D391D"/>
    <w:rsid w:val="008E264F"/>
    <w:rsid w:val="008E54C3"/>
    <w:rsid w:val="008E6676"/>
    <w:rsid w:val="008F4F73"/>
    <w:rsid w:val="008F6A88"/>
    <w:rsid w:val="009037B3"/>
    <w:rsid w:val="00907121"/>
    <w:rsid w:val="009071EE"/>
    <w:rsid w:val="0091080A"/>
    <w:rsid w:val="00910D3C"/>
    <w:rsid w:val="0091476A"/>
    <w:rsid w:val="0091755D"/>
    <w:rsid w:val="00922532"/>
    <w:rsid w:val="00925362"/>
    <w:rsid w:val="009274D7"/>
    <w:rsid w:val="00930671"/>
    <w:rsid w:val="00930765"/>
    <w:rsid w:val="00932C0E"/>
    <w:rsid w:val="0093355B"/>
    <w:rsid w:val="0093420D"/>
    <w:rsid w:val="00940275"/>
    <w:rsid w:val="0094411D"/>
    <w:rsid w:val="00945C71"/>
    <w:rsid w:val="00946188"/>
    <w:rsid w:val="00947F36"/>
    <w:rsid w:val="0095184E"/>
    <w:rsid w:val="00955516"/>
    <w:rsid w:val="00957112"/>
    <w:rsid w:val="00962E7E"/>
    <w:rsid w:val="009630F6"/>
    <w:rsid w:val="009641EC"/>
    <w:rsid w:val="009655D9"/>
    <w:rsid w:val="00974A33"/>
    <w:rsid w:val="00974B09"/>
    <w:rsid w:val="0098575E"/>
    <w:rsid w:val="00985CCE"/>
    <w:rsid w:val="00991AAA"/>
    <w:rsid w:val="0099288B"/>
    <w:rsid w:val="009A1068"/>
    <w:rsid w:val="009A40C3"/>
    <w:rsid w:val="009A6E25"/>
    <w:rsid w:val="009B7121"/>
    <w:rsid w:val="009B7644"/>
    <w:rsid w:val="009C3478"/>
    <w:rsid w:val="009C3F80"/>
    <w:rsid w:val="009C4E2F"/>
    <w:rsid w:val="009C6A30"/>
    <w:rsid w:val="009D2E31"/>
    <w:rsid w:val="009D540A"/>
    <w:rsid w:val="009D59A7"/>
    <w:rsid w:val="009E1381"/>
    <w:rsid w:val="009E2206"/>
    <w:rsid w:val="009E694B"/>
    <w:rsid w:val="009F214A"/>
    <w:rsid w:val="009F291A"/>
    <w:rsid w:val="009F6DB7"/>
    <w:rsid w:val="00A02112"/>
    <w:rsid w:val="00A032E6"/>
    <w:rsid w:val="00A045F5"/>
    <w:rsid w:val="00A07212"/>
    <w:rsid w:val="00A12C41"/>
    <w:rsid w:val="00A13E5D"/>
    <w:rsid w:val="00A151BE"/>
    <w:rsid w:val="00A16A9B"/>
    <w:rsid w:val="00A1731F"/>
    <w:rsid w:val="00A232A9"/>
    <w:rsid w:val="00A26033"/>
    <w:rsid w:val="00A267AF"/>
    <w:rsid w:val="00A30372"/>
    <w:rsid w:val="00A33EB2"/>
    <w:rsid w:val="00A35297"/>
    <w:rsid w:val="00A36233"/>
    <w:rsid w:val="00A3725E"/>
    <w:rsid w:val="00A4010D"/>
    <w:rsid w:val="00A40B87"/>
    <w:rsid w:val="00A42367"/>
    <w:rsid w:val="00A4496A"/>
    <w:rsid w:val="00A44D9B"/>
    <w:rsid w:val="00A520D7"/>
    <w:rsid w:val="00A5212B"/>
    <w:rsid w:val="00A54BBD"/>
    <w:rsid w:val="00A60708"/>
    <w:rsid w:val="00A61651"/>
    <w:rsid w:val="00A67108"/>
    <w:rsid w:val="00A67997"/>
    <w:rsid w:val="00A70C36"/>
    <w:rsid w:val="00A71CC4"/>
    <w:rsid w:val="00A7282B"/>
    <w:rsid w:val="00A73122"/>
    <w:rsid w:val="00A733D9"/>
    <w:rsid w:val="00A745F8"/>
    <w:rsid w:val="00A82CA6"/>
    <w:rsid w:val="00A86356"/>
    <w:rsid w:val="00A87147"/>
    <w:rsid w:val="00A87530"/>
    <w:rsid w:val="00A97163"/>
    <w:rsid w:val="00A978C4"/>
    <w:rsid w:val="00AA3DC7"/>
    <w:rsid w:val="00AA6790"/>
    <w:rsid w:val="00AB03DE"/>
    <w:rsid w:val="00AB15CB"/>
    <w:rsid w:val="00AB68EF"/>
    <w:rsid w:val="00AC092D"/>
    <w:rsid w:val="00AC1B82"/>
    <w:rsid w:val="00AD070B"/>
    <w:rsid w:val="00AD0F39"/>
    <w:rsid w:val="00AD43F0"/>
    <w:rsid w:val="00AD4B34"/>
    <w:rsid w:val="00AD7845"/>
    <w:rsid w:val="00AF17B6"/>
    <w:rsid w:val="00B01AEB"/>
    <w:rsid w:val="00B04212"/>
    <w:rsid w:val="00B060BE"/>
    <w:rsid w:val="00B13B4E"/>
    <w:rsid w:val="00B15860"/>
    <w:rsid w:val="00B22821"/>
    <w:rsid w:val="00B22B34"/>
    <w:rsid w:val="00B25390"/>
    <w:rsid w:val="00B25693"/>
    <w:rsid w:val="00B3210D"/>
    <w:rsid w:val="00B35513"/>
    <w:rsid w:val="00B35530"/>
    <w:rsid w:val="00B37DE6"/>
    <w:rsid w:val="00B41229"/>
    <w:rsid w:val="00B41F6E"/>
    <w:rsid w:val="00B44252"/>
    <w:rsid w:val="00B454AE"/>
    <w:rsid w:val="00B47925"/>
    <w:rsid w:val="00B57E64"/>
    <w:rsid w:val="00B60107"/>
    <w:rsid w:val="00B66148"/>
    <w:rsid w:val="00B76845"/>
    <w:rsid w:val="00B77BE5"/>
    <w:rsid w:val="00B82B46"/>
    <w:rsid w:val="00B85541"/>
    <w:rsid w:val="00B908E9"/>
    <w:rsid w:val="00B9453E"/>
    <w:rsid w:val="00B94C51"/>
    <w:rsid w:val="00BA2B5F"/>
    <w:rsid w:val="00BA3F33"/>
    <w:rsid w:val="00BA552F"/>
    <w:rsid w:val="00BB3749"/>
    <w:rsid w:val="00BB3EA6"/>
    <w:rsid w:val="00BB7124"/>
    <w:rsid w:val="00BC014E"/>
    <w:rsid w:val="00BC0ABD"/>
    <w:rsid w:val="00BC1EF6"/>
    <w:rsid w:val="00BC37C2"/>
    <w:rsid w:val="00BC453B"/>
    <w:rsid w:val="00BC55F8"/>
    <w:rsid w:val="00BC74BB"/>
    <w:rsid w:val="00BD1386"/>
    <w:rsid w:val="00BD2A82"/>
    <w:rsid w:val="00BD5C42"/>
    <w:rsid w:val="00BD6DD9"/>
    <w:rsid w:val="00BD7314"/>
    <w:rsid w:val="00BF0084"/>
    <w:rsid w:val="00BF3173"/>
    <w:rsid w:val="00C029F2"/>
    <w:rsid w:val="00C07588"/>
    <w:rsid w:val="00C1349E"/>
    <w:rsid w:val="00C17721"/>
    <w:rsid w:val="00C23B73"/>
    <w:rsid w:val="00C25430"/>
    <w:rsid w:val="00C303BB"/>
    <w:rsid w:val="00C41874"/>
    <w:rsid w:val="00C448C2"/>
    <w:rsid w:val="00C477BA"/>
    <w:rsid w:val="00C47F5F"/>
    <w:rsid w:val="00C54A8D"/>
    <w:rsid w:val="00C54FF9"/>
    <w:rsid w:val="00C57321"/>
    <w:rsid w:val="00C656F2"/>
    <w:rsid w:val="00C717B4"/>
    <w:rsid w:val="00C84AAA"/>
    <w:rsid w:val="00C87E91"/>
    <w:rsid w:val="00C94C6A"/>
    <w:rsid w:val="00C96DA1"/>
    <w:rsid w:val="00C97DF4"/>
    <w:rsid w:val="00C97E84"/>
    <w:rsid w:val="00CA517C"/>
    <w:rsid w:val="00CA5567"/>
    <w:rsid w:val="00CA6DDC"/>
    <w:rsid w:val="00CB220B"/>
    <w:rsid w:val="00CB3069"/>
    <w:rsid w:val="00CB5C9C"/>
    <w:rsid w:val="00CB6D15"/>
    <w:rsid w:val="00CB7FFD"/>
    <w:rsid w:val="00CC49B5"/>
    <w:rsid w:val="00CC6F42"/>
    <w:rsid w:val="00CC7381"/>
    <w:rsid w:val="00CC74CC"/>
    <w:rsid w:val="00CD04C6"/>
    <w:rsid w:val="00CD56B6"/>
    <w:rsid w:val="00CD7A72"/>
    <w:rsid w:val="00CE1372"/>
    <w:rsid w:val="00CE140A"/>
    <w:rsid w:val="00CE2BC0"/>
    <w:rsid w:val="00CE4866"/>
    <w:rsid w:val="00CF47F4"/>
    <w:rsid w:val="00CF7125"/>
    <w:rsid w:val="00D04E4A"/>
    <w:rsid w:val="00D0622D"/>
    <w:rsid w:val="00D065B0"/>
    <w:rsid w:val="00D07667"/>
    <w:rsid w:val="00D136F8"/>
    <w:rsid w:val="00D16CD6"/>
    <w:rsid w:val="00D170B2"/>
    <w:rsid w:val="00D20CD7"/>
    <w:rsid w:val="00D2712E"/>
    <w:rsid w:val="00D319CC"/>
    <w:rsid w:val="00D31D50"/>
    <w:rsid w:val="00D37917"/>
    <w:rsid w:val="00D37AB7"/>
    <w:rsid w:val="00D403CC"/>
    <w:rsid w:val="00D41628"/>
    <w:rsid w:val="00D42D72"/>
    <w:rsid w:val="00D43678"/>
    <w:rsid w:val="00D47014"/>
    <w:rsid w:val="00D473A7"/>
    <w:rsid w:val="00D51224"/>
    <w:rsid w:val="00D5328E"/>
    <w:rsid w:val="00D56B8B"/>
    <w:rsid w:val="00D63BC8"/>
    <w:rsid w:val="00D65375"/>
    <w:rsid w:val="00D65EED"/>
    <w:rsid w:val="00D66C86"/>
    <w:rsid w:val="00D70619"/>
    <w:rsid w:val="00D70D53"/>
    <w:rsid w:val="00D8056A"/>
    <w:rsid w:val="00D81595"/>
    <w:rsid w:val="00D824FD"/>
    <w:rsid w:val="00D84D2F"/>
    <w:rsid w:val="00D86184"/>
    <w:rsid w:val="00D92D48"/>
    <w:rsid w:val="00D96FCB"/>
    <w:rsid w:val="00DA4B09"/>
    <w:rsid w:val="00DA76D6"/>
    <w:rsid w:val="00DC3D12"/>
    <w:rsid w:val="00DD1A28"/>
    <w:rsid w:val="00DD405E"/>
    <w:rsid w:val="00DD4121"/>
    <w:rsid w:val="00DE0CAE"/>
    <w:rsid w:val="00DE6721"/>
    <w:rsid w:val="00DE6BF0"/>
    <w:rsid w:val="00DF736C"/>
    <w:rsid w:val="00E041B1"/>
    <w:rsid w:val="00E0779C"/>
    <w:rsid w:val="00E113C5"/>
    <w:rsid w:val="00E1233D"/>
    <w:rsid w:val="00E126C5"/>
    <w:rsid w:val="00E2011F"/>
    <w:rsid w:val="00E211BF"/>
    <w:rsid w:val="00E337B3"/>
    <w:rsid w:val="00E3567F"/>
    <w:rsid w:val="00E534F9"/>
    <w:rsid w:val="00E56448"/>
    <w:rsid w:val="00E60ED6"/>
    <w:rsid w:val="00E76D12"/>
    <w:rsid w:val="00E7788A"/>
    <w:rsid w:val="00E84A46"/>
    <w:rsid w:val="00E9400C"/>
    <w:rsid w:val="00EA05C9"/>
    <w:rsid w:val="00EA10CA"/>
    <w:rsid w:val="00EA4D30"/>
    <w:rsid w:val="00EB3933"/>
    <w:rsid w:val="00EB3A92"/>
    <w:rsid w:val="00EB439C"/>
    <w:rsid w:val="00EB53B5"/>
    <w:rsid w:val="00EC06F2"/>
    <w:rsid w:val="00EC1A4D"/>
    <w:rsid w:val="00EC2F3F"/>
    <w:rsid w:val="00ED0BFD"/>
    <w:rsid w:val="00ED2C9E"/>
    <w:rsid w:val="00ED4192"/>
    <w:rsid w:val="00ED5306"/>
    <w:rsid w:val="00ED596C"/>
    <w:rsid w:val="00ED5BB1"/>
    <w:rsid w:val="00ED5E4A"/>
    <w:rsid w:val="00ED7F88"/>
    <w:rsid w:val="00EE0CEE"/>
    <w:rsid w:val="00EE29D9"/>
    <w:rsid w:val="00EE2E2F"/>
    <w:rsid w:val="00EE5372"/>
    <w:rsid w:val="00EE6353"/>
    <w:rsid w:val="00EF1833"/>
    <w:rsid w:val="00EF52B3"/>
    <w:rsid w:val="00F0217F"/>
    <w:rsid w:val="00F02FE8"/>
    <w:rsid w:val="00F0739C"/>
    <w:rsid w:val="00F100F5"/>
    <w:rsid w:val="00F12220"/>
    <w:rsid w:val="00F16D04"/>
    <w:rsid w:val="00F171F7"/>
    <w:rsid w:val="00F17ABC"/>
    <w:rsid w:val="00F2229D"/>
    <w:rsid w:val="00F2331B"/>
    <w:rsid w:val="00F37BEA"/>
    <w:rsid w:val="00F41EF8"/>
    <w:rsid w:val="00F4428D"/>
    <w:rsid w:val="00F45A35"/>
    <w:rsid w:val="00F45B53"/>
    <w:rsid w:val="00F46D9A"/>
    <w:rsid w:val="00F47963"/>
    <w:rsid w:val="00F5210D"/>
    <w:rsid w:val="00F52B74"/>
    <w:rsid w:val="00F5335D"/>
    <w:rsid w:val="00F57C94"/>
    <w:rsid w:val="00F635B9"/>
    <w:rsid w:val="00F64317"/>
    <w:rsid w:val="00F66AB9"/>
    <w:rsid w:val="00F71461"/>
    <w:rsid w:val="00F714D1"/>
    <w:rsid w:val="00F71A0B"/>
    <w:rsid w:val="00F720AB"/>
    <w:rsid w:val="00F74D38"/>
    <w:rsid w:val="00F7501C"/>
    <w:rsid w:val="00F7524B"/>
    <w:rsid w:val="00F8154E"/>
    <w:rsid w:val="00F9000A"/>
    <w:rsid w:val="00F920E9"/>
    <w:rsid w:val="00F932A6"/>
    <w:rsid w:val="00F939BA"/>
    <w:rsid w:val="00FA1127"/>
    <w:rsid w:val="00FB0BF4"/>
    <w:rsid w:val="00FB0F4F"/>
    <w:rsid w:val="00FB44AF"/>
    <w:rsid w:val="00FC16FD"/>
    <w:rsid w:val="00FD52B1"/>
    <w:rsid w:val="00FD6BAC"/>
    <w:rsid w:val="00FE18E4"/>
    <w:rsid w:val="00FE1F90"/>
    <w:rsid w:val="00FE2E5E"/>
    <w:rsid w:val="00FE31A4"/>
    <w:rsid w:val="00FE50A2"/>
    <w:rsid w:val="00FF2851"/>
    <w:rsid w:val="016F297D"/>
    <w:rsid w:val="023B4931"/>
    <w:rsid w:val="04166E5D"/>
    <w:rsid w:val="047440FF"/>
    <w:rsid w:val="047F7936"/>
    <w:rsid w:val="049D615B"/>
    <w:rsid w:val="052E6F18"/>
    <w:rsid w:val="061B1F63"/>
    <w:rsid w:val="070C7F8B"/>
    <w:rsid w:val="07176642"/>
    <w:rsid w:val="07C62499"/>
    <w:rsid w:val="07C73DEA"/>
    <w:rsid w:val="07F82F2C"/>
    <w:rsid w:val="08B746B6"/>
    <w:rsid w:val="098C00DF"/>
    <w:rsid w:val="0ACC0129"/>
    <w:rsid w:val="0ACD256A"/>
    <w:rsid w:val="0CBC12E5"/>
    <w:rsid w:val="0D7068C5"/>
    <w:rsid w:val="0DF6600F"/>
    <w:rsid w:val="0DF90F1E"/>
    <w:rsid w:val="0F3B2246"/>
    <w:rsid w:val="0F605905"/>
    <w:rsid w:val="0F8A404C"/>
    <w:rsid w:val="115C6B14"/>
    <w:rsid w:val="11735D06"/>
    <w:rsid w:val="11B23611"/>
    <w:rsid w:val="120B011C"/>
    <w:rsid w:val="120E4F21"/>
    <w:rsid w:val="12446B2D"/>
    <w:rsid w:val="12565EA0"/>
    <w:rsid w:val="12870FB0"/>
    <w:rsid w:val="12BB0E78"/>
    <w:rsid w:val="148E5E13"/>
    <w:rsid w:val="15CA383B"/>
    <w:rsid w:val="164F247A"/>
    <w:rsid w:val="17864DC5"/>
    <w:rsid w:val="18376DF6"/>
    <w:rsid w:val="18557B43"/>
    <w:rsid w:val="187C2C8B"/>
    <w:rsid w:val="19BF7CB7"/>
    <w:rsid w:val="1AA81A0C"/>
    <w:rsid w:val="1ACE6E72"/>
    <w:rsid w:val="1B0A7A9F"/>
    <w:rsid w:val="1B8F4DF1"/>
    <w:rsid w:val="1C3250D1"/>
    <w:rsid w:val="1C5A7D0E"/>
    <w:rsid w:val="1CE608DC"/>
    <w:rsid w:val="1D682710"/>
    <w:rsid w:val="1D6E7F04"/>
    <w:rsid w:val="1DC43F55"/>
    <w:rsid w:val="1E443B35"/>
    <w:rsid w:val="1FF14B67"/>
    <w:rsid w:val="20C06B4B"/>
    <w:rsid w:val="20F94AC0"/>
    <w:rsid w:val="217C5031"/>
    <w:rsid w:val="22437059"/>
    <w:rsid w:val="228D47E5"/>
    <w:rsid w:val="22995CBF"/>
    <w:rsid w:val="237E5683"/>
    <w:rsid w:val="23BB74A1"/>
    <w:rsid w:val="24041507"/>
    <w:rsid w:val="242168FA"/>
    <w:rsid w:val="25A14748"/>
    <w:rsid w:val="25F61B53"/>
    <w:rsid w:val="285454CA"/>
    <w:rsid w:val="28F97E28"/>
    <w:rsid w:val="291B1D57"/>
    <w:rsid w:val="2A6765AC"/>
    <w:rsid w:val="2AED56A6"/>
    <w:rsid w:val="2CD62829"/>
    <w:rsid w:val="2D710B0B"/>
    <w:rsid w:val="2E7D520C"/>
    <w:rsid w:val="2EC24DF0"/>
    <w:rsid w:val="2F495828"/>
    <w:rsid w:val="2FDE6D68"/>
    <w:rsid w:val="30436A95"/>
    <w:rsid w:val="30812688"/>
    <w:rsid w:val="308B28AD"/>
    <w:rsid w:val="31C83823"/>
    <w:rsid w:val="31D33CC3"/>
    <w:rsid w:val="328754A6"/>
    <w:rsid w:val="32971DFE"/>
    <w:rsid w:val="33D54197"/>
    <w:rsid w:val="34042E94"/>
    <w:rsid w:val="35291CE0"/>
    <w:rsid w:val="353768CD"/>
    <w:rsid w:val="361360DE"/>
    <w:rsid w:val="374952DD"/>
    <w:rsid w:val="37500A70"/>
    <w:rsid w:val="37D601B2"/>
    <w:rsid w:val="380612E5"/>
    <w:rsid w:val="38143815"/>
    <w:rsid w:val="38D8397F"/>
    <w:rsid w:val="38F90AB3"/>
    <w:rsid w:val="393C59BE"/>
    <w:rsid w:val="396610BA"/>
    <w:rsid w:val="39A41A1C"/>
    <w:rsid w:val="39E3403B"/>
    <w:rsid w:val="39F81F8D"/>
    <w:rsid w:val="3A0C7D54"/>
    <w:rsid w:val="3A61498C"/>
    <w:rsid w:val="3A9B6762"/>
    <w:rsid w:val="3AF76FB0"/>
    <w:rsid w:val="3B0163E4"/>
    <w:rsid w:val="3B9630B9"/>
    <w:rsid w:val="3BA63BD7"/>
    <w:rsid w:val="3BC13185"/>
    <w:rsid w:val="3BC166AE"/>
    <w:rsid w:val="3C8C54DD"/>
    <w:rsid w:val="3CE64542"/>
    <w:rsid w:val="3D1270B0"/>
    <w:rsid w:val="3D310E94"/>
    <w:rsid w:val="3DB75074"/>
    <w:rsid w:val="3E607E27"/>
    <w:rsid w:val="3F655038"/>
    <w:rsid w:val="3FCF6BC2"/>
    <w:rsid w:val="3FE20771"/>
    <w:rsid w:val="3FED1139"/>
    <w:rsid w:val="3FEF1F58"/>
    <w:rsid w:val="400727E8"/>
    <w:rsid w:val="40181FE5"/>
    <w:rsid w:val="406947DB"/>
    <w:rsid w:val="407F444B"/>
    <w:rsid w:val="40915062"/>
    <w:rsid w:val="40E9140E"/>
    <w:rsid w:val="41D50572"/>
    <w:rsid w:val="423F536D"/>
    <w:rsid w:val="42F7385B"/>
    <w:rsid w:val="433C3583"/>
    <w:rsid w:val="437F6F1E"/>
    <w:rsid w:val="44DE6998"/>
    <w:rsid w:val="46587F96"/>
    <w:rsid w:val="46984FC3"/>
    <w:rsid w:val="46C36463"/>
    <w:rsid w:val="46D51296"/>
    <w:rsid w:val="46EF45DB"/>
    <w:rsid w:val="47942493"/>
    <w:rsid w:val="479E332C"/>
    <w:rsid w:val="48517ADC"/>
    <w:rsid w:val="48873511"/>
    <w:rsid w:val="48B77E43"/>
    <w:rsid w:val="48FE04D0"/>
    <w:rsid w:val="49142156"/>
    <w:rsid w:val="4926642B"/>
    <w:rsid w:val="49DA7DE2"/>
    <w:rsid w:val="49EB5BA0"/>
    <w:rsid w:val="4A1A06E1"/>
    <w:rsid w:val="4A363A0E"/>
    <w:rsid w:val="4A6F2390"/>
    <w:rsid w:val="4AD66C94"/>
    <w:rsid w:val="4B8D4D67"/>
    <w:rsid w:val="4C084240"/>
    <w:rsid w:val="4D7B740F"/>
    <w:rsid w:val="4EDA667F"/>
    <w:rsid w:val="4F162947"/>
    <w:rsid w:val="4F2E4AE1"/>
    <w:rsid w:val="4F773CFD"/>
    <w:rsid w:val="4FF23D82"/>
    <w:rsid w:val="502F3621"/>
    <w:rsid w:val="50926F22"/>
    <w:rsid w:val="50E3180C"/>
    <w:rsid w:val="524D6D6F"/>
    <w:rsid w:val="525D66D3"/>
    <w:rsid w:val="52662E47"/>
    <w:rsid w:val="52B551CA"/>
    <w:rsid w:val="534F4D05"/>
    <w:rsid w:val="54415A82"/>
    <w:rsid w:val="54703DFA"/>
    <w:rsid w:val="54A65146"/>
    <w:rsid w:val="559872FA"/>
    <w:rsid w:val="55DA222E"/>
    <w:rsid w:val="55E960F0"/>
    <w:rsid w:val="569A4B7A"/>
    <w:rsid w:val="56DD35F6"/>
    <w:rsid w:val="571D03C3"/>
    <w:rsid w:val="574F062B"/>
    <w:rsid w:val="58CA48B6"/>
    <w:rsid w:val="5A0A72B4"/>
    <w:rsid w:val="5A17762E"/>
    <w:rsid w:val="5A4D7F52"/>
    <w:rsid w:val="5AFA1040"/>
    <w:rsid w:val="5C6B6AD8"/>
    <w:rsid w:val="5C8B2F38"/>
    <w:rsid w:val="5C8D0D22"/>
    <w:rsid w:val="5C8D288A"/>
    <w:rsid w:val="5D913551"/>
    <w:rsid w:val="5E897E99"/>
    <w:rsid w:val="5ED07C27"/>
    <w:rsid w:val="5F5C27DA"/>
    <w:rsid w:val="5FEF7313"/>
    <w:rsid w:val="60204D78"/>
    <w:rsid w:val="6048019C"/>
    <w:rsid w:val="608F130E"/>
    <w:rsid w:val="610B2FF2"/>
    <w:rsid w:val="611A1301"/>
    <w:rsid w:val="615A5CA7"/>
    <w:rsid w:val="616745E1"/>
    <w:rsid w:val="61727F5F"/>
    <w:rsid w:val="619D172C"/>
    <w:rsid w:val="61E92F2D"/>
    <w:rsid w:val="637E6B7B"/>
    <w:rsid w:val="63CE2329"/>
    <w:rsid w:val="63FC52EF"/>
    <w:rsid w:val="64500886"/>
    <w:rsid w:val="64582388"/>
    <w:rsid w:val="64954582"/>
    <w:rsid w:val="64F92A9A"/>
    <w:rsid w:val="65A26202"/>
    <w:rsid w:val="66553D5B"/>
    <w:rsid w:val="67D222D3"/>
    <w:rsid w:val="6879760E"/>
    <w:rsid w:val="69AE159B"/>
    <w:rsid w:val="69FA039F"/>
    <w:rsid w:val="6A2330B7"/>
    <w:rsid w:val="6A2D17B5"/>
    <w:rsid w:val="6B58510A"/>
    <w:rsid w:val="6C7A307C"/>
    <w:rsid w:val="6CAC3CFE"/>
    <w:rsid w:val="6D76593F"/>
    <w:rsid w:val="6E136C47"/>
    <w:rsid w:val="701F67ED"/>
    <w:rsid w:val="70591222"/>
    <w:rsid w:val="70C81DA8"/>
    <w:rsid w:val="714C4DEE"/>
    <w:rsid w:val="72BE7DAC"/>
    <w:rsid w:val="73156131"/>
    <w:rsid w:val="73E3430A"/>
    <w:rsid w:val="749431C5"/>
    <w:rsid w:val="74BB636F"/>
    <w:rsid w:val="750B731B"/>
    <w:rsid w:val="754D505E"/>
    <w:rsid w:val="75931687"/>
    <w:rsid w:val="759E39FD"/>
    <w:rsid w:val="75BD426F"/>
    <w:rsid w:val="75D06137"/>
    <w:rsid w:val="75FA1728"/>
    <w:rsid w:val="76E4115B"/>
    <w:rsid w:val="77061B7A"/>
    <w:rsid w:val="77456FEE"/>
    <w:rsid w:val="77C2574D"/>
    <w:rsid w:val="785C04CD"/>
    <w:rsid w:val="78FC0895"/>
    <w:rsid w:val="792E1A74"/>
    <w:rsid w:val="79EF7695"/>
    <w:rsid w:val="7AD904DD"/>
    <w:rsid w:val="7BED1887"/>
    <w:rsid w:val="7C3D5A4B"/>
    <w:rsid w:val="7CB27B52"/>
    <w:rsid w:val="7D27768E"/>
    <w:rsid w:val="7D88547D"/>
    <w:rsid w:val="7D8E450B"/>
    <w:rsid w:val="7DA62A7A"/>
    <w:rsid w:val="7DB81702"/>
    <w:rsid w:val="7DE01CEA"/>
    <w:rsid w:val="7E1222E3"/>
    <w:rsid w:val="7E387899"/>
    <w:rsid w:val="7EAF5818"/>
    <w:rsid w:val="7EF92BF0"/>
    <w:rsid w:val="7EFA15D0"/>
    <w:rsid w:val="7FB56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9"/>
    <w:pPr>
      <w:spacing w:beforeAutospacing="1" w:after="0" w:afterAutospacing="1"/>
      <w:outlineLvl w:val="0"/>
    </w:pPr>
    <w:rPr>
      <w:rFonts w:hint="eastAsia" w:ascii="宋体" w:hAnsi="宋体" w:eastAsia="宋体" w:cs="Times New Roman"/>
      <w:b/>
      <w:kern w:val="44"/>
      <w:sz w:val="48"/>
      <w:szCs w:val="48"/>
    </w:rPr>
  </w:style>
  <w:style w:type="paragraph" w:styleId="3">
    <w:name w:val="heading 2"/>
    <w:basedOn w:val="1"/>
    <w:next w:val="1"/>
    <w:link w:val="3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semiHidden/>
    <w:unhideWhenUsed/>
    <w:qFormat/>
    <w:uiPriority w:val="99"/>
  </w:style>
  <w:style w:type="paragraph" w:styleId="5">
    <w:name w:val="Plain Text"/>
    <w:basedOn w:val="1"/>
    <w:link w:val="33"/>
    <w:unhideWhenUsed/>
    <w:qFormat/>
    <w:uiPriority w:val="99"/>
    <w:pPr>
      <w:widowControl w:val="0"/>
      <w:adjustRightInd/>
      <w:snapToGrid/>
      <w:spacing w:after="0"/>
      <w:jc w:val="both"/>
    </w:pPr>
    <w:rPr>
      <w:rFonts w:ascii="宋体" w:hAnsi="Courier New" w:eastAsia="宋体" w:cs="Courier New"/>
      <w:kern w:val="2"/>
      <w:sz w:val="21"/>
      <w:szCs w:val="21"/>
    </w:rPr>
  </w:style>
  <w:style w:type="paragraph" w:styleId="6">
    <w:name w:val="Balloon Text"/>
    <w:basedOn w:val="1"/>
    <w:link w:val="18"/>
    <w:semiHidden/>
    <w:unhideWhenUsed/>
    <w:qFormat/>
    <w:uiPriority w:val="99"/>
    <w:pPr>
      <w:spacing w:after="0"/>
    </w:pPr>
    <w:rPr>
      <w:sz w:val="18"/>
      <w:szCs w:val="18"/>
    </w:rPr>
  </w:style>
  <w:style w:type="paragraph" w:styleId="7">
    <w:name w:val="footer"/>
    <w:basedOn w:val="1"/>
    <w:link w:val="16"/>
    <w:qFormat/>
    <w:uiPriority w:val="99"/>
    <w:pPr>
      <w:widowControl w:val="0"/>
      <w:tabs>
        <w:tab w:val="center" w:pos="4153"/>
        <w:tab w:val="right" w:pos="8306"/>
      </w:tabs>
      <w:adjustRightInd/>
      <w:spacing w:after="0"/>
    </w:pPr>
    <w:rPr>
      <w:rFonts w:ascii="Times New Roman" w:hAnsi="Times New Roman" w:eastAsia="宋体" w:cs="Times New Roman"/>
      <w:kern w:val="2"/>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unhideWhenUsed/>
    <w:qFormat/>
    <w:uiPriority w:val="39"/>
  </w:style>
  <w:style w:type="paragraph" w:styleId="10">
    <w:name w:val="annotation subject"/>
    <w:basedOn w:val="4"/>
    <w:next w:val="4"/>
    <w:link w:val="25"/>
    <w:semiHidden/>
    <w:unhideWhenUsed/>
    <w:qFormat/>
    <w:uiPriority w:val="99"/>
    <w:rPr>
      <w:b/>
      <w:bCs/>
    </w:rPr>
  </w:style>
  <w:style w:type="table" w:styleId="12">
    <w:name w:val="Table Grid"/>
    <w:basedOn w:val="11"/>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character" w:styleId="15">
    <w:name w:val="annotation reference"/>
    <w:basedOn w:val="13"/>
    <w:semiHidden/>
    <w:unhideWhenUsed/>
    <w:qFormat/>
    <w:uiPriority w:val="99"/>
    <w:rPr>
      <w:sz w:val="21"/>
      <w:szCs w:val="21"/>
    </w:rPr>
  </w:style>
  <w:style w:type="character" w:customStyle="1" w:styleId="16">
    <w:name w:val="页脚 字符"/>
    <w:basedOn w:val="13"/>
    <w:link w:val="7"/>
    <w:qFormat/>
    <w:uiPriority w:val="99"/>
    <w:rPr>
      <w:rFonts w:ascii="Times New Roman" w:hAnsi="Times New Roman" w:eastAsia="宋体" w:cs="Times New Roman"/>
      <w:kern w:val="2"/>
      <w:sz w:val="18"/>
      <w:szCs w:val="18"/>
    </w:rPr>
  </w:style>
  <w:style w:type="character" w:customStyle="1" w:styleId="17">
    <w:name w:val="f101"/>
    <w:qFormat/>
    <w:uiPriority w:val="0"/>
    <w:rPr>
      <w:sz w:val="24"/>
    </w:rPr>
  </w:style>
  <w:style w:type="character" w:customStyle="1" w:styleId="18">
    <w:name w:val="批注框文本 字符"/>
    <w:basedOn w:val="13"/>
    <w:link w:val="6"/>
    <w:semiHidden/>
    <w:qFormat/>
    <w:uiPriority w:val="99"/>
    <w:rPr>
      <w:rFonts w:ascii="Tahoma" w:hAnsi="Tahoma"/>
      <w:sz w:val="18"/>
      <w:szCs w:val="18"/>
    </w:rPr>
  </w:style>
  <w:style w:type="paragraph" w:customStyle="1" w:styleId="19">
    <w:name w:val="二级条标题"/>
    <w:basedOn w:val="20"/>
    <w:next w:val="22"/>
    <w:qFormat/>
    <w:uiPriority w:val="99"/>
    <w:pPr>
      <w:numPr>
        <w:ilvl w:val="3"/>
      </w:numPr>
      <w:ind w:left="0"/>
      <w:outlineLvl w:val="3"/>
    </w:pPr>
  </w:style>
  <w:style w:type="paragraph" w:customStyle="1" w:styleId="20">
    <w:name w:val="一级条标题"/>
    <w:basedOn w:val="21"/>
    <w:next w:val="22"/>
    <w:qFormat/>
    <w:uiPriority w:val="99"/>
    <w:pPr>
      <w:numPr>
        <w:ilvl w:val="2"/>
      </w:numPr>
      <w:spacing w:beforeLines="0" w:afterLines="0"/>
      <w:outlineLvl w:val="2"/>
    </w:pPr>
    <w:rPr>
      <w:sz w:val="20"/>
    </w:rPr>
  </w:style>
  <w:style w:type="paragraph" w:customStyle="1" w:styleId="21">
    <w:name w:val="章标题"/>
    <w:next w:val="22"/>
    <w:qFormat/>
    <w:uiPriority w:val="99"/>
    <w:pPr>
      <w:numPr>
        <w:ilvl w:val="1"/>
        <w:numId w:val="1"/>
      </w:numPr>
      <w:spacing w:beforeLines="50" w:afterLines="50"/>
      <w:jc w:val="both"/>
      <w:outlineLvl w:val="1"/>
    </w:pPr>
    <w:rPr>
      <w:rFonts w:ascii="黑体" w:hAnsi="Times New Roman" w:eastAsia="黑体" w:cs="Times New Roman"/>
      <w:sz w:val="21"/>
      <w:lang w:val="en-US" w:eastAsia="zh-CN" w:bidi="ar-SA"/>
    </w:rPr>
  </w:style>
  <w:style w:type="paragraph" w:customStyle="1" w:styleId="22">
    <w:name w:val="段"/>
    <w:qFormat/>
    <w:uiPriority w:val="99"/>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3">
    <w:name w:val="页眉 字符"/>
    <w:basedOn w:val="13"/>
    <w:link w:val="8"/>
    <w:qFormat/>
    <w:uiPriority w:val="99"/>
    <w:rPr>
      <w:rFonts w:ascii="Tahoma" w:hAnsi="Tahoma" w:eastAsia="微软雅黑" w:cstheme="minorBidi"/>
      <w:sz w:val="18"/>
      <w:szCs w:val="18"/>
    </w:rPr>
  </w:style>
  <w:style w:type="character" w:customStyle="1" w:styleId="24">
    <w:name w:val="批注文字 字符"/>
    <w:basedOn w:val="13"/>
    <w:link w:val="4"/>
    <w:semiHidden/>
    <w:qFormat/>
    <w:uiPriority w:val="99"/>
    <w:rPr>
      <w:rFonts w:ascii="Tahoma" w:hAnsi="Tahoma" w:eastAsia="微软雅黑" w:cstheme="minorBidi"/>
      <w:sz w:val="22"/>
      <w:szCs w:val="22"/>
    </w:rPr>
  </w:style>
  <w:style w:type="character" w:customStyle="1" w:styleId="25">
    <w:name w:val="批注主题 字符"/>
    <w:basedOn w:val="24"/>
    <w:link w:val="10"/>
    <w:semiHidden/>
    <w:qFormat/>
    <w:uiPriority w:val="99"/>
    <w:rPr>
      <w:rFonts w:ascii="Tahoma" w:hAnsi="Tahoma" w:eastAsia="微软雅黑" w:cstheme="minorBidi"/>
      <w:b/>
      <w:bCs/>
      <w:sz w:val="22"/>
      <w:szCs w:val="22"/>
    </w:rPr>
  </w:style>
  <w:style w:type="paragraph" w:customStyle="1" w:styleId="26">
    <w:name w:val="WPSOffice手动目录 1"/>
    <w:qFormat/>
    <w:uiPriority w:val="0"/>
    <w:rPr>
      <w:rFonts w:asciiTheme="minorHAnsi" w:hAnsiTheme="minorHAnsi" w:eastAsiaTheme="minorEastAsia" w:cstheme="minorBidi"/>
      <w:lang w:val="en-US" w:eastAsia="zh-CN" w:bidi="ar-SA"/>
    </w:rPr>
  </w:style>
  <w:style w:type="paragraph" w:customStyle="1" w:styleId="2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8">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29">
    <w:name w:val="TOC 标题1"/>
    <w:basedOn w:val="2"/>
    <w:next w:val="1"/>
    <w:semiHidden/>
    <w:unhideWhenUsed/>
    <w:qFormat/>
    <w:uiPriority w:val="39"/>
    <w:pPr>
      <w:keepNext/>
      <w:keepLines/>
      <w:adjustRightInd/>
      <w:snapToGrid/>
      <w:spacing w:before="480" w:beforeAutospacing="0" w:afterAutospacing="0" w:line="276" w:lineRule="auto"/>
      <w:outlineLvl w:val="9"/>
    </w:pPr>
    <w:rPr>
      <w:rFonts w:hint="default" w:asciiTheme="majorHAnsi" w:hAnsiTheme="majorHAnsi" w:eastAsiaTheme="majorEastAsia" w:cstheme="majorBidi"/>
      <w:bCs/>
      <w:color w:val="366091" w:themeColor="accent1" w:themeShade="BF"/>
      <w:kern w:val="0"/>
      <w:sz w:val="28"/>
      <w:szCs w:val="28"/>
    </w:rPr>
  </w:style>
  <w:style w:type="character" w:customStyle="1" w:styleId="30">
    <w:name w:val="标题 2 字符"/>
    <w:basedOn w:val="13"/>
    <w:link w:val="3"/>
    <w:semiHidden/>
    <w:qFormat/>
    <w:uiPriority w:val="9"/>
    <w:rPr>
      <w:rFonts w:asciiTheme="majorHAnsi" w:hAnsiTheme="majorHAnsi" w:eastAsiaTheme="majorEastAsia" w:cstheme="majorBidi"/>
      <w:b/>
      <w:bCs/>
      <w:sz w:val="32"/>
      <w:szCs w:val="32"/>
    </w:rPr>
  </w:style>
  <w:style w:type="paragraph" w:styleId="31">
    <w:name w:val="List Paragraph"/>
    <w:basedOn w:val="1"/>
    <w:unhideWhenUsed/>
    <w:qFormat/>
    <w:uiPriority w:val="34"/>
    <w:pPr>
      <w:ind w:firstLine="420" w:firstLineChars="200"/>
    </w:pPr>
  </w:style>
  <w:style w:type="paragraph" w:customStyle="1" w:styleId="32">
    <w:name w:val="Table Paragraph"/>
    <w:basedOn w:val="1"/>
    <w:qFormat/>
    <w:uiPriority w:val="1"/>
    <w:pPr>
      <w:widowControl w:val="0"/>
      <w:autoSpaceDE w:val="0"/>
      <w:autoSpaceDN w:val="0"/>
      <w:snapToGrid/>
      <w:spacing w:after="0"/>
    </w:pPr>
    <w:rPr>
      <w:rFonts w:ascii="Times New Roman" w:hAnsi="Times New Roman" w:cs="Times New Roman" w:eastAsiaTheme="minorEastAsia"/>
      <w:sz w:val="24"/>
      <w:szCs w:val="24"/>
    </w:rPr>
  </w:style>
  <w:style w:type="character" w:customStyle="1" w:styleId="33">
    <w:name w:val="纯文本 字符"/>
    <w:basedOn w:val="13"/>
    <w:link w:val="5"/>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9D115-AA0A-4E59-8EC0-B90FBF20C60A}">
  <ds:schemaRefs/>
</ds:datastoreItem>
</file>

<file path=docProps/app.xml><?xml version="1.0" encoding="utf-8"?>
<Properties xmlns="http://schemas.openxmlformats.org/officeDocument/2006/extended-properties" xmlns:vt="http://schemas.openxmlformats.org/officeDocument/2006/docPropsVTypes">
  <Template>Normal</Template>
  <Pages>13</Pages>
  <Words>5551</Words>
  <Characters>5987</Characters>
  <Lines>44</Lines>
  <Paragraphs>12</Paragraphs>
  <TotalTime>1</TotalTime>
  <ScaleCrop>false</ScaleCrop>
  <LinksUpToDate>false</LinksUpToDate>
  <CharactersWithSpaces>6044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zzl</dc:creator>
  <cp:lastModifiedBy>马琼荣</cp:lastModifiedBy>
  <dcterms:modified xsi:type="dcterms:W3CDTF">2022-11-25T03:46:36Z</dcterms:modified>
  <cp:revision>859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F1AD3E34E6764884B135A67D5F80B6F2</vt:lpwstr>
  </property>
</Properties>
</file>