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both"/>
        <w:rPr>
          <w:rFonts w:hint="eastAsia" w:ascii="黑体" w:hAnsi="黑体" w:eastAsia="黑体" w:cs="黑体"/>
          <w:color w:val="000000" w:themeColor="text1"/>
          <w:sz w:val="32"/>
          <w:szCs w:val="32"/>
          <w:lang w:val="en-US" w:eastAsia="zh-CN"/>
        </w:rPr>
      </w:pPr>
      <w:r>
        <w:rPr>
          <w:rFonts w:hint="eastAsia" w:ascii="黑体" w:hAnsi="黑体" w:eastAsia="黑体" w:cs="黑体"/>
          <w:color w:val="000000" w:themeColor="text1"/>
          <w:sz w:val="32"/>
          <w:szCs w:val="32"/>
          <w:lang w:val="en-US" w:eastAsia="zh-CN"/>
        </w:rPr>
        <w:t>附件12</w:t>
      </w:r>
    </w:p>
    <w:p>
      <w:pPr>
        <w:spacing w:line="520" w:lineRule="exact"/>
        <w:jc w:val="both"/>
        <w:rPr>
          <w:rFonts w:hint="eastAsia" w:ascii="黑体" w:hAnsi="黑体" w:eastAsia="黑体" w:cs="黑体"/>
          <w:color w:val="000000" w:themeColor="text1"/>
          <w:sz w:val="32"/>
          <w:szCs w:val="32"/>
          <w:lang w:val="en-US" w:eastAsia="zh-CN"/>
        </w:rPr>
      </w:pPr>
    </w:p>
    <w:p>
      <w:pPr>
        <w:spacing w:line="520" w:lineRule="exact"/>
        <w:jc w:val="center"/>
        <w:rPr>
          <w:rFonts w:ascii="方正小标宋简体" w:hAnsi="黑体" w:eastAsia="方正小标宋简体"/>
          <w:color w:val="000000" w:themeColor="text1"/>
          <w:sz w:val="44"/>
          <w:szCs w:val="36"/>
        </w:rPr>
      </w:pPr>
      <w:bookmarkStart w:id="1" w:name="_GoBack"/>
      <w:r>
        <w:rPr>
          <w:rFonts w:hint="eastAsia" w:ascii="方正小标宋简体" w:hAnsi="黑体" w:eastAsia="方正小标宋简体"/>
          <w:color w:val="000000" w:themeColor="text1"/>
          <w:sz w:val="44"/>
          <w:szCs w:val="36"/>
        </w:rPr>
        <w:t>取石网篮注册审查指导原则</w:t>
      </w:r>
    </w:p>
    <w:bookmarkEnd w:id="1"/>
    <w:p>
      <w:pPr>
        <w:spacing w:line="520" w:lineRule="exact"/>
        <w:jc w:val="center"/>
        <w:rPr>
          <w:rFonts w:ascii="黑体" w:hAnsi="黑体" w:eastAsia="黑体"/>
          <w:bCs/>
          <w:color w:val="000000" w:themeColor="text1"/>
          <w:sz w:val="30"/>
        </w:rPr>
      </w:pP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本指导原则旨在帮助和指导注册申请人对取石网篮注册申报资料的准备及撰写，同时也为医疗器械技术审评部门对</w:t>
      </w:r>
      <w:bookmarkStart w:id="0" w:name="_Hlk85054522"/>
      <w:r>
        <w:rPr>
          <w:rFonts w:hint="eastAsia" w:eastAsia="仿宋_GB2312"/>
          <w:color w:val="000000" w:themeColor="text1"/>
          <w:sz w:val="32"/>
          <w:szCs w:val="28"/>
        </w:rPr>
        <w:t>注册</w:t>
      </w:r>
      <w:bookmarkEnd w:id="0"/>
      <w:r>
        <w:rPr>
          <w:rFonts w:hint="eastAsia" w:eastAsia="仿宋_GB2312"/>
          <w:color w:val="000000" w:themeColor="text1"/>
          <w:sz w:val="32"/>
          <w:szCs w:val="28"/>
        </w:rPr>
        <w:t>申报资料的技术审评提供参考。</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本指导原则是对取石网篮注册申报资料的一般要求，注册申请人应依据具体产品的特性对注册申报资料的内容进行充分说明和细化，并依据具体产品的特性确定其中的具体内容是否适用。若不适用，需具体阐述其理由及相应的科学依据。</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 xml:space="preserve">本指导原则是供注册申请人和技术审评人员使用的指导性文件，但不包括审评审批所涉及的行政事项，亦不作为法规强制执行，应在遵循相关法规和标准的前提下使用本指导原则。如果有能够满足相关法规要求的其他方法，也可以采用，但是需要提供详细的研究资料和验证资料。 </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本指导原则是在现行法规和标准体系以及当前认知水平下制定的，随着法规和标准的不断完善，以及科学技术的不断发展，本指导原则相关内容也将进行适时的调整。</w:t>
      </w:r>
    </w:p>
    <w:p>
      <w:pPr>
        <w:spacing w:line="520" w:lineRule="exact"/>
        <w:ind w:firstLine="640" w:firstLineChars="200"/>
        <w:outlineLvl w:val="0"/>
        <w:rPr>
          <w:rFonts w:eastAsia="黑体"/>
          <w:bCs/>
          <w:color w:val="000000" w:themeColor="text1"/>
          <w:sz w:val="32"/>
          <w:szCs w:val="28"/>
        </w:rPr>
      </w:pPr>
      <w:r>
        <w:rPr>
          <w:rFonts w:eastAsia="黑体"/>
          <w:bCs/>
          <w:color w:val="000000" w:themeColor="text1"/>
          <w:sz w:val="32"/>
          <w:szCs w:val="28"/>
        </w:rPr>
        <w:t>一、适用范围</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本指导原则适用于符合《医疗器械分类目录》中分类编码0</w:t>
      </w:r>
      <w:r>
        <w:rPr>
          <w:rFonts w:ascii="Times New Roman" w:hAnsi="Times New Roman" w:eastAsia="仿宋_GB2312"/>
          <w:color w:val="000000" w:themeColor="text1"/>
          <w:spacing w:val="0"/>
          <w:sz w:val="32"/>
          <w:szCs w:val="28"/>
        </w:rPr>
        <w:t>2</w:t>
      </w:r>
      <w:r>
        <w:rPr>
          <w:rFonts w:hint="eastAsia" w:ascii="Times New Roman" w:hAnsi="Times New Roman" w:eastAsia="仿宋_GB2312"/>
          <w:color w:val="000000" w:themeColor="text1"/>
          <w:spacing w:val="0"/>
          <w:sz w:val="32"/>
          <w:szCs w:val="28"/>
        </w:rPr>
        <w:t>-</w:t>
      </w:r>
      <w:r>
        <w:rPr>
          <w:rFonts w:ascii="Times New Roman" w:hAnsi="Times New Roman" w:eastAsia="仿宋_GB2312"/>
          <w:color w:val="000000" w:themeColor="text1"/>
          <w:spacing w:val="0"/>
          <w:sz w:val="32"/>
          <w:szCs w:val="28"/>
        </w:rPr>
        <w:t>15</w:t>
      </w:r>
      <w:r>
        <w:rPr>
          <w:rFonts w:hint="eastAsia" w:ascii="Times New Roman" w:hAnsi="Times New Roman" w:eastAsia="仿宋_GB2312"/>
          <w:color w:val="000000" w:themeColor="text1"/>
          <w:spacing w:val="0"/>
          <w:sz w:val="32"/>
          <w:szCs w:val="28"/>
        </w:rPr>
        <w:t>-</w:t>
      </w:r>
      <w:r>
        <w:rPr>
          <w:rFonts w:ascii="Times New Roman" w:hAnsi="Times New Roman" w:eastAsia="仿宋_GB2312"/>
          <w:color w:val="000000" w:themeColor="text1"/>
          <w:spacing w:val="0"/>
          <w:sz w:val="32"/>
          <w:szCs w:val="28"/>
        </w:rPr>
        <w:t>18</w:t>
      </w:r>
      <w:r>
        <w:rPr>
          <w:rFonts w:hint="eastAsia" w:ascii="Times New Roman" w:hAnsi="Times New Roman" w:eastAsia="仿宋_GB2312"/>
          <w:color w:val="000000" w:themeColor="text1"/>
          <w:spacing w:val="0"/>
          <w:sz w:val="32"/>
          <w:szCs w:val="28"/>
        </w:rPr>
        <w:t>（02无源手术器械-15手术器械-其他器械-18内窥镜用取石器械）条目中描述和预期用途的取石网篮（以下可简称为网篮）。产品供消化、泌尿等诊疗时在内窥镜下抓住、操控和取出结石以及其他异物用。</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本指导原则不适用于内窥镜下机械碎石/取石辅件、拦截网篮，但在注册资料准备和注册资料技术审评时可以参考本指导原则。</w:t>
      </w:r>
    </w:p>
    <w:p>
      <w:pPr>
        <w:spacing w:line="520" w:lineRule="exact"/>
        <w:ind w:firstLine="640" w:firstLineChars="200"/>
        <w:outlineLvl w:val="0"/>
        <w:rPr>
          <w:rFonts w:eastAsia="黑体"/>
          <w:bCs/>
          <w:color w:val="000000" w:themeColor="text1"/>
          <w:sz w:val="32"/>
          <w:szCs w:val="28"/>
        </w:rPr>
      </w:pPr>
      <w:r>
        <w:rPr>
          <w:rFonts w:eastAsia="黑体"/>
          <w:bCs/>
          <w:color w:val="000000" w:themeColor="text1"/>
          <w:sz w:val="32"/>
          <w:szCs w:val="28"/>
        </w:rPr>
        <w:t>二、</w:t>
      </w:r>
      <w:r>
        <w:rPr>
          <w:rFonts w:hint="eastAsia" w:eastAsia="黑体"/>
          <w:bCs/>
          <w:color w:val="000000" w:themeColor="text1"/>
          <w:sz w:val="32"/>
          <w:szCs w:val="28"/>
        </w:rPr>
        <w:t>注册</w:t>
      </w:r>
      <w:r>
        <w:rPr>
          <w:rFonts w:eastAsia="黑体"/>
          <w:bCs/>
          <w:color w:val="000000" w:themeColor="text1"/>
          <w:sz w:val="32"/>
          <w:szCs w:val="28"/>
        </w:rPr>
        <w:t>审查要点</w:t>
      </w:r>
    </w:p>
    <w:p>
      <w:pPr>
        <w:spacing w:line="520" w:lineRule="exact"/>
        <w:ind w:firstLine="640" w:firstLineChars="200"/>
        <w:outlineLvl w:val="1"/>
        <w:rPr>
          <w:rFonts w:eastAsia="楷体_GB2312"/>
          <w:color w:val="000000" w:themeColor="text1"/>
          <w:sz w:val="32"/>
          <w:szCs w:val="32"/>
        </w:rPr>
      </w:pPr>
      <w:r>
        <w:rPr>
          <w:rFonts w:hint="eastAsia" w:ascii="楷体_GB2312" w:hAnsi="楷体" w:eastAsia="楷体_GB2312"/>
          <w:bCs/>
          <w:color w:val="000000" w:themeColor="text1"/>
          <w:sz w:val="32"/>
          <w:szCs w:val="28"/>
        </w:rPr>
        <w:t>（一）</w:t>
      </w:r>
      <w:r>
        <w:rPr>
          <w:rFonts w:hint="eastAsia" w:eastAsia="楷体_GB2312"/>
          <w:color w:val="000000" w:themeColor="text1"/>
          <w:sz w:val="32"/>
          <w:szCs w:val="32"/>
        </w:rPr>
        <w:t>监管信息</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1</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产品名称</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取石网篮</w:t>
      </w:r>
      <w:r>
        <w:rPr>
          <w:rFonts w:ascii="Times New Roman" w:hAnsi="Times New Roman" w:eastAsia="仿宋_GB2312"/>
          <w:color w:val="000000" w:themeColor="text1"/>
          <w:spacing w:val="0"/>
          <w:sz w:val="32"/>
          <w:szCs w:val="28"/>
        </w:rPr>
        <w:t>产品的命名应采用《医疗器械分类目录》或国家标准、行业标准中的通用名称，或以产品结构和</w:t>
      </w:r>
      <w:r>
        <w:rPr>
          <w:rFonts w:hint="eastAsia" w:ascii="Times New Roman" w:hAnsi="Times New Roman" w:eastAsia="仿宋_GB2312"/>
          <w:color w:val="000000" w:themeColor="text1"/>
          <w:spacing w:val="0"/>
          <w:sz w:val="32"/>
          <w:szCs w:val="28"/>
        </w:rPr>
        <w:t>预期目的</w:t>
      </w:r>
      <w:r>
        <w:rPr>
          <w:rFonts w:ascii="Times New Roman" w:hAnsi="Times New Roman" w:eastAsia="仿宋_GB2312"/>
          <w:color w:val="000000" w:themeColor="text1"/>
          <w:spacing w:val="0"/>
          <w:sz w:val="32"/>
          <w:szCs w:val="28"/>
        </w:rPr>
        <w:t>为依据命名</w:t>
      </w:r>
      <w:r>
        <w:rPr>
          <w:rFonts w:hint="eastAsia" w:ascii="Times New Roman" w:hAnsi="Times New Roman" w:eastAsia="仿宋_GB2312"/>
          <w:color w:val="000000" w:themeColor="text1"/>
          <w:spacing w:val="0"/>
          <w:sz w:val="32"/>
          <w:szCs w:val="28"/>
        </w:rPr>
        <w:t>，</w:t>
      </w:r>
      <w:r>
        <w:rPr>
          <w:rFonts w:ascii="Times New Roman" w:hAnsi="Times New Roman" w:eastAsia="仿宋_GB2312"/>
          <w:color w:val="000000" w:themeColor="text1"/>
          <w:spacing w:val="0"/>
          <w:sz w:val="32"/>
          <w:szCs w:val="28"/>
        </w:rPr>
        <w:t>应符合《医疗器械通用名称命名规则》</w:t>
      </w:r>
      <w:r>
        <w:rPr>
          <w:rFonts w:hint="eastAsia" w:ascii="Times New Roman" w:hAnsi="Times New Roman" w:eastAsia="仿宋_GB2312"/>
          <w:color w:val="000000" w:themeColor="text1"/>
          <w:spacing w:val="0"/>
          <w:sz w:val="32"/>
          <w:szCs w:val="28"/>
        </w:rPr>
        <w:t>、《医疗器械通用名称命名指导原则》、《无源手术器械通用名称命名指导原则》</w:t>
      </w:r>
      <w:r>
        <w:rPr>
          <w:rFonts w:ascii="Times New Roman" w:hAnsi="Times New Roman" w:eastAsia="仿宋_GB2312"/>
          <w:color w:val="000000" w:themeColor="text1"/>
          <w:spacing w:val="0"/>
          <w:sz w:val="32"/>
          <w:szCs w:val="28"/>
        </w:rPr>
        <w:t>等相关法规的要求。</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根据取石网篮产品是一次性使用或可重复使用，产品名称中可带有</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一次性使用</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或</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可重复使用</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字样。</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产品常用的名称举例如下：内窥镜取石网篮、内窥镜取石器、内窥镜结石回收篮、内窥镜结石取出器、一次性使用取石网篮和一次性使用内窥镜取石篮、取石网篮等。</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2</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分类编码</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根据《医疗器械分类目录》，取石网篮分类编码：0</w:t>
      </w:r>
      <w:r>
        <w:rPr>
          <w:rFonts w:ascii="Times New Roman" w:hAnsi="Times New Roman" w:eastAsia="仿宋_GB2312"/>
          <w:color w:val="000000" w:themeColor="text1"/>
          <w:spacing w:val="0"/>
          <w:sz w:val="32"/>
          <w:szCs w:val="28"/>
        </w:rPr>
        <w:t>2</w:t>
      </w:r>
      <w:r>
        <w:rPr>
          <w:rFonts w:hint="eastAsia" w:ascii="Times New Roman" w:hAnsi="Times New Roman" w:eastAsia="仿宋_GB2312"/>
          <w:color w:val="000000" w:themeColor="text1"/>
          <w:spacing w:val="0"/>
          <w:sz w:val="32"/>
          <w:szCs w:val="28"/>
        </w:rPr>
        <w:t>-</w:t>
      </w:r>
      <w:r>
        <w:rPr>
          <w:rFonts w:ascii="Times New Roman" w:hAnsi="Times New Roman" w:eastAsia="仿宋_GB2312"/>
          <w:color w:val="000000" w:themeColor="text1"/>
          <w:spacing w:val="0"/>
          <w:sz w:val="32"/>
          <w:szCs w:val="28"/>
        </w:rPr>
        <w:t>15</w:t>
      </w:r>
      <w:r>
        <w:rPr>
          <w:rFonts w:hint="eastAsia" w:ascii="Times New Roman" w:hAnsi="Times New Roman" w:eastAsia="仿宋_GB2312"/>
          <w:color w:val="000000" w:themeColor="text1"/>
          <w:spacing w:val="0"/>
          <w:sz w:val="32"/>
          <w:szCs w:val="28"/>
        </w:rPr>
        <w:t>-</w:t>
      </w:r>
      <w:r>
        <w:rPr>
          <w:rFonts w:ascii="Times New Roman" w:hAnsi="Times New Roman" w:eastAsia="仿宋_GB2312"/>
          <w:color w:val="000000" w:themeColor="text1"/>
          <w:spacing w:val="0"/>
          <w:sz w:val="32"/>
          <w:szCs w:val="28"/>
        </w:rPr>
        <w:t>18</w:t>
      </w:r>
      <w:r>
        <w:rPr>
          <w:rFonts w:hint="eastAsia" w:ascii="Times New Roman" w:hAnsi="Times New Roman" w:eastAsia="仿宋_GB2312"/>
          <w:color w:val="000000" w:themeColor="text1"/>
          <w:spacing w:val="0"/>
          <w:sz w:val="32"/>
          <w:szCs w:val="28"/>
        </w:rPr>
        <w:t>（02无源手术器械-15手术器械-其他器械-18内窥镜用取石器械）。</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3.注册单元划分的原则和实例</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产品注册单元划分可参照《医疗器械注册单元划分指导原则》的要求，注册单元划分着重考虑产品的技术原理、结构组成、性能指标及适用范围等因素。</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例如：</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ascii="Times New Roman" w:hAnsi="Times New Roman" w:eastAsia="仿宋_GB2312"/>
          <w:color w:val="000000" w:themeColor="text1"/>
          <w:spacing w:val="0"/>
          <w:sz w:val="32"/>
          <w:szCs w:val="28"/>
        </w:rPr>
        <w:t>产品的结构组成、主要材料相同但是适用范围不同时，原则上划分为不同的注册单元。</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ascii="Times New Roman" w:hAnsi="Times New Roman" w:eastAsia="仿宋_GB2312"/>
          <w:color w:val="000000" w:themeColor="text1"/>
          <w:spacing w:val="0"/>
          <w:sz w:val="32"/>
          <w:szCs w:val="28"/>
        </w:rPr>
        <w:t>产品</w:t>
      </w:r>
      <w:r>
        <w:rPr>
          <w:rFonts w:hint="eastAsia" w:ascii="Times New Roman" w:hAnsi="Times New Roman" w:eastAsia="仿宋_GB2312"/>
          <w:color w:val="000000" w:themeColor="text1"/>
          <w:spacing w:val="0"/>
          <w:sz w:val="32"/>
          <w:szCs w:val="28"/>
        </w:rPr>
        <w:t>使用方式、作用部位不同而导致适用范围不同时，宜划分为不同注册单元。</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产品在申报时适用范围分别描述为消化道用、泌尿道用，宜划分为不同的注册单元；若适用用途描述为自然腔道用，可以作为一个注册单元。</w:t>
      </w:r>
    </w:p>
    <w:p>
      <w:pPr>
        <w:pStyle w:val="14"/>
        <w:widowControl w:val="0"/>
        <w:spacing w:line="520" w:lineRule="exact"/>
        <w:ind w:firstLine="726" w:firstLineChars="227"/>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4</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应按照《医疗器械注册申报资料要求及说明》的要求提交申请表、术语、缩写词列表、产品列表、关联文件、申报前与监管机构的联系情况和沟通记录（如适用）、符合性声明等。</w:t>
      </w:r>
    </w:p>
    <w:p>
      <w:pPr>
        <w:spacing w:line="520" w:lineRule="exact"/>
        <w:ind w:firstLine="640" w:firstLineChars="200"/>
        <w:outlineLvl w:val="1"/>
        <w:rPr>
          <w:rFonts w:eastAsia="楷体_GB2312"/>
          <w:color w:val="000000" w:themeColor="text1"/>
          <w:sz w:val="32"/>
          <w:szCs w:val="32"/>
        </w:rPr>
      </w:pPr>
      <w:r>
        <w:rPr>
          <w:rFonts w:hint="eastAsia" w:ascii="楷体_GB2312" w:hAnsi="楷体" w:eastAsia="楷体_GB2312"/>
          <w:bCs/>
          <w:color w:val="000000" w:themeColor="text1"/>
          <w:sz w:val="32"/>
          <w:szCs w:val="28"/>
        </w:rPr>
        <w:t>（二）</w:t>
      </w:r>
      <w:r>
        <w:rPr>
          <w:rFonts w:hint="eastAsia" w:eastAsia="楷体_GB2312"/>
          <w:color w:val="000000" w:themeColor="text1"/>
          <w:sz w:val="32"/>
          <w:szCs w:val="32"/>
        </w:rPr>
        <w:t>综述资料</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1</w:t>
      </w:r>
      <w:r>
        <w:rPr>
          <w:rFonts w:ascii="Times New Roman" w:hAnsi="Times New Roman" w:eastAsia="仿宋_GB2312"/>
          <w:color w:val="000000" w:themeColor="text1"/>
          <w:spacing w:val="0"/>
          <w:sz w:val="32"/>
          <w:szCs w:val="28"/>
        </w:rPr>
        <w:t>.产品的结构和组成</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产品通常由带鲁尔接头的手柄、带软鞘导丝杆和远端的金属丝制自展篮组成。</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ascii="Times New Roman" w:hAnsi="Times New Roman" w:eastAsia="仿宋_GB2312"/>
          <w:color w:val="000000" w:themeColor="text1"/>
          <w:spacing w:val="0"/>
          <w:sz w:val="32"/>
          <w:szCs w:val="28"/>
        </w:rPr>
        <w:t>网篮是网状篮</w:t>
      </w:r>
      <w:r>
        <w:rPr>
          <w:rFonts w:hint="eastAsia" w:ascii="Times New Roman" w:hAnsi="Times New Roman" w:eastAsia="仿宋_GB2312"/>
          <w:color w:val="000000" w:themeColor="text1"/>
          <w:spacing w:val="0"/>
          <w:sz w:val="32"/>
          <w:szCs w:val="28"/>
        </w:rPr>
        <w:t>，</w:t>
      </w:r>
      <w:r>
        <w:rPr>
          <w:rFonts w:ascii="Times New Roman" w:hAnsi="Times New Roman" w:eastAsia="仿宋_GB2312"/>
          <w:color w:val="000000" w:themeColor="text1"/>
          <w:spacing w:val="0"/>
          <w:sz w:val="32"/>
          <w:szCs w:val="28"/>
        </w:rPr>
        <w:t>用于圈取结石、异物</w:t>
      </w:r>
      <w:r>
        <w:rPr>
          <w:rFonts w:hint="eastAsia" w:ascii="Times New Roman" w:hAnsi="Times New Roman" w:eastAsia="仿宋_GB2312"/>
          <w:color w:val="000000" w:themeColor="text1"/>
          <w:spacing w:val="0"/>
          <w:sz w:val="32"/>
          <w:szCs w:val="28"/>
        </w:rPr>
        <w:t>，</w:t>
      </w:r>
      <w:r>
        <w:rPr>
          <w:rFonts w:ascii="Times New Roman" w:hAnsi="Times New Roman" w:eastAsia="仿宋_GB2312"/>
          <w:color w:val="000000" w:themeColor="text1"/>
          <w:spacing w:val="0"/>
          <w:sz w:val="32"/>
          <w:szCs w:val="28"/>
        </w:rPr>
        <w:t>网篮形状可以有多种类型</w:t>
      </w:r>
      <w:r>
        <w:rPr>
          <w:rFonts w:hint="eastAsia" w:ascii="Times New Roman" w:hAnsi="Times New Roman" w:eastAsia="仿宋_GB2312"/>
          <w:color w:val="000000" w:themeColor="text1"/>
          <w:spacing w:val="0"/>
          <w:sz w:val="32"/>
          <w:szCs w:val="28"/>
        </w:rPr>
        <w:t>，如普通型（图1），半螺旋型（图2），螺旋型（图3），折丝型（图4）等；按网篮丝数量可分为4线型，8线型等。</w:t>
      </w:r>
    </w:p>
    <w:p>
      <w:pPr>
        <w:pStyle w:val="14"/>
        <w:widowControl w:val="0"/>
        <w:spacing w:line="520" w:lineRule="exact"/>
        <w:ind w:firstLine="560"/>
        <w:rPr>
          <w:rFonts w:ascii="仿宋_GB2312" w:hAnsi="仿宋" w:eastAsia="仿宋_GB2312"/>
          <w:color w:val="000000" w:themeColor="text1"/>
          <w:sz w:val="32"/>
          <w:szCs w:val="28"/>
        </w:rPr>
      </w:pPr>
      <w:r>
        <w:rPr>
          <w:rFonts w:hint="eastAsia" w:ascii="仿宋_GB2312" w:hAnsi="仿宋" w:eastAsia="仿宋_GB2312"/>
          <w:color w:val="000000" w:themeColor="text1"/>
          <w:sz w:val="32"/>
          <w:szCs w:val="28"/>
        </w:rPr>
        <w:t>取石网篮产品分为可注液（图5）和不可注液（图6）两种。</w:t>
      </w:r>
    </w:p>
    <w:p>
      <w:pPr>
        <w:tabs>
          <w:tab w:val="left" w:pos="284"/>
          <w:tab w:val="left" w:pos="426"/>
        </w:tabs>
        <w:spacing w:line="520" w:lineRule="exact"/>
        <w:ind w:firstLine="280" w:firstLineChars="100"/>
        <w:rPr>
          <w:rFonts w:ascii="黑体" w:hAnsi="黑体" w:eastAsia="黑体"/>
          <w:color w:val="000000" w:themeColor="text1"/>
          <w:spacing w:val="-4"/>
          <w:sz w:val="28"/>
          <w:szCs w:val="28"/>
        </w:rPr>
      </w:pPr>
      <w:r>
        <w:rPr>
          <w:rFonts w:hint="eastAsia" w:eastAsia="仿宋"/>
          <w:color w:val="000000" w:themeColor="text1"/>
          <w:sz w:val="28"/>
          <w:szCs w:val="28"/>
        </w:rPr>
        <w:drawing>
          <wp:anchor distT="0" distB="0" distL="114300" distR="114300" simplePos="0" relativeHeight="251661312" behindDoc="0" locked="0" layoutInCell="1" allowOverlap="1">
            <wp:simplePos x="0" y="0"/>
            <wp:positionH relativeFrom="column">
              <wp:posOffset>4198620</wp:posOffset>
            </wp:positionH>
            <wp:positionV relativeFrom="paragraph">
              <wp:posOffset>244475</wp:posOffset>
            </wp:positionV>
            <wp:extent cx="1297940" cy="647700"/>
            <wp:effectExtent l="19050" t="0" r="0" b="0"/>
            <wp:wrapTopAndBottom/>
            <wp:docPr id="3" name="图片 3" descr="C:\Users\qing\Documents\Tencent Files\183844622\FileRecv\MobileFile\Image\5NTPE`]ASS~BF_53$EVF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qing\Documents\Tencent Files\183844622\FileRecv\MobileFile\Image\5NTPE`]ASS~BF_53$EVFO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97940" cy="647700"/>
                    </a:xfrm>
                    <a:prstGeom prst="rect">
                      <a:avLst/>
                    </a:prstGeom>
                    <a:noFill/>
                    <a:ln>
                      <a:noFill/>
                    </a:ln>
                  </pic:spPr>
                </pic:pic>
              </a:graphicData>
            </a:graphic>
          </wp:anchor>
        </w:drawing>
      </w:r>
      <w:r>
        <w:rPr>
          <w:rFonts w:hint="eastAsia" w:eastAsia="仿宋"/>
          <w:color w:val="000000" w:themeColor="text1"/>
          <w:sz w:val="28"/>
          <w:szCs w:val="28"/>
        </w:rPr>
        <w:drawing>
          <wp:anchor distT="0" distB="0" distL="114300" distR="114300" simplePos="0" relativeHeight="251660288" behindDoc="0" locked="0" layoutInCell="1" allowOverlap="1">
            <wp:simplePos x="0" y="0"/>
            <wp:positionH relativeFrom="margin">
              <wp:posOffset>2903220</wp:posOffset>
            </wp:positionH>
            <wp:positionV relativeFrom="paragraph">
              <wp:posOffset>216535</wp:posOffset>
            </wp:positionV>
            <wp:extent cx="1229995" cy="647700"/>
            <wp:effectExtent l="19050" t="0" r="8255" b="0"/>
            <wp:wrapTopAndBottom/>
            <wp:docPr id="2" name="图片 2" descr="C:\Users\qing\Documents\Tencent Files\183844622\FileRecv\MobileFile\Image\JW_68EW73`[ITU)}T(G2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qing\Documents\Tencent Files\183844622\FileRecv\MobileFile\Image\JW_68EW73`[ITU)}T(G2Y`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29995" cy="647700"/>
                    </a:xfrm>
                    <a:prstGeom prst="rect">
                      <a:avLst/>
                    </a:prstGeom>
                    <a:noFill/>
                    <a:ln>
                      <a:noFill/>
                    </a:ln>
                  </pic:spPr>
                </pic:pic>
              </a:graphicData>
            </a:graphic>
          </wp:anchor>
        </w:drawing>
      </w:r>
      <w:r>
        <w:rPr>
          <w:rFonts w:hint="eastAsia" w:eastAsia="仿宋"/>
          <w:color w:val="000000" w:themeColor="text1"/>
          <w:sz w:val="28"/>
          <w:szCs w:val="28"/>
        </w:rPr>
        <w:drawing>
          <wp:anchor distT="0" distB="0" distL="114300" distR="114300" simplePos="0" relativeHeight="251662336" behindDoc="0" locked="0" layoutInCell="1" allowOverlap="1">
            <wp:simplePos x="0" y="0"/>
            <wp:positionH relativeFrom="column">
              <wp:posOffset>1323975</wp:posOffset>
            </wp:positionH>
            <wp:positionV relativeFrom="paragraph">
              <wp:posOffset>273050</wp:posOffset>
            </wp:positionV>
            <wp:extent cx="1390650" cy="495300"/>
            <wp:effectExtent l="1905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1390650" cy="495300"/>
                    </a:xfrm>
                    <a:prstGeom prst="rect">
                      <a:avLst/>
                    </a:prstGeom>
                  </pic:spPr>
                </pic:pic>
              </a:graphicData>
            </a:graphic>
          </wp:anchor>
        </w:drawing>
      </w:r>
      <w:r>
        <w:rPr>
          <w:rFonts w:hint="eastAsia" w:eastAsia="仿宋"/>
          <w:color w:val="000000" w:themeColor="text1"/>
          <w:sz w:val="28"/>
          <w:szCs w:val="28"/>
        </w:rPr>
        <w:drawing>
          <wp:anchor distT="0" distB="0" distL="114300" distR="114300" simplePos="0" relativeHeight="251663360" behindDoc="1" locked="0" layoutInCell="1" allowOverlap="1">
            <wp:simplePos x="0" y="0"/>
            <wp:positionH relativeFrom="margin">
              <wp:posOffset>102235</wp:posOffset>
            </wp:positionH>
            <wp:positionV relativeFrom="margin">
              <wp:posOffset>6845935</wp:posOffset>
            </wp:positionV>
            <wp:extent cx="1136015" cy="567690"/>
            <wp:effectExtent l="0" t="0" r="0" b="0"/>
            <wp:wrapNone/>
            <wp:docPr id="1" name="图片 1" descr="C:\Users\qing\Documents\Tencent Files\183844622\FileRecv\MobileFile\Image\APTG`01W)NRJD9GF6(S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qing\Documents\Tencent Files\183844622\FileRecv\MobileFile\Image\APTG`01W)NRJD9GF6(SR@A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36015" cy="567690"/>
                    </a:xfrm>
                    <a:prstGeom prst="rect">
                      <a:avLst/>
                    </a:prstGeom>
                    <a:noFill/>
                    <a:ln>
                      <a:noFill/>
                    </a:ln>
                  </pic:spPr>
                </pic:pic>
              </a:graphicData>
            </a:graphic>
          </wp:anchor>
        </w:drawing>
      </w:r>
      <w:r>
        <w:rPr>
          <w:rFonts w:ascii="黑体" w:hAnsi="黑体" w:eastAsia="黑体"/>
          <w:color w:val="000000" w:themeColor="text1"/>
          <w:spacing w:val="-4"/>
          <w:sz w:val="28"/>
          <w:szCs w:val="28"/>
        </w:rPr>
        <w:t>图</w:t>
      </w:r>
      <w:r>
        <w:rPr>
          <w:rFonts w:hint="eastAsia" w:ascii="黑体" w:hAnsi="黑体" w:eastAsia="黑体"/>
          <w:color w:val="000000" w:themeColor="text1"/>
          <w:spacing w:val="-4"/>
          <w:sz w:val="28"/>
          <w:szCs w:val="28"/>
        </w:rPr>
        <w:t xml:space="preserve">1 </w:t>
      </w:r>
      <w:r>
        <w:rPr>
          <w:rFonts w:ascii="黑体" w:hAnsi="黑体" w:eastAsia="黑体"/>
          <w:color w:val="000000" w:themeColor="text1"/>
          <w:spacing w:val="-4"/>
          <w:sz w:val="28"/>
          <w:szCs w:val="28"/>
        </w:rPr>
        <w:t>普通型</w:t>
      </w:r>
      <w:r>
        <w:rPr>
          <w:rFonts w:hint="eastAsia" w:ascii="黑体" w:hAnsi="黑体" w:eastAsia="黑体"/>
          <w:color w:val="000000" w:themeColor="text1"/>
          <w:spacing w:val="-4"/>
          <w:sz w:val="28"/>
          <w:szCs w:val="28"/>
        </w:rPr>
        <w:t xml:space="preserve">    </w:t>
      </w:r>
      <w:r>
        <w:rPr>
          <w:rFonts w:ascii="黑体" w:hAnsi="黑体" w:eastAsia="黑体"/>
          <w:color w:val="000000" w:themeColor="text1"/>
          <w:spacing w:val="-4"/>
          <w:sz w:val="28"/>
          <w:szCs w:val="28"/>
        </w:rPr>
        <w:t xml:space="preserve">  </w:t>
      </w:r>
      <w:r>
        <w:rPr>
          <w:rFonts w:hint="eastAsia" w:ascii="黑体" w:hAnsi="黑体" w:eastAsia="黑体"/>
          <w:color w:val="000000" w:themeColor="text1"/>
          <w:spacing w:val="-4"/>
          <w:sz w:val="28"/>
          <w:szCs w:val="28"/>
        </w:rPr>
        <w:t xml:space="preserve">图2 半螺旋型    </w:t>
      </w:r>
      <w:r>
        <w:rPr>
          <w:rFonts w:ascii="黑体" w:hAnsi="黑体" w:eastAsia="黑体"/>
          <w:color w:val="000000" w:themeColor="text1"/>
          <w:spacing w:val="-4"/>
          <w:sz w:val="28"/>
          <w:szCs w:val="28"/>
        </w:rPr>
        <w:t xml:space="preserve"> </w:t>
      </w:r>
      <w:r>
        <w:rPr>
          <w:rFonts w:hint="eastAsia" w:ascii="黑体" w:hAnsi="黑体" w:eastAsia="黑体"/>
          <w:color w:val="000000" w:themeColor="text1"/>
          <w:spacing w:val="-4"/>
          <w:sz w:val="28"/>
          <w:szCs w:val="28"/>
        </w:rPr>
        <w:t>图3 螺旋型    图4 折丝型</w:t>
      </w:r>
    </w:p>
    <w:p>
      <w:pPr>
        <w:pStyle w:val="14"/>
        <w:widowControl w:val="0"/>
        <w:spacing w:line="520" w:lineRule="exact"/>
        <w:ind w:firstLine="0" w:firstLineChars="0"/>
        <w:rPr>
          <w:rFonts w:ascii="仿宋_GB2312" w:hAnsi="仿宋" w:eastAsia="仿宋_GB2312"/>
          <w:color w:val="000000" w:themeColor="text1"/>
          <w:sz w:val="32"/>
          <w:szCs w:val="28"/>
        </w:rPr>
      </w:pPr>
      <w:r>
        <w:rPr>
          <w:rFonts w:ascii="黑体" w:hAnsi="黑体" w:eastAsia="黑体" w:cs="宋体"/>
          <w:color w:val="000000" w:themeColor="text1"/>
          <w:kern w:val="0"/>
          <w:szCs w:val="24"/>
        </w:rPr>
        <w:drawing>
          <wp:anchor distT="0" distB="0" distL="114300" distR="114300" simplePos="0" relativeHeight="251664384" behindDoc="0" locked="0" layoutInCell="1" allowOverlap="1">
            <wp:simplePos x="0" y="0"/>
            <wp:positionH relativeFrom="column">
              <wp:posOffset>252730</wp:posOffset>
            </wp:positionH>
            <wp:positionV relativeFrom="paragraph">
              <wp:posOffset>308610</wp:posOffset>
            </wp:positionV>
            <wp:extent cx="5592445" cy="831215"/>
            <wp:effectExtent l="0" t="0" r="0" b="0"/>
            <wp:wrapTopAndBottom/>
            <wp:docPr id="5" name="图片 5" descr="C:\Users\bzz\Documents\Tencent Files\332951057\Image\C2C\]}S~PCV2[ZPA{Z7~RH{O2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bzz\Documents\Tencent Files\332951057\Image\C2C\]}S~PCV2[ZPA{Z7~RH{O2S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92757" cy="831400"/>
                    </a:xfrm>
                    <a:prstGeom prst="rect">
                      <a:avLst/>
                    </a:prstGeom>
                    <a:noFill/>
                    <a:ln>
                      <a:noFill/>
                    </a:ln>
                  </pic:spPr>
                </pic:pic>
              </a:graphicData>
            </a:graphic>
          </wp:anchor>
        </w:drawing>
      </w:r>
    </w:p>
    <w:p>
      <w:pPr>
        <w:widowControl/>
        <w:spacing w:line="520" w:lineRule="exact"/>
        <w:ind w:firstLine="176" w:firstLineChars="65"/>
        <w:jc w:val="center"/>
        <w:rPr>
          <w:rFonts w:ascii="黑体" w:hAnsi="黑体" w:eastAsia="黑体"/>
          <w:color w:val="000000" w:themeColor="text1"/>
          <w:spacing w:val="-4"/>
          <w:sz w:val="28"/>
          <w:szCs w:val="28"/>
        </w:rPr>
      </w:pPr>
      <w:r>
        <w:rPr>
          <w:rFonts w:hint="eastAsia" w:ascii="黑体" w:hAnsi="黑体" w:eastAsia="黑体"/>
          <w:color w:val="000000" w:themeColor="text1"/>
          <w:spacing w:val="-4"/>
          <w:sz w:val="28"/>
          <w:szCs w:val="28"/>
        </w:rPr>
        <w:t>图5 可注液取石网篮</w:t>
      </w:r>
    </w:p>
    <w:p>
      <w:pPr>
        <w:widowControl/>
        <w:spacing w:line="520" w:lineRule="exact"/>
        <w:ind w:firstLine="176" w:firstLineChars="65"/>
        <w:jc w:val="center"/>
        <w:rPr>
          <w:rFonts w:ascii="黑体" w:hAnsi="黑体" w:eastAsia="黑体"/>
          <w:color w:val="000000" w:themeColor="text1"/>
          <w:spacing w:val="-4"/>
          <w:sz w:val="28"/>
          <w:szCs w:val="28"/>
        </w:rPr>
      </w:pPr>
    </w:p>
    <w:p>
      <w:pPr>
        <w:widowControl/>
        <w:spacing w:line="520" w:lineRule="exact"/>
        <w:ind w:firstLine="156" w:firstLineChars="65"/>
        <w:jc w:val="center"/>
        <w:rPr>
          <w:rFonts w:ascii="黑体" w:hAnsi="黑体" w:eastAsia="黑体"/>
          <w:color w:val="000000" w:themeColor="text1"/>
          <w:spacing w:val="-4"/>
          <w:sz w:val="28"/>
          <w:szCs w:val="28"/>
        </w:rPr>
      </w:pPr>
      <w:r>
        <w:rPr>
          <w:rFonts w:ascii="宋体" w:hAnsi="宋体" w:cs="宋体"/>
          <w:color w:val="000000" w:themeColor="text1"/>
          <w:kern w:val="0"/>
          <w:sz w:val="24"/>
          <w:szCs w:val="24"/>
        </w:rPr>
        <w:drawing>
          <wp:anchor distT="0" distB="0" distL="114300" distR="114300" simplePos="0" relativeHeight="251665408" behindDoc="0" locked="0" layoutInCell="1" allowOverlap="1">
            <wp:simplePos x="0" y="0"/>
            <wp:positionH relativeFrom="column">
              <wp:posOffset>221615</wp:posOffset>
            </wp:positionH>
            <wp:positionV relativeFrom="paragraph">
              <wp:posOffset>297815</wp:posOffset>
            </wp:positionV>
            <wp:extent cx="5701665" cy="536575"/>
            <wp:effectExtent l="0" t="0" r="0" b="0"/>
            <wp:wrapTopAndBottom/>
            <wp:docPr id="6" name="图片 6" descr="C:\Users\bzz\Documents\Tencent Files\332951057\Image\C2C\~2~{4N9XE[GU0I}9GF{81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bzz\Documents\Tencent Files\332951057\Image\C2C\~2~{4N9XE[GU0I}9GF{81H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01665" cy="536575"/>
                    </a:xfrm>
                    <a:prstGeom prst="rect">
                      <a:avLst/>
                    </a:prstGeom>
                    <a:noFill/>
                    <a:ln>
                      <a:noFill/>
                    </a:ln>
                  </pic:spPr>
                </pic:pic>
              </a:graphicData>
            </a:graphic>
          </wp:anchor>
        </w:drawing>
      </w:r>
      <w:r>
        <w:rPr>
          <w:rFonts w:hint="eastAsia" w:ascii="黑体" w:hAnsi="黑体" w:eastAsia="黑体"/>
          <w:color w:val="000000" w:themeColor="text1"/>
          <w:spacing w:val="-4"/>
          <w:sz w:val="28"/>
          <w:szCs w:val="28"/>
        </w:rPr>
        <w:t>图6 不可注液取石网篮</w:t>
      </w:r>
    </w:p>
    <w:p>
      <w:pPr>
        <w:widowControl/>
        <w:spacing w:line="520" w:lineRule="exact"/>
        <w:ind w:firstLine="208" w:firstLineChars="65"/>
        <w:jc w:val="center"/>
        <w:rPr>
          <w:rFonts w:ascii="黑体" w:hAnsi="黑体" w:eastAsia="黑体"/>
          <w:color w:val="000000" w:themeColor="text1"/>
          <w:sz w:val="32"/>
          <w:szCs w:val="28"/>
        </w:rPr>
      </w:pP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2.型号规格</w:t>
      </w:r>
    </w:p>
    <w:p>
      <w:pPr>
        <w:spacing w:line="520" w:lineRule="exact"/>
        <w:ind w:right="-67" w:rightChars="-32" w:firstLine="640" w:firstLineChars="200"/>
        <w:rPr>
          <w:rFonts w:eastAsia="仿宋_GB2312"/>
          <w:color w:val="000000" w:themeColor="text1"/>
          <w:sz w:val="32"/>
          <w:szCs w:val="28"/>
        </w:rPr>
      </w:pPr>
      <w:r>
        <w:rPr>
          <w:rFonts w:hint="eastAsia" w:eastAsia="仿宋_GB2312"/>
          <w:color w:val="000000" w:themeColor="text1"/>
          <w:sz w:val="32"/>
          <w:szCs w:val="28"/>
        </w:rPr>
        <w:t>可存在多种型号规格，应采用图示或对比表明确各型号规格的区别，以及各种型号规格的结构组成（或配置）、产品特征技术参数等内容。</w:t>
      </w:r>
    </w:p>
    <w:p>
      <w:pPr>
        <w:spacing w:line="520" w:lineRule="exact"/>
        <w:ind w:right="-67" w:rightChars="-32" w:firstLine="640" w:firstLineChars="200"/>
        <w:rPr>
          <w:rFonts w:eastAsia="仿宋_GB2312"/>
          <w:color w:val="000000" w:themeColor="text1"/>
          <w:sz w:val="32"/>
          <w:szCs w:val="28"/>
        </w:rPr>
      </w:pPr>
      <w:r>
        <w:rPr>
          <w:rFonts w:hint="eastAsia" w:eastAsia="仿宋_GB2312"/>
          <w:color w:val="000000" w:themeColor="text1"/>
          <w:sz w:val="32"/>
          <w:szCs w:val="28"/>
        </w:rPr>
        <w:t>3.包装说明</w:t>
      </w:r>
    </w:p>
    <w:p>
      <w:pPr>
        <w:spacing w:line="520" w:lineRule="exact"/>
        <w:ind w:right="-67" w:rightChars="-32" w:firstLine="640" w:firstLineChars="200"/>
        <w:rPr>
          <w:rFonts w:eastAsia="仿宋_GB2312"/>
          <w:color w:val="000000" w:themeColor="text1"/>
          <w:sz w:val="32"/>
          <w:szCs w:val="28"/>
        </w:rPr>
      </w:pPr>
      <w:r>
        <w:rPr>
          <w:rFonts w:eastAsia="仿宋_GB2312"/>
          <w:color w:val="000000" w:themeColor="text1"/>
          <w:sz w:val="32"/>
          <w:szCs w:val="28"/>
        </w:rPr>
        <w:t>说明所有产品组成的包装信息。对于无菌</w:t>
      </w:r>
      <w:r>
        <w:rPr>
          <w:rFonts w:hint="eastAsia" w:eastAsia="仿宋_GB2312"/>
          <w:color w:val="000000" w:themeColor="text1"/>
          <w:sz w:val="32"/>
          <w:szCs w:val="28"/>
        </w:rPr>
        <w:t>的产品</w:t>
      </w:r>
      <w:r>
        <w:rPr>
          <w:rFonts w:eastAsia="仿宋_GB2312"/>
          <w:color w:val="000000" w:themeColor="text1"/>
          <w:sz w:val="32"/>
          <w:szCs w:val="28"/>
        </w:rPr>
        <w:t>，应当说明其无菌屏障系统的信息；对于具有微生物限度要求的</w:t>
      </w:r>
      <w:r>
        <w:rPr>
          <w:rFonts w:hint="eastAsia" w:eastAsia="仿宋_GB2312"/>
          <w:color w:val="000000" w:themeColor="text1"/>
          <w:sz w:val="32"/>
          <w:szCs w:val="28"/>
        </w:rPr>
        <w:t>产品</w:t>
      </w:r>
      <w:r>
        <w:rPr>
          <w:rFonts w:eastAsia="仿宋_GB2312"/>
          <w:color w:val="000000" w:themeColor="text1"/>
          <w:sz w:val="32"/>
          <w:szCs w:val="28"/>
        </w:rPr>
        <w:t>，应当说明保持其微生物限度的包装信息</w:t>
      </w:r>
      <w:r>
        <w:rPr>
          <w:rFonts w:hint="eastAsia" w:eastAsia="仿宋_GB2312"/>
          <w:color w:val="000000" w:themeColor="text1"/>
          <w:sz w:val="32"/>
          <w:szCs w:val="28"/>
        </w:rPr>
        <w:t>，并</w:t>
      </w:r>
      <w:r>
        <w:rPr>
          <w:rFonts w:eastAsia="仿宋_GB2312"/>
          <w:color w:val="000000" w:themeColor="text1"/>
          <w:sz w:val="32"/>
          <w:szCs w:val="28"/>
        </w:rPr>
        <w:t>说明如何确保最终使用者可清晰地辨识包装的完整性。</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4</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产品适用范围和禁忌证</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ascii="Times New Roman" w:hAnsi="Times New Roman" w:eastAsia="仿宋_GB2312"/>
          <w:color w:val="000000" w:themeColor="text1"/>
          <w:spacing w:val="0"/>
          <w:sz w:val="32"/>
          <w:szCs w:val="28"/>
        </w:rPr>
        <w:t>产品的适用范围应与申报产品的性能、功能相符，并应与临床</w:t>
      </w:r>
      <w:r>
        <w:rPr>
          <w:rFonts w:hint="eastAsia" w:ascii="Times New Roman" w:hAnsi="Times New Roman" w:eastAsia="仿宋_GB2312"/>
          <w:color w:val="000000" w:themeColor="text1"/>
          <w:spacing w:val="0"/>
          <w:sz w:val="32"/>
          <w:szCs w:val="28"/>
        </w:rPr>
        <w:t>评价</w:t>
      </w:r>
      <w:r>
        <w:rPr>
          <w:rFonts w:ascii="Times New Roman" w:hAnsi="Times New Roman" w:eastAsia="仿宋_GB2312"/>
          <w:color w:val="000000" w:themeColor="text1"/>
          <w:spacing w:val="0"/>
          <w:sz w:val="32"/>
          <w:szCs w:val="28"/>
        </w:rPr>
        <w:t>资料结论一致。</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例如：</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（1）消化系统用取石网篮：供诊疗消化系统时在内窥镜下抓住、操控和取出胆管中结石以及上下消化道中的异物用。</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（2）泌尿系统用取石网篮：供诊疗泌尿系统时在内窥镜下抓住、操控和取出结石以及其他异物用。</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禁忌证：如适用，应当明确说明该产品禁忌应用的特定人群、疾病种类等。</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例如：</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（1）消化系统用取石网篮可能含有的禁忌证：①</w:t>
      </w:r>
      <w:r>
        <w:rPr>
          <w:rFonts w:ascii="Times New Roman" w:hAnsi="Times New Roman" w:eastAsia="仿宋_GB2312"/>
          <w:color w:val="000000" w:themeColor="text1"/>
          <w:spacing w:val="0"/>
          <w:sz w:val="32"/>
          <w:szCs w:val="28"/>
        </w:rPr>
        <w:t>有上消化道狭窄、梗阻，估计不可能抵达十二指肠降段者；</w:t>
      </w:r>
      <w:r>
        <w:rPr>
          <w:rFonts w:hint="eastAsia" w:ascii="Times New Roman" w:hAnsi="Times New Roman" w:eastAsia="仿宋_GB2312"/>
          <w:color w:val="000000" w:themeColor="text1"/>
          <w:spacing w:val="0"/>
          <w:sz w:val="32"/>
          <w:szCs w:val="28"/>
        </w:rPr>
        <w:t>②</w:t>
      </w:r>
      <w:r>
        <w:rPr>
          <w:rFonts w:ascii="Times New Roman" w:hAnsi="Times New Roman" w:eastAsia="仿宋_GB2312"/>
          <w:color w:val="000000" w:themeColor="text1"/>
          <w:spacing w:val="0"/>
          <w:sz w:val="32"/>
          <w:szCs w:val="28"/>
        </w:rPr>
        <w:t>有心肺功能不全等其他内镜检查禁忌者；</w:t>
      </w:r>
      <w:r>
        <w:rPr>
          <w:rFonts w:hint="eastAsia" w:ascii="Times New Roman" w:hAnsi="Times New Roman" w:eastAsia="仿宋_GB2312"/>
          <w:color w:val="000000" w:themeColor="text1"/>
          <w:spacing w:val="0"/>
          <w:sz w:val="32"/>
          <w:szCs w:val="28"/>
        </w:rPr>
        <w:t>③</w:t>
      </w:r>
      <w:r>
        <w:rPr>
          <w:rFonts w:ascii="Times New Roman" w:hAnsi="Times New Roman" w:eastAsia="仿宋_GB2312"/>
          <w:color w:val="000000" w:themeColor="text1"/>
          <w:spacing w:val="0"/>
          <w:sz w:val="32"/>
          <w:szCs w:val="28"/>
        </w:rPr>
        <w:t>非结石嵌顿性急性胰腺炎或慢性胰腺炎急性发作期；</w:t>
      </w:r>
      <w:r>
        <w:rPr>
          <w:rFonts w:hint="eastAsia" w:ascii="Times New Roman" w:hAnsi="Times New Roman" w:eastAsia="仿宋_GB2312"/>
          <w:color w:val="000000" w:themeColor="text1"/>
          <w:spacing w:val="0"/>
          <w:sz w:val="32"/>
          <w:szCs w:val="28"/>
        </w:rPr>
        <w:t>④取石网篮不得用于任何禁忌施行内窥镜逆行性胆胰管造影术</w:t>
      </w:r>
      <w:r>
        <w:rPr>
          <w:rFonts w:ascii="Times New Roman" w:hAnsi="Times New Roman" w:eastAsia="仿宋_GB2312"/>
          <w:color w:val="000000" w:themeColor="text1"/>
          <w:spacing w:val="0"/>
          <w:sz w:val="32"/>
          <w:szCs w:val="28"/>
        </w:rPr>
        <w:t xml:space="preserve"> (ERCP) </w:t>
      </w:r>
      <w:r>
        <w:rPr>
          <w:rFonts w:hint="eastAsia" w:ascii="Times New Roman" w:hAnsi="Times New Roman" w:eastAsia="仿宋_GB2312"/>
          <w:color w:val="000000" w:themeColor="text1"/>
          <w:spacing w:val="0"/>
          <w:sz w:val="32"/>
          <w:szCs w:val="28"/>
        </w:rPr>
        <w:t>或内窥镜逆行性括约肌切开术</w:t>
      </w:r>
      <w:r>
        <w:rPr>
          <w:rFonts w:ascii="Times New Roman" w:hAnsi="Times New Roman" w:eastAsia="仿宋_GB2312"/>
          <w:color w:val="000000" w:themeColor="text1"/>
          <w:spacing w:val="0"/>
          <w:sz w:val="32"/>
          <w:szCs w:val="28"/>
        </w:rPr>
        <w:t xml:space="preserve"> (ERS) </w:t>
      </w:r>
      <w:r>
        <w:rPr>
          <w:rFonts w:hint="eastAsia" w:ascii="Times New Roman" w:hAnsi="Times New Roman" w:eastAsia="仿宋_GB2312"/>
          <w:color w:val="000000" w:themeColor="text1"/>
          <w:spacing w:val="0"/>
          <w:sz w:val="32"/>
          <w:szCs w:val="28"/>
        </w:rPr>
        <w:t>的情况。</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（2）泌尿系统用取石网篮可能含有的禁忌证：泌尿道严重感染患者，前列腺增生患者等。</w:t>
      </w:r>
    </w:p>
    <w:p>
      <w:pPr>
        <w:pStyle w:val="14"/>
        <w:widowControl w:val="0"/>
        <w:spacing w:line="520" w:lineRule="exact"/>
        <w:ind w:firstLine="640"/>
        <w:rPr>
          <w:rFonts w:ascii="Times New Roman" w:hAnsi="Times New Roman" w:eastAsia="仿宋_GB2312"/>
          <w:color w:val="000000" w:themeColor="text1"/>
          <w:spacing w:val="0"/>
          <w:sz w:val="32"/>
          <w:szCs w:val="28"/>
        </w:rPr>
      </w:pPr>
      <w:r>
        <w:rPr>
          <w:rFonts w:hint="eastAsia" w:ascii="Times New Roman" w:hAnsi="Times New Roman" w:eastAsia="仿宋_GB2312"/>
          <w:color w:val="000000" w:themeColor="text1"/>
          <w:spacing w:val="0"/>
          <w:sz w:val="32"/>
          <w:szCs w:val="28"/>
        </w:rPr>
        <w:t>5</w:t>
      </w:r>
      <w:r>
        <w:rPr>
          <w:rFonts w:ascii="Times New Roman" w:hAnsi="Times New Roman" w:eastAsia="仿宋_GB2312"/>
          <w:color w:val="000000" w:themeColor="text1"/>
          <w:spacing w:val="0"/>
          <w:sz w:val="32"/>
          <w:szCs w:val="28"/>
        </w:rPr>
        <w:t>.</w:t>
      </w:r>
      <w:r>
        <w:rPr>
          <w:rFonts w:hint="eastAsia" w:ascii="Times New Roman" w:hAnsi="Times New Roman" w:eastAsia="仿宋_GB2312"/>
          <w:color w:val="000000" w:themeColor="text1"/>
          <w:spacing w:val="0"/>
          <w:sz w:val="32"/>
          <w:szCs w:val="28"/>
        </w:rPr>
        <w:t>产品的不良事件历史记录</w:t>
      </w:r>
    </w:p>
    <w:p>
      <w:pPr>
        <w:overflowPunct w:val="0"/>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 xml:space="preserve">查国家药品监督管理局发布的《医疗器械警戒快讯》和《医疗器械不良事件信息通报》，未查询到取石网篮临床使用出现不良反应的信息。 </w:t>
      </w:r>
    </w:p>
    <w:p>
      <w:pPr>
        <w:overflowPunct w:val="0"/>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查美国</w:t>
      </w:r>
      <w:r>
        <w:rPr>
          <w:rFonts w:eastAsia="仿宋_GB2312"/>
          <w:color w:val="000000" w:themeColor="text1"/>
          <w:sz w:val="32"/>
          <w:szCs w:val="28"/>
        </w:rPr>
        <w:t>FDA</w:t>
      </w:r>
      <w:r>
        <w:rPr>
          <w:rFonts w:hint="eastAsia" w:eastAsia="仿宋_GB2312"/>
          <w:color w:val="000000" w:themeColor="text1"/>
          <w:sz w:val="32"/>
          <w:szCs w:val="28"/>
        </w:rPr>
        <w:t>数据库（</w:t>
      </w:r>
      <w:r>
        <w:rPr>
          <w:rFonts w:eastAsia="仿宋_GB2312"/>
          <w:color w:val="000000" w:themeColor="text1"/>
          <w:sz w:val="32"/>
          <w:szCs w:val="28"/>
        </w:rPr>
        <w:t>MAUDE</w:t>
      </w:r>
      <w:r>
        <w:rPr>
          <w:rFonts w:hint="eastAsia" w:eastAsia="仿宋_GB2312"/>
          <w:color w:val="000000" w:themeColor="text1"/>
          <w:sz w:val="32"/>
          <w:szCs w:val="28"/>
        </w:rPr>
        <w:t>），同类产品不良事件如表</w:t>
      </w:r>
      <w:r>
        <w:rPr>
          <w:rFonts w:eastAsia="仿宋_GB2312"/>
          <w:color w:val="000000" w:themeColor="text1"/>
          <w:sz w:val="32"/>
          <w:szCs w:val="28"/>
        </w:rPr>
        <w:t>1</w:t>
      </w:r>
      <w:r>
        <w:rPr>
          <w:rFonts w:hint="eastAsia" w:eastAsia="仿宋_GB2312"/>
          <w:color w:val="000000" w:themeColor="text1"/>
          <w:sz w:val="32"/>
          <w:szCs w:val="28"/>
        </w:rPr>
        <w:t>。</w:t>
      </w:r>
    </w:p>
    <w:p>
      <w:pPr>
        <w:overflowPunct w:val="0"/>
        <w:spacing w:line="520" w:lineRule="exact"/>
        <w:rPr>
          <w:rFonts w:ascii="仿宋_GB2312" w:hAnsi="仿宋" w:eastAsia="仿宋_GB2312"/>
          <w:color w:val="000000" w:themeColor="text1"/>
          <w:spacing w:val="-4"/>
          <w:sz w:val="32"/>
          <w:szCs w:val="28"/>
        </w:rPr>
      </w:pPr>
    </w:p>
    <w:p>
      <w:pPr>
        <w:overflowPunct w:val="0"/>
        <w:spacing w:line="520" w:lineRule="exact"/>
        <w:jc w:val="center"/>
        <w:rPr>
          <w:rFonts w:ascii="黑体" w:hAnsi="黑体" w:eastAsia="黑体"/>
          <w:color w:val="000000" w:themeColor="text1"/>
          <w:spacing w:val="-4"/>
          <w:sz w:val="28"/>
          <w:szCs w:val="28"/>
        </w:rPr>
      </w:pPr>
      <w:r>
        <w:rPr>
          <w:rFonts w:hint="eastAsia" w:ascii="黑体" w:hAnsi="黑体" w:eastAsia="黑体"/>
          <w:color w:val="000000" w:themeColor="text1"/>
          <w:sz w:val="28"/>
          <w:szCs w:val="28"/>
        </w:rPr>
        <w:t>表</w:t>
      </w:r>
      <w:r>
        <w:rPr>
          <w:rFonts w:ascii="黑体" w:hAnsi="黑体" w:eastAsia="黑体"/>
          <w:color w:val="000000" w:themeColor="text1"/>
          <w:sz w:val="28"/>
          <w:szCs w:val="28"/>
        </w:rPr>
        <w:t>1 FDA</w:t>
      </w:r>
      <w:r>
        <w:rPr>
          <w:rFonts w:hint="eastAsia" w:ascii="黑体" w:hAnsi="黑体" w:eastAsia="黑体"/>
          <w:color w:val="000000" w:themeColor="text1"/>
          <w:sz w:val="28"/>
          <w:szCs w:val="28"/>
        </w:rPr>
        <w:t>数据库同</w:t>
      </w:r>
      <w:r>
        <w:rPr>
          <w:rFonts w:hint="eastAsia" w:ascii="黑体" w:hAnsi="黑体" w:eastAsia="黑体"/>
          <w:color w:val="000000" w:themeColor="text1"/>
          <w:spacing w:val="-4"/>
          <w:sz w:val="28"/>
          <w:szCs w:val="28"/>
        </w:rPr>
        <w:t>类产品不良事件</w:t>
      </w:r>
    </w:p>
    <w:tbl>
      <w:tblPr>
        <w:tblStyle w:val="9"/>
        <w:tblW w:w="9214" w:type="dxa"/>
        <w:tblInd w:w="250" w:type="dxa"/>
        <w:tblLayout w:type="autofit"/>
        <w:tblCellMar>
          <w:top w:w="0" w:type="dxa"/>
          <w:left w:w="108" w:type="dxa"/>
          <w:bottom w:w="0" w:type="dxa"/>
          <w:right w:w="108" w:type="dxa"/>
        </w:tblCellMar>
      </w:tblPr>
      <w:tblGrid>
        <w:gridCol w:w="1843"/>
        <w:gridCol w:w="1701"/>
        <w:gridCol w:w="2943"/>
        <w:gridCol w:w="2727"/>
      </w:tblGrid>
      <w:tr>
        <w:tblPrEx>
          <w:tblCellMar>
            <w:top w:w="0" w:type="dxa"/>
            <w:left w:w="108" w:type="dxa"/>
            <w:bottom w:w="0" w:type="dxa"/>
            <w:right w:w="108" w:type="dxa"/>
          </w:tblCellMar>
        </w:tblPrEx>
        <w:trPr>
          <w:trHeight w:val="300" w:hRule="atLeast"/>
        </w:trPr>
        <w:tc>
          <w:tcPr>
            <w:tcW w:w="3544" w:type="dxa"/>
            <w:gridSpan w:val="2"/>
            <w:tcBorders>
              <w:top w:val="single" w:color="auto" w:sz="4" w:space="0"/>
              <w:left w:val="single" w:color="auto" w:sz="4" w:space="0"/>
              <w:bottom w:val="single" w:color="auto" w:sz="4" w:space="0"/>
              <w:right w:val="single" w:color="auto" w:sz="4" w:space="0"/>
            </w:tcBorders>
          </w:tcPr>
          <w:p>
            <w:pPr>
              <w:overflowPunct w:val="0"/>
              <w:spacing w:line="520" w:lineRule="exact"/>
              <w:jc w:val="center"/>
              <w:rPr>
                <w:rFonts w:ascii="仿宋_GB2312" w:hAnsi="黑体" w:eastAsia="仿宋_GB2312"/>
                <w:color w:val="000000" w:themeColor="text1"/>
                <w:spacing w:val="-4"/>
                <w:sz w:val="28"/>
                <w:szCs w:val="28"/>
              </w:rPr>
            </w:pPr>
            <w:r>
              <w:rPr>
                <w:rFonts w:hint="eastAsia" w:ascii="仿宋_GB2312" w:hAnsi="黑体" w:eastAsia="仿宋_GB2312"/>
                <w:color w:val="000000" w:themeColor="text1"/>
                <w:spacing w:val="-4"/>
                <w:sz w:val="28"/>
                <w:szCs w:val="28"/>
              </w:rPr>
              <w:t>不良事件与产品关系</w:t>
            </w:r>
          </w:p>
        </w:tc>
        <w:tc>
          <w:tcPr>
            <w:tcW w:w="2943" w:type="dxa"/>
            <w:tcBorders>
              <w:top w:val="single" w:color="auto" w:sz="4" w:space="0"/>
              <w:left w:val="single" w:color="auto" w:sz="4" w:space="0"/>
              <w:bottom w:val="single" w:color="auto" w:sz="4" w:space="0"/>
              <w:right w:val="single" w:color="auto" w:sz="4" w:space="0"/>
            </w:tcBorders>
            <w:shd w:val="clear" w:color="auto" w:fill="auto"/>
            <w:noWrap/>
          </w:tcPr>
          <w:p>
            <w:pPr>
              <w:overflowPunct w:val="0"/>
              <w:spacing w:line="520" w:lineRule="exact"/>
              <w:jc w:val="center"/>
              <w:rPr>
                <w:rFonts w:ascii="仿宋_GB2312" w:hAnsi="黑体" w:eastAsia="仿宋_GB2312"/>
                <w:color w:val="000000" w:themeColor="text1"/>
                <w:spacing w:val="-4"/>
                <w:sz w:val="28"/>
                <w:szCs w:val="28"/>
              </w:rPr>
            </w:pPr>
            <w:r>
              <w:rPr>
                <w:rFonts w:hint="eastAsia" w:ascii="仿宋_GB2312" w:hAnsi="黑体" w:eastAsia="仿宋_GB2312"/>
                <w:color w:val="000000" w:themeColor="text1"/>
                <w:spacing w:val="-4"/>
                <w:sz w:val="28"/>
                <w:szCs w:val="28"/>
              </w:rPr>
              <w:t>不良事件表现</w:t>
            </w:r>
          </w:p>
        </w:tc>
        <w:tc>
          <w:tcPr>
            <w:tcW w:w="2727" w:type="dxa"/>
            <w:tcBorders>
              <w:top w:val="single" w:color="auto" w:sz="4" w:space="0"/>
              <w:left w:val="nil"/>
              <w:bottom w:val="single" w:color="auto" w:sz="4" w:space="0"/>
              <w:right w:val="single" w:color="auto" w:sz="4" w:space="0"/>
            </w:tcBorders>
            <w:shd w:val="clear" w:color="auto" w:fill="auto"/>
            <w:noWrap/>
          </w:tcPr>
          <w:p>
            <w:pPr>
              <w:overflowPunct w:val="0"/>
              <w:spacing w:line="520" w:lineRule="exact"/>
              <w:jc w:val="center"/>
              <w:rPr>
                <w:rFonts w:ascii="仿宋_GB2312" w:hAnsi="黑体" w:eastAsia="仿宋_GB2312"/>
                <w:color w:val="000000" w:themeColor="text1"/>
                <w:spacing w:val="-4"/>
                <w:sz w:val="28"/>
                <w:szCs w:val="28"/>
              </w:rPr>
            </w:pPr>
            <w:r>
              <w:rPr>
                <w:rFonts w:hint="eastAsia" w:ascii="仿宋_GB2312" w:hAnsi="黑体" w:eastAsia="仿宋_GB2312"/>
                <w:color w:val="000000" w:themeColor="text1"/>
                <w:spacing w:val="-4"/>
                <w:sz w:val="28"/>
                <w:szCs w:val="28"/>
              </w:rPr>
              <w:t>不良事件原因</w:t>
            </w:r>
          </w:p>
        </w:tc>
      </w:tr>
      <w:tr>
        <w:tblPrEx>
          <w:tblCellMar>
            <w:top w:w="0" w:type="dxa"/>
            <w:left w:w="108" w:type="dxa"/>
            <w:bottom w:w="0" w:type="dxa"/>
            <w:right w:w="108" w:type="dxa"/>
          </w:tblCellMar>
        </w:tblPrEx>
        <w:trPr>
          <w:trHeight w:val="1118"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与产品有关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取石网篮使用过程中发现网篮无法开合</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可能原因为网篮各部件尺寸配合问题</w:t>
            </w:r>
          </w:p>
        </w:tc>
      </w:tr>
      <w:tr>
        <w:tblPrEx>
          <w:tblCellMar>
            <w:top w:w="0" w:type="dxa"/>
            <w:left w:w="108" w:type="dxa"/>
            <w:bottom w:w="0" w:type="dxa"/>
            <w:right w:w="108" w:type="dxa"/>
          </w:tblCellMar>
        </w:tblPrEx>
        <w:trPr>
          <w:trHeight w:val="1124"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与产品有关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网篮钢丝绳断</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可能原因为加工过程中出现的网篮钢丝绳断裂</w:t>
            </w:r>
          </w:p>
        </w:tc>
      </w:tr>
      <w:tr>
        <w:tblPrEx>
          <w:tblCellMar>
            <w:top w:w="0" w:type="dxa"/>
            <w:left w:w="108" w:type="dxa"/>
            <w:bottom w:w="0" w:type="dxa"/>
            <w:right w:w="108" w:type="dxa"/>
          </w:tblCellMar>
        </w:tblPrEx>
        <w:trPr>
          <w:trHeight w:val="1292"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与产品无关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非正常使用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网篮钢丝绳断</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可能原因为产品用于碎石</w:t>
            </w:r>
          </w:p>
        </w:tc>
      </w:tr>
      <w:tr>
        <w:tblPrEx>
          <w:tblCellMar>
            <w:top w:w="0" w:type="dxa"/>
            <w:left w:w="108" w:type="dxa"/>
            <w:bottom w:w="0" w:type="dxa"/>
            <w:right w:w="108" w:type="dxa"/>
          </w:tblCellMar>
        </w:tblPrEx>
        <w:trPr>
          <w:trHeight w:val="1249"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与产品有关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网篮前端帽脱落</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可能原因为产品用于碎石</w:t>
            </w:r>
          </w:p>
        </w:tc>
      </w:tr>
      <w:tr>
        <w:tblPrEx>
          <w:tblCellMar>
            <w:top w:w="0" w:type="dxa"/>
            <w:left w:w="108" w:type="dxa"/>
            <w:bottom w:w="0" w:type="dxa"/>
            <w:right w:w="108" w:type="dxa"/>
          </w:tblCellMar>
        </w:tblPrEx>
        <w:trPr>
          <w:trHeight w:val="1530"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与产品无关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非正常使用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网篮前端帽脱落</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可能原因为加工过程中连接力不够</w:t>
            </w:r>
          </w:p>
        </w:tc>
      </w:tr>
      <w:tr>
        <w:tblPrEx>
          <w:tblCellMar>
            <w:top w:w="0" w:type="dxa"/>
            <w:left w:w="108" w:type="dxa"/>
            <w:bottom w:w="0" w:type="dxa"/>
            <w:right w:w="108" w:type="dxa"/>
          </w:tblCellMar>
        </w:tblPrEx>
        <w:trPr>
          <w:trHeight w:val="838"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与产品有关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网篮拉索脱落</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可能原因为加工过程中连接力不够</w:t>
            </w:r>
          </w:p>
        </w:tc>
      </w:tr>
      <w:tr>
        <w:tblPrEx>
          <w:tblCellMar>
            <w:top w:w="0" w:type="dxa"/>
            <w:left w:w="108" w:type="dxa"/>
            <w:bottom w:w="0" w:type="dxa"/>
            <w:right w:w="108" w:type="dxa"/>
          </w:tblCellMar>
        </w:tblPrEx>
        <w:trPr>
          <w:trHeight w:val="565"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与产品有关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网篮无法打开至正常形状。网篮变形弯曲的</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可能原因为材料选择不当</w:t>
            </w:r>
          </w:p>
        </w:tc>
      </w:tr>
      <w:tr>
        <w:tblPrEx>
          <w:tblCellMar>
            <w:top w:w="0" w:type="dxa"/>
            <w:left w:w="108" w:type="dxa"/>
            <w:bottom w:w="0" w:type="dxa"/>
            <w:right w:w="108" w:type="dxa"/>
          </w:tblCellMar>
        </w:tblPrEx>
        <w:trPr>
          <w:trHeight w:val="1057" w:hRule="atLeast"/>
        </w:trPr>
        <w:tc>
          <w:tcPr>
            <w:tcW w:w="1843"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与产品有关</w:t>
            </w:r>
          </w:p>
        </w:tc>
        <w:tc>
          <w:tcPr>
            <w:tcW w:w="1701" w:type="dxa"/>
            <w:tcBorders>
              <w:top w:val="single" w:color="auto" w:sz="4" w:space="0"/>
              <w:left w:val="single" w:color="auto" w:sz="4" w:space="0"/>
              <w:bottom w:val="single" w:color="auto" w:sz="4" w:space="0"/>
              <w:right w:val="single" w:color="000000" w:sz="4" w:space="0"/>
            </w:tcBorders>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正常使用</w:t>
            </w:r>
          </w:p>
        </w:tc>
        <w:tc>
          <w:tcPr>
            <w:tcW w:w="2943" w:type="dxa"/>
            <w:tcBorders>
              <w:top w:val="single" w:color="auto" w:sz="4" w:space="0"/>
              <w:left w:val="single" w:color="auto" w:sz="4" w:space="0"/>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网篮外管与手柄脱离</w:t>
            </w:r>
          </w:p>
        </w:tc>
        <w:tc>
          <w:tcPr>
            <w:tcW w:w="2727" w:type="dxa"/>
            <w:tcBorders>
              <w:top w:val="single" w:color="auto" w:sz="4" w:space="0"/>
              <w:left w:val="nil"/>
              <w:bottom w:val="single" w:color="auto" w:sz="4" w:space="0"/>
              <w:right w:val="single" w:color="000000" w:sz="4" w:space="0"/>
            </w:tcBorders>
            <w:shd w:val="clear" w:color="auto" w:fill="auto"/>
            <w:vAlign w:val="center"/>
          </w:tcPr>
          <w:p>
            <w:pPr>
              <w:overflowPunct w:val="0"/>
              <w:spacing w:line="520" w:lineRule="exact"/>
              <w:rPr>
                <w:rFonts w:ascii="仿宋_GB2312" w:hAnsi="仿宋" w:eastAsia="仿宋_GB2312"/>
                <w:color w:val="000000" w:themeColor="text1"/>
                <w:spacing w:val="-4"/>
                <w:sz w:val="28"/>
                <w:szCs w:val="28"/>
              </w:rPr>
            </w:pPr>
            <w:r>
              <w:rPr>
                <w:rFonts w:hint="eastAsia" w:ascii="仿宋_GB2312" w:hAnsi="仿宋" w:eastAsia="仿宋_GB2312"/>
                <w:color w:val="000000" w:themeColor="text1"/>
                <w:spacing w:val="-4"/>
                <w:sz w:val="28"/>
                <w:szCs w:val="28"/>
              </w:rPr>
              <w:t>可能原因为生产制造过程中失误</w:t>
            </w:r>
          </w:p>
        </w:tc>
      </w:tr>
    </w:tbl>
    <w:p>
      <w:pPr>
        <w:spacing w:line="520" w:lineRule="exact"/>
        <w:ind w:firstLine="640" w:firstLineChars="200"/>
        <w:outlineLvl w:val="1"/>
        <w:rPr>
          <w:rFonts w:ascii="楷体_GB2312" w:hAnsi="楷体" w:eastAsia="楷体_GB2312"/>
          <w:bCs/>
          <w:color w:val="000000" w:themeColor="text1"/>
          <w:sz w:val="32"/>
          <w:szCs w:val="28"/>
        </w:rPr>
      </w:pPr>
    </w:p>
    <w:p>
      <w:pPr>
        <w:spacing w:line="520" w:lineRule="exact"/>
        <w:ind w:firstLine="640" w:firstLineChars="200"/>
        <w:outlineLvl w:val="1"/>
        <w:rPr>
          <w:rFonts w:ascii="楷体_GB2312" w:hAnsi="楷体" w:eastAsia="楷体_GB2312"/>
          <w:bCs/>
          <w:color w:val="000000" w:themeColor="text1"/>
          <w:sz w:val="32"/>
          <w:szCs w:val="28"/>
        </w:rPr>
      </w:pPr>
      <w:r>
        <w:rPr>
          <w:rFonts w:hint="eastAsia" w:ascii="楷体_GB2312" w:hAnsi="楷体" w:eastAsia="楷体_GB2312"/>
          <w:bCs/>
          <w:color w:val="000000" w:themeColor="text1"/>
          <w:sz w:val="32"/>
          <w:szCs w:val="28"/>
        </w:rPr>
        <w:t>（三）非临床资料</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1</w:t>
      </w:r>
      <w:r>
        <w:rPr>
          <w:rFonts w:eastAsia="仿宋_GB2312"/>
          <w:color w:val="000000" w:themeColor="text1"/>
          <w:sz w:val="32"/>
          <w:szCs w:val="28"/>
        </w:rPr>
        <w:t>.</w:t>
      </w:r>
      <w:r>
        <w:rPr>
          <w:rFonts w:hint="eastAsia" w:eastAsia="仿宋_GB2312"/>
          <w:color w:val="000000" w:themeColor="text1"/>
          <w:sz w:val="32"/>
          <w:szCs w:val="28"/>
        </w:rPr>
        <w:t>产品风险管理资料</w:t>
      </w:r>
    </w:p>
    <w:p>
      <w:pPr>
        <w:spacing w:line="520" w:lineRule="exact"/>
        <w:ind w:firstLine="640" w:firstLineChars="200"/>
        <w:rPr>
          <w:rFonts w:eastAsia="仿宋_GB2312"/>
          <w:color w:val="000000" w:themeColor="text1"/>
          <w:sz w:val="32"/>
          <w:szCs w:val="28"/>
        </w:rPr>
      </w:pPr>
      <w:r>
        <w:rPr>
          <w:rFonts w:eastAsia="仿宋_GB2312"/>
          <w:color w:val="000000" w:themeColor="text1"/>
          <w:sz w:val="32"/>
          <w:szCs w:val="28"/>
        </w:rPr>
        <w:t>产品的风险管理报告应符合YY/T 0316《医疗器械风险管理对医疗器械的应用》的有关要求，判断与产品有关的危险，估计和评价相关风险，控制这些风险并监视控制的有效性。</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表2、表3依据YY/T 0316的附录E提示性列举了取石网篮可能存在危险的初始事件和环境，示例性地给出了危险、可预见的事件序列、危险情况和可发生的伤害之间的关系。</w:t>
      </w:r>
    </w:p>
    <w:p>
      <w:pPr>
        <w:spacing w:line="520" w:lineRule="exact"/>
        <w:ind w:firstLine="640" w:firstLineChars="200"/>
        <w:rPr>
          <w:rFonts w:eastAsia="仿宋_GB2312"/>
          <w:color w:val="000000" w:themeColor="text1"/>
          <w:sz w:val="32"/>
          <w:szCs w:val="28"/>
        </w:rPr>
      </w:pPr>
      <w:r>
        <w:rPr>
          <w:rFonts w:eastAsia="仿宋_GB2312"/>
          <w:color w:val="000000" w:themeColor="text1"/>
          <w:sz w:val="32"/>
          <w:szCs w:val="28"/>
        </w:rPr>
        <w:t>申请人提供注册产品的风险管理报告应扼要说明：</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（1）</w:t>
      </w:r>
      <w:r>
        <w:rPr>
          <w:rFonts w:eastAsia="仿宋_GB2312"/>
          <w:color w:val="000000" w:themeColor="text1"/>
          <w:sz w:val="32"/>
          <w:szCs w:val="28"/>
        </w:rPr>
        <w:t>在产品的研制阶段，已对其有关可能的危险及产生的风险进行了估计和评价，并有针对性地实施了降低风险的技术和管理方面的措施。</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（2）</w:t>
      </w:r>
      <w:r>
        <w:rPr>
          <w:rFonts w:eastAsia="仿宋_GB2312"/>
          <w:color w:val="000000" w:themeColor="text1"/>
          <w:sz w:val="32"/>
          <w:szCs w:val="28"/>
        </w:rPr>
        <w:t>在产品性能测试</w:t>
      </w:r>
      <w:r>
        <w:rPr>
          <w:rFonts w:hint="eastAsia" w:eastAsia="仿宋_GB2312"/>
          <w:color w:val="000000" w:themeColor="text1"/>
          <w:sz w:val="32"/>
          <w:szCs w:val="28"/>
        </w:rPr>
        <w:t>部分中</w:t>
      </w:r>
      <w:r>
        <w:rPr>
          <w:rFonts w:eastAsia="仿宋_GB2312"/>
          <w:color w:val="000000" w:themeColor="text1"/>
          <w:sz w:val="32"/>
          <w:szCs w:val="28"/>
        </w:rPr>
        <w:t>验证了这些措施的有效性，达到了通用和相应专用标准的要求。</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（3）</w:t>
      </w:r>
      <w:r>
        <w:rPr>
          <w:rFonts w:eastAsia="仿宋_GB2312"/>
          <w:color w:val="000000" w:themeColor="text1"/>
          <w:sz w:val="32"/>
          <w:szCs w:val="28"/>
        </w:rPr>
        <w:t>对所有剩余风险进行了评价。</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（4）</w:t>
      </w:r>
      <w:r>
        <w:rPr>
          <w:rFonts w:eastAsia="仿宋_GB2312"/>
          <w:color w:val="000000" w:themeColor="text1"/>
          <w:sz w:val="32"/>
          <w:szCs w:val="28"/>
        </w:rPr>
        <w:t>全部达到可接受的水平。</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w:t>
      </w:r>
      <w:r>
        <w:rPr>
          <w:rFonts w:eastAsia="仿宋_GB2312"/>
          <w:color w:val="000000" w:themeColor="text1"/>
          <w:sz w:val="32"/>
          <w:szCs w:val="28"/>
        </w:rPr>
        <w:t>对产品的安全性的承诺。</w:t>
      </w:r>
    </w:p>
    <w:p>
      <w:pPr>
        <w:widowControl/>
        <w:spacing w:line="520" w:lineRule="exact"/>
        <w:jc w:val="center"/>
        <w:rPr>
          <w:rFonts w:eastAsia="仿宋_GB2312"/>
          <w:color w:val="000000" w:themeColor="text1"/>
          <w:spacing w:val="-4"/>
          <w:kern w:val="0"/>
          <w:sz w:val="32"/>
          <w:szCs w:val="28"/>
        </w:rPr>
      </w:pPr>
    </w:p>
    <w:p>
      <w:pPr>
        <w:widowControl/>
        <w:spacing w:line="520" w:lineRule="exact"/>
        <w:jc w:val="center"/>
        <w:rPr>
          <w:rFonts w:ascii="仿宋" w:hAnsi="仿宋" w:eastAsia="仿宋"/>
          <w:color w:val="000000" w:themeColor="text1"/>
          <w:spacing w:val="-4"/>
          <w:kern w:val="0"/>
          <w:sz w:val="28"/>
          <w:szCs w:val="28"/>
        </w:rPr>
      </w:pPr>
      <w:r>
        <w:rPr>
          <w:rFonts w:ascii="黑体" w:hAnsi="黑体" w:eastAsia="黑体"/>
          <w:color w:val="000000" w:themeColor="text1"/>
          <w:spacing w:val="-4"/>
          <w:kern w:val="0"/>
          <w:sz w:val="28"/>
          <w:szCs w:val="28"/>
        </w:rPr>
        <w:t>表2 产品主要初始危险因素</w:t>
      </w:r>
    </w:p>
    <w:tbl>
      <w:tblPr>
        <w:tblStyle w:val="9"/>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42"/>
        <w:gridCol w:w="638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80" w:hRule="atLeast"/>
          <w:tblHeader/>
          <w:jc w:val="center"/>
        </w:trPr>
        <w:tc>
          <w:tcPr>
            <w:tcW w:w="2260" w:type="dxa"/>
            <w:tcBorders>
              <w:top w:val="single" w:color="auto" w:sz="4" w:space="0"/>
              <w:left w:val="single" w:color="auto" w:sz="4" w:space="0"/>
              <w:bottom w:val="single" w:color="auto" w:sz="4" w:space="0"/>
              <w:right w:val="single" w:color="auto" w:sz="4" w:space="0"/>
            </w:tcBorders>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通用类别</w:t>
            </w:r>
          </w:p>
        </w:tc>
        <w:tc>
          <w:tcPr>
            <w:tcW w:w="6872" w:type="dxa"/>
            <w:tcBorders>
              <w:top w:val="single" w:color="auto" w:sz="4" w:space="0"/>
              <w:left w:val="single" w:color="auto" w:sz="4" w:space="0"/>
              <w:bottom w:val="single" w:color="auto" w:sz="4" w:space="0"/>
              <w:right w:val="single" w:color="auto" w:sz="4" w:space="0"/>
            </w:tcBorders>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初始事件和环境示例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38" w:hRule="atLeast"/>
          <w:jc w:val="center"/>
        </w:trPr>
        <w:tc>
          <w:tcPr>
            <w:tcW w:w="2260" w:type="dxa"/>
            <w:tcBorders>
              <w:top w:val="single" w:color="auto" w:sz="4" w:space="0"/>
              <w:left w:val="single" w:color="auto" w:sz="4" w:space="0"/>
              <w:right w:val="single" w:color="auto" w:sz="4" w:space="0"/>
            </w:tcBorders>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不完整的要求</w:t>
            </w:r>
          </w:p>
        </w:tc>
        <w:tc>
          <w:tcPr>
            <w:tcW w:w="6872" w:type="dxa"/>
            <w:tcBorders>
              <w:top w:val="single" w:color="auto" w:sz="4" w:space="0"/>
              <w:left w:val="single" w:color="auto" w:sz="4" w:space="0"/>
              <w:right w:val="single" w:color="auto" w:sz="4" w:space="0"/>
            </w:tcBorders>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设计参数的不恰当规范：手柄和金属件连接不牢固，网篮不能正常地展开或者回缩，均可能对使用者或患者造成机械损伤；</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性能要求不恰当规范：性能参数与实际使用情况不匹配，导致机械损伤。</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与人体直接接触部件材料的生物相容性问题。</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服务中的要求不恰当规范：使用说明书未对取石网篮方法进行说明，导致网篮不能正常使用。</w:t>
            </w:r>
          </w:p>
          <w:p>
            <w:pPr>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有效期不恰当规范：在标识的灭菌有效期前，已无法保证产品的无菌。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001" w:hRule="atLeast"/>
          <w:jc w:val="center"/>
        </w:trPr>
        <w:tc>
          <w:tcPr>
            <w:tcW w:w="2260" w:type="dxa"/>
            <w:tcBorders>
              <w:top w:val="single" w:color="auto" w:sz="4" w:space="0"/>
              <w:left w:val="single" w:color="auto" w:sz="4" w:space="0"/>
              <w:bottom w:val="single" w:color="auto" w:sz="4" w:space="0"/>
              <w:right w:val="single" w:color="auto" w:sz="4" w:space="0"/>
            </w:tcBorders>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制造过程</w:t>
            </w:r>
          </w:p>
        </w:tc>
        <w:tc>
          <w:tcPr>
            <w:tcW w:w="6872" w:type="dxa"/>
            <w:tcBorders>
              <w:top w:val="single" w:color="auto" w:sz="4" w:space="0"/>
              <w:left w:val="single" w:color="auto" w:sz="4" w:space="0"/>
              <w:bottom w:val="single" w:color="auto" w:sz="4" w:space="0"/>
              <w:right w:val="single" w:color="auto" w:sz="4" w:space="0"/>
            </w:tcBorders>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制造过程的控制不充分：生产过程关键工序控制点未进行监测，导致取石网篮不合格。</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供方的控制不充分：外购、外协件供方选择不当，外购、外协件未进行有效进货检验，导致不合格外购、外协件投入生产。</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灭菌服务方控制不充分：未按照经确认的灭菌参数进行灭菌，导致灭菌失败。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31" w:hRule="atLeast"/>
          <w:jc w:val="center"/>
        </w:trPr>
        <w:tc>
          <w:tcPr>
            <w:tcW w:w="2260" w:type="dxa"/>
            <w:tcBorders>
              <w:top w:val="single" w:color="auto" w:sz="4" w:space="0"/>
              <w:left w:val="single" w:color="auto" w:sz="4" w:space="0"/>
              <w:bottom w:val="single" w:color="auto" w:sz="4" w:space="0"/>
              <w:right w:val="single" w:color="auto" w:sz="4" w:space="0"/>
            </w:tcBorders>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运输和贮藏</w:t>
            </w:r>
          </w:p>
        </w:tc>
        <w:tc>
          <w:tcPr>
            <w:tcW w:w="6872" w:type="dxa"/>
            <w:tcBorders>
              <w:top w:val="single" w:color="auto" w:sz="4" w:space="0"/>
              <w:left w:val="single" w:color="auto" w:sz="4" w:space="0"/>
              <w:bottom w:val="single" w:color="auto" w:sz="4" w:space="0"/>
              <w:right w:val="single" w:color="auto" w:sz="4" w:space="0"/>
            </w:tcBorders>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不恰当的包装：产品防护不当导致产品运输过程中损坏或无菌失效。</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不适当的环境条件：产品存放于极端恶劣的环境条件中，如不干净的仓库，长时间高温/低温、高湿的环境，造成产品受到污染。</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59" w:hRule="atLeast"/>
          <w:jc w:val="center"/>
        </w:trPr>
        <w:tc>
          <w:tcPr>
            <w:tcW w:w="2260" w:type="dxa"/>
            <w:tcBorders>
              <w:top w:val="single" w:color="auto" w:sz="4" w:space="0"/>
              <w:left w:val="single" w:color="auto" w:sz="4" w:space="0"/>
              <w:bottom w:val="single" w:color="auto" w:sz="4" w:space="0"/>
              <w:right w:val="single" w:color="auto" w:sz="4" w:space="0"/>
            </w:tcBorders>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清洁、消毒和</w:t>
            </w:r>
          </w:p>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灭菌</w:t>
            </w:r>
          </w:p>
        </w:tc>
        <w:tc>
          <w:tcPr>
            <w:tcW w:w="6872" w:type="dxa"/>
            <w:tcBorders>
              <w:top w:val="single" w:color="auto" w:sz="4" w:space="0"/>
              <w:left w:val="single" w:color="auto" w:sz="4" w:space="0"/>
              <w:bottom w:val="single" w:color="auto" w:sz="4" w:space="0"/>
              <w:right w:val="single" w:color="auto" w:sz="4" w:space="0"/>
            </w:tcBorders>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清洁执行不恰当：未对产品清洁工艺进行确认或未按照确认过的参数进行清洁，导致清洁不彻底，产品有污染。</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灭菌执行不恰当：未按要求对取石网篮进行灭菌，或未达到灭菌效果。</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灭菌后未按照要求进行解析，导致产品环氧乙烷残留量超标，对人体造成伤害。</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08" w:hRule="atLeast"/>
          <w:jc w:val="center"/>
        </w:trPr>
        <w:tc>
          <w:tcPr>
            <w:tcW w:w="2260" w:type="dxa"/>
            <w:tcBorders>
              <w:top w:val="single" w:color="auto" w:sz="4" w:space="0"/>
              <w:left w:val="single" w:color="auto" w:sz="4" w:space="0"/>
              <w:bottom w:val="single" w:color="auto" w:sz="4" w:space="0"/>
              <w:right w:val="single" w:color="auto" w:sz="4" w:space="0"/>
            </w:tcBorders>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处置和废弃</w:t>
            </w:r>
          </w:p>
        </w:tc>
        <w:tc>
          <w:tcPr>
            <w:tcW w:w="6872" w:type="dxa"/>
            <w:tcBorders>
              <w:top w:val="single" w:color="auto" w:sz="4" w:space="0"/>
              <w:left w:val="single" w:color="auto" w:sz="4" w:space="0"/>
              <w:bottom w:val="single" w:color="auto" w:sz="4" w:space="0"/>
              <w:right w:val="single" w:color="auto" w:sz="4" w:space="0"/>
            </w:tcBorders>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没提供信息或提供信息不充分：未在使用说明书中对产品处置和废弃方法进行说明，或信息不充分</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64" w:hRule="atLeast"/>
          <w:jc w:val="center"/>
        </w:trPr>
        <w:tc>
          <w:tcPr>
            <w:tcW w:w="22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材料</w:t>
            </w:r>
          </w:p>
        </w:tc>
        <w:tc>
          <w:tcPr>
            <w:tcW w:w="687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生物相容性：与人体接触的网篮部分或其他部件选择不当可致过敏等反应。</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34" w:hRule="atLeast"/>
          <w:jc w:val="center"/>
        </w:trPr>
        <w:tc>
          <w:tcPr>
            <w:tcW w:w="2260" w:type="dxa"/>
            <w:tcBorders>
              <w:top w:val="single" w:color="auto" w:sz="4" w:space="0"/>
              <w:left w:val="single" w:color="auto" w:sz="4" w:space="0"/>
              <w:right w:val="single" w:color="auto" w:sz="4" w:space="0"/>
            </w:tcBorders>
            <w:shd w:val="clear" w:color="auto" w:fill="auto"/>
            <w:vAlign w:val="center"/>
          </w:tcPr>
          <w:p>
            <w:pPr>
              <w:spacing w:line="520" w:lineRule="exact"/>
              <w:jc w:val="center"/>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人为因素</w:t>
            </w:r>
          </w:p>
        </w:tc>
        <w:tc>
          <w:tcPr>
            <w:tcW w:w="6872" w:type="dxa"/>
            <w:tcBorders>
              <w:top w:val="single" w:color="auto" w:sz="4" w:space="0"/>
              <w:left w:val="single" w:color="auto" w:sz="4" w:space="0"/>
              <w:right w:val="single" w:color="auto" w:sz="4" w:space="0"/>
            </w:tcBorders>
            <w:shd w:val="clear" w:color="auto" w:fill="auto"/>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易混淆的或缺少使用说明书：如缺少详细的使用方法、缺少必要的警告说明；使用不适当的取石网篮；操作说明过于复杂，不易懂。</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由缺乏技术的/未经培训的人员使用：使用者/操作者未经培训或培训不足，不能正确使用取石网篮。</w:t>
            </w:r>
          </w:p>
        </w:tc>
      </w:tr>
    </w:tbl>
    <w:p>
      <w:pPr>
        <w:spacing w:line="520" w:lineRule="exact"/>
        <w:jc w:val="center"/>
        <w:rPr>
          <w:rFonts w:ascii="仿宋" w:hAnsi="仿宋" w:eastAsia="仿宋"/>
          <w:bCs/>
          <w:color w:val="000000" w:themeColor="text1"/>
          <w:sz w:val="28"/>
          <w:szCs w:val="28"/>
        </w:rPr>
      </w:pPr>
    </w:p>
    <w:p>
      <w:pPr>
        <w:spacing w:line="520" w:lineRule="exact"/>
        <w:jc w:val="center"/>
        <w:rPr>
          <w:rFonts w:ascii="黑体" w:hAnsi="黑体" w:eastAsia="黑体"/>
          <w:bCs/>
          <w:color w:val="000000" w:themeColor="text1"/>
          <w:sz w:val="28"/>
          <w:szCs w:val="28"/>
        </w:rPr>
      </w:pPr>
      <w:r>
        <w:rPr>
          <w:rFonts w:ascii="黑体" w:hAnsi="黑体" w:eastAsia="黑体"/>
          <w:bCs/>
          <w:color w:val="000000" w:themeColor="text1"/>
          <w:sz w:val="28"/>
          <w:szCs w:val="28"/>
        </w:rPr>
        <w:t>表3 部分危险、可预见的事件序列、危险情况</w:t>
      </w:r>
    </w:p>
    <w:p>
      <w:pPr>
        <w:spacing w:line="520" w:lineRule="exact"/>
        <w:jc w:val="center"/>
        <w:rPr>
          <w:rFonts w:ascii="黑体" w:hAnsi="黑体" w:eastAsia="黑体"/>
          <w:bCs/>
          <w:color w:val="000000" w:themeColor="text1"/>
          <w:sz w:val="28"/>
          <w:szCs w:val="28"/>
        </w:rPr>
      </w:pPr>
      <w:r>
        <w:rPr>
          <w:rFonts w:ascii="黑体" w:hAnsi="黑体" w:eastAsia="黑体"/>
          <w:bCs/>
          <w:color w:val="000000" w:themeColor="text1"/>
          <w:sz w:val="28"/>
          <w:szCs w:val="28"/>
        </w:rPr>
        <w:t>和可发生的伤害之间的关系</w:t>
      </w:r>
    </w:p>
    <w:tbl>
      <w:tblPr>
        <w:tblStyle w:val="9"/>
        <w:tblW w:w="97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3118"/>
        <w:gridCol w:w="2410"/>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blHeader/>
          <w:jc w:val="center"/>
        </w:trPr>
        <w:tc>
          <w:tcPr>
            <w:tcW w:w="1555" w:type="dxa"/>
            <w:vAlign w:val="center"/>
          </w:tcPr>
          <w:p>
            <w:pPr>
              <w:widowControl/>
              <w:spacing w:line="520" w:lineRule="exact"/>
              <w:jc w:val="center"/>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危险</w:t>
            </w:r>
          </w:p>
        </w:tc>
        <w:tc>
          <w:tcPr>
            <w:tcW w:w="3118" w:type="dxa"/>
            <w:vAlign w:val="center"/>
          </w:tcPr>
          <w:p>
            <w:pPr>
              <w:widowControl/>
              <w:spacing w:line="520" w:lineRule="exact"/>
              <w:jc w:val="center"/>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可预见的事件序列</w:t>
            </w:r>
          </w:p>
        </w:tc>
        <w:tc>
          <w:tcPr>
            <w:tcW w:w="2410" w:type="dxa"/>
            <w:vAlign w:val="center"/>
          </w:tcPr>
          <w:p>
            <w:pPr>
              <w:widowControl/>
              <w:spacing w:line="520" w:lineRule="exact"/>
              <w:jc w:val="center"/>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危险情况</w:t>
            </w:r>
          </w:p>
        </w:tc>
        <w:tc>
          <w:tcPr>
            <w:tcW w:w="2617" w:type="dxa"/>
            <w:vAlign w:val="center"/>
          </w:tcPr>
          <w:p>
            <w:pPr>
              <w:widowControl/>
              <w:spacing w:line="520" w:lineRule="exact"/>
              <w:jc w:val="center"/>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4"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化学的</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环氧乙烷残留量超标</w:t>
            </w:r>
            <w:r>
              <w:rPr>
                <w:rFonts w:hint="eastAsia" w:ascii="仿宋_GB2312" w:hAnsi="仿宋" w:eastAsia="仿宋_GB2312"/>
                <w:color w:val="000000" w:themeColor="text1"/>
                <w:kern w:val="0"/>
                <w:sz w:val="28"/>
                <w:szCs w:val="28"/>
              </w:rPr>
              <w:t>。</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环氧乙烷残留量超标接触患者</w:t>
            </w:r>
            <w:r>
              <w:rPr>
                <w:rFonts w:hint="eastAsia" w:ascii="仿宋_GB2312" w:hAnsi="仿宋" w:eastAsia="仿宋_GB2312"/>
                <w:color w:val="000000" w:themeColor="text1"/>
                <w:kern w:val="0"/>
                <w:sz w:val="28"/>
                <w:szCs w:val="28"/>
              </w:rPr>
              <w:t>。</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患者可能引起中毒、皮肤刺激过敏等症状，甚至危害患者生命。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生物学的</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产品被多次使用；</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灭菌参数未确认；</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产品灭菌后带菌；</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包装袋在存储中或者运输中损坏；</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产品超出有效期被继续使用。</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被多次使用的产品接触患者；</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带菌产品接触到患者；</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超有效期产品接触到患者。</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患者感染新的菌种，出现皮肤过敏、发热等症状。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生物相容性</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产品无良好的生物相容性。</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与人体组织不相容的器械使用于人体。</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中毒、刺激、过敏等症状，伤害患者健康，严重时危及患者生命。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生物危害</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产品用完被当</w:t>
            </w:r>
            <w:r>
              <w:rPr>
                <w:rFonts w:hint="eastAsia" w:ascii="仿宋_GB2312" w:hAnsi="仿宋" w:eastAsia="仿宋_GB2312"/>
                <w:color w:val="000000" w:themeColor="text1"/>
                <w:kern w:val="0"/>
                <w:sz w:val="28"/>
                <w:szCs w:val="28"/>
              </w:rPr>
              <w:t>作</w:t>
            </w:r>
            <w:r>
              <w:rPr>
                <w:rFonts w:ascii="仿宋_GB2312" w:hAnsi="仿宋" w:eastAsia="仿宋_GB2312"/>
                <w:color w:val="000000" w:themeColor="text1"/>
                <w:kern w:val="0"/>
                <w:sz w:val="28"/>
                <w:szCs w:val="28"/>
              </w:rPr>
              <w:t>一般垃圾随意丢弃</w:t>
            </w:r>
            <w:r>
              <w:rPr>
                <w:rFonts w:hint="eastAsia" w:ascii="仿宋_GB2312" w:hAnsi="仿宋" w:eastAsia="仿宋_GB2312"/>
                <w:color w:val="000000" w:themeColor="text1"/>
                <w:kern w:val="0"/>
                <w:sz w:val="28"/>
                <w:szCs w:val="28"/>
              </w:rPr>
              <w:t>。</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随意丢弃的产品上带有患者的病菌，接触到垃圾处置人员</w:t>
            </w:r>
            <w:r>
              <w:rPr>
                <w:rFonts w:hint="eastAsia" w:ascii="仿宋_GB2312" w:hAnsi="仿宋" w:eastAsia="仿宋_GB2312"/>
                <w:color w:val="000000" w:themeColor="text1"/>
                <w:kern w:val="0"/>
                <w:sz w:val="28"/>
                <w:szCs w:val="28"/>
              </w:rPr>
              <w:t>。</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垃圾处置人员受到感染，可能会出现发热等症状。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药物相容性危害</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药物不相容性</w:t>
            </w:r>
          </w:p>
        </w:tc>
        <w:tc>
          <w:tcPr>
            <w:tcW w:w="2410" w:type="dxa"/>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取石网篮注液材质与药物发生物理吸附，化学作用或者迁移作用。</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取石网篮和药物之间发生作用，导致药效及稳定性改变。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机械危害</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前端帽脱落；</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 xml:space="preserve">网篮与牵引丝脱落； </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手柄</w:t>
            </w:r>
            <w:r>
              <w:rPr>
                <w:rFonts w:ascii="仿宋_GB2312" w:hAnsi="仿宋" w:eastAsia="仿宋_GB2312"/>
                <w:color w:val="000000" w:themeColor="text1"/>
                <w:kern w:val="0"/>
                <w:sz w:val="28"/>
                <w:szCs w:val="28"/>
              </w:rPr>
              <w:t>在操作过程中脱落</w:t>
            </w:r>
            <w:r>
              <w:rPr>
                <w:rFonts w:hint="eastAsia" w:ascii="仿宋_GB2312" w:hAnsi="仿宋" w:eastAsia="仿宋_GB2312"/>
                <w:color w:val="000000" w:themeColor="text1"/>
                <w:kern w:val="0"/>
                <w:sz w:val="28"/>
                <w:szCs w:val="28"/>
              </w:rPr>
              <w:t>；</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牵引丝断裂；</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网篮变形、断裂无法取石；</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在</w:t>
            </w:r>
            <w:r>
              <w:rPr>
                <w:rFonts w:ascii="仿宋_GB2312" w:hAnsi="仿宋" w:eastAsia="仿宋_GB2312"/>
                <w:color w:val="000000" w:themeColor="text1"/>
                <w:kern w:val="0"/>
                <w:sz w:val="28"/>
                <w:szCs w:val="28"/>
              </w:rPr>
              <w:t>推进或撤回器械的过程中遇到阻力</w:t>
            </w:r>
            <w:r>
              <w:rPr>
                <w:rFonts w:hint="eastAsia" w:ascii="仿宋_GB2312" w:hAnsi="仿宋" w:eastAsia="仿宋_GB2312"/>
                <w:color w:val="000000" w:themeColor="text1"/>
                <w:kern w:val="0"/>
                <w:sz w:val="28"/>
                <w:szCs w:val="28"/>
              </w:rPr>
              <w:t>；</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网篮已</w:t>
            </w:r>
            <w:r>
              <w:rPr>
                <w:rFonts w:ascii="仿宋_GB2312" w:hAnsi="仿宋" w:eastAsia="仿宋_GB2312"/>
                <w:color w:val="000000" w:themeColor="text1"/>
                <w:kern w:val="0"/>
                <w:sz w:val="28"/>
                <w:szCs w:val="28"/>
              </w:rPr>
              <w:t>进入患者</w:t>
            </w:r>
            <w:r>
              <w:rPr>
                <w:rFonts w:hint="eastAsia" w:ascii="仿宋_GB2312" w:hAnsi="仿宋" w:eastAsia="仿宋_GB2312"/>
                <w:color w:val="000000" w:themeColor="text1"/>
                <w:kern w:val="0"/>
                <w:sz w:val="28"/>
                <w:szCs w:val="28"/>
              </w:rPr>
              <w:t>体</w:t>
            </w:r>
            <w:r>
              <w:rPr>
                <w:rFonts w:ascii="仿宋_GB2312" w:hAnsi="仿宋" w:eastAsia="仿宋_GB2312"/>
                <w:color w:val="000000" w:themeColor="text1"/>
                <w:kern w:val="0"/>
                <w:sz w:val="28"/>
                <w:szCs w:val="28"/>
              </w:rPr>
              <w:t>内</w:t>
            </w:r>
            <w:r>
              <w:rPr>
                <w:rFonts w:hint="eastAsia" w:ascii="仿宋_GB2312" w:hAnsi="仿宋" w:eastAsia="仿宋_GB2312"/>
                <w:color w:val="000000" w:themeColor="text1"/>
                <w:kern w:val="0"/>
                <w:sz w:val="28"/>
                <w:szCs w:val="28"/>
              </w:rPr>
              <w:t>。</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患者通</w:t>
            </w:r>
            <w:r>
              <w:rPr>
                <w:rFonts w:ascii="仿宋_GB2312" w:hAnsi="仿宋" w:eastAsia="仿宋_GB2312"/>
                <w:color w:val="000000" w:themeColor="text1"/>
                <w:kern w:val="0"/>
                <w:sz w:val="28"/>
                <w:szCs w:val="28"/>
              </w:rPr>
              <w:t>道穿孔</w:t>
            </w:r>
            <w:r>
              <w:rPr>
                <w:rFonts w:hint="eastAsia" w:ascii="仿宋_GB2312" w:hAnsi="仿宋" w:eastAsia="仿宋_GB2312"/>
                <w:color w:val="000000" w:themeColor="text1"/>
                <w:kern w:val="0"/>
                <w:sz w:val="28"/>
                <w:szCs w:val="28"/>
              </w:rPr>
              <w:t>，需要二次手术；</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在</w:t>
            </w:r>
            <w:r>
              <w:rPr>
                <w:rFonts w:ascii="仿宋_GB2312" w:hAnsi="仿宋" w:eastAsia="仿宋_GB2312"/>
                <w:color w:val="000000" w:themeColor="text1"/>
                <w:kern w:val="0"/>
                <w:sz w:val="28"/>
                <w:szCs w:val="28"/>
              </w:rPr>
              <w:t>推进或撤回器械的过程中遇到阻力，用力过大从而损伤</w:t>
            </w:r>
            <w:r>
              <w:rPr>
                <w:rFonts w:hint="eastAsia" w:ascii="仿宋_GB2312" w:hAnsi="仿宋" w:eastAsia="仿宋_GB2312"/>
                <w:color w:val="000000" w:themeColor="text1"/>
                <w:kern w:val="0"/>
                <w:sz w:val="28"/>
                <w:szCs w:val="28"/>
              </w:rPr>
              <w:t>通道</w:t>
            </w:r>
            <w:r>
              <w:rPr>
                <w:rFonts w:ascii="仿宋_GB2312" w:hAnsi="仿宋" w:eastAsia="仿宋_GB2312"/>
                <w:color w:val="000000" w:themeColor="text1"/>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Merge w:val="restart"/>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功能危害</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内窥镜的镜子</w:t>
            </w:r>
            <w:r>
              <w:rPr>
                <w:rFonts w:hint="eastAsia" w:ascii="仿宋_GB2312" w:hAnsi="仿宋" w:eastAsia="仿宋_GB2312"/>
                <w:color w:val="000000" w:themeColor="text1"/>
                <w:kern w:val="0"/>
                <w:sz w:val="28"/>
                <w:szCs w:val="28"/>
              </w:rPr>
              <w:t>与本</w:t>
            </w:r>
            <w:r>
              <w:rPr>
                <w:rFonts w:ascii="仿宋_GB2312" w:hAnsi="仿宋" w:eastAsia="仿宋_GB2312"/>
                <w:color w:val="000000" w:themeColor="text1"/>
                <w:kern w:val="0"/>
                <w:sz w:val="28"/>
                <w:szCs w:val="28"/>
              </w:rPr>
              <w:t>产品的外径配合间隙过小</w:t>
            </w:r>
            <w:r>
              <w:rPr>
                <w:rFonts w:hint="eastAsia" w:ascii="仿宋_GB2312" w:hAnsi="仿宋" w:eastAsia="仿宋_GB2312"/>
                <w:color w:val="000000" w:themeColor="text1"/>
                <w:kern w:val="0"/>
                <w:sz w:val="28"/>
                <w:szCs w:val="28"/>
              </w:rPr>
              <w:t>。</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网篮组件</w:t>
            </w:r>
            <w:r>
              <w:rPr>
                <w:rFonts w:ascii="仿宋_GB2312" w:hAnsi="仿宋" w:eastAsia="仿宋_GB2312"/>
                <w:color w:val="000000" w:themeColor="text1"/>
                <w:kern w:val="0"/>
                <w:sz w:val="28"/>
                <w:szCs w:val="28"/>
              </w:rPr>
              <w:t>部分能顺利进入内窥镜镜子和患者</w:t>
            </w:r>
            <w:r>
              <w:rPr>
                <w:rFonts w:hint="eastAsia" w:ascii="仿宋_GB2312" w:hAnsi="仿宋" w:eastAsia="仿宋_GB2312"/>
                <w:color w:val="000000" w:themeColor="text1"/>
                <w:kern w:val="0"/>
                <w:sz w:val="28"/>
                <w:szCs w:val="28"/>
              </w:rPr>
              <w:t>通</w:t>
            </w:r>
            <w:r>
              <w:rPr>
                <w:rFonts w:ascii="仿宋_GB2312" w:hAnsi="仿宋" w:eastAsia="仿宋_GB2312"/>
                <w:color w:val="000000" w:themeColor="text1"/>
                <w:kern w:val="0"/>
                <w:sz w:val="28"/>
                <w:szCs w:val="28"/>
              </w:rPr>
              <w:t>道，但</w:t>
            </w:r>
            <w:r>
              <w:rPr>
                <w:rFonts w:hint="eastAsia" w:ascii="仿宋_GB2312" w:hAnsi="仿宋" w:eastAsia="仿宋_GB2312"/>
                <w:color w:val="000000" w:themeColor="text1"/>
                <w:kern w:val="0"/>
                <w:sz w:val="28"/>
                <w:szCs w:val="28"/>
              </w:rPr>
              <w:t>外管</w:t>
            </w:r>
            <w:r>
              <w:rPr>
                <w:rFonts w:ascii="仿宋_GB2312" w:hAnsi="仿宋" w:eastAsia="仿宋_GB2312"/>
                <w:color w:val="000000" w:themeColor="text1"/>
                <w:kern w:val="0"/>
                <w:sz w:val="28"/>
                <w:szCs w:val="28"/>
              </w:rPr>
              <w:t>组件有一段通不过。</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本产品</w:t>
            </w:r>
            <w:r>
              <w:rPr>
                <w:rFonts w:ascii="仿宋_GB2312" w:hAnsi="仿宋" w:eastAsia="仿宋_GB2312"/>
                <w:color w:val="000000" w:themeColor="text1"/>
                <w:kern w:val="0"/>
                <w:sz w:val="28"/>
                <w:szCs w:val="28"/>
              </w:rPr>
              <w:t>需重新拔出，再找另一</w:t>
            </w:r>
            <w:r>
              <w:rPr>
                <w:rFonts w:hint="eastAsia" w:ascii="仿宋_GB2312" w:hAnsi="仿宋" w:eastAsia="仿宋_GB2312"/>
                <w:color w:val="000000" w:themeColor="text1"/>
                <w:kern w:val="0"/>
                <w:sz w:val="28"/>
                <w:szCs w:val="28"/>
              </w:rPr>
              <w:t>件</w:t>
            </w:r>
            <w:r>
              <w:rPr>
                <w:rFonts w:ascii="仿宋_GB2312" w:hAnsi="仿宋" w:eastAsia="仿宋_GB2312"/>
                <w:color w:val="000000" w:themeColor="text1"/>
                <w:kern w:val="0"/>
                <w:sz w:val="28"/>
                <w:szCs w:val="28"/>
              </w:rPr>
              <w:t>重新插入患者</w:t>
            </w:r>
            <w:r>
              <w:rPr>
                <w:rFonts w:hint="eastAsia" w:ascii="仿宋_GB2312" w:hAnsi="仿宋" w:eastAsia="仿宋_GB2312"/>
                <w:color w:val="000000" w:themeColor="text1"/>
                <w:kern w:val="0"/>
                <w:sz w:val="28"/>
                <w:szCs w:val="28"/>
              </w:rPr>
              <w:t>通道</w:t>
            </w:r>
            <w:r>
              <w:rPr>
                <w:rFonts w:ascii="仿宋_GB2312" w:hAnsi="仿宋" w:eastAsia="仿宋_GB2312"/>
                <w:color w:val="000000" w:themeColor="text1"/>
                <w:kern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Merge w:val="continue"/>
            <w:vAlign w:val="center"/>
          </w:tcPr>
          <w:p>
            <w:pPr>
              <w:widowControl/>
              <w:spacing w:line="520" w:lineRule="exact"/>
              <w:rPr>
                <w:rFonts w:ascii="仿宋_GB2312" w:hAnsi="仿宋" w:eastAsia="仿宋_GB2312"/>
                <w:color w:val="000000" w:themeColor="text1"/>
                <w:kern w:val="0"/>
                <w:sz w:val="28"/>
                <w:szCs w:val="28"/>
              </w:rPr>
            </w:pP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手柄不能灵活操作；篮体强度不够；篮体不能正常张开或收缩</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无法取石</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手术无法正常进行，延长手术时间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Merge w:val="continue"/>
            <w:vAlign w:val="center"/>
          </w:tcPr>
          <w:p>
            <w:pPr>
              <w:widowControl/>
              <w:spacing w:line="520" w:lineRule="exact"/>
              <w:rPr>
                <w:rFonts w:ascii="仿宋_GB2312" w:hAnsi="仿宋" w:eastAsia="仿宋_GB2312"/>
                <w:color w:val="000000" w:themeColor="text1"/>
                <w:kern w:val="0"/>
                <w:sz w:val="28"/>
                <w:szCs w:val="28"/>
              </w:rPr>
            </w:pPr>
          </w:p>
        </w:tc>
        <w:tc>
          <w:tcPr>
            <w:tcW w:w="3118" w:type="dxa"/>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造成病人损伤</w:t>
            </w:r>
          </w:p>
        </w:tc>
        <w:tc>
          <w:tcPr>
            <w:tcW w:w="2410" w:type="dxa"/>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导管或前端帽表面太粗糙。</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导管端部边缘锋利。</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产品各部件连接强度不够。</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网篮尺寸超差。</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产品注液通畅性差。</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导管推送性差。</w:t>
            </w:r>
          </w:p>
        </w:tc>
        <w:tc>
          <w:tcPr>
            <w:tcW w:w="2617" w:type="dxa"/>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对乳头和胆道壁造成刺激或损伤。</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对乳头和胆道壁造成刺激或损伤。</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抓取结石时，零部件断裂脱落，可能影响手术操作，甚至造成病人损伤</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网篮尺寸偏差，延长手术操作时间，直径偏大可能导致损伤胆道。</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影响注射造影剂和抽吸胆汁的操作，延长手术操作时间。</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无法顺利插入乳头，到达病灶部位，延长手术操作时间。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Merge w:val="continue"/>
            <w:vAlign w:val="center"/>
          </w:tcPr>
          <w:p>
            <w:pPr>
              <w:widowControl/>
              <w:spacing w:line="520" w:lineRule="exact"/>
              <w:rPr>
                <w:rFonts w:ascii="仿宋_GB2312" w:hAnsi="仿宋" w:eastAsia="仿宋_GB2312"/>
                <w:color w:val="000000" w:themeColor="text1"/>
                <w:kern w:val="0"/>
                <w:sz w:val="28"/>
                <w:szCs w:val="28"/>
              </w:rPr>
            </w:pPr>
          </w:p>
        </w:tc>
        <w:tc>
          <w:tcPr>
            <w:tcW w:w="3118" w:type="dxa"/>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损坏配套内窥镜器械</w:t>
            </w:r>
          </w:p>
        </w:tc>
        <w:tc>
          <w:tcPr>
            <w:tcW w:w="2410" w:type="dxa"/>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导管或前端帽表面太粗糙。</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导管或前端帽的直径过大。</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产品导管段偏硬，抬钳器无法抬起。</w:t>
            </w:r>
          </w:p>
        </w:tc>
        <w:tc>
          <w:tcPr>
            <w:tcW w:w="2617" w:type="dxa"/>
          </w:tcPr>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损坏内窥镜钳道。</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损坏内窥镜抬钳器。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操作危害</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医务人员不按</w:t>
            </w:r>
            <w:r>
              <w:rPr>
                <w:rFonts w:hint="eastAsia" w:ascii="仿宋_GB2312" w:hAnsi="仿宋" w:eastAsia="仿宋_GB2312"/>
                <w:color w:val="000000" w:themeColor="text1"/>
                <w:kern w:val="0"/>
                <w:sz w:val="28"/>
                <w:szCs w:val="28"/>
              </w:rPr>
              <w:t>使用</w:t>
            </w:r>
            <w:r>
              <w:rPr>
                <w:rFonts w:ascii="仿宋_GB2312" w:hAnsi="仿宋" w:eastAsia="仿宋_GB2312"/>
                <w:color w:val="000000" w:themeColor="text1"/>
                <w:kern w:val="0"/>
                <w:sz w:val="28"/>
                <w:szCs w:val="28"/>
              </w:rPr>
              <w:t>要求操作</w:t>
            </w:r>
            <w:r>
              <w:rPr>
                <w:rFonts w:hint="eastAsia" w:ascii="仿宋_GB2312" w:hAnsi="仿宋" w:eastAsia="仿宋_GB2312"/>
                <w:color w:val="000000" w:themeColor="text1"/>
                <w:kern w:val="0"/>
                <w:sz w:val="28"/>
                <w:szCs w:val="28"/>
              </w:rPr>
              <w:t>；用错规格；误伤其它医护人员；错误理解操作信息</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操作失败，需再次重新操作。</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病人遭受二次伤害。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jc w:val="center"/>
        </w:trPr>
        <w:tc>
          <w:tcPr>
            <w:tcW w:w="1555"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能量危害</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推力或拉力过大。</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遇到嵌顿现象。</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患者内膜损伤。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jc w:val="center"/>
        </w:trPr>
        <w:tc>
          <w:tcPr>
            <w:tcW w:w="1555" w:type="dxa"/>
            <w:vMerge w:val="restart"/>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信息危害</w:t>
            </w: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标签</w:t>
            </w:r>
            <w:r>
              <w:rPr>
                <w:rFonts w:hint="eastAsia" w:ascii="仿宋_GB2312" w:hAnsi="仿宋" w:eastAsia="仿宋_GB2312"/>
                <w:color w:val="000000" w:themeColor="text1"/>
                <w:kern w:val="0"/>
                <w:sz w:val="28"/>
                <w:szCs w:val="28"/>
              </w:rPr>
              <w:t>或说明书</w:t>
            </w:r>
            <w:r>
              <w:rPr>
                <w:rFonts w:ascii="仿宋_GB2312" w:hAnsi="仿宋" w:eastAsia="仿宋_GB2312"/>
                <w:color w:val="000000" w:themeColor="text1"/>
                <w:kern w:val="0"/>
                <w:sz w:val="28"/>
                <w:szCs w:val="28"/>
              </w:rPr>
              <w:t>未能提供准确的安全信息，包括产品信息、使用信息等</w:t>
            </w:r>
            <w:r>
              <w:rPr>
                <w:rFonts w:hint="eastAsia" w:ascii="仿宋_GB2312" w:hAnsi="仿宋" w:eastAsia="仿宋_GB2312"/>
                <w:color w:val="000000" w:themeColor="text1"/>
                <w:kern w:val="0"/>
                <w:sz w:val="28"/>
                <w:szCs w:val="28"/>
              </w:rPr>
              <w:t>；</w:t>
            </w:r>
          </w:p>
          <w:p>
            <w:pPr>
              <w:widowControl/>
              <w:spacing w:line="520" w:lineRule="exact"/>
              <w:rPr>
                <w:rFonts w:ascii="仿宋_GB2312" w:hAnsi="仿宋" w:eastAsia="仿宋_GB2312"/>
                <w:color w:val="000000" w:themeColor="text1"/>
                <w:kern w:val="0"/>
                <w:sz w:val="28"/>
                <w:szCs w:val="28"/>
              </w:rPr>
            </w:pPr>
            <w:r>
              <w:rPr>
                <w:rFonts w:hint="eastAsia" w:ascii="仿宋_GB2312" w:hAnsi="仿宋" w:eastAsia="仿宋_GB2312"/>
                <w:color w:val="000000" w:themeColor="text1"/>
                <w:kern w:val="0"/>
                <w:sz w:val="28"/>
                <w:szCs w:val="28"/>
              </w:rPr>
              <w:t>标签或说明书</w:t>
            </w:r>
            <w:r>
              <w:rPr>
                <w:rFonts w:ascii="仿宋_GB2312" w:hAnsi="仿宋" w:eastAsia="仿宋_GB2312"/>
                <w:color w:val="000000" w:themeColor="text1"/>
                <w:kern w:val="0"/>
                <w:sz w:val="28"/>
                <w:szCs w:val="28"/>
              </w:rPr>
              <w:t>不完整</w:t>
            </w:r>
            <w:r>
              <w:rPr>
                <w:rFonts w:hint="eastAsia" w:ascii="仿宋_GB2312" w:hAnsi="仿宋" w:eastAsia="仿宋_GB2312"/>
                <w:color w:val="000000" w:themeColor="text1"/>
                <w:kern w:val="0"/>
                <w:sz w:val="28"/>
                <w:szCs w:val="28"/>
              </w:rPr>
              <w:t>或者信息错误；错误的操作信息；警告信息不全，无一次性使用的警告</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使用超期产品；</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未能按要求方式贮存产品；</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未能按用途正确使用相应规格的产品。</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患者染菌；</w:t>
            </w:r>
          </w:p>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产品达不到预期用途。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6" w:hRule="atLeast"/>
          <w:jc w:val="center"/>
        </w:trPr>
        <w:tc>
          <w:tcPr>
            <w:tcW w:w="1555" w:type="dxa"/>
            <w:vMerge w:val="continue"/>
            <w:vAlign w:val="center"/>
          </w:tcPr>
          <w:p>
            <w:pPr>
              <w:widowControl/>
              <w:spacing w:line="520" w:lineRule="exact"/>
              <w:rPr>
                <w:rFonts w:ascii="仿宋_GB2312" w:hAnsi="仿宋" w:eastAsia="仿宋_GB2312"/>
                <w:color w:val="000000" w:themeColor="text1"/>
                <w:kern w:val="0"/>
                <w:sz w:val="28"/>
                <w:szCs w:val="28"/>
              </w:rPr>
            </w:pPr>
          </w:p>
        </w:tc>
        <w:tc>
          <w:tcPr>
            <w:tcW w:w="3118"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产品不具备显影效果或显影效果不佳。</w:t>
            </w:r>
          </w:p>
        </w:tc>
        <w:tc>
          <w:tcPr>
            <w:tcW w:w="2410"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产品进入</w:t>
            </w:r>
            <w:r>
              <w:rPr>
                <w:rFonts w:hint="eastAsia" w:ascii="仿宋_GB2312" w:hAnsi="仿宋" w:eastAsia="仿宋_GB2312"/>
                <w:color w:val="000000" w:themeColor="text1"/>
                <w:kern w:val="0"/>
                <w:sz w:val="28"/>
                <w:szCs w:val="28"/>
              </w:rPr>
              <w:t>患者体内</w:t>
            </w:r>
            <w:r>
              <w:rPr>
                <w:rFonts w:ascii="仿宋_GB2312" w:hAnsi="仿宋" w:eastAsia="仿宋_GB2312"/>
                <w:color w:val="000000" w:themeColor="text1"/>
                <w:kern w:val="0"/>
                <w:sz w:val="28"/>
                <w:szCs w:val="28"/>
              </w:rPr>
              <w:t>，医护人员在操作时看不清到达的部位</w:t>
            </w:r>
            <w:r>
              <w:rPr>
                <w:rFonts w:hint="eastAsia" w:ascii="仿宋_GB2312" w:hAnsi="仿宋" w:eastAsia="仿宋_GB2312"/>
                <w:color w:val="000000" w:themeColor="text1"/>
                <w:kern w:val="0"/>
                <w:sz w:val="28"/>
                <w:szCs w:val="28"/>
              </w:rPr>
              <w:t>。</w:t>
            </w:r>
          </w:p>
        </w:tc>
        <w:tc>
          <w:tcPr>
            <w:tcW w:w="2617" w:type="dxa"/>
            <w:vAlign w:val="center"/>
          </w:tcPr>
          <w:p>
            <w:pPr>
              <w:widowControl/>
              <w:spacing w:line="520" w:lineRule="exact"/>
              <w:rPr>
                <w:rFonts w:ascii="仿宋_GB2312" w:hAnsi="仿宋" w:eastAsia="仿宋_GB2312"/>
                <w:color w:val="000000" w:themeColor="text1"/>
                <w:kern w:val="0"/>
                <w:sz w:val="28"/>
                <w:szCs w:val="28"/>
              </w:rPr>
            </w:pPr>
            <w:r>
              <w:rPr>
                <w:rFonts w:ascii="仿宋_GB2312" w:hAnsi="仿宋" w:eastAsia="仿宋_GB2312"/>
                <w:color w:val="000000" w:themeColor="text1"/>
                <w:kern w:val="0"/>
                <w:sz w:val="28"/>
                <w:szCs w:val="28"/>
              </w:rPr>
              <w:t>延长手术时间，增加患者痛苦时间。</w:t>
            </w:r>
          </w:p>
        </w:tc>
      </w:tr>
    </w:tbl>
    <w:p>
      <w:pPr>
        <w:spacing w:line="520" w:lineRule="exact"/>
        <w:ind w:firstLine="640" w:firstLineChars="200"/>
        <w:rPr>
          <w:rFonts w:eastAsia="仿宋_GB2312"/>
          <w:color w:val="000000" w:themeColor="text1"/>
          <w:sz w:val="32"/>
          <w:szCs w:val="28"/>
        </w:rPr>
      </w:pP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由于取石网篮功能和结构的差异，本章给出的风险要素及其示例是常见的而不是全部的。上述部分只是风险管理过程的组成部分，不是风险管理的全部。申请人应按照YY/T 0316中规定的过程和方法，在产品整个生命周期内建立、形成文件和保持一个持续的过程，用以判定与医疗器械有关的危险、估计和评价相关的风险、控制这些风险并监视上述控制的有效性，以充分保证产品的安全和有效。</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2.医疗器械安全和性能基本原则清单</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应按照《医疗器械注册申报资料要求及说明》的要求提交《医疗器械安全和性能基本原则清单》，说明产品符合《医疗器械安全和性能基本原则清单》各项适用要求所采用的方法，以及证明其符合性的文件。对于《医疗器械安全和性能基本原则清单》中不适用的各项要求，应当说明理由。</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对于包含在产品注册申报资料中的文件，应当说明其在申报资料中的具体位置；对于未包含在产品注册申报资料中的文件，应当注明该证据文件名称及其在质量管理体系文件中的编号备查。</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3.产品技术要求</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根据取石网篮的主要功能和预期用途，产品的技术指标主要包括产品的外观、尺寸、物理性能、化学性能和无菌性能。不同企业的产品参数根据设计要求可有所区别，并可根据自身产品的技术特点制订性能指标要求，但不得低于相关强制性国家标准、行业标准的要求。</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产品技术要求中的性能指标应考虑以下内容：</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与患者接触部分所用材料：接触人体部分的聚合物材料的溶解析出物；</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表面/外观，pH值，重金属，高锰酸钾还原性物质，蒸发残留物；</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外观</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尺寸：插入部分最大宽度，工作长度，网篮开幅，网篮有效长度等；</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物理性能：抗拉强度，开合顺畅(推送性能)，末端构型，注液通畅性(可注液产品适用)等；</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耐受性(重复使用产品适用)</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耐高温高压(标识为可耐高温高压时适用)，耐腐蚀，承受反复操作性能；</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无菌(灭菌产品适用)</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环氧乙烷残留量(灭菌产品采用环氧乙烷灭菌时适用)</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鲁尔接头(具有注入口的产品适用)</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4.检验报告</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注册申请人应提供产品检验报告，产品检验报告应符合国务院药品监督管理部门的要求。检验报告可以是申请人出具的自检报告，也可以是委托有资质的医疗器械检验机构出具的检验报告。</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取石网篮同一注册单元内所检验的产品应当是能够代表本注册单元内其他产品安全性和有效性的典型产品。若申报的产品包括多个型号，原则上选取结构最复杂、功能最多、配置最齐全的型号规格进行检验。如被检型号规格产品无法覆盖其他型号规格产品全部性能指标，应进行差异性检验。</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5.产品的研究资料</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至少应包含如下内容：</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5.1产品性能研究</w:t>
      </w:r>
      <w:r>
        <w:rPr>
          <w:rFonts w:hint="eastAsia" w:eastAsia="仿宋_GB2312"/>
          <w:color w:val="000000" w:themeColor="text1"/>
          <w:sz w:val="32"/>
          <w:szCs w:val="28"/>
        </w:rPr>
        <w:tab/>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应当提供产品性能研究资料以及产品技术要求的研究和编制说明，包括功能性、安全性指标以及与质量控制相关的其他指标的确定依据，所采用的标准或方法，采用的原因及理论基础。取石网篮目前已经发布实施的行业标准有YY 0847《医用内窥镜 内窥镜器械 取石网篮》。</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5.2生物相容性评价研究</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生物相容性评价资料应当包括：生物相容性评价的依据、项目和方法；产品所用材料的描述及与人体接触的性质；实施或豁免生物学试验的理由和论证；对于现有数据或试验结果的评价。</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应按照GB/T 16886系列标准《医疗器械生物学评价》进行生物学评价或试验，在评价项目选择时应考虑产品累积使用的接触时间。实施或豁免生物学试验的理由和论证可参照《医疗器械生物学评价和审查指南》中相关要求。</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5.3灭菌工艺研究</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5.3.1应明确灭菌工艺（方法和参数）及其选择依据和无菌保证水平（SAL），并提供灭菌确认报告。对于可重复使用的取石网篮产品，提供器械对所推荐灭菌方法耐受性的研究资料。</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对于经环氧乙烷灭菌的产品，需提供灭菌结果确认和过程控制报告，具体可参照GB 18279系列标准。</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对于经辐照灭菌的产品，需明确辐照剂量及相关的验证报告，具体的剂量确定依据可参照GB 18280系列标准。</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非灭菌包装的终产品或重复使用的产品，应明确推荐采用的灭菌方法并提供确定依据，建议根据GB 18278.1《医疗保健产品灭菌 湿热 第1部分：医疗器械灭菌过程的开发、确认和常规控制要求》及相关灭菌技术操作规范。</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5.3.2残留毒性：若采用环氧乙烷灭菌，应当参考GB/T 16886.7《医疗器械生物学评价第7部分：环氧乙烷灭菌残留量》标准规定，明确残留物信息及采取的处理方法，并提供研究资料。</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5.4产品有效期和包装研究</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产品货架有效期的验证试验通常可分为加速稳定性试验和实时稳定性试验。如果注册申报时提交的是加速稳定性研究资料，应评估产品是否适用于加速老化，若适用，可采用加速稳定性研究资料作为货架有效期的支持性资料。产品货架有效期的验证试验具体可参考YY/T 0681.1《无菌医疗器械包装试验方法 第1部分:加速老化试验指南》和《无源植入性医疗器械货架有效期注册申报资料指导原则》。</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货架有效期验证试验宜采用与常规生产相同的终产品进行。验证项目需评估产品随时间老化的相关性能，包括产品自身性能验证和包装系统性能验证两方面。前者需选择与医疗器械货架有效期密切相关的物理、化学、微生物测试项目，涉及产品生物相容性可能发生改变的，需进行生物学评价。后者包括包装完整性、包装强度和微生物屏障性能等验证项目。其中，包装完整性验证项目可包括在设定的时间间隔点目力检测产品包装（是否污染、破损等）及标签（完整性、粘附牢固度、印刷内容清晰度等）、采用染色液穿透法测定透气包装的密封泄漏试验和气泡法测定软性包装泄漏试验等；包装强度测试项目包括软性屏障材料密封强度试验、无约束包装抗内压破坏试验等。</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产品包装完整性除考虑储存条件外，还需考虑运输条件，根据适用情况可选择人工搬运、堆码、振动、低气压、集中冲击等模拟运输试验验证包装系统性能。</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5.5其他资料</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该产品列入《免于临床评价医疗器械目录》，申请人应当按照《列入免于临床评价医疗器械目录产品对比说明技术指导原则》的要求，提交相关资料，从基本原理、结构组成、性能、安全性、适用范围等方面，证明产品的安全有效性。</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对于一次性使用的医疗器械，还应当提供证明其无法重复使用的支持性资料。</w:t>
      </w:r>
    </w:p>
    <w:p>
      <w:pPr>
        <w:spacing w:line="520" w:lineRule="exact"/>
        <w:ind w:firstLine="640" w:firstLineChars="200"/>
        <w:outlineLvl w:val="1"/>
        <w:rPr>
          <w:rFonts w:ascii="楷体_GB2312" w:hAnsi="楷体" w:eastAsia="楷体_GB2312"/>
          <w:bCs/>
          <w:color w:val="000000" w:themeColor="text1"/>
          <w:sz w:val="32"/>
          <w:szCs w:val="28"/>
        </w:rPr>
      </w:pPr>
      <w:r>
        <w:rPr>
          <w:rFonts w:hint="eastAsia" w:ascii="楷体_GB2312" w:hAnsi="楷体" w:eastAsia="楷体_GB2312"/>
          <w:bCs/>
          <w:color w:val="000000" w:themeColor="text1"/>
          <w:sz w:val="32"/>
          <w:szCs w:val="28"/>
        </w:rPr>
        <w:t>（四）临床评价资料</w:t>
      </w:r>
    </w:p>
    <w:p>
      <w:pPr>
        <w:tabs>
          <w:tab w:val="left" w:pos="312"/>
        </w:tabs>
        <w:spacing w:line="520" w:lineRule="exact"/>
        <w:ind w:firstLine="640" w:firstLineChars="200"/>
        <w:rPr>
          <w:rFonts w:eastAsia="仿宋_GB2312"/>
          <w:color w:val="000000" w:themeColor="text1"/>
          <w:sz w:val="32"/>
          <w:szCs w:val="32"/>
        </w:rPr>
      </w:pPr>
      <w:r>
        <w:rPr>
          <w:rFonts w:hint="eastAsia" w:eastAsia="仿宋_GB2312"/>
          <w:color w:val="000000" w:themeColor="text1"/>
          <w:sz w:val="32"/>
          <w:szCs w:val="32"/>
        </w:rPr>
        <w:t>该产品</w:t>
      </w:r>
      <w:r>
        <w:rPr>
          <w:rFonts w:eastAsia="仿宋_GB2312"/>
          <w:color w:val="000000" w:themeColor="text1"/>
          <w:sz w:val="32"/>
          <w:szCs w:val="32"/>
        </w:rPr>
        <w:t>列入《</w:t>
      </w:r>
      <w:r>
        <w:rPr>
          <w:rFonts w:hint="eastAsia" w:eastAsia="仿宋_GB2312"/>
          <w:color w:val="000000" w:themeColor="text1"/>
          <w:sz w:val="32"/>
          <w:szCs w:val="32"/>
        </w:rPr>
        <w:t>免于临床评价医疗器械目录</w:t>
      </w:r>
      <w:r>
        <w:rPr>
          <w:rFonts w:eastAsia="仿宋_GB2312"/>
          <w:color w:val="000000" w:themeColor="text1"/>
          <w:sz w:val="32"/>
          <w:szCs w:val="32"/>
        </w:rPr>
        <w:t>》</w:t>
      </w:r>
      <w:r>
        <w:rPr>
          <w:rFonts w:hint="eastAsia" w:eastAsia="仿宋_GB2312"/>
          <w:color w:val="000000" w:themeColor="text1"/>
          <w:sz w:val="32"/>
          <w:szCs w:val="32"/>
        </w:rPr>
        <w:t>，申请人</w:t>
      </w:r>
      <w:r>
        <w:rPr>
          <w:rFonts w:eastAsia="仿宋_GB2312"/>
          <w:color w:val="000000" w:themeColor="text1"/>
          <w:sz w:val="32"/>
          <w:szCs w:val="32"/>
        </w:rPr>
        <w:t>无需提交</w:t>
      </w:r>
      <w:r>
        <w:rPr>
          <w:rFonts w:hint="eastAsia" w:eastAsia="仿宋_GB2312"/>
          <w:color w:val="000000" w:themeColor="text1"/>
          <w:sz w:val="32"/>
          <w:szCs w:val="32"/>
        </w:rPr>
        <w:t>临床</w:t>
      </w:r>
      <w:r>
        <w:rPr>
          <w:rFonts w:eastAsia="仿宋_GB2312"/>
          <w:color w:val="000000" w:themeColor="text1"/>
          <w:sz w:val="32"/>
          <w:szCs w:val="32"/>
        </w:rPr>
        <w:t>评价资料。</w:t>
      </w:r>
    </w:p>
    <w:p>
      <w:pPr>
        <w:spacing w:line="520" w:lineRule="exact"/>
        <w:ind w:firstLine="640" w:firstLineChars="200"/>
        <w:outlineLvl w:val="1"/>
        <w:rPr>
          <w:rFonts w:ascii="楷体_GB2312" w:hAnsi="楷体" w:eastAsia="楷体_GB2312"/>
          <w:bCs/>
          <w:color w:val="000000" w:themeColor="text1"/>
          <w:sz w:val="32"/>
          <w:szCs w:val="28"/>
        </w:rPr>
      </w:pPr>
      <w:r>
        <w:rPr>
          <w:rFonts w:hint="eastAsia" w:ascii="楷体_GB2312" w:hAnsi="楷体" w:eastAsia="楷体_GB2312"/>
          <w:bCs/>
          <w:color w:val="000000" w:themeColor="text1"/>
          <w:sz w:val="32"/>
          <w:szCs w:val="28"/>
        </w:rPr>
        <w:t>（五）产品说明书和标签样稿</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产品的说明书和标签应符合《医疗器械说明书和标签管理规定》，符合YY 0847和YY/T 0466.1中的相关要求。说明书、标签的内容应当真实、完整、科学，并与产品特性相一致。</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根据产品特点，说明书中应重点明确以下内容：包装有效期、一次性使用、灭菌方式、禁忌证、潜在的不良反应事件、各个组件的主要结构示意图及各个组件的用途等。</w:t>
      </w:r>
    </w:p>
    <w:p>
      <w:pPr>
        <w:spacing w:line="520" w:lineRule="exact"/>
        <w:ind w:firstLine="640" w:firstLineChars="200"/>
        <w:rPr>
          <w:rFonts w:eastAsia="仿宋_GB2312"/>
          <w:color w:val="000000" w:themeColor="text1"/>
          <w:sz w:val="32"/>
          <w:szCs w:val="28"/>
        </w:rPr>
      </w:pPr>
      <w:r>
        <w:rPr>
          <w:rFonts w:hint="eastAsia" w:eastAsia="仿宋_GB2312"/>
          <w:color w:val="000000" w:themeColor="text1"/>
          <w:sz w:val="32"/>
          <w:szCs w:val="28"/>
        </w:rPr>
        <w:t>说明书中应包含对可与该取石网篮配合使用的内窥镜及其他医用设备(如：碎石器)的明确说明，使得使用者能按照此指导选取合适的内窥镜及其他医用设备；应包含使用产品时的准备、检查与操作说明；</w:t>
      </w:r>
    </w:p>
    <w:p>
      <w:pPr>
        <w:spacing w:line="520" w:lineRule="exact"/>
        <w:ind w:firstLine="640" w:firstLineChars="200"/>
        <w:rPr>
          <w:rFonts w:ascii="楷体_GB2312" w:hAnsi="楷体" w:eastAsia="楷体_GB2312"/>
          <w:bCs/>
          <w:color w:val="000000" w:themeColor="text1"/>
          <w:sz w:val="32"/>
          <w:szCs w:val="28"/>
        </w:rPr>
      </w:pPr>
      <w:r>
        <w:rPr>
          <w:rFonts w:hint="eastAsia" w:eastAsia="仿宋_GB2312"/>
          <w:color w:val="000000" w:themeColor="text1"/>
          <w:sz w:val="32"/>
          <w:szCs w:val="28"/>
        </w:rPr>
        <w:t>重复使用的取石网篮应包括有关可使用的清洗、消毒或灭菌方法的细节，在必要时规定合适的消毒剂，并列出这些设备部件可承受的温度、压力、湿度和时间的限值；参考相关灭菌技术操作规范。</w:t>
      </w:r>
      <w:r>
        <w:rPr>
          <w:rFonts w:hint="eastAsia" w:eastAsia="仿宋_GB2312"/>
          <w:color w:val="000000" w:themeColor="text1"/>
          <w:sz w:val="32"/>
          <w:szCs w:val="28"/>
        </w:rPr>
        <w:br w:type="textWrapping"/>
      </w:r>
      <w:r>
        <w:rPr>
          <w:rFonts w:ascii="仿宋_GB2312" w:hAnsi="仿宋" w:eastAsia="仿宋_GB2312"/>
          <w:color w:val="000000" w:themeColor="text1"/>
          <w:spacing w:val="-4"/>
          <w:sz w:val="32"/>
          <w:szCs w:val="28"/>
        </w:rPr>
        <w:t>　　</w:t>
      </w:r>
      <w:r>
        <w:rPr>
          <w:rFonts w:hint="eastAsia" w:ascii="楷体_GB2312" w:hAnsi="楷体" w:eastAsia="楷体_GB2312"/>
          <w:bCs/>
          <w:color w:val="000000" w:themeColor="text1"/>
          <w:sz w:val="32"/>
          <w:szCs w:val="28"/>
        </w:rPr>
        <w:t>（六）质量管理体系文件</w:t>
      </w:r>
    </w:p>
    <w:p>
      <w:pPr>
        <w:spacing w:line="520" w:lineRule="exact"/>
        <w:ind w:firstLine="640" w:firstLineChars="200"/>
        <w:rPr>
          <w:rFonts w:eastAsia="仿宋_GB2312"/>
          <w:sz w:val="32"/>
          <w:szCs w:val="32"/>
        </w:rPr>
      </w:pPr>
      <w:r>
        <w:rPr>
          <w:rFonts w:eastAsia="仿宋_GB2312"/>
          <w:sz w:val="32"/>
          <w:szCs w:val="32"/>
        </w:rPr>
        <w:t>应至少提交产品描述信息、一般生产信息，包括但不局限于以下内容：</w:t>
      </w:r>
    </w:p>
    <w:p>
      <w:pPr>
        <w:spacing w:line="520" w:lineRule="exact"/>
        <w:ind w:firstLine="640" w:firstLineChars="200"/>
        <w:rPr>
          <w:rFonts w:eastAsia="仿宋_GB2312"/>
          <w:sz w:val="32"/>
          <w:szCs w:val="32"/>
        </w:rPr>
      </w:pPr>
      <w:r>
        <w:rPr>
          <w:rFonts w:eastAsia="仿宋_GB2312"/>
          <w:sz w:val="32"/>
          <w:szCs w:val="32"/>
        </w:rPr>
        <w:t>1.生产工艺及控制</w:t>
      </w:r>
    </w:p>
    <w:p>
      <w:pPr>
        <w:spacing w:line="520" w:lineRule="exact"/>
        <w:ind w:firstLine="640" w:firstLineChars="200"/>
        <w:rPr>
          <w:rFonts w:eastAsia="仿宋_GB2312"/>
          <w:sz w:val="32"/>
          <w:szCs w:val="32"/>
        </w:rPr>
      </w:pPr>
      <w:r>
        <w:rPr>
          <w:rFonts w:eastAsia="仿宋_GB2312"/>
          <w:sz w:val="32"/>
          <w:szCs w:val="32"/>
        </w:rPr>
        <w:t>提交产品的生产工艺管理控制文件，详细说明产品的生产工艺和步骤，列出工艺图表。提交产品生产工艺确定的依据、生产过程中需要进行控制和测试的环节及相关证明性资料。明确关键工序和特殊工序的控制参数，并阐明其对产品物理性能、化学性能、生物性能的影响。对生产工艺的可控性、稳定性应进行确认。</w:t>
      </w:r>
    </w:p>
    <w:p>
      <w:pPr>
        <w:spacing w:line="520" w:lineRule="exact"/>
        <w:ind w:firstLine="640" w:firstLineChars="200"/>
        <w:rPr>
          <w:rFonts w:eastAsia="仿宋_GB2312"/>
          <w:sz w:val="32"/>
          <w:szCs w:val="32"/>
        </w:rPr>
      </w:pPr>
      <w:r>
        <w:rPr>
          <w:rFonts w:eastAsia="仿宋_GB2312"/>
          <w:sz w:val="32"/>
          <w:szCs w:val="32"/>
        </w:rPr>
        <w:t>明确生产过程中各种加工助剂的使用情况及对杂质（如残留单体、小分子残留物等）的控制情况，明确其毒理学信息，提供支持性证据，并进行安全性评估。</w:t>
      </w:r>
    </w:p>
    <w:p>
      <w:pPr>
        <w:spacing w:line="520" w:lineRule="exact"/>
        <w:ind w:firstLine="640" w:firstLineChars="200"/>
        <w:rPr>
          <w:rFonts w:eastAsia="仿宋_GB2312"/>
          <w:sz w:val="32"/>
          <w:szCs w:val="32"/>
        </w:rPr>
      </w:pPr>
      <w:r>
        <w:rPr>
          <w:rFonts w:eastAsia="仿宋_GB2312"/>
          <w:sz w:val="32"/>
          <w:szCs w:val="32"/>
        </w:rPr>
        <w:t>2.生产场地</w:t>
      </w:r>
    </w:p>
    <w:p>
      <w:pPr>
        <w:spacing w:line="520" w:lineRule="exact"/>
        <w:ind w:firstLine="640" w:firstLineChars="200"/>
        <w:outlineLvl w:val="0"/>
        <w:rPr>
          <w:rFonts w:eastAsia="仿宋_GB2312"/>
          <w:sz w:val="32"/>
          <w:szCs w:val="32"/>
        </w:rPr>
      </w:pPr>
      <w:r>
        <w:rPr>
          <w:rFonts w:eastAsia="仿宋_GB2312"/>
          <w:sz w:val="32"/>
          <w:szCs w:val="32"/>
        </w:rPr>
        <w:t>若产品有多个研制、生产场地，应当概述每个研制、生产场地的实际情况。</w:t>
      </w:r>
    </w:p>
    <w:p>
      <w:pPr>
        <w:spacing w:line="520" w:lineRule="exact"/>
        <w:ind w:firstLine="640" w:firstLineChars="200"/>
        <w:outlineLvl w:val="0"/>
        <w:rPr>
          <w:rFonts w:eastAsia="黑体"/>
          <w:color w:val="000000" w:themeColor="text1"/>
          <w:sz w:val="32"/>
          <w:szCs w:val="32"/>
        </w:rPr>
      </w:pPr>
      <w:r>
        <w:rPr>
          <w:rFonts w:hint="eastAsia" w:eastAsia="黑体"/>
          <w:color w:val="000000" w:themeColor="text1"/>
          <w:sz w:val="32"/>
          <w:szCs w:val="32"/>
        </w:rPr>
        <w:t>三</w:t>
      </w:r>
      <w:r>
        <w:rPr>
          <w:rFonts w:eastAsia="黑体"/>
          <w:color w:val="000000" w:themeColor="text1"/>
          <w:sz w:val="32"/>
          <w:szCs w:val="32"/>
        </w:rPr>
        <w:t>、</w:t>
      </w:r>
      <w:r>
        <w:rPr>
          <w:rFonts w:hint="eastAsia" w:eastAsia="黑体"/>
          <w:color w:val="000000" w:themeColor="text1"/>
          <w:sz w:val="32"/>
          <w:szCs w:val="32"/>
        </w:rPr>
        <w:t>参考文献</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 xml:space="preserve">GB/T 1962.1,注射器、注射针及其他医疗器械6%(鲁尔)圆锥接头 第1部分：通用要求[S]. </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 xml:space="preserve">GB/T 1962.2,注射器、注射针及其他医疗器械6%(鲁尔)圆锥接头 第2部分：锁定接头[S]. </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14233.1,医用输液、输血、注射器具检验方法第1部分：化学分析方法[S].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15812.1,非血管内导管第1部分：一般性能试验方法[S].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 0847,医用内窥镜 内窥镜器械 取石网篮[S].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YY/T 0149,不锈钢医用器械耐腐蚀性能试验方法[S].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 18279.1,医疗保健产品灭菌 环氧乙烷 第1部分：医疗器械灭菌过程的开发、确认和常规控制的要求[S].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 18280.1,医疗保健产品灭菌 辐射 第1部分：医疗器械灭菌过程的开发、确认和常规控制要求[S].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 18280.2,医疗保健产品灭菌 辐射 第2部分：建立灭菌剂量[S].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 18281.2,医疗保健产品灭菌 生物指示物 第2部分：环氧乙烷灭菌用生物指示物[S].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16886.1,医疗器械生物学评价 第1部分：风险管理过程中的评价与试验[S].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16886.5,医疗器械生物学评价 第5部分：体外细胞毒性试验[S].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16886.7,医疗器械生物学评价 第7部分：环氧乙烷灭菌残留量[S].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16886.10,医疗器械生物学评价第10部分：刺激与迟发型超敏反应试验[S].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16886.12,医疗器械生物学评价 第12部分：样品制备与参照材料[S].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18280.3,医疗保健产品灭菌 辐射 第3部分：剂量测量指南[S].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19633.1,最终灭菌医疗器械包装 第1部分：材料、无菌屏障系统和包装系统的要求[S].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GB/T 19633.2,最终灭菌医疗器械包装第2部分：成形、密封和装配过程确认的要求[S].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YY/T 0316,医疗器械风险管理对医疗器械的应用[S].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YY/T 0466.1,医疗器械 用于医疗器械标签、标记和提供信息的符号 第1部分：通用要求[S].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YY/T 0681.1,无菌医疗器械包装试验方法 第1部分：加速老化试验指南[S].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YY/T 0681.15,无菌医疗器械包装试验方法 第15部分：运输容器和系统的性能试验[S].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YY/T 0802,医疗器械灭菌 制造商提供的处理可重复灭菌医疗器械的信息[S].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YY/T 1268,环氧乙烷灭菌的产品追加和过程等效[S].</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 xml:space="preserve">YY/T 1478,可重复使用医疗器械消毒灭菌的追溯信息[S]. </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 xml:space="preserve">中华人民共和国药典, 2020年版. </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 xml:space="preserve">WS310.2,医院消毒供应中心第2部分清洗消毒及灭菌技术操作规范[S]. </w:t>
      </w:r>
    </w:p>
    <w:p>
      <w:pPr>
        <w:pStyle w:val="18"/>
        <w:numPr>
          <w:ilvl w:val="0"/>
          <w:numId w:val="1"/>
        </w:numPr>
        <w:spacing w:line="520" w:lineRule="exact"/>
        <w:ind w:left="0" w:firstLine="640"/>
        <w:rPr>
          <w:rFonts w:eastAsia="仿宋_GB2312"/>
          <w:color w:val="000000" w:themeColor="text1"/>
          <w:kern w:val="0"/>
          <w:sz w:val="32"/>
          <w:szCs w:val="32"/>
        </w:rPr>
      </w:pPr>
      <w:r>
        <w:rPr>
          <w:rFonts w:eastAsia="仿宋_GB2312"/>
          <w:color w:val="000000" w:themeColor="text1"/>
          <w:kern w:val="0"/>
          <w:sz w:val="32"/>
          <w:szCs w:val="32"/>
        </w:rPr>
        <w:t>ISTA 2A,不大于68kg的单一包装产品的部分模拟运输完整性的性能测试[S].</w:t>
      </w:r>
    </w:p>
    <w:p>
      <w:pPr>
        <w:spacing w:line="520" w:lineRule="exact"/>
        <w:rPr>
          <w:rFonts w:ascii="仿宋_GB2312" w:eastAsia="仿宋_GB2312"/>
          <w:color w:val="000000" w:themeColor="text1"/>
          <w:sz w:val="32"/>
          <w:szCs w:val="32"/>
        </w:rPr>
      </w:pPr>
    </w:p>
    <w:p>
      <w:pPr>
        <w:spacing w:line="520" w:lineRule="exact"/>
        <w:ind w:firstLine="640" w:firstLineChars="200"/>
        <w:rPr>
          <w:rFonts w:ascii="仿宋_GB2312" w:eastAsia="仿宋_GB2312"/>
          <w:color w:val="000000" w:themeColor="text1"/>
          <w:sz w:val="32"/>
          <w:szCs w:val="32"/>
        </w:rPr>
      </w:pPr>
      <w:r>
        <w:rPr>
          <w:rFonts w:hint="eastAsia" w:ascii="仿宋_GB2312" w:eastAsia="仿宋_GB2312"/>
          <w:color w:val="000000" w:themeColor="text1"/>
          <w:sz w:val="32"/>
          <w:szCs w:val="32"/>
        </w:rPr>
        <w:t>附件：审查关注点</w:t>
      </w:r>
    </w:p>
    <w:p>
      <w:pPr>
        <w:spacing w:line="520" w:lineRule="exact"/>
        <w:rPr>
          <w:rFonts w:ascii="仿宋_GB2312" w:eastAsia="仿宋_GB2312"/>
          <w:color w:val="000000" w:themeColor="text1"/>
          <w:sz w:val="32"/>
          <w:szCs w:val="32"/>
        </w:rPr>
        <w:sectPr>
          <w:headerReference r:id="rId3" w:type="default"/>
          <w:footerReference r:id="rId4" w:type="default"/>
          <w:endnotePr>
            <w:numFmt w:val="decimal"/>
          </w:endnotePr>
          <w:pgSz w:w="11906" w:h="16838"/>
          <w:pgMar w:top="1440" w:right="1797" w:bottom="1440" w:left="1797" w:header="851" w:footer="992" w:gutter="0"/>
          <w:pgNumType w:start="1"/>
          <w:cols w:space="720" w:num="1"/>
          <w:docGrid w:type="lines" w:linePitch="312" w:charSpace="0"/>
        </w:sectPr>
      </w:pPr>
    </w:p>
    <w:p>
      <w:pPr>
        <w:spacing w:line="520" w:lineRule="exact"/>
        <w:ind w:firstLine="640" w:firstLineChars="200"/>
        <w:outlineLvl w:val="0"/>
        <w:rPr>
          <w:rFonts w:ascii="黑体" w:hAnsi="黑体" w:eastAsia="黑体"/>
          <w:bCs/>
          <w:color w:val="000000" w:themeColor="text1"/>
          <w:sz w:val="32"/>
          <w:szCs w:val="28"/>
        </w:rPr>
      </w:pPr>
      <w:r>
        <w:rPr>
          <w:rFonts w:hint="eastAsia" w:ascii="黑体" w:hAnsi="黑体" w:eastAsia="黑体"/>
          <w:bCs/>
          <w:color w:val="000000" w:themeColor="text1"/>
          <w:sz w:val="32"/>
          <w:szCs w:val="28"/>
        </w:rPr>
        <w:t>附件</w:t>
      </w:r>
    </w:p>
    <w:p>
      <w:pPr>
        <w:spacing w:line="520" w:lineRule="exact"/>
        <w:jc w:val="center"/>
        <w:outlineLvl w:val="0"/>
        <w:rPr>
          <w:rFonts w:ascii="方正小标宋简体" w:hAnsi="黑体" w:eastAsia="方正小标宋简体"/>
          <w:bCs/>
          <w:color w:val="000000" w:themeColor="text1"/>
          <w:sz w:val="44"/>
          <w:szCs w:val="44"/>
        </w:rPr>
      </w:pPr>
      <w:r>
        <w:rPr>
          <w:rFonts w:hint="eastAsia" w:ascii="方正小标宋简体" w:hAnsi="黑体" w:eastAsia="方正小标宋简体"/>
          <w:bCs/>
          <w:color w:val="000000" w:themeColor="text1"/>
          <w:sz w:val="44"/>
          <w:szCs w:val="44"/>
        </w:rPr>
        <w:t>审查关注点</w:t>
      </w:r>
    </w:p>
    <w:p>
      <w:pPr>
        <w:spacing w:line="520" w:lineRule="exact"/>
        <w:jc w:val="center"/>
        <w:outlineLvl w:val="0"/>
        <w:rPr>
          <w:rFonts w:ascii="方正小标宋简体" w:hAnsi="黑体" w:eastAsia="方正小标宋简体"/>
          <w:bCs/>
          <w:color w:val="000000" w:themeColor="text1"/>
          <w:sz w:val="44"/>
          <w:szCs w:val="44"/>
        </w:rPr>
      </w:pPr>
    </w:p>
    <w:p>
      <w:pPr>
        <w:pStyle w:val="14"/>
        <w:widowControl w:val="0"/>
        <w:numPr>
          <w:ilvl w:val="0"/>
          <w:numId w:val="2"/>
        </w:numPr>
        <w:spacing w:line="520" w:lineRule="exact"/>
        <w:ind w:left="0" w:firstLine="624"/>
        <w:rPr>
          <w:rFonts w:ascii="仿宋_GB2312" w:hAnsi="仿宋" w:eastAsia="仿宋_GB2312"/>
          <w:color w:val="000000" w:themeColor="text1"/>
          <w:sz w:val="32"/>
          <w:szCs w:val="28"/>
        </w:rPr>
      </w:pPr>
      <w:r>
        <w:rPr>
          <w:rFonts w:hint="eastAsia" w:ascii="仿宋_GB2312" w:eastAsia="仿宋_GB2312"/>
          <w:color w:val="000000" w:themeColor="text1"/>
          <w:sz w:val="32"/>
          <w:szCs w:val="32"/>
        </w:rPr>
        <w:t>重复</w:t>
      </w:r>
      <w:r>
        <w:rPr>
          <w:rFonts w:hint="eastAsia" w:ascii="仿宋_GB2312" w:hAnsi="仿宋" w:eastAsia="仿宋_GB2312"/>
          <w:color w:val="000000" w:themeColor="text1"/>
          <w:sz w:val="32"/>
          <w:szCs w:val="28"/>
        </w:rPr>
        <w:t>使用取石网篮：在生产企业和医疗机构中还存在少量重复使用的取石网篮产品，网篮材料为不锈钢材质或镍钛合金材质，以无菌状态出厂，临床使用后在医疗机构进行灭菌。鉴于重复使用取石网篮器械在临床使用过程中存在较大的交叉感染风险，技术审评时需特别关注重复使用终点的验证，清洗和消毒方法的确认。</w:t>
      </w:r>
    </w:p>
    <w:p>
      <w:pPr>
        <w:pStyle w:val="14"/>
        <w:widowControl w:val="0"/>
        <w:numPr>
          <w:ilvl w:val="0"/>
          <w:numId w:val="2"/>
        </w:numPr>
        <w:spacing w:line="520" w:lineRule="exact"/>
        <w:ind w:left="0" w:firstLine="624"/>
        <w:rPr>
          <w:rFonts w:ascii="仿宋_GB2312" w:eastAsia="仿宋_GB2312"/>
          <w:color w:val="000000" w:themeColor="text1"/>
          <w:sz w:val="32"/>
          <w:szCs w:val="32"/>
        </w:rPr>
      </w:pPr>
      <w:r>
        <w:rPr>
          <w:rFonts w:hint="eastAsia" w:ascii="仿宋_GB2312" w:hAnsi="仿宋" w:eastAsia="仿宋_GB2312"/>
          <w:color w:val="000000" w:themeColor="text1"/>
          <w:sz w:val="32"/>
          <w:szCs w:val="28"/>
        </w:rPr>
        <w:t>产</w:t>
      </w:r>
      <w:r>
        <w:rPr>
          <w:rFonts w:hint="eastAsia" w:ascii="仿宋_GB2312" w:eastAsia="仿宋_GB2312"/>
          <w:color w:val="000000" w:themeColor="text1"/>
          <w:sz w:val="32"/>
          <w:szCs w:val="32"/>
        </w:rPr>
        <w:t>品性能研究资料：产品结构示意图需给出网篮自然张开状态下的形状示意图，针对不同网篮形状需考虑性能指标的差异性。</w:t>
      </w:r>
    </w:p>
    <w:p>
      <w:pPr>
        <w:pStyle w:val="14"/>
        <w:widowControl w:val="0"/>
        <w:numPr>
          <w:ilvl w:val="0"/>
          <w:numId w:val="2"/>
        </w:numPr>
        <w:spacing w:line="520" w:lineRule="exact"/>
        <w:ind w:left="0" w:firstLine="624"/>
        <w:rPr>
          <w:rFonts w:ascii="仿宋_GB2312" w:eastAsia="仿宋_GB2312"/>
          <w:color w:val="000000" w:themeColor="text1"/>
          <w:sz w:val="32"/>
          <w:szCs w:val="32"/>
        </w:rPr>
      </w:pPr>
      <w:r>
        <w:rPr>
          <w:rFonts w:hint="eastAsia" w:ascii="仿宋_GB2312" w:eastAsia="仿宋_GB2312"/>
          <w:color w:val="000000" w:themeColor="text1"/>
          <w:sz w:val="32"/>
          <w:szCs w:val="32"/>
        </w:rPr>
        <w:t>灭菌工艺研究资料：对于经环氧乙烷灭菌的产品，需重点关注产品族的建立和追加是否严格按照YY/T 1268《环氧乙烷灭菌的产品追加和过程等效》进行评价。对于经辐照灭菌的产品，需重点关注最大可接受剂量和灭菌剂量是否严格按照</w:t>
      </w:r>
      <w:r>
        <w:rPr>
          <w:rFonts w:ascii="仿宋_GB2312" w:eastAsia="仿宋_GB2312"/>
          <w:color w:val="000000" w:themeColor="text1"/>
          <w:sz w:val="32"/>
          <w:szCs w:val="32"/>
        </w:rPr>
        <w:t>GB 182</w:t>
      </w:r>
      <w:r>
        <w:rPr>
          <w:rFonts w:hint="eastAsia" w:ascii="仿宋_GB2312" w:eastAsia="仿宋_GB2312"/>
          <w:color w:val="000000" w:themeColor="text1"/>
          <w:sz w:val="32"/>
          <w:szCs w:val="32"/>
        </w:rPr>
        <w:t>80系列标准的规定进行建立。</w:t>
      </w:r>
    </w:p>
    <w:p>
      <w:pPr>
        <w:pStyle w:val="14"/>
        <w:widowControl w:val="0"/>
        <w:numPr>
          <w:ilvl w:val="0"/>
          <w:numId w:val="2"/>
        </w:numPr>
        <w:spacing w:line="520" w:lineRule="exact"/>
        <w:ind w:left="0" w:firstLine="624"/>
        <w:rPr>
          <w:rFonts w:ascii="仿宋_GB2312" w:eastAsia="仿宋_GB2312"/>
          <w:color w:val="000000" w:themeColor="text1"/>
          <w:sz w:val="32"/>
          <w:szCs w:val="32"/>
        </w:rPr>
      </w:pPr>
      <w:r>
        <w:rPr>
          <w:rFonts w:ascii="仿宋_GB2312" w:eastAsia="仿宋_GB2312"/>
          <w:color w:val="000000" w:themeColor="text1"/>
          <w:sz w:val="32"/>
          <w:szCs w:val="32"/>
        </w:rPr>
        <w:t>临床</w:t>
      </w:r>
      <w:r>
        <w:rPr>
          <w:rFonts w:hint="eastAsia" w:ascii="仿宋_GB2312" w:eastAsia="仿宋_GB2312"/>
          <w:color w:val="000000" w:themeColor="text1"/>
          <w:sz w:val="32"/>
          <w:szCs w:val="32"/>
        </w:rPr>
        <w:t>评价</w:t>
      </w:r>
      <w:r>
        <w:rPr>
          <w:rFonts w:ascii="仿宋_GB2312" w:eastAsia="仿宋_GB2312"/>
          <w:color w:val="000000" w:themeColor="text1"/>
          <w:sz w:val="32"/>
          <w:szCs w:val="32"/>
        </w:rPr>
        <w:t>资料</w:t>
      </w:r>
      <w:r>
        <w:rPr>
          <w:rFonts w:hint="eastAsia" w:ascii="仿宋_GB2312" w:eastAsia="仿宋_GB2312"/>
          <w:color w:val="000000" w:themeColor="text1"/>
          <w:sz w:val="32"/>
          <w:szCs w:val="32"/>
        </w:rPr>
        <w:t>：选择</w:t>
      </w:r>
      <w:r>
        <w:rPr>
          <w:rFonts w:ascii="仿宋_GB2312" w:eastAsia="仿宋_GB2312"/>
          <w:color w:val="000000" w:themeColor="text1"/>
          <w:sz w:val="32"/>
          <w:szCs w:val="32"/>
        </w:rPr>
        <w:t>通过同品种医疗器械临床试验或临床使用获得的数据进行分析评价</w:t>
      </w:r>
      <w:r>
        <w:rPr>
          <w:rFonts w:hint="eastAsia" w:ascii="仿宋_GB2312" w:eastAsia="仿宋_GB2312"/>
          <w:color w:val="000000" w:themeColor="text1"/>
          <w:sz w:val="32"/>
          <w:szCs w:val="32"/>
        </w:rPr>
        <w:t>提交临床评价资料时</w:t>
      </w:r>
      <w:r>
        <w:rPr>
          <w:rFonts w:ascii="仿宋_GB2312" w:eastAsia="仿宋_GB2312"/>
          <w:color w:val="000000" w:themeColor="text1"/>
          <w:sz w:val="32"/>
          <w:szCs w:val="32"/>
        </w:rPr>
        <w:t>，</w:t>
      </w:r>
      <w:r>
        <w:rPr>
          <w:rFonts w:hint="eastAsia" w:ascii="仿宋_GB2312" w:eastAsia="仿宋_GB2312"/>
          <w:color w:val="000000" w:themeColor="text1"/>
          <w:sz w:val="32"/>
          <w:szCs w:val="32"/>
        </w:rPr>
        <w:t>需特别关注同品种医疗器械的判定，同品种医疗器械临床数据分析评价，如使用了同品种医疗器械的生产工艺、临床数据等未公开资料，申请人应提交上述未公开资料的使用授权书。</w:t>
      </w:r>
    </w:p>
    <w:p>
      <w:pPr>
        <w:pStyle w:val="14"/>
        <w:widowControl w:val="0"/>
        <w:numPr>
          <w:ilvl w:val="0"/>
          <w:numId w:val="2"/>
        </w:numPr>
        <w:spacing w:line="520" w:lineRule="exact"/>
        <w:ind w:left="0" w:firstLine="624"/>
        <w:rPr>
          <w:rFonts w:ascii="仿宋_GB2312" w:hAnsi="仿宋" w:eastAsia="仿宋_GB2312"/>
          <w:color w:val="000000" w:themeColor="text1"/>
          <w:sz w:val="32"/>
          <w:szCs w:val="28"/>
        </w:rPr>
      </w:pPr>
      <w:r>
        <w:rPr>
          <w:rFonts w:hint="eastAsia" w:ascii="仿宋_GB2312" w:eastAsia="仿宋_GB2312"/>
          <w:color w:val="000000" w:themeColor="text1"/>
          <w:sz w:val="32"/>
          <w:szCs w:val="32"/>
        </w:rPr>
        <w:t>产品</w:t>
      </w:r>
      <w:r>
        <w:rPr>
          <w:rFonts w:ascii="仿宋_GB2312" w:eastAsia="仿宋_GB2312"/>
          <w:color w:val="000000" w:themeColor="text1"/>
          <w:sz w:val="32"/>
          <w:szCs w:val="32"/>
        </w:rPr>
        <w:t>检验报告</w:t>
      </w:r>
      <w:r>
        <w:rPr>
          <w:rFonts w:hint="eastAsia" w:ascii="仿宋_GB2312" w:eastAsia="仿宋_GB2312"/>
          <w:color w:val="000000" w:themeColor="text1"/>
          <w:sz w:val="32"/>
          <w:szCs w:val="32"/>
        </w:rPr>
        <w:t>：应关注检测的典型型号</w:t>
      </w:r>
      <w:r>
        <w:rPr>
          <w:rFonts w:ascii="仿宋_GB2312" w:eastAsia="仿宋_GB2312"/>
          <w:color w:val="000000" w:themeColor="text1"/>
          <w:sz w:val="32"/>
          <w:szCs w:val="32"/>
        </w:rPr>
        <w:t>是否覆盖所有性能要求，检验报告所附照片中的产品结构组成、标识标签等信息，是否与其他</w:t>
      </w:r>
      <w:r>
        <w:rPr>
          <w:rFonts w:ascii="仿宋_GB2312" w:hAnsi="仿宋" w:eastAsia="仿宋_GB2312"/>
          <w:color w:val="000000" w:themeColor="text1"/>
          <w:sz w:val="32"/>
          <w:szCs w:val="28"/>
        </w:rPr>
        <w:t>申报资料描述相同。</w:t>
      </w:r>
    </w:p>
    <w:p>
      <w:pPr>
        <w:pStyle w:val="14"/>
        <w:widowControl w:val="0"/>
        <w:numPr>
          <w:ilvl w:val="0"/>
          <w:numId w:val="2"/>
        </w:numPr>
        <w:spacing w:line="520" w:lineRule="exact"/>
        <w:ind w:left="0" w:firstLine="624"/>
        <w:rPr>
          <w:rFonts w:ascii="仿宋_GB2312" w:hAnsi="仿宋" w:eastAsia="仿宋_GB2312"/>
          <w:color w:val="000000" w:themeColor="text1"/>
          <w:sz w:val="32"/>
          <w:szCs w:val="28"/>
        </w:rPr>
      </w:pPr>
      <w:r>
        <w:rPr>
          <w:rFonts w:hint="eastAsia" w:ascii="仿宋_GB2312" w:hAnsi="仿宋" w:eastAsia="仿宋_GB2312"/>
          <w:color w:val="000000" w:themeColor="text1"/>
          <w:sz w:val="32"/>
          <w:szCs w:val="28"/>
        </w:rPr>
        <w:t>使用说明书：关注</w:t>
      </w:r>
      <w:r>
        <w:rPr>
          <w:rFonts w:ascii="仿宋_GB2312" w:hAnsi="仿宋" w:eastAsia="仿宋_GB2312"/>
          <w:color w:val="000000" w:themeColor="text1"/>
          <w:sz w:val="32"/>
          <w:szCs w:val="28"/>
        </w:rPr>
        <w:t>适用范围</w:t>
      </w:r>
      <w:r>
        <w:rPr>
          <w:rFonts w:hint="eastAsia" w:ascii="仿宋_GB2312" w:hAnsi="仿宋" w:eastAsia="仿宋_GB2312"/>
          <w:color w:val="000000" w:themeColor="text1"/>
          <w:sz w:val="32"/>
          <w:szCs w:val="28"/>
        </w:rPr>
        <w:t>、适应症和禁忌证</w:t>
      </w:r>
      <w:r>
        <w:rPr>
          <w:rFonts w:ascii="仿宋_GB2312" w:hAnsi="仿宋" w:eastAsia="仿宋_GB2312"/>
          <w:color w:val="000000" w:themeColor="text1"/>
          <w:sz w:val="32"/>
          <w:szCs w:val="28"/>
        </w:rPr>
        <w:t>是否与临床</w:t>
      </w:r>
      <w:r>
        <w:rPr>
          <w:rFonts w:hint="eastAsia" w:ascii="仿宋_GB2312" w:hAnsi="仿宋" w:eastAsia="仿宋_GB2312"/>
          <w:color w:val="000000" w:themeColor="text1"/>
          <w:sz w:val="32"/>
          <w:szCs w:val="28"/>
        </w:rPr>
        <w:t>评价资料结论</w:t>
      </w:r>
      <w:r>
        <w:rPr>
          <w:rFonts w:ascii="仿宋_GB2312" w:hAnsi="仿宋" w:eastAsia="仿宋_GB2312"/>
          <w:color w:val="000000" w:themeColor="text1"/>
          <w:sz w:val="32"/>
          <w:szCs w:val="28"/>
        </w:rPr>
        <w:t>一致，不能宣称临床试验结论以外的其他的预期用途，也不能对临床试验结论进行扩大或改变</w:t>
      </w:r>
      <w:r>
        <w:rPr>
          <w:rFonts w:hint="eastAsia" w:ascii="仿宋_GB2312" w:hAnsi="仿宋" w:eastAsia="仿宋_GB2312"/>
          <w:color w:val="000000" w:themeColor="text1"/>
          <w:sz w:val="32"/>
          <w:szCs w:val="28"/>
        </w:rPr>
        <w:t>。</w:t>
      </w:r>
    </w:p>
    <w:sectPr>
      <w:headerReference r:id="rId5" w:type="default"/>
      <w:footerReference r:id="rId6" w:type="default"/>
      <w:footerReference r:id="rId7" w:type="even"/>
      <w:endnotePr>
        <w:numFmt w:val="decimal"/>
      </w:endnotePr>
      <w:pgSz w:w="11906" w:h="16838"/>
      <w:pgMar w:top="1440" w:right="1797" w:bottom="1440" w:left="1797" w:header="851" w:footer="992" w:gutter="0"/>
      <w:pgNumType w:start="22"/>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HeiGB">
    <w:altName w:val="微软雅黑"/>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jc w:val="center"/>
                          </w:pPr>
                          <w:r>
                            <w:rPr>
                              <w:rFonts w:hint="eastAsia" w:asciiTheme="majorHAnsi" w:hAnsiTheme="majorHAnsi"/>
                              <w:sz w:val="28"/>
                              <w:szCs w:val="28"/>
                              <w:lang w:val="zh-CN"/>
                            </w:rPr>
                            <w:t>—</w:t>
                          </w:r>
                          <w:r>
                            <w:rPr>
                              <w:rFonts w:hint="eastAsia" w:asciiTheme="majorHAnsi" w:hAnsiTheme="majorHAnsi"/>
                              <w:sz w:val="28"/>
                              <w:szCs w:val="28"/>
                              <w:lang w:val="en-US" w:eastAsia="zh-CN"/>
                            </w:rPr>
                            <w:t xml:space="preserve"> </w:t>
                          </w:r>
                          <w:r>
                            <w:rPr>
                              <w:rFonts w:eastAsia="仿宋_GB2312"/>
                              <w:sz w:val="28"/>
                              <w:szCs w:val="24"/>
                            </w:rPr>
                            <w:fldChar w:fldCharType="begin"/>
                          </w:r>
                          <w:r>
                            <w:rPr>
                              <w:rFonts w:eastAsia="仿宋_GB2312"/>
                              <w:sz w:val="28"/>
                              <w:szCs w:val="24"/>
                            </w:rPr>
                            <w:instrText xml:space="preserve"> PAGE    \* MERGEFORMAT </w:instrText>
                          </w:r>
                          <w:r>
                            <w:rPr>
                              <w:rFonts w:eastAsia="仿宋_GB2312"/>
                              <w:sz w:val="28"/>
                              <w:szCs w:val="24"/>
                            </w:rPr>
                            <w:fldChar w:fldCharType="separate"/>
                          </w:r>
                          <w:r>
                            <w:rPr>
                              <w:rFonts w:eastAsia="仿宋_GB2312"/>
                              <w:sz w:val="28"/>
                              <w:szCs w:val="24"/>
                              <w:lang w:val="zh-CN"/>
                            </w:rPr>
                            <w:t>20</w:t>
                          </w:r>
                          <w:r>
                            <w:rPr>
                              <w:rFonts w:eastAsia="仿宋_GB2312"/>
                              <w:sz w:val="28"/>
                              <w:szCs w:val="24"/>
                            </w:rPr>
                            <w:fldChar w:fldCharType="end"/>
                          </w:r>
                          <w:r>
                            <w:rPr>
                              <w:rFonts w:hint="eastAsia" w:eastAsia="仿宋_GB2312"/>
                              <w:sz w:val="28"/>
                              <w:szCs w:val="24"/>
                              <w:lang w:val="en-US" w:eastAsia="zh-CN"/>
                            </w:rPr>
                            <w:t xml:space="preserve"> </w:t>
                          </w:r>
                          <w:r>
                            <w:rPr>
                              <w:rFonts w:hint="eastAsia" w:asciiTheme="majorHAnsi" w:hAnsiTheme="majorHAnsi"/>
                              <w:sz w:val="28"/>
                              <w:szCs w:val="28"/>
                              <w:lang w:val="zh-CN"/>
                            </w:rPr>
                            <w:t>—</w:t>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MJqpiXIAQAAmQMAAA4AAAAAAAAAAQAgAAAAHgEAAGRycy9lMm9Eb2Mu&#10;eG1sUEsFBgAAAAAGAAYAWQEAAFgFAAAAAA==&#10;">
              <v:fill on="f" focussize="0,0"/>
              <v:stroke on="f"/>
              <v:imagedata o:title=""/>
              <o:lock v:ext="edit" aspectratio="f"/>
              <v:textbox inset="0mm,0mm,0mm,0mm" style="mso-fit-shape-to-text:t;">
                <w:txbxContent>
                  <w:p>
                    <w:pPr>
                      <w:pStyle w:val="6"/>
                      <w:jc w:val="center"/>
                    </w:pPr>
                    <w:r>
                      <w:rPr>
                        <w:rFonts w:hint="eastAsia" w:asciiTheme="majorHAnsi" w:hAnsiTheme="majorHAnsi"/>
                        <w:sz w:val="28"/>
                        <w:szCs w:val="28"/>
                        <w:lang w:val="zh-CN"/>
                      </w:rPr>
                      <w:t>—</w:t>
                    </w:r>
                    <w:r>
                      <w:rPr>
                        <w:rFonts w:hint="eastAsia" w:asciiTheme="majorHAnsi" w:hAnsiTheme="majorHAnsi"/>
                        <w:sz w:val="28"/>
                        <w:szCs w:val="28"/>
                        <w:lang w:val="en-US" w:eastAsia="zh-CN"/>
                      </w:rPr>
                      <w:t xml:space="preserve"> </w:t>
                    </w:r>
                    <w:r>
                      <w:rPr>
                        <w:rFonts w:eastAsia="仿宋_GB2312"/>
                        <w:sz w:val="28"/>
                        <w:szCs w:val="24"/>
                      </w:rPr>
                      <w:fldChar w:fldCharType="begin"/>
                    </w:r>
                    <w:r>
                      <w:rPr>
                        <w:rFonts w:eastAsia="仿宋_GB2312"/>
                        <w:sz w:val="28"/>
                        <w:szCs w:val="24"/>
                      </w:rPr>
                      <w:instrText xml:space="preserve"> PAGE    \* MERGEFORMAT </w:instrText>
                    </w:r>
                    <w:r>
                      <w:rPr>
                        <w:rFonts w:eastAsia="仿宋_GB2312"/>
                        <w:sz w:val="28"/>
                        <w:szCs w:val="24"/>
                      </w:rPr>
                      <w:fldChar w:fldCharType="separate"/>
                    </w:r>
                    <w:r>
                      <w:rPr>
                        <w:rFonts w:eastAsia="仿宋_GB2312"/>
                        <w:sz w:val="28"/>
                        <w:szCs w:val="24"/>
                        <w:lang w:val="zh-CN"/>
                      </w:rPr>
                      <w:t>20</w:t>
                    </w:r>
                    <w:r>
                      <w:rPr>
                        <w:rFonts w:eastAsia="仿宋_GB2312"/>
                        <w:sz w:val="28"/>
                        <w:szCs w:val="24"/>
                      </w:rPr>
                      <w:fldChar w:fldCharType="end"/>
                    </w:r>
                    <w:r>
                      <w:rPr>
                        <w:rFonts w:hint="eastAsia" w:eastAsia="仿宋_GB2312"/>
                        <w:sz w:val="28"/>
                        <w:szCs w:val="24"/>
                        <w:lang w:val="en-US" w:eastAsia="zh-CN"/>
                      </w:rPr>
                      <w:t xml:space="preserve"> </w:t>
                    </w:r>
                    <w:r>
                      <w:rPr>
                        <w:rFonts w:hint="eastAsia" w:asciiTheme="majorHAnsi" w:hAnsiTheme="majorHAnsi"/>
                        <w:sz w:val="28"/>
                        <w:szCs w:val="28"/>
                        <w:lang w:val="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jc w:val="center"/>
                          </w:pPr>
                          <w:r>
                            <w:rPr>
                              <w:rFonts w:hint="eastAsia" w:asciiTheme="majorHAnsi" w:hAnsiTheme="majorHAnsi"/>
                              <w:sz w:val="28"/>
                              <w:szCs w:val="28"/>
                              <w:lang w:val="zh-CN"/>
                            </w:rPr>
                            <w:t>—</w:t>
                          </w:r>
                          <w:r>
                            <w:rPr>
                              <w:rFonts w:hint="eastAsia" w:ascii="仿宋_GB2312" w:eastAsia="仿宋_GB2312"/>
                              <w:sz w:val="28"/>
                              <w:szCs w:val="24"/>
                            </w:rPr>
                            <w:fldChar w:fldCharType="begin"/>
                          </w:r>
                          <w:r>
                            <w:rPr>
                              <w:rFonts w:hint="eastAsia" w:ascii="仿宋_GB2312" w:eastAsia="仿宋_GB2312"/>
                              <w:sz w:val="28"/>
                              <w:szCs w:val="24"/>
                            </w:rPr>
                            <w:instrText xml:space="preserve"> PAGE    \* MERGEFORMAT </w:instrText>
                          </w:r>
                          <w:r>
                            <w:rPr>
                              <w:rFonts w:hint="eastAsia" w:ascii="仿宋_GB2312" w:eastAsia="仿宋_GB2312"/>
                              <w:sz w:val="28"/>
                              <w:szCs w:val="24"/>
                            </w:rPr>
                            <w:fldChar w:fldCharType="separate"/>
                          </w:r>
                          <w:r>
                            <w:rPr>
                              <w:rFonts w:ascii="仿宋_GB2312" w:eastAsia="仿宋_GB2312" w:hAnsiTheme="majorHAnsi"/>
                              <w:sz w:val="28"/>
                              <w:szCs w:val="24"/>
                              <w:lang w:val="zh-CN"/>
                            </w:rPr>
                            <w:t>22</w:t>
                          </w:r>
                          <w:r>
                            <w:rPr>
                              <w:rFonts w:hint="eastAsia" w:ascii="仿宋_GB2312" w:eastAsia="仿宋_GB2312"/>
                              <w:sz w:val="28"/>
                              <w:szCs w:val="24"/>
                            </w:rPr>
                            <w:fldChar w:fldCharType="end"/>
                          </w:r>
                          <w:r>
                            <w:rPr>
                              <w:rFonts w:hint="eastAsia" w:asciiTheme="majorHAnsi" w:hAnsiTheme="majorHAnsi"/>
                              <w:sz w:val="28"/>
                              <w:szCs w:val="28"/>
                              <w:lang w:val="zh-CN"/>
                            </w:rPr>
                            <w:t>—</w:t>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N9Xv3LIAQAAmQMAAA4AAAAAAAAAAQAgAAAAHgEAAGRycy9lMm9Eb2Mu&#10;eG1sUEsFBgAAAAAGAAYAWQEAAFgFAAAAAA==&#10;">
              <v:fill on="f" focussize="0,0"/>
              <v:stroke on="f"/>
              <v:imagedata o:title=""/>
              <o:lock v:ext="edit" aspectratio="f"/>
              <v:textbox inset="0mm,0mm,0mm,0mm" style="mso-fit-shape-to-text:t;">
                <w:txbxContent>
                  <w:p>
                    <w:pPr>
                      <w:pStyle w:val="6"/>
                      <w:jc w:val="center"/>
                    </w:pPr>
                    <w:r>
                      <w:rPr>
                        <w:rFonts w:hint="eastAsia" w:asciiTheme="majorHAnsi" w:hAnsiTheme="majorHAnsi"/>
                        <w:sz w:val="28"/>
                        <w:szCs w:val="28"/>
                        <w:lang w:val="zh-CN"/>
                      </w:rPr>
                      <w:t>—</w:t>
                    </w:r>
                    <w:r>
                      <w:rPr>
                        <w:rFonts w:hint="eastAsia" w:ascii="仿宋_GB2312" w:eastAsia="仿宋_GB2312"/>
                        <w:sz w:val="28"/>
                        <w:szCs w:val="24"/>
                      </w:rPr>
                      <w:fldChar w:fldCharType="begin"/>
                    </w:r>
                    <w:r>
                      <w:rPr>
                        <w:rFonts w:hint="eastAsia" w:ascii="仿宋_GB2312" w:eastAsia="仿宋_GB2312"/>
                        <w:sz w:val="28"/>
                        <w:szCs w:val="24"/>
                      </w:rPr>
                      <w:instrText xml:space="preserve"> PAGE    \* MERGEFORMAT </w:instrText>
                    </w:r>
                    <w:r>
                      <w:rPr>
                        <w:rFonts w:hint="eastAsia" w:ascii="仿宋_GB2312" w:eastAsia="仿宋_GB2312"/>
                        <w:sz w:val="28"/>
                        <w:szCs w:val="24"/>
                      </w:rPr>
                      <w:fldChar w:fldCharType="separate"/>
                    </w:r>
                    <w:r>
                      <w:rPr>
                        <w:rFonts w:ascii="仿宋_GB2312" w:eastAsia="仿宋_GB2312" w:hAnsiTheme="majorHAnsi"/>
                        <w:sz w:val="28"/>
                        <w:szCs w:val="24"/>
                        <w:lang w:val="zh-CN"/>
                      </w:rPr>
                      <w:t>22</w:t>
                    </w:r>
                    <w:r>
                      <w:rPr>
                        <w:rFonts w:hint="eastAsia" w:ascii="仿宋_GB2312" w:eastAsia="仿宋_GB2312"/>
                        <w:sz w:val="28"/>
                        <w:szCs w:val="24"/>
                      </w:rPr>
                      <w:fldChar w:fldCharType="end"/>
                    </w:r>
                    <w:r>
                      <w:rPr>
                        <w:rFonts w:hint="eastAsia" w:asciiTheme="majorHAnsi" w:hAnsiTheme="majorHAnsi"/>
                        <w:sz w:val="28"/>
                        <w:szCs w:val="28"/>
                        <w:lang w:val="zh-CN"/>
                      </w:rPr>
                      <w:t>—</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8"/>
        <w:szCs w:val="32"/>
      </w:rPr>
    </w:pPr>
    <w:r>
      <w:rPr>
        <w:rFonts w:hint="eastAsia"/>
        <w:color w:val="FFFFFF"/>
        <w:sz w:val="28"/>
        <w:szCs w:val="32"/>
      </w:rPr>
      <w:t>—</w:t>
    </w:r>
    <w:r>
      <w:rPr>
        <w:rFonts w:hint="eastAsia"/>
        <w:sz w:val="28"/>
        <w:szCs w:val="32"/>
      </w:rPr>
      <w:t>—</w:t>
    </w:r>
    <w:r>
      <w:rPr>
        <w:sz w:val="28"/>
        <w:szCs w:val="32"/>
      </w:rPr>
      <w:fldChar w:fldCharType="begin"/>
    </w:r>
    <w:r>
      <w:rPr>
        <w:sz w:val="28"/>
        <w:szCs w:val="32"/>
      </w:rPr>
      <w:instrText xml:space="preserve">PAGE   \* MERGEFORMAT</w:instrText>
    </w:r>
    <w:r>
      <w:rPr>
        <w:sz w:val="28"/>
        <w:szCs w:val="32"/>
      </w:rPr>
      <w:fldChar w:fldCharType="separate"/>
    </w:r>
    <w:r>
      <w:rPr>
        <w:sz w:val="28"/>
        <w:szCs w:val="32"/>
        <w:lang w:val="zh-CN"/>
      </w:rPr>
      <w:t>30</w:t>
    </w:r>
    <w:r>
      <w:rPr>
        <w:sz w:val="28"/>
        <w:szCs w:val="32"/>
      </w:rPr>
      <w:fldChar w:fldCharType="end"/>
    </w:r>
    <w:r>
      <w:rPr>
        <w:rFonts w:hint="eastAsia"/>
        <w:sz w:val="28"/>
        <w:szCs w:val="32"/>
      </w:rP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C21388"/>
    <w:multiLevelType w:val="multilevel"/>
    <w:tmpl w:val="2AC21388"/>
    <w:lvl w:ilvl="0" w:tentative="0">
      <w:start w:val="1"/>
      <w:numFmt w:val="decimal"/>
      <w:lvlText w:val="[%1]"/>
      <w:lvlJc w:val="left"/>
      <w:pPr>
        <w:ind w:left="1979"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851191"/>
    <w:multiLevelType w:val="multilevel"/>
    <w:tmpl w:val="34851191"/>
    <w:lvl w:ilvl="0" w:tentative="0">
      <w:start w:val="1"/>
      <w:numFmt w:val="chineseCountingThousand"/>
      <w:lvlText w:val="%1、"/>
      <w:lvlJc w:val="left"/>
      <w:pPr>
        <w:ind w:left="1044" w:hanging="420"/>
      </w:pPr>
    </w:lvl>
    <w:lvl w:ilvl="1" w:tentative="0">
      <w:start w:val="1"/>
      <w:numFmt w:val="lowerLetter"/>
      <w:lvlText w:val="%2)"/>
      <w:lvlJc w:val="left"/>
      <w:pPr>
        <w:ind w:left="1464" w:hanging="420"/>
      </w:pPr>
    </w:lvl>
    <w:lvl w:ilvl="2" w:tentative="0">
      <w:start w:val="1"/>
      <w:numFmt w:val="lowerRoman"/>
      <w:lvlText w:val="%3."/>
      <w:lvlJc w:val="right"/>
      <w:pPr>
        <w:ind w:left="1884" w:hanging="420"/>
      </w:pPr>
    </w:lvl>
    <w:lvl w:ilvl="3" w:tentative="0">
      <w:start w:val="1"/>
      <w:numFmt w:val="decimal"/>
      <w:lvlText w:val="%4."/>
      <w:lvlJc w:val="left"/>
      <w:pPr>
        <w:ind w:left="2304" w:hanging="420"/>
      </w:pPr>
    </w:lvl>
    <w:lvl w:ilvl="4" w:tentative="0">
      <w:start w:val="1"/>
      <w:numFmt w:val="lowerLetter"/>
      <w:lvlText w:val="%5)"/>
      <w:lvlJc w:val="left"/>
      <w:pPr>
        <w:ind w:left="2724" w:hanging="420"/>
      </w:pPr>
    </w:lvl>
    <w:lvl w:ilvl="5" w:tentative="0">
      <w:start w:val="1"/>
      <w:numFmt w:val="lowerRoman"/>
      <w:lvlText w:val="%6."/>
      <w:lvlJc w:val="right"/>
      <w:pPr>
        <w:ind w:left="3144" w:hanging="420"/>
      </w:pPr>
    </w:lvl>
    <w:lvl w:ilvl="6" w:tentative="0">
      <w:start w:val="1"/>
      <w:numFmt w:val="decimal"/>
      <w:lvlText w:val="%7."/>
      <w:lvlJc w:val="left"/>
      <w:pPr>
        <w:ind w:left="3564" w:hanging="420"/>
      </w:pPr>
    </w:lvl>
    <w:lvl w:ilvl="7" w:tentative="0">
      <w:start w:val="1"/>
      <w:numFmt w:val="lowerLetter"/>
      <w:lvlText w:val="%8)"/>
      <w:lvlJc w:val="left"/>
      <w:pPr>
        <w:ind w:left="3984" w:hanging="420"/>
      </w:pPr>
    </w:lvl>
    <w:lvl w:ilvl="8" w:tentative="0">
      <w:start w:val="1"/>
      <w:numFmt w:val="lowerRoman"/>
      <w:lvlText w:val="%9."/>
      <w:lvlJc w:val="right"/>
      <w:pPr>
        <w:ind w:left="440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C70759"/>
    <w:rsid w:val="0002618E"/>
    <w:rsid w:val="000306F9"/>
    <w:rsid w:val="00032F30"/>
    <w:rsid w:val="00034F40"/>
    <w:rsid w:val="0003761B"/>
    <w:rsid w:val="00056929"/>
    <w:rsid w:val="00061BE9"/>
    <w:rsid w:val="00063A68"/>
    <w:rsid w:val="0007315C"/>
    <w:rsid w:val="0007588A"/>
    <w:rsid w:val="000776F2"/>
    <w:rsid w:val="0009426B"/>
    <w:rsid w:val="00094FD3"/>
    <w:rsid w:val="000A0185"/>
    <w:rsid w:val="000A6B52"/>
    <w:rsid w:val="000B4186"/>
    <w:rsid w:val="000B71A9"/>
    <w:rsid w:val="000B7EB3"/>
    <w:rsid w:val="000C017F"/>
    <w:rsid w:val="000C0627"/>
    <w:rsid w:val="000C300C"/>
    <w:rsid w:val="000D32E1"/>
    <w:rsid w:val="000D73E9"/>
    <w:rsid w:val="000E55BC"/>
    <w:rsid w:val="000E76BF"/>
    <w:rsid w:val="000F32A8"/>
    <w:rsid w:val="000F42CF"/>
    <w:rsid w:val="000F6551"/>
    <w:rsid w:val="00110D16"/>
    <w:rsid w:val="00113EE4"/>
    <w:rsid w:val="001142B0"/>
    <w:rsid w:val="00134EE2"/>
    <w:rsid w:val="00142E00"/>
    <w:rsid w:val="001460C6"/>
    <w:rsid w:val="001529E8"/>
    <w:rsid w:val="00152E96"/>
    <w:rsid w:val="00155C81"/>
    <w:rsid w:val="00161F6C"/>
    <w:rsid w:val="00170D7C"/>
    <w:rsid w:val="0017751C"/>
    <w:rsid w:val="00177D6A"/>
    <w:rsid w:val="00180897"/>
    <w:rsid w:val="00181CFC"/>
    <w:rsid w:val="00182913"/>
    <w:rsid w:val="001834DE"/>
    <w:rsid w:val="00190A1A"/>
    <w:rsid w:val="001B2480"/>
    <w:rsid w:val="001D3EE6"/>
    <w:rsid w:val="001E0702"/>
    <w:rsid w:val="001E1DCD"/>
    <w:rsid w:val="001F163F"/>
    <w:rsid w:val="0020754C"/>
    <w:rsid w:val="002124C8"/>
    <w:rsid w:val="00214BAA"/>
    <w:rsid w:val="0022301C"/>
    <w:rsid w:val="002243D0"/>
    <w:rsid w:val="002345CC"/>
    <w:rsid w:val="00234C2B"/>
    <w:rsid w:val="00244167"/>
    <w:rsid w:val="00245669"/>
    <w:rsid w:val="00246372"/>
    <w:rsid w:val="00246BA1"/>
    <w:rsid w:val="0025068D"/>
    <w:rsid w:val="00255308"/>
    <w:rsid w:val="0025778C"/>
    <w:rsid w:val="002632E7"/>
    <w:rsid w:val="00264BBD"/>
    <w:rsid w:val="00265DBE"/>
    <w:rsid w:val="00266B99"/>
    <w:rsid w:val="00271428"/>
    <w:rsid w:val="0027167E"/>
    <w:rsid w:val="00273A72"/>
    <w:rsid w:val="002752AB"/>
    <w:rsid w:val="00284E7D"/>
    <w:rsid w:val="002861BA"/>
    <w:rsid w:val="002B1CD4"/>
    <w:rsid w:val="002B6A15"/>
    <w:rsid w:val="002C5A25"/>
    <w:rsid w:val="002D09F3"/>
    <w:rsid w:val="002D3A4B"/>
    <w:rsid w:val="002E6B09"/>
    <w:rsid w:val="002F28BB"/>
    <w:rsid w:val="002F4633"/>
    <w:rsid w:val="002F504F"/>
    <w:rsid w:val="002F5B5D"/>
    <w:rsid w:val="003178EE"/>
    <w:rsid w:val="00324705"/>
    <w:rsid w:val="00335A58"/>
    <w:rsid w:val="003362BA"/>
    <w:rsid w:val="00343A61"/>
    <w:rsid w:val="00362DD5"/>
    <w:rsid w:val="00366626"/>
    <w:rsid w:val="00366B84"/>
    <w:rsid w:val="003750AD"/>
    <w:rsid w:val="0038096F"/>
    <w:rsid w:val="003A03E2"/>
    <w:rsid w:val="003A466B"/>
    <w:rsid w:val="003A5B21"/>
    <w:rsid w:val="003A5EB1"/>
    <w:rsid w:val="003B5F12"/>
    <w:rsid w:val="003E3A1E"/>
    <w:rsid w:val="003E6E48"/>
    <w:rsid w:val="003F131F"/>
    <w:rsid w:val="003F307C"/>
    <w:rsid w:val="00414207"/>
    <w:rsid w:val="00416FC1"/>
    <w:rsid w:val="00420959"/>
    <w:rsid w:val="00420FFD"/>
    <w:rsid w:val="004218EF"/>
    <w:rsid w:val="00432DF3"/>
    <w:rsid w:val="00432E9C"/>
    <w:rsid w:val="00440FF9"/>
    <w:rsid w:val="00452A9F"/>
    <w:rsid w:val="0045797C"/>
    <w:rsid w:val="00467532"/>
    <w:rsid w:val="00473985"/>
    <w:rsid w:val="00493048"/>
    <w:rsid w:val="004A3456"/>
    <w:rsid w:val="004C1C1D"/>
    <w:rsid w:val="004C6F82"/>
    <w:rsid w:val="004D575B"/>
    <w:rsid w:val="004D6C06"/>
    <w:rsid w:val="004F10BA"/>
    <w:rsid w:val="00501B95"/>
    <w:rsid w:val="005121C4"/>
    <w:rsid w:val="0051248D"/>
    <w:rsid w:val="005141DF"/>
    <w:rsid w:val="005228A6"/>
    <w:rsid w:val="00527395"/>
    <w:rsid w:val="00533905"/>
    <w:rsid w:val="005358ED"/>
    <w:rsid w:val="00543287"/>
    <w:rsid w:val="005569CF"/>
    <w:rsid w:val="00562465"/>
    <w:rsid w:val="00564D8D"/>
    <w:rsid w:val="00570A4D"/>
    <w:rsid w:val="00571AB3"/>
    <w:rsid w:val="00577CCB"/>
    <w:rsid w:val="00582F7D"/>
    <w:rsid w:val="0058479D"/>
    <w:rsid w:val="0059736F"/>
    <w:rsid w:val="005B0FAE"/>
    <w:rsid w:val="005B2F44"/>
    <w:rsid w:val="005B71DB"/>
    <w:rsid w:val="005C1921"/>
    <w:rsid w:val="005C5735"/>
    <w:rsid w:val="005D784F"/>
    <w:rsid w:val="005F6810"/>
    <w:rsid w:val="0060296D"/>
    <w:rsid w:val="006053ED"/>
    <w:rsid w:val="0062062F"/>
    <w:rsid w:val="00633CE6"/>
    <w:rsid w:val="00637C15"/>
    <w:rsid w:val="006441FA"/>
    <w:rsid w:val="006455D8"/>
    <w:rsid w:val="006457D8"/>
    <w:rsid w:val="006565A3"/>
    <w:rsid w:val="00671BCC"/>
    <w:rsid w:val="0068672B"/>
    <w:rsid w:val="006924AB"/>
    <w:rsid w:val="006929C3"/>
    <w:rsid w:val="0069638D"/>
    <w:rsid w:val="006974FE"/>
    <w:rsid w:val="006A143D"/>
    <w:rsid w:val="006A2F7E"/>
    <w:rsid w:val="006A7A1C"/>
    <w:rsid w:val="006B4CDC"/>
    <w:rsid w:val="006B598C"/>
    <w:rsid w:val="006B6B8B"/>
    <w:rsid w:val="006B72BA"/>
    <w:rsid w:val="006C14A4"/>
    <w:rsid w:val="006D564D"/>
    <w:rsid w:val="006D56DD"/>
    <w:rsid w:val="006D68B8"/>
    <w:rsid w:val="006E0BDB"/>
    <w:rsid w:val="006F1D87"/>
    <w:rsid w:val="006F2B6F"/>
    <w:rsid w:val="006F7BA8"/>
    <w:rsid w:val="00702954"/>
    <w:rsid w:val="00715074"/>
    <w:rsid w:val="00717567"/>
    <w:rsid w:val="0072144E"/>
    <w:rsid w:val="007266BA"/>
    <w:rsid w:val="0072795D"/>
    <w:rsid w:val="0073660C"/>
    <w:rsid w:val="00740BD9"/>
    <w:rsid w:val="00740E04"/>
    <w:rsid w:val="00747FFC"/>
    <w:rsid w:val="007538A9"/>
    <w:rsid w:val="00757075"/>
    <w:rsid w:val="0076238A"/>
    <w:rsid w:val="007629A9"/>
    <w:rsid w:val="0076386F"/>
    <w:rsid w:val="00790F2A"/>
    <w:rsid w:val="007A057E"/>
    <w:rsid w:val="007A2351"/>
    <w:rsid w:val="007B2290"/>
    <w:rsid w:val="007C19E8"/>
    <w:rsid w:val="007C3555"/>
    <w:rsid w:val="007D208E"/>
    <w:rsid w:val="007F5178"/>
    <w:rsid w:val="007F7A9C"/>
    <w:rsid w:val="00807550"/>
    <w:rsid w:val="00830BC6"/>
    <w:rsid w:val="008328D4"/>
    <w:rsid w:val="00853B9B"/>
    <w:rsid w:val="00855637"/>
    <w:rsid w:val="008578A0"/>
    <w:rsid w:val="00860935"/>
    <w:rsid w:val="00861517"/>
    <w:rsid w:val="008678F9"/>
    <w:rsid w:val="00873927"/>
    <w:rsid w:val="008748EF"/>
    <w:rsid w:val="008753ED"/>
    <w:rsid w:val="008778B1"/>
    <w:rsid w:val="008825F9"/>
    <w:rsid w:val="00890FAC"/>
    <w:rsid w:val="00892B4A"/>
    <w:rsid w:val="0089407E"/>
    <w:rsid w:val="008A3315"/>
    <w:rsid w:val="008A6A10"/>
    <w:rsid w:val="008C158C"/>
    <w:rsid w:val="008D0DEB"/>
    <w:rsid w:val="008D410B"/>
    <w:rsid w:val="008D668D"/>
    <w:rsid w:val="008E7ACB"/>
    <w:rsid w:val="008F3CBC"/>
    <w:rsid w:val="00900D96"/>
    <w:rsid w:val="00904A93"/>
    <w:rsid w:val="009050FD"/>
    <w:rsid w:val="00907585"/>
    <w:rsid w:val="00910BB2"/>
    <w:rsid w:val="00911828"/>
    <w:rsid w:val="0091509B"/>
    <w:rsid w:val="00916126"/>
    <w:rsid w:val="00926F09"/>
    <w:rsid w:val="00931D79"/>
    <w:rsid w:val="00933EE9"/>
    <w:rsid w:val="00951193"/>
    <w:rsid w:val="00953112"/>
    <w:rsid w:val="00953CA8"/>
    <w:rsid w:val="009561DC"/>
    <w:rsid w:val="0097569A"/>
    <w:rsid w:val="00975A7B"/>
    <w:rsid w:val="00975E75"/>
    <w:rsid w:val="00976263"/>
    <w:rsid w:val="0097693F"/>
    <w:rsid w:val="0098248F"/>
    <w:rsid w:val="00995044"/>
    <w:rsid w:val="009A197F"/>
    <w:rsid w:val="009A25E4"/>
    <w:rsid w:val="009A2F61"/>
    <w:rsid w:val="009A3781"/>
    <w:rsid w:val="009B0F91"/>
    <w:rsid w:val="009D2395"/>
    <w:rsid w:val="009D3DAC"/>
    <w:rsid w:val="009E123E"/>
    <w:rsid w:val="009E37D0"/>
    <w:rsid w:val="00A22D98"/>
    <w:rsid w:val="00A359B8"/>
    <w:rsid w:val="00A4744F"/>
    <w:rsid w:val="00A52CAB"/>
    <w:rsid w:val="00A57AA4"/>
    <w:rsid w:val="00A74244"/>
    <w:rsid w:val="00A80991"/>
    <w:rsid w:val="00A906FD"/>
    <w:rsid w:val="00A908E9"/>
    <w:rsid w:val="00AB3545"/>
    <w:rsid w:val="00AD52A9"/>
    <w:rsid w:val="00AD74F2"/>
    <w:rsid w:val="00AF187F"/>
    <w:rsid w:val="00B065F4"/>
    <w:rsid w:val="00B12EF1"/>
    <w:rsid w:val="00B31151"/>
    <w:rsid w:val="00B31A88"/>
    <w:rsid w:val="00B4376C"/>
    <w:rsid w:val="00B44E53"/>
    <w:rsid w:val="00B641D8"/>
    <w:rsid w:val="00B64ACF"/>
    <w:rsid w:val="00B72510"/>
    <w:rsid w:val="00B725F6"/>
    <w:rsid w:val="00B7337F"/>
    <w:rsid w:val="00B82B70"/>
    <w:rsid w:val="00B84700"/>
    <w:rsid w:val="00B87FD2"/>
    <w:rsid w:val="00B91EBF"/>
    <w:rsid w:val="00B9522D"/>
    <w:rsid w:val="00BA759B"/>
    <w:rsid w:val="00BB4081"/>
    <w:rsid w:val="00BD1FC9"/>
    <w:rsid w:val="00BD3DD3"/>
    <w:rsid w:val="00C005A0"/>
    <w:rsid w:val="00C01AB8"/>
    <w:rsid w:val="00C16017"/>
    <w:rsid w:val="00C23E6D"/>
    <w:rsid w:val="00C459F4"/>
    <w:rsid w:val="00C45A28"/>
    <w:rsid w:val="00C478BA"/>
    <w:rsid w:val="00C52684"/>
    <w:rsid w:val="00C53197"/>
    <w:rsid w:val="00C616E7"/>
    <w:rsid w:val="00C70759"/>
    <w:rsid w:val="00C72179"/>
    <w:rsid w:val="00C75BF5"/>
    <w:rsid w:val="00C80FD7"/>
    <w:rsid w:val="00C82C60"/>
    <w:rsid w:val="00C830EB"/>
    <w:rsid w:val="00C833E2"/>
    <w:rsid w:val="00CB23CF"/>
    <w:rsid w:val="00CC3AB6"/>
    <w:rsid w:val="00CD4054"/>
    <w:rsid w:val="00CE5A83"/>
    <w:rsid w:val="00CE6E7E"/>
    <w:rsid w:val="00CF02CB"/>
    <w:rsid w:val="00CF461F"/>
    <w:rsid w:val="00CF6CA9"/>
    <w:rsid w:val="00D12DA2"/>
    <w:rsid w:val="00D17F1A"/>
    <w:rsid w:val="00D226EC"/>
    <w:rsid w:val="00D30ED1"/>
    <w:rsid w:val="00D33296"/>
    <w:rsid w:val="00D333F6"/>
    <w:rsid w:val="00D36179"/>
    <w:rsid w:val="00D50F28"/>
    <w:rsid w:val="00D6000E"/>
    <w:rsid w:val="00D715EF"/>
    <w:rsid w:val="00D725A9"/>
    <w:rsid w:val="00D81E62"/>
    <w:rsid w:val="00D832B7"/>
    <w:rsid w:val="00D83B7A"/>
    <w:rsid w:val="00D87333"/>
    <w:rsid w:val="00DA1C3D"/>
    <w:rsid w:val="00DA2EA9"/>
    <w:rsid w:val="00DB126C"/>
    <w:rsid w:val="00DC07DA"/>
    <w:rsid w:val="00DC684B"/>
    <w:rsid w:val="00DE5648"/>
    <w:rsid w:val="00DE5996"/>
    <w:rsid w:val="00E132C8"/>
    <w:rsid w:val="00E14461"/>
    <w:rsid w:val="00E27039"/>
    <w:rsid w:val="00E31BF5"/>
    <w:rsid w:val="00E323A0"/>
    <w:rsid w:val="00E36D31"/>
    <w:rsid w:val="00E37E4F"/>
    <w:rsid w:val="00E40D6D"/>
    <w:rsid w:val="00E430D5"/>
    <w:rsid w:val="00E46084"/>
    <w:rsid w:val="00E52F02"/>
    <w:rsid w:val="00E54C59"/>
    <w:rsid w:val="00E67468"/>
    <w:rsid w:val="00E67F18"/>
    <w:rsid w:val="00E70E9A"/>
    <w:rsid w:val="00E72E22"/>
    <w:rsid w:val="00E76EAD"/>
    <w:rsid w:val="00E85BFF"/>
    <w:rsid w:val="00E87985"/>
    <w:rsid w:val="00EC0FE6"/>
    <w:rsid w:val="00ED7175"/>
    <w:rsid w:val="00EE7C9D"/>
    <w:rsid w:val="00F01681"/>
    <w:rsid w:val="00F03D62"/>
    <w:rsid w:val="00F04B2F"/>
    <w:rsid w:val="00F05A21"/>
    <w:rsid w:val="00F10A23"/>
    <w:rsid w:val="00F10AE4"/>
    <w:rsid w:val="00F24B53"/>
    <w:rsid w:val="00F31ACC"/>
    <w:rsid w:val="00F511AC"/>
    <w:rsid w:val="00F60DC9"/>
    <w:rsid w:val="00F61906"/>
    <w:rsid w:val="00F77D1B"/>
    <w:rsid w:val="00F841C0"/>
    <w:rsid w:val="00F85C95"/>
    <w:rsid w:val="00F862DF"/>
    <w:rsid w:val="00F86481"/>
    <w:rsid w:val="00FA32FC"/>
    <w:rsid w:val="00FA3A05"/>
    <w:rsid w:val="00FA7E09"/>
    <w:rsid w:val="00FB2118"/>
    <w:rsid w:val="00FC12D5"/>
    <w:rsid w:val="00FD4134"/>
    <w:rsid w:val="00FD65AB"/>
    <w:rsid w:val="00FD7757"/>
    <w:rsid w:val="00FE5893"/>
    <w:rsid w:val="00FF2D6F"/>
    <w:rsid w:val="00FF75A1"/>
    <w:rsid w:val="16FC0E32"/>
    <w:rsid w:val="2D546470"/>
    <w:rsid w:val="467F6021"/>
    <w:rsid w:val="4F245031"/>
    <w:rsid w:val="621B5737"/>
    <w:rsid w:val="6460011D"/>
    <w:rsid w:val="7BE116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1"/>
    <w:unhideWhenUsed/>
    <w:qFormat/>
    <w:uiPriority w:val="99"/>
    <w:pPr>
      <w:jc w:val="left"/>
    </w:pPr>
  </w:style>
  <w:style w:type="paragraph" w:styleId="3">
    <w:name w:val="Body Text"/>
    <w:basedOn w:val="1"/>
    <w:link w:val="15"/>
    <w:semiHidden/>
    <w:unhideWhenUsed/>
    <w:qFormat/>
    <w:uiPriority w:val="99"/>
    <w:pPr>
      <w:spacing w:after="120"/>
    </w:pPr>
  </w:style>
  <w:style w:type="paragraph" w:styleId="4">
    <w:name w:val="Plain Text"/>
    <w:basedOn w:val="1"/>
    <w:link w:val="20"/>
    <w:unhideWhenUsed/>
    <w:qFormat/>
    <w:uiPriority w:val="99"/>
    <w:rPr>
      <w:rFonts w:ascii="宋体" w:hAnsi="Courier New"/>
      <w:kern w:val="0"/>
      <w:sz w:val="20"/>
      <w:szCs w:val="21"/>
    </w:rPr>
  </w:style>
  <w:style w:type="paragraph" w:styleId="5">
    <w:name w:val="Balloon Text"/>
    <w:basedOn w:val="1"/>
    <w:link w:val="22"/>
    <w:semiHidden/>
    <w:unhideWhenUsed/>
    <w:qFormat/>
    <w:uiPriority w:val="99"/>
    <w:rPr>
      <w:sz w:val="18"/>
      <w:szCs w:val="18"/>
    </w:rPr>
  </w:style>
  <w:style w:type="paragraph" w:styleId="6">
    <w:name w:val="footer"/>
    <w:basedOn w:val="1"/>
    <w:link w:val="13"/>
    <w:qFormat/>
    <w:uiPriority w:val="99"/>
    <w:pPr>
      <w:tabs>
        <w:tab w:val="center" w:pos="4153"/>
        <w:tab w:val="right" w:pos="8306"/>
      </w:tabs>
      <w:snapToGrid w:val="0"/>
      <w:jc w:val="left"/>
    </w:pPr>
    <w:rPr>
      <w:sz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rPr>
  </w:style>
  <w:style w:type="paragraph" w:styleId="8">
    <w:name w:val="Body Text First Indent"/>
    <w:basedOn w:val="3"/>
    <w:link w:val="12"/>
    <w:qFormat/>
    <w:uiPriority w:val="0"/>
    <w:pPr>
      <w:ind w:firstLine="420" w:firstLineChars="100"/>
    </w:pPr>
    <w:rPr>
      <w:rFonts w:asciiTheme="minorHAnsi" w:hAnsiTheme="minorHAnsi" w:eastAsiaTheme="minorEastAsia" w:cstheme="minorBidi"/>
      <w:szCs w:val="22"/>
    </w:rPr>
  </w:style>
  <w:style w:type="character" w:styleId="11">
    <w:name w:val="annotation reference"/>
    <w:basedOn w:val="10"/>
    <w:semiHidden/>
    <w:unhideWhenUsed/>
    <w:qFormat/>
    <w:uiPriority w:val="99"/>
    <w:rPr>
      <w:sz w:val="21"/>
      <w:szCs w:val="21"/>
    </w:rPr>
  </w:style>
  <w:style w:type="character" w:customStyle="1" w:styleId="12">
    <w:name w:val="正文首行缩进 字符"/>
    <w:link w:val="8"/>
    <w:qFormat/>
    <w:uiPriority w:val="0"/>
  </w:style>
  <w:style w:type="character" w:customStyle="1" w:styleId="13">
    <w:name w:val="页脚 字符"/>
    <w:basedOn w:val="10"/>
    <w:link w:val="6"/>
    <w:qFormat/>
    <w:uiPriority w:val="99"/>
    <w:rPr>
      <w:rFonts w:ascii="Times New Roman" w:hAnsi="Times New Roman" w:eastAsia="宋体" w:cs="Times New Roman"/>
      <w:sz w:val="18"/>
      <w:szCs w:val="20"/>
    </w:rPr>
  </w:style>
  <w:style w:type="paragraph" w:customStyle="1" w:styleId="14">
    <w:name w:val="王奕改内文"/>
    <w:basedOn w:val="1"/>
    <w:link w:val="19"/>
    <w:qFormat/>
    <w:uiPriority w:val="0"/>
    <w:pPr>
      <w:widowControl/>
      <w:spacing w:line="360" w:lineRule="auto"/>
      <w:ind w:firstLine="200" w:firstLineChars="200"/>
    </w:pPr>
    <w:rPr>
      <w:rFonts w:ascii="宋体" w:hAnsi="宋体"/>
      <w:color w:val="000000"/>
      <w:spacing w:val="-4"/>
      <w:sz w:val="24"/>
    </w:rPr>
  </w:style>
  <w:style w:type="character" w:customStyle="1" w:styleId="15">
    <w:name w:val="正文文本 字符"/>
    <w:basedOn w:val="10"/>
    <w:link w:val="3"/>
    <w:semiHidden/>
    <w:qFormat/>
    <w:uiPriority w:val="99"/>
    <w:rPr>
      <w:rFonts w:ascii="Times New Roman" w:hAnsi="Times New Roman" w:eastAsia="宋体" w:cs="Times New Roman"/>
      <w:szCs w:val="20"/>
    </w:rPr>
  </w:style>
  <w:style w:type="character" w:customStyle="1" w:styleId="16">
    <w:name w:val="正文首行缩进 Char1"/>
    <w:basedOn w:val="15"/>
    <w:semiHidden/>
    <w:qFormat/>
    <w:uiPriority w:val="99"/>
    <w:rPr>
      <w:rFonts w:ascii="Times New Roman" w:hAnsi="Times New Roman" w:eastAsia="宋体" w:cs="Times New Roman"/>
      <w:szCs w:val="20"/>
    </w:rPr>
  </w:style>
  <w:style w:type="character" w:customStyle="1" w:styleId="17">
    <w:name w:val="页眉 字符"/>
    <w:basedOn w:val="10"/>
    <w:link w:val="7"/>
    <w:qFormat/>
    <w:uiPriority w:val="0"/>
    <w:rPr>
      <w:rFonts w:ascii="Times New Roman" w:hAnsi="Times New Roman" w:eastAsia="宋体" w:cs="Times New Roman"/>
      <w:sz w:val="18"/>
      <w:szCs w:val="20"/>
    </w:rPr>
  </w:style>
  <w:style w:type="paragraph" w:styleId="18">
    <w:name w:val="List Paragraph"/>
    <w:basedOn w:val="1"/>
    <w:qFormat/>
    <w:uiPriority w:val="34"/>
    <w:pPr>
      <w:ind w:firstLine="420" w:firstLineChars="200"/>
    </w:pPr>
  </w:style>
  <w:style w:type="character" w:customStyle="1" w:styleId="19">
    <w:name w:val="王奕改内文 Char"/>
    <w:link w:val="14"/>
    <w:qFormat/>
    <w:uiPriority w:val="0"/>
    <w:rPr>
      <w:rFonts w:ascii="宋体" w:hAnsi="宋体" w:eastAsia="宋体" w:cs="Times New Roman"/>
      <w:color w:val="000000"/>
      <w:spacing w:val="-4"/>
      <w:sz w:val="24"/>
      <w:szCs w:val="20"/>
    </w:rPr>
  </w:style>
  <w:style w:type="character" w:customStyle="1" w:styleId="20">
    <w:name w:val="纯文本 字符"/>
    <w:basedOn w:val="10"/>
    <w:link w:val="4"/>
    <w:qFormat/>
    <w:uiPriority w:val="99"/>
    <w:rPr>
      <w:rFonts w:ascii="宋体" w:hAnsi="Courier New" w:eastAsia="宋体" w:cs="Times New Roman"/>
      <w:kern w:val="0"/>
      <w:sz w:val="20"/>
      <w:szCs w:val="21"/>
    </w:rPr>
  </w:style>
  <w:style w:type="character" w:customStyle="1" w:styleId="21">
    <w:name w:val="批注文字 字符"/>
    <w:basedOn w:val="10"/>
    <w:link w:val="2"/>
    <w:qFormat/>
    <w:uiPriority w:val="99"/>
    <w:rPr>
      <w:rFonts w:ascii="Times New Roman" w:hAnsi="Times New Roman" w:eastAsia="宋体" w:cs="Times New Roman"/>
      <w:szCs w:val="20"/>
    </w:rPr>
  </w:style>
  <w:style w:type="character" w:customStyle="1" w:styleId="22">
    <w:name w:val="批注框文本 字符"/>
    <w:basedOn w:val="10"/>
    <w:link w:val="5"/>
    <w:semiHidden/>
    <w:qFormat/>
    <w:uiPriority w:val="99"/>
    <w:rPr>
      <w:rFonts w:ascii="Times New Roman" w:hAnsi="Times New Roman" w:eastAsia="宋体" w:cs="Times New Roman"/>
      <w:sz w:val="18"/>
      <w:szCs w:val="18"/>
    </w:rPr>
  </w:style>
  <w:style w:type="character" w:customStyle="1" w:styleId="23">
    <w:name w:val="A4"/>
    <w:unhideWhenUsed/>
    <w:qFormat/>
    <w:uiPriority w:val="99"/>
    <w:rPr>
      <w:rFonts w:hint="eastAsia"/>
      <w:color w:val="211D1E"/>
      <w:sz w:val="16"/>
    </w:rPr>
  </w:style>
  <w:style w:type="paragraph" w:customStyle="1" w:styleId="24">
    <w:name w:val="Default"/>
    <w:qFormat/>
    <w:uiPriority w:val="0"/>
    <w:pPr>
      <w:widowControl w:val="0"/>
      <w:autoSpaceDE w:val="0"/>
      <w:autoSpaceDN w:val="0"/>
      <w:adjustRightInd w:val="0"/>
    </w:pPr>
    <w:rPr>
      <w:rFonts w:ascii="MHeiGB" w:eastAsia="MHeiGB" w:cs="MHeiGB" w:hAnsiTheme="minorHAnsi"/>
      <w:color w:val="000000"/>
      <w:sz w:val="24"/>
      <w:szCs w:val="24"/>
      <w:lang w:val="en-US" w:eastAsia="zh-CN" w:bidi="ar-SA"/>
    </w:rPr>
  </w:style>
  <w:style w:type="paragraph" w:customStyle="1" w:styleId="25">
    <w:name w:val="修订1"/>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5803E5-8F25-457D-B805-23662FC36643}">
  <ds:schemaRefs/>
</ds:datastoreItem>
</file>

<file path=docProps/app.xml><?xml version="1.0" encoding="utf-8"?>
<Properties xmlns="http://schemas.openxmlformats.org/officeDocument/2006/extended-properties" xmlns:vt="http://schemas.openxmlformats.org/officeDocument/2006/docPropsVTypes">
  <Template>Normal</Template>
  <Company>www.window7.com</Company>
  <Pages>22</Pages>
  <Words>8967</Words>
  <Characters>9457</Characters>
  <Lines>70</Lines>
  <Paragraphs>19</Paragraphs>
  <TotalTime>3</TotalTime>
  <ScaleCrop>false</ScaleCrop>
  <LinksUpToDate>false</LinksUpToDate>
  <CharactersWithSpaces>9568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2022-07-26T02:36:00Z</dcterms:created>
  <dc:creator>储云高</dc:creator>
  <cp:lastModifiedBy>也好</cp:lastModifiedBy>
  <dcterms:modified xsi:type="dcterms:W3CDTF">2022-11-29T02:56:49Z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0B1B9E9E1502472FA7DB8F9938C2AD42</vt:lpwstr>
  </property>
</Properties>
</file>