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ind w:right="-67" w:rightChars="-32"/>
        <w:jc w:val="left"/>
        <w:rPr>
          <w:rFonts w:hint="eastAsia" w:ascii="黑体" w:hAnsi="黑体" w:eastAsia="黑体" w:cs="黑体"/>
          <w:color w:val="000000"/>
          <w:sz w:val="32"/>
          <w:szCs w:val="32"/>
          <w:lang w:val="en-US" w:eastAsia="zh-CN"/>
        </w:rPr>
      </w:pPr>
      <w:r>
        <w:rPr>
          <w:rFonts w:hint="eastAsia" w:ascii="黑体" w:hAnsi="黑体" w:eastAsia="黑体" w:cs="黑体"/>
          <w:color w:val="000000"/>
          <w:sz w:val="32"/>
          <w:szCs w:val="32"/>
          <w:lang w:val="en-US" w:eastAsia="zh-CN"/>
        </w:rPr>
        <w:t>附件2</w:t>
      </w:r>
    </w:p>
    <w:p>
      <w:pPr>
        <w:spacing w:line="520" w:lineRule="exact"/>
        <w:ind w:right="-67" w:rightChars="-32"/>
        <w:jc w:val="left"/>
        <w:rPr>
          <w:rFonts w:hint="eastAsia" w:ascii="黑体" w:hAnsi="黑体" w:eastAsia="黑体" w:cs="黑体"/>
          <w:color w:val="000000"/>
          <w:sz w:val="32"/>
          <w:szCs w:val="32"/>
          <w:lang w:val="en-US" w:eastAsia="zh-CN"/>
        </w:rPr>
      </w:pPr>
    </w:p>
    <w:p>
      <w:pPr>
        <w:spacing w:line="520" w:lineRule="exact"/>
        <w:ind w:right="-67" w:rightChars="-32"/>
        <w:jc w:val="center"/>
        <w:rPr>
          <w:rFonts w:eastAsia="方正小标宋简体"/>
          <w:color w:val="000000"/>
          <w:sz w:val="44"/>
          <w:szCs w:val="44"/>
        </w:rPr>
      </w:pPr>
      <w:r>
        <w:rPr>
          <w:rFonts w:eastAsia="方正小标宋简体"/>
          <w:color w:val="000000"/>
          <w:sz w:val="44"/>
          <w:szCs w:val="44"/>
        </w:rPr>
        <w:t>针灸针产品注册审查指导原则</w:t>
      </w:r>
    </w:p>
    <w:p>
      <w:pPr>
        <w:spacing w:line="520" w:lineRule="exact"/>
        <w:ind w:right="-67" w:rightChars="-32"/>
        <w:rPr>
          <w:rFonts w:eastAsia="方正小标宋简体"/>
          <w:color w:val="000000"/>
          <w:sz w:val="32"/>
          <w:szCs w:val="44"/>
        </w:rPr>
      </w:pPr>
    </w:p>
    <w:p>
      <w:pPr>
        <w:spacing w:line="520" w:lineRule="exact"/>
        <w:ind w:firstLine="640" w:firstLineChars="200"/>
        <w:jc w:val="left"/>
        <w:rPr>
          <w:rFonts w:eastAsia="仿宋_GB2312"/>
          <w:color w:val="000000"/>
          <w:sz w:val="32"/>
          <w:szCs w:val="32"/>
        </w:rPr>
      </w:pPr>
      <w:r>
        <w:rPr>
          <w:rFonts w:eastAsia="仿宋_GB2312"/>
          <w:color w:val="000000"/>
          <w:sz w:val="32"/>
          <w:szCs w:val="32"/>
        </w:rPr>
        <w:t>本指导原则旨在指导注册申请人对针灸针注册申报资料的准备及撰写，同时也为技术审评部门审评提供参考。</w:t>
      </w:r>
    </w:p>
    <w:p>
      <w:pPr>
        <w:spacing w:line="520" w:lineRule="exact"/>
        <w:ind w:firstLine="640" w:firstLineChars="200"/>
        <w:jc w:val="left"/>
        <w:rPr>
          <w:rFonts w:eastAsia="仿宋_GB2312"/>
          <w:color w:val="000000"/>
          <w:sz w:val="32"/>
          <w:szCs w:val="32"/>
        </w:rPr>
      </w:pPr>
      <w:r>
        <w:rPr>
          <w:rFonts w:eastAsia="仿宋_GB2312"/>
          <w:color w:val="000000"/>
          <w:sz w:val="32"/>
          <w:szCs w:val="32"/>
        </w:rPr>
        <w:t>本指导原则是对针灸针的一般要求，注册申请人应依据产品的具体特性确定其中内容是否适用，若不适用，需具体阐述理由及相应的科学依据，并依据产品的具体特性对注册申报资料的内容进行充实和细化。</w:t>
      </w:r>
    </w:p>
    <w:p>
      <w:pPr>
        <w:spacing w:line="520" w:lineRule="exact"/>
        <w:ind w:firstLine="640" w:firstLineChars="200"/>
        <w:jc w:val="left"/>
        <w:rPr>
          <w:rFonts w:eastAsia="仿宋_GB2312"/>
          <w:color w:val="000000"/>
          <w:sz w:val="32"/>
          <w:szCs w:val="32"/>
        </w:rPr>
      </w:pPr>
      <w:r>
        <w:rPr>
          <w:rFonts w:eastAsia="仿宋_GB2312"/>
          <w:color w:val="000000"/>
          <w:sz w:val="32"/>
          <w:szCs w:val="32"/>
        </w:rPr>
        <w:t>本指导原则是供申请人和技术审评人员使用的指导文件，但不包括审评审批所涉及的行政事项，亦不作为法规强制执行，应在遵循相关法规的前提下使用本指导原则。如有能够满足法规要求的其他方法，也可以采用，但应提供详细的研究资料和验证资料。</w:t>
      </w:r>
    </w:p>
    <w:p>
      <w:pPr>
        <w:spacing w:line="520" w:lineRule="exact"/>
        <w:ind w:firstLine="640" w:firstLineChars="200"/>
        <w:jc w:val="left"/>
        <w:rPr>
          <w:rFonts w:eastAsia="仿宋_GB2312"/>
          <w:color w:val="000000"/>
          <w:sz w:val="32"/>
          <w:szCs w:val="32"/>
        </w:rPr>
      </w:pPr>
      <w:r>
        <w:rPr>
          <w:rFonts w:eastAsia="仿宋_GB2312"/>
          <w:color w:val="000000"/>
          <w:sz w:val="32"/>
          <w:szCs w:val="32"/>
        </w:rPr>
        <w:t>本指导原则是在现行法规和标准体系以及当前认知水平下制定，随着法规和标准的不断完善，以及科学技术的不断发展，相关内容也将适时进行调整。</w:t>
      </w:r>
    </w:p>
    <w:p>
      <w:pPr>
        <w:spacing w:line="520" w:lineRule="exact"/>
        <w:ind w:right="-67" w:rightChars="-32" w:firstLine="640" w:firstLineChars="200"/>
        <w:rPr>
          <w:rFonts w:eastAsia="黑体"/>
          <w:color w:val="000000"/>
          <w:sz w:val="32"/>
          <w:szCs w:val="32"/>
        </w:rPr>
      </w:pPr>
      <w:r>
        <w:rPr>
          <w:rFonts w:eastAsia="黑体"/>
          <w:color w:val="000000"/>
          <w:sz w:val="32"/>
          <w:szCs w:val="32"/>
        </w:rPr>
        <w:t>一、适用范围</w:t>
      </w:r>
    </w:p>
    <w:p>
      <w:pPr>
        <w:spacing w:line="520" w:lineRule="exact"/>
        <w:ind w:firstLine="640" w:firstLineChars="200"/>
        <w:rPr>
          <w:rFonts w:eastAsia="仿宋_GB2312"/>
          <w:sz w:val="32"/>
          <w:szCs w:val="32"/>
        </w:rPr>
      </w:pPr>
      <w:r>
        <w:rPr>
          <w:rFonts w:eastAsia="仿宋_GB2312"/>
          <w:sz w:val="32"/>
          <w:szCs w:val="32"/>
        </w:rPr>
        <w:t>本指导原则适用于产品分类编码为</w:t>
      </w:r>
      <w:r>
        <w:rPr>
          <w:rFonts w:eastAsia="仿宋_GB2312"/>
          <w:color w:val="000000"/>
          <w:sz w:val="32"/>
          <w:szCs w:val="28"/>
        </w:rPr>
        <w:t>20中医器械-03中医器具-01针灸针产品，</w:t>
      </w:r>
      <w:r>
        <w:rPr>
          <w:rFonts w:eastAsia="仿宋_GB2312"/>
          <w:sz w:val="32"/>
          <w:szCs w:val="32"/>
        </w:rPr>
        <w:t>管理类别为Ⅱ类</w:t>
      </w:r>
      <w:bookmarkStart w:id="0" w:name="_Hlk78033404"/>
      <w:r>
        <w:rPr>
          <w:rFonts w:eastAsia="仿宋_GB2312"/>
          <w:color w:val="000000"/>
          <w:sz w:val="32"/>
          <w:szCs w:val="28"/>
        </w:rPr>
        <w:t>。</w:t>
      </w:r>
      <w:bookmarkEnd w:id="0"/>
    </w:p>
    <w:p>
      <w:pPr>
        <w:spacing w:line="520" w:lineRule="exact"/>
        <w:ind w:right="-67" w:rightChars="-32" w:firstLine="640" w:firstLineChars="200"/>
        <w:rPr>
          <w:rFonts w:eastAsia="楷体_GB2312"/>
          <w:color w:val="000000"/>
          <w:sz w:val="32"/>
          <w:szCs w:val="32"/>
        </w:rPr>
      </w:pPr>
      <w:r>
        <w:rPr>
          <w:rFonts w:eastAsia="黑体"/>
          <w:color w:val="000000"/>
          <w:sz w:val="32"/>
          <w:szCs w:val="32"/>
        </w:rPr>
        <w:t>二、注册审查要点</w:t>
      </w:r>
    </w:p>
    <w:p>
      <w:pPr>
        <w:spacing w:line="520" w:lineRule="exact"/>
        <w:ind w:right="-67" w:rightChars="-32" w:firstLine="640" w:firstLineChars="200"/>
        <w:rPr>
          <w:rFonts w:eastAsia="楷体_GB2312"/>
          <w:color w:val="000000"/>
          <w:sz w:val="32"/>
          <w:szCs w:val="32"/>
        </w:rPr>
      </w:pPr>
      <w:r>
        <w:rPr>
          <w:rFonts w:eastAsia="楷体_GB2312"/>
          <w:color w:val="000000"/>
          <w:sz w:val="32"/>
          <w:szCs w:val="32"/>
        </w:rPr>
        <w:t>（一）监管信息</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1.申请表</w:t>
      </w:r>
    </w:p>
    <w:p>
      <w:pPr>
        <w:spacing w:line="520" w:lineRule="exact"/>
        <w:ind w:firstLine="640" w:firstLineChars="200"/>
        <w:jc w:val="left"/>
        <w:rPr>
          <w:rFonts w:eastAsia="仿宋_GB2312"/>
          <w:color w:val="000000"/>
          <w:sz w:val="32"/>
          <w:szCs w:val="28"/>
        </w:rPr>
      </w:pPr>
      <w:r>
        <w:rPr>
          <w:rFonts w:eastAsia="仿宋_GB2312"/>
          <w:color w:val="000000"/>
          <w:sz w:val="32"/>
          <w:szCs w:val="32"/>
        </w:rPr>
        <w:t>按照填表要求填写。</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1.1产品名称</w:t>
      </w:r>
    </w:p>
    <w:p>
      <w:pPr>
        <w:spacing w:line="520" w:lineRule="exact"/>
        <w:ind w:right="-67" w:rightChars="-32" w:firstLine="640" w:firstLineChars="200"/>
        <w:rPr>
          <w:rFonts w:eastAsia="仿宋_GB2312"/>
          <w:color w:val="000000"/>
          <w:sz w:val="32"/>
          <w:szCs w:val="28"/>
        </w:rPr>
      </w:pPr>
      <w:r>
        <w:rPr>
          <w:rFonts w:eastAsia="仿宋_GB2312"/>
          <w:color w:val="000000"/>
          <w:sz w:val="32"/>
          <w:szCs w:val="28"/>
        </w:rPr>
        <w:t>产品名称核心词为针灸针，特征词可以体现为产品的使用形式（分为“可重复使用”、“一次性使用”）、提供形式（分为“无菌”、“非无菌”），特征词“可重复使用”、“非无菌”可缺省，命名举例为针灸针、一次性使用无菌针灸针。</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1.2注册单元划分的原则和实例</w:t>
      </w:r>
    </w:p>
    <w:p>
      <w:pPr>
        <w:spacing w:line="520" w:lineRule="exact"/>
        <w:ind w:firstLine="640" w:firstLineChars="200"/>
        <w:rPr>
          <w:rFonts w:eastAsia="仿宋_GB2312"/>
          <w:color w:val="000000"/>
          <w:sz w:val="32"/>
          <w:szCs w:val="28"/>
        </w:rPr>
      </w:pPr>
      <w:r>
        <w:rPr>
          <w:rFonts w:eastAsia="仿宋_GB2312"/>
          <w:color w:val="000000"/>
          <w:sz w:val="32"/>
          <w:szCs w:val="28"/>
        </w:rPr>
        <w:t>应根据产品的技术原理、结构组成、性能指标、适用范围等进行综合判定，产品技术原理、结构组成、性能指标基本类似的情况下，产品外观、结构形式有一定差异，原则上可作为同一注册单元申报。</w:t>
      </w:r>
    </w:p>
    <w:p>
      <w:pPr>
        <w:spacing w:line="520" w:lineRule="exact"/>
        <w:ind w:firstLine="640" w:firstLineChars="200"/>
        <w:rPr>
          <w:rFonts w:eastAsia="仿宋_GB2312"/>
          <w:color w:val="000000"/>
          <w:sz w:val="32"/>
          <w:szCs w:val="28"/>
        </w:rPr>
      </w:pPr>
      <w:r>
        <w:rPr>
          <w:rFonts w:hint="eastAsia" w:eastAsia="仿宋_GB2312"/>
          <w:color w:val="000000"/>
          <w:sz w:val="32"/>
          <w:szCs w:val="28"/>
        </w:rPr>
        <w:t>1.2.1</w:t>
      </w:r>
      <w:r>
        <w:rPr>
          <w:rFonts w:eastAsia="仿宋_GB2312"/>
          <w:color w:val="000000"/>
          <w:sz w:val="32"/>
          <w:szCs w:val="28"/>
        </w:rPr>
        <w:t>针体材料不同</w:t>
      </w:r>
      <w:r>
        <w:rPr>
          <w:rFonts w:eastAsia="仿宋_GB2312"/>
          <w:color w:val="000000"/>
          <w:kern w:val="0"/>
          <w:sz w:val="32"/>
          <w:szCs w:val="32"/>
        </w:rPr>
        <w:t>导致</w:t>
      </w:r>
      <w:r>
        <w:rPr>
          <w:rFonts w:eastAsia="仿宋_GB2312"/>
          <w:color w:val="000000"/>
          <w:sz w:val="32"/>
          <w:szCs w:val="28"/>
        </w:rPr>
        <w:t>针灸针</w:t>
      </w:r>
      <w:r>
        <w:rPr>
          <w:rFonts w:eastAsia="仿宋_GB2312"/>
          <w:color w:val="000000"/>
          <w:kern w:val="0"/>
          <w:sz w:val="32"/>
          <w:szCs w:val="32"/>
        </w:rPr>
        <w:t>产品性能指标不同时，原则上划分为不同注册单元。</w:t>
      </w:r>
      <w:r>
        <w:rPr>
          <w:rFonts w:eastAsia="仿宋_GB2312"/>
          <w:color w:val="000000"/>
          <w:sz w:val="32"/>
          <w:szCs w:val="28"/>
        </w:rPr>
        <w:t>如因为不锈钢与银质材质的区别，相同直径的针体在硬度、针尖性能等方面存在差异，原则上应分成不同注册单元。</w:t>
      </w:r>
    </w:p>
    <w:p>
      <w:pPr>
        <w:spacing w:line="520" w:lineRule="exact"/>
        <w:ind w:right="-67" w:rightChars="-32" w:firstLine="640" w:firstLineChars="200"/>
        <w:rPr>
          <w:rFonts w:eastAsia="仿宋_GB2312"/>
          <w:color w:val="000000"/>
          <w:sz w:val="32"/>
          <w:szCs w:val="28"/>
        </w:rPr>
      </w:pPr>
      <w:r>
        <w:rPr>
          <w:rFonts w:hint="eastAsia" w:eastAsia="仿宋_GB2312"/>
          <w:color w:val="000000"/>
          <w:sz w:val="32"/>
          <w:szCs w:val="28"/>
        </w:rPr>
        <w:t>1.2.2</w:t>
      </w:r>
      <w:r>
        <w:rPr>
          <w:rFonts w:eastAsia="仿宋_GB2312"/>
          <w:color w:val="000000"/>
          <w:sz w:val="32"/>
          <w:szCs w:val="28"/>
        </w:rPr>
        <w:t>无菌型和非无菌型针灸针原则上可划分为同一个注册单元，不同灭菌方式针灸针原则上可划分为同一注册单元。</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2.产品列表</w:t>
      </w:r>
    </w:p>
    <w:p>
      <w:pPr>
        <w:spacing w:line="520" w:lineRule="exact"/>
        <w:ind w:firstLine="640" w:firstLineChars="200"/>
        <w:jc w:val="left"/>
        <w:rPr>
          <w:rFonts w:eastAsia="仿宋_GB2312"/>
          <w:color w:val="000000"/>
          <w:sz w:val="32"/>
          <w:szCs w:val="32"/>
        </w:rPr>
      </w:pPr>
      <w:r>
        <w:rPr>
          <w:rFonts w:eastAsia="仿宋_GB2312"/>
          <w:color w:val="000000"/>
          <w:sz w:val="32"/>
          <w:szCs w:val="32"/>
        </w:rPr>
        <w:t>以表格形式列出拟申报产品的型号、规格、结构及组成，以及每个规格型号的标识（如型号或部件的编号，器械唯一标识等）和描述说明（如尺寸、材料等）。</w:t>
      </w:r>
    </w:p>
    <w:p>
      <w:pPr>
        <w:spacing w:line="520" w:lineRule="exact"/>
        <w:ind w:firstLine="640" w:firstLineChars="200"/>
        <w:rPr>
          <w:rFonts w:eastAsia="仿宋_GB2312"/>
          <w:color w:val="000000"/>
          <w:spacing w:val="-1"/>
          <w:sz w:val="32"/>
          <w:szCs w:val="32"/>
        </w:rPr>
      </w:pPr>
      <w:r>
        <w:rPr>
          <w:rFonts w:eastAsia="仿宋_GB2312"/>
          <w:color w:val="000000"/>
          <w:sz w:val="32"/>
          <w:szCs w:val="32"/>
        </w:rPr>
        <w:t>3.</w:t>
      </w:r>
      <w:r>
        <w:rPr>
          <w:rFonts w:eastAsia="仿宋_GB2312"/>
          <w:color w:val="000000"/>
          <w:spacing w:val="-1"/>
          <w:sz w:val="32"/>
          <w:szCs w:val="32"/>
        </w:rPr>
        <w:t>既往沟通记录</w:t>
      </w:r>
    </w:p>
    <w:p>
      <w:pPr>
        <w:spacing w:line="520" w:lineRule="exact"/>
        <w:ind w:firstLine="640" w:firstLineChars="200"/>
        <w:rPr>
          <w:rFonts w:eastAsia="仿宋_GB2312"/>
          <w:bCs/>
          <w:color w:val="000000"/>
          <w:spacing w:val="-1"/>
          <w:sz w:val="32"/>
          <w:szCs w:val="32"/>
        </w:rPr>
      </w:pPr>
      <w:r>
        <w:rPr>
          <w:rFonts w:eastAsia="仿宋_GB2312"/>
          <w:color w:val="000000"/>
          <w:sz w:val="32"/>
          <w:szCs w:val="32"/>
        </w:rPr>
        <w:t>3.1</w:t>
      </w:r>
      <w:r>
        <w:rPr>
          <w:rFonts w:eastAsia="仿宋_GB2312"/>
          <w:bCs/>
          <w:color w:val="000000"/>
          <w:spacing w:val="-1"/>
          <w:sz w:val="32"/>
          <w:szCs w:val="32"/>
        </w:rPr>
        <w:t>在产品申报前，如果申请人与监管机构以会议形式进行了沟通，或者申报产品与既往注册申报相关。应当提供下列内容（如适用）：</w:t>
      </w:r>
    </w:p>
    <w:p>
      <w:pPr>
        <w:spacing w:line="520" w:lineRule="exact"/>
        <w:ind w:firstLine="640" w:firstLineChars="200"/>
        <w:rPr>
          <w:rFonts w:eastAsia="仿宋_GB2312"/>
          <w:color w:val="000000"/>
          <w:sz w:val="32"/>
          <w:szCs w:val="32"/>
        </w:rPr>
      </w:pPr>
      <w:r>
        <w:rPr>
          <w:rFonts w:hint="eastAsia" w:eastAsia="仿宋_GB2312"/>
          <w:color w:val="000000"/>
          <w:sz w:val="32"/>
          <w:szCs w:val="32"/>
        </w:rPr>
        <w:t>3.1.1</w:t>
      </w:r>
      <w:r>
        <w:rPr>
          <w:rFonts w:eastAsia="仿宋_GB2312"/>
          <w:color w:val="000000"/>
          <w:sz w:val="32"/>
          <w:szCs w:val="32"/>
        </w:rPr>
        <w:t>列出监管机构回复的申报前沟通。</w:t>
      </w:r>
    </w:p>
    <w:p>
      <w:pPr>
        <w:spacing w:line="520" w:lineRule="exact"/>
        <w:ind w:firstLine="640" w:firstLineChars="200"/>
        <w:rPr>
          <w:rFonts w:eastAsia="仿宋_GB2312"/>
          <w:color w:val="000000"/>
          <w:sz w:val="32"/>
          <w:szCs w:val="32"/>
        </w:rPr>
      </w:pPr>
      <w:r>
        <w:rPr>
          <w:rFonts w:hint="eastAsia" w:eastAsia="仿宋_GB2312"/>
          <w:color w:val="000000"/>
          <w:sz w:val="32"/>
          <w:szCs w:val="32"/>
        </w:rPr>
        <w:t>3.1.2</w:t>
      </w:r>
      <w:r>
        <w:rPr>
          <w:rFonts w:eastAsia="仿宋_GB2312"/>
          <w:color w:val="000000"/>
          <w:sz w:val="32"/>
          <w:szCs w:val="32"/>
        </w:rPr>
        <w:t>既往注册申报产品的受理号。</w:t>
      </w:r>
    </w:p>
    <w:p>
      <w:pPr>
        <w:spacing w:line="520" w:lineRule="exact"/>
        <w:ind w:firstLine="640" w:firstLineChars="200"/>
        <w:rPr>
          <w:rFonts w:eastAsia="仿宋_GB2312"/>
          <w:bCs/>
          <w:color w:val="000000"/>
          <w:spacing w:val="-1"/>
          <w:sz w:val="32"/>
          <w:szCs w:val="32"/>
        </w:rPr>
      </w:pPr>
      <w:r>
        <w:rPr>
          <w:rFonts w:hint="eastAsia" w:eastAsia="仿宋_GB2312"/>
          <w:color w:val="000000"/>
          <w:sz w:val="32"/>
          <w:szCs w:val="32"/>
        </w:rPr>
        <w:t>3</w:t>
      </w:r>
      <w:r>
        <w:rPr>
          <w:rFonts w:eastAsia="仿宋_GB2312"/>
          <w:color w:val="000000"/>
          <w:sz w:val="32"/>
          <w:szCs w:val="32"/>
        </w:rPr>
        <w:t>.1.3</w:t>
      </w:r>
      <w:r>
        <w:rPr>
          <w:rFonts w:eastAsia="仿宋_GB2312"/>
          <w:bCs/>
          <w:color w:val="000000"/>
          <w:spacing w:val="-1"/>
          <w:sz w:val="32"/>
          <w:szCs w:val="32"/>
        </w:rPr>
        <w:t>既往申报前沟通的相关资料，如既往申报会议前提交的信息、会议议程、演示幻灯片、最终的会议纪要、会议中待办事项的回复，以及所有与申请相关的电子邮件。</w:t>
      </w:r>
    </w:p>
    <w:p>
      <w:pPr>
        <w:spacing w:line="520" w:lineRule="exact"/>
        <w:ind w:firstLine="640" w:firstLineChars="200"/>
        <w:rPr>
          <w:rFonts w:eastAsia="仿宋_GB2312"/>
          <w:bCs/>
          <w:color w:val="000000"/>
          <w:spacing w:val="-1"/>
          <w:sz w:val="32"/>
          <w:szCs w:val="32"/>
        </w:rPr>
      </w:pPr>
      <w:r>
        <w:rPr>
          <w:rFonts w:hint="eastAsia" w:eastAsia="仿宋_GB2312"/>
          <w:color w:val="000000"/>
          <w:sz w:val="32"/>
          <w:szCs w:val="32"/>
        </w:rPr>
        <w:t>3</w:t>
      </w:r>
      <w:r>
        <w:rPr>
          <w:rFonts w:eastAsia="仿宋_GB2312"/>
          <w:color w:val="000000"/>
          <w:sz w:val="32"/>
          <w:szCs w:val="32"/>
        </w:rPr>
        <w:t>.1.4</w:t>
      </w:r>
      <w:r>
        <w:rPr>
          <w:rFonts w:eastAsia="仿宋_GB2312"/>
          <w:bCs/>
          <w:color w:val="000000"/>
          <w:spacing w:val="-1"/>
          <w:sz w:val="32"/>
          <w:szCs w:val="32"/>
        </w:rPr>
        <w:t>既往申报（如自行撤销/不予注册上市申请等）中监管机构已明确的相关问题。</w:t>
      </w:r>
    </w:p>
    <w:p>
      <w:pPr>
        <w:spacing w:line="520" w:lineRule="exact"/>
        <w:ind w:firstLine="640" w:firstLineChars="200"/>
        <w:rPr>
          <w:rFonts w:eastAsia="仿宋_GB2312"/>
          <w:bCs/>
          <w:color w:val="000000"/>
          <w:spacing w:val="-1"/>
          <w:sz w:val="32"/>
          <w:szCs w:val="32"/>
        </w:rPr>
      </w:pPr>
      <w:r>
        <w:rPr>
          <w:rFonts w:hint="eastAsia" w:eastAsia="仿宋_GB2312"/>
          <w:color w:val="000000"/>
          <w:sz w:val="32"/>
          <w:szCs w:val="32"/>
        </w:rPr>
        <w:t>3</w:t>
      </w:r>
      <w:r>
        <w:rPr>
          <w:rFonts w:eastAsia="仿宋_GB2312"/>
          <w:color w:val="000000"/>
          <w:sz w:val="32"/>
          <w:szCs w:val="32"/>
        </w:rPr>
        <w:t>.1.5</w:t>
      </w:r>
      <w:r>
        <w:rPr>
          <w:rFonts w:eastAsia="仿宋_GB2312"/>
          <w:bCs/>
          <w:color w:val="000000"/>
          <w:spacing w:val="-1"/>
          <w:sz w:val="32"/>
          <w:szCs w:val="32"/>
        </w:rPr>
        <w:t>在申报前沟通中，申请人明确提出的问题，以及监管机构提供的建议。</w:t>
      </w:r>
    </w:p>
    <w:p>
      <w:pPr>
        <w:spacing w:line="520" w:lineRule="exact"/>
        <w:ind w:firstLine="640" w:firstLineChars="200"/>
        <w:rPr>
          <w:rFonts w:eastAsia="仿宋_GB2312"/>
          <w:bCs/>
          <w:color w:val="000000"/>
          <w:spacing w:val="-1"/>
          <w:sz w:val="32"/>
          <w:szCs w:val="32"/>
        </w:rPr>
      </w:pPr>
      <w:r>
        <w:rPr>
          <w:rFonts w:hint="eastAsia" w:eastAsia="仿宋_GB2312"/>
          <w:color w:val="000000"/>
          <w:sz w:val="32"/>
          <w:szCs w:val="32"/>
        </w:rPr>
        <w:t>3</w:t>
      </w:r>
      <w:r>
        <w:rPr>
          <w:rFonts w:eastAsia="仿宋_GB2312"/>
          <w:color w:val="000000"/>
          <w:sz w:val="32"/>
          <w:szCs w:val="32"/>
        </w:rPr>
        <w:t>.1.6</w:t>
      </w:r>
      <w:r>
        <w:rPr>
          <w:rFonts w:eastAsia="仿宋_GB2312"/>
          <w:bCs/>
          <w:color w:val="000000"/>
          <w:spacing w:val="-1"/>
          <w:sz w:val="32"/>
          <w:szCs w:val="32"/>
        </w:rPr>
        <w:t>说明在本次申报中如何解决上述问题。</w:t>
      </w:r>
    </w:p>
    <w:p>
      <w:pPr>
        <w:spacing w:line="520" w:lineRule="exact"/>
        <w:ind w:firstLine="640" w:firstLineChars="200"/>
        <w:rPr>
          <w:rFonts w:eastAsia="仿宋_GB2312"/>
          <w:color w:val="000000"/>
          <w:spacing w:val="-1"/>
          <w:sz w:val="32"/>
          <w:szCs w:val="32"/>
        </w:rPr>
      </w:pPr>
      <w:r>
        <w:rPr>
          <w:rFonts w:eastAsia="仿宋_GB2312"/>
          <w:color w:val="000000"/>
          <w:sz w:val="32"/>
          <w:szCs w:val="32"/>
        </w:rPr>
        <w:t>3.2</w:t>
      </w:r>
      <w:r>
        <w:rPr>
          <w:rFonts w:eastAsia="仿宋_GB2312"/>
          <w:bCs/>
          <w:color w:val="000000"/>
          <w:spacing w:val="-1"/>
          <w:sz w:val="32"/>
          <w:szCs w:val="32"/>
        </w:rPr>
        <w:t>如不适用，应当明确声明申报产品没有既往申报和/或申报前沟通。</w:t>
      </w:r>
    </w:p>
    <w:p>
      <w:pPr>
        <w:spacing w:line="520" w:lineRule="exact"/>
        <w:ind w:firstLine="640" w:firstLineChars="200"/>
        <w:rPr>
          <w:rFonts w:eastAsia="仿宋_GB2312"/>
          <w:color w:val="000000"/>
          <w:spacing w:val="-1"/>
          <w:sz w:val="32"/>
          <w:szCs w:val="32"/>
        </w:rPr>
      </w:pPr>
      <w:r>
        <w:rPr>
          <w:rFonts w:eastAsia="仿宋_GB2312"/>
          <w:color w:val="000000"/>
          <w:sz w:val="32"/>
          <w:szCs w:val="32"/>
        </w:rPr>
        <w:t>4.</w:t>
      </w:r>
      <w:r>
        <w:rPr>
          <w:rFonts w:eastAsia="仿宋_GB2312"/>
          <w:color w:val="000000"/>
          <w:spacing w:val="-1"/>
          <w:sz w:val="32"/>
          <w:szCs w:val="32"/>
        </w:rPr>
        <w:t>主文档授权信</w:t>
      </w:r>
    </w:p>
    <w:p>
      <w:pPr>
        <w:spacing w:line="520" w:lineRule="exact"/>
        <w:ind w:firstLine="640" w:firstLineChars="200"/>
        <w:rPr>
          <w:rFonts w:eastAsia="仿宋_GB2312"/>
          <w:color w:val="000000"/>
          <w:spacing w:val="-1"/>
          <w:sz w:val="32"/>
          <w:szCs w:val="32"/>
        </w:rPr>
      </w:pPr>
      <w:r>
        <w:rPr>
          <w:rFonts w:eastAsia="仿宋_GB2312"/>
          <w:color w:val="000000"/>
          <w:sz w:val="32"/>
          <w:szCs w:val="32"/>
        </w:rPr>
        <w:t>如适用，申请人应当对主文档引用的情况进行说明。申请人应当提交由主文档所有者或其备案代理机构出具的授权申请人引用主文档信息的授权信。授权信中应当包括引用主文档的申请人信息、产品名称、已备案的主文档编号、授权引用的主文档页码/章节信息等内容。</w:t>
      </w:r>
    </w:p>
    <w:p>
      <w:pPr>
        <w:spacing w:line="520" w:lineRule="exact"/>
        <w:ind w:firstLine="640" w:firstLineChars="200"/>
        <w:rPr>
          <w:rFonts w:eastAsia="仿宋_GB2312"/>
          <w:color w:val="000000"/>
          <w:sz w:val="32"/>
          <w:szCs w:val="32"/>
        </w:rPr>
      </w:pPr>
      <w:r>
        <w:rPr>
          <w:rFonts w:eastAsia="仿宋_GB2312"/>
          <w:color w:val="000000"/>
          <w:sz w:val="32"/>
          <w:szCs w:val="32"/>
        </w:rPr>
        <w:t>5.其它管理信息</w:t>
      </w:r>
    </w:p>
    <w:p>
      <w:pPr>
        <w:spacing w:line="520" w:lineRule="exact"/>
        <w:ind w:right="-67" w:rightChars="-32" w:firstLine="640" w:firstLineChars="200"/>
        <w:rPr>
          <w:rFonts w:eastAsia="仿宋_GB2312"/>
          <w:color w:val="000000"/>
          <w:sz w:val="32"/>
          <w:szCs w:val="28"/>
        </w:rPr>
      </w:pPr>
      <w:r>
        <w:rPr>
          <w:rFonts w:eastAsia="仿宋_GB2312"/>
          <w:color w:val="000000"/>
          <w:sz w:val="32"/>
          <w:szCs w:val="28"/>
        </w:rPr>
        <w:t>应符合《关于公布医疗器械注册申报资料要求和批准证明文件格式的公告》要求。</w:t>
      </w:r>
    </w:p>
    <w:p>
      <w:pPr>
        <w:spacing w:line="520" w:lineRule="exact"/>
        <w:ind w:right="-67" w:rightChars="-32" w:firstLine="640" w:firstLineChars="200"/>
        <w:rPr>
          <w:rFonts w:eastAsia="楷体_GB2312"/>
          <w:color w:val="000000"/>
          <w:sz w:val="32"/>
          <w:szCs w:val="32"/>
        </w:rPr>
      </w:pPr>
      <w:r>
        <w:rPr>
          <w:rFonts w:eastAsia="楷体_GB2312"/>
          <w:color w:val="000000"/>
          <w:sz w:val="32"/>
          <w:szCs w:val="32"/>
        </w:rPr>
        <w:t>（二）综述资料</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1.产品的结构和组成</w:t>
      </w:r>
    </w:p>
    <w:p>
      <w:pPr>
        <w:spacing w:line="520" w:lineRule="exact"/>
        <w:ind w:firstLine="640" w:firstLineChars="200"/>
        <w:rPr>
          <w:rFonts w:eastAsia="仿宋_GB2312"/>
          <w:color w:val="000000"/>
          <w:sz w:val="32"/>
          <w:szCs w:val="28"/>
        </w:rPr>
      </w:pPr>
      <w:r>
        <w:rPr>
          <w:rFonts w:eastAsia="仿宋_GB2312"/>
          <w:color w:val="000000"/>
          <w:sz w:val="32"/>
          <w:szCs w:val="28"/>
        </w:rPr>
        <w:t>针灸针通常由针体、针柄组成，部分产品含有进针管。针灸针的典型结构如图1所示。</w:t>
      </w:r>
    </w:p>
    <w:p>
      <w:pPr>
        <w:spacing w:line="520" w:lineRule="exact"/>
        <w:ind w:firstLine="640" w:firstLineChars="200"/>
        <w:rPr>
          <w:rFonts w:eastAsia="仿宋_GB2312"/>
          <w:color w:val="000000"/>
          <w:sz w:val="32"/>
          <w:szCs w:val="28"/>
        </w:rPr>
      </w:pPr>
      <w:r>
        <w:rPr>
          <w:rFonts w:eastAsia="仿宋_GB2312"/>
          <w:color w:val="000000"/>
          <w:sz w:val="32"/>
          <w:szCs w:val="28"/>
        </w:rPr>
        <w:t>已上市产品针体多采用GB/T 4240所规定的06Cr19Ni10（SUS304）奥氏体不锈钢丝制成，也有部分产品针体镀金合金或镀银合金。</w:t>
      </w:r>
    </w:p>
    <w:p>
      <w:pPr>
        <w:spacing w:line="520" w:lineRule="exact"/>
        <w:ind w:firstLine="640" w:firstLineChars="200"/>
        <w:rPr>
          <w:rFonts w:eastAsia="仿宋_GB2312"/>
          <w:color w:val="000000"/>
          <w:sz w:val="32"/>
          <w:szCs w:val="28"/>
        </w:rPr>
      </w:pPr>
      <w:r>
        <w:rPr>
          <w:rFonts w:eastAsia="仿宋_GB2312"/>
          <w:color w:val="000000"/>
          <w:sz w:val="32"/>
          <w:szCs w:val="28"/>
        </w:rPr>
        <w:t>针柄根据不同型式（见图2）常采用无氧铜丝、06Cr19Ni10（SUS304）奥氏体不锈钢丝、聚氯乙烯塑料等制成。</w:t>
      </w:r>
    </w:p>
    <w:p>
      <w:pPr>
        <w:spacing w:line="520" w:lineRule="exact"/>
        <w:ind w:firstLine="420" w:firstLineChars="200"/>
        <w:rPr>
          <w:rFonts w:eastAsia="仿宋_GB2312"/>
          <w:bCs/>
          <w:color w:val="000000"/>
          <w:sz w:val="32"/>
          <w:szCs w:val="28"/>
        </w:rPr>
      </w:pPr>
      <w:r>
        <w:drawing>
          <wp:anchor distT="0" distB="0" distL="114300" distR="114300" simplePos="0" relativeHeight="251659264" behindDoc="0" locked="0" layoutInCell="1" allowOverlap="1">
            <wp:simplePos x="0" y="0"/>
            <wp:positionH relativeFrom="column">
              <wp:posOffset>635</wp:posOffset>
            </wp:positionH>
            <wp:positionV relativeFrom="paragraph">
              <wp:posOffset>2173605</wp:posOffset>
            </wp:positionV>
            <wp:extent cx="5615940" cy="125095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615940" cy="1250950"/>
                    </a:xfrm>
                    <a:prstGeom prst="rect">
                      <a:avLst/>
                    </a:prstGeom>
                    <a:noFill/>
                    <a:ln>
                      <a:noFill/>
                    </a:ln>
                  </pic:spPr>
                </pic:pic>
              </a:graphicData>
            </a:graphic>
          </wp:anchor>
        </w:drawing>
      </w:r>
      <w:r>
        <w:rPr>
          <w:rFonts w:eastAsia="仿宋_GB2312"/>
          <w:bCs/>
          <w:color w:val="000000"/>
          <w:sz w:val="32"/>
          <w:szCs w:val="28"/>
        </w:rPr>
        <w:t>进针管可以采用玻璃、塑料或金属制成，已上市产品多为</w:t>
      </w:r>
      <w:r>
        <w:rPr>
          <w:rFonts w:eastAsia="仿宋_GB2312"/>
          <w:color w:val="000000"/>
          <w:sz w:val="32"/>
          <w:szCs w:val="28"/>
        </w:rPr>
        <w:t>采用聚氯乙烯塑料</w:t>
      </w:r>
      <w:r>
        <w:rPr>
          <w:rFonts w:eastAsia="仿宋_GB2312"/>
          <w:bCs/>
          <w:color w:val="000000"/>
          <w:sz w:val="32"/>
          <w:szCs w:val="28"/>
        </w:rPr>
        <w:t>制成的小圆管，长度应比针灸针短，进针管的直径以不阻碍针尾顺利通过为宜。使用时先将针插入管内，针尖与针管下端平齐，置于拟刺腧穴上，针管上端露出针柄。押手持针管，用刺手食指叩打或用中指弹击针尾，即可使针刺入皮肤，然后退出针管，再将针刺入穴内。</w:t>
      </w:r>
    </w:p>
    <w:p>
      <w:pPr>
        <w:spacing w:line="520" w:lineRule="exact"/>
        <w:jc w:val="center"/>
        <w:rPr>
          <w:rFonts w:eastAsia="黑体"/>
          <w:color w:val="000000"/>
          <w:sz w:val="28"/>
          <w:szCs w:val="28"/>
        </w:rPr>
      </w:pPr>
      <w:r>
        <w:rPr>
          <w:rFonts w:eastAsia="黑体"/>
          <w:color w:val="000000"/>
          <w:sz w:val="28"/>
          <w:szCs w:val="28"/>
        </w:rPr>
        <w:t>图1针灸针典型结构示意图</w:t>
      </w:r>
    </w:p>
    <w:p>
      <w:pPr>
        <w:spacing w:line="520" w:lineRule="exact"/>
        <w:jc w:val="center"/>
        <w:rPr>
          <w:rFonts w:eastAsia="仿宋_GB2312"/>
          <w:color w:val="000000"/>
          <w:sz w:val="30"/>
          <w:szCs w:val="30"/>
        </w:rPr>
      </w:pPr>
      <w:r>
        <w:rPr>
          <w:rFonts w:eastAsia="仿宋_GB2312"/>
          <w:color w:val="000000"/>
          <w:sz w:val="30"/>
          <w:szCs w:val="30"/>
        </w:rPr>
        <w:t>（注：</w:t>
      </w:r>
      <w:r>
        <w:rPr>
          <w:rFonts w:eastAsia="仿宋_GB2312"/>
          <w:i/>
          <w:iCs/>
          <w:color w:val="000000"/>
          <w:sz w:val="30"/>
          <w:szCs w:val="30"/>
        </w:rPr>
        <w:t>d</w:t>
      </w:r>
      <w:r>
        <w:rPr>
          <w:rFonts w:eastAsia="仿宋_GB2312"/>
          <w:color w:val="000000"/>
          <w:sz w:val="30"/>
          <w:szCs w:val="30"/>
        </w:rPr>
        <w:t>:针体直径、</w:t>
      </w:r>
      <w:r>
        <w:rPr>
          <w:rFonts w:eastAsia="仿宋_GB2312"/>
          <w:i/>
          <w:iCs/>
          <w:color w:val="000000"/>
          <w:sz w:val="30"/>
          <w:szCs w:val="30"/>
        </w:rPr>
        <w:t>l</w:t>
      </w:r>
      <w:r>
        <w:rPr>
          <w:rFonts w:eastAsia="仿宋_GB2312"/>
          <w:color w:val="000000"/>
          <w:sz w:val="30"/>
          <w:szCs w:val="30"/>
          <w:vertAlign w:val="subscript"/>
        </w:rPr>
        <w:t>1</w:t>
      </w:r>
      <w:r>
        <w:rPr>
          <w:rFonts w:eastAsia="仿宋_GB2312"/>
          <w:color w:val="000000"/>
          <w:sz w:val="30"/>
          <w:szCs w:val="30"/>
        </w:rPr>
        <w:t>: 针体长度、</w:t>
      </w:r>
      <w:r>
        <w:rPr>
          <w:rFonts w:eastAsia="仿宋_GB2312"/>
          <w:i/>
          <w:iCs/>
          <w:color w:val="000000"/>
          <w:sz w:val="30"/>
          <w:szCs w:val="30"/>
        </w:rPr>
        <w:t>l</w:t>
      </w:r>
      <w:r>
        <w:rPr>
          <w:rFonts w:eastAsia="仿宋_GB2312"/>
          <w:color w:val="000000"/>
          <w:sz w:val="30"/>
          <w:szCs w:val="30"/>
          <w:vertAlign w:val="subscript"/>
        </w:rPr>
        <w:t>2</w:t>
      </w:r>
      <w:r>
        <w:rPr>
          <w:rFonts w:eastAsia="仿宋_GB2312"/>
          <w:color w:val="000000"/>
          <w:sz w:val="30"/>
          <w:szCs w:val="30"/>
        </w:rPr>
        <w:t>:针柄长度）</w:t>
      </w:r>
    </w:p>
    <w:p>
      <w:pPr>
        <w:spacing w:line="520" w:lineRule="exact"/>
        <w:jc w:val="center"/>
        <w:rPr>
          <w:rFonts w:eastAsia="仿宋_GB2312"/>
          <w:color w:val="000000"/>
          <w:sz w:val="30"/>
          <w:szCs w:val="30"/>
        </w:rPr>
      </w:pPr>
    </w:p>
    <w:p>
      <w:pPr>
        <w:spacing w:line="520" w:lineRule="exact"/>
        <w:ind w:right="-67" w:rightChars="-32" w:firstLine="640" w:firstLineChars="200"/>
        <w:rPr>
          <w:rFonts w:eastAsia="仿宋_GB2312"/>
          <w:sz w:val="32"/>
          <w:szCs w:val="32"/>
        </w:rPr>
      </w:pPr>
      <w:r>
        <w:rPr>
          <w:rFonts w:eastAsia="仿宋_GB2312"/>
          <w:sz w:val="32"/>
          <w:szCs w:val="32"/>
        </w:rPr>
        <w:t>产品结构组成中应明确针体、针柄、进针管（如适用）、润滑剂（如适用）的材质、提供方式及灭菌方式。</w:t>
      </w:r>
    </w:p>
    <w:p>
      <w:pPr>
        <w:spacing w:line="520" w:lineRule="exact"/>
        <w:ind w:right="-67" w:rightChars="-32" w:firstLine="640" w:firstLineChars="200"/>
        <w:rPr>
          <w:rFonts w:eastAsia="仿宋_GB2312"/>
          <w:sz w:val="32"/>
          <w:szCs w:val="32"/>
        </w:rPr>
      </w:pPr>
      <w:r>
        <w:rPr>
          <w:rFonts w:eastAsia="仿宋_GB2312"/>
          <w:sz w:val="32"/>
          <w:szCs w:val="32"/>
        </w:rPr>
        <w:t>申请人应当根据拟申报产品的具体特征在综述资料中详细描述产品结构及组成（可以采用图示结合文字描述的形式给予明确说明）、使用方法以及区别于其他同类产品的特征等内容。</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2.产品工作原理</w:t>
      </w:r>
    </w:p>
    <w:p>
      <w:pPr>
        <w:spacing w:line="520" w:lineRule="exact"/>
        <w:ind w:firstLine="640" w:firstLineChars="200"/>
        <w:rPr>
          <w:rFonts w:eastAsia="仿宋_GB2312"/>
          <w:bCs/>
          <w:color w:val="000000"/>
          <w:sz w:val="32"/>
          <w:szCs w:val="28"/>
        </w:rPr>
      </w:pPr>
      <w:r>
        <w:rPr>
          <w:rFonts w:eastAsia="仿宋_GB2312"/>
          <w:bCs/>
          <w:color w:val="000000"/>
          <w:sz w:val="32"/>
          <w:szCs w:val="28"/>
        </w:rPr>
        <w:t>针灸针作为中医针灸治疗的工具，在针灸治疗中选用适当规格的针灸针、合理的针刺手法，通过不同深度的侵入式针刺刺激人体体表穴位（含耳穴）以达到治疗疾病或调理的目的。</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3.型号规格</w:t>
      </w:r>
    </w:p>
    <w:p>
      <w:pPr>
        <w:spacing w:line="520" w:lineRule="exact"/>
        <w:ind w:firstLine="640" w:firstLineChars="200"/>
        <w:rPr>
          <w:rFonts w:eastAsia="仿宋_GB2312"/>
          <w:color w:val="000000"/>
          <w:sz w:val="32"/>
          <w:szCs w:val="28"/>
        </w:rPr>
      </w:pPr>
      <w:r>
        <w:rPr>
          <w:rFonts w:eastAsia="仿宋_GB2312"/>
          <w:color w:val="000000"/>
          <w:sz w:val="32"/>
          <w:szCs w:val="28"/>
        </w:rPr>
        <w:t xml:space="preserve">按照提供形式针灸针分为一次性使用无菌针灸针(无菌针灸针)和非无菌针灸针(针灸针)两种。 </w:t>
      </w:r>
    </w:p>
    <w:p>
      <w:pPr>
        <w:spacing w:line="520" w:lineRule="exact"/>
        <w:ind w:firstLine="640" w:firstLineChars="200"/>
        <w:rPr>
          <w:rFonts w:eastAsia="仿宋_GB2312"/>
          <w:color w:val="000000"/>
          <w:sz w:val="32"/>
          <w:szCs w:val="28"/>
        </w:rPr>
      </w:pPr>
      <w:r>
        <w:rPr>
          <w:rFonts w:eastAsia="仿宋_GB2312"/>
          <w:color w:val="000000"/>
          <w:sz w:val="32"/>
          <w:szCs w:val="28"/>
        </w:rPr>
        <w:t>按照针柄型式分为环柄针、平柄针、花柄针、塑料柄针、金属管柄针等,如图2所示。</w:t>
      </w:r>
    </w:p>
    <w:p>
      <w:pPr>
        <w:spacing w:line="520" w:lineRule="exact"/>
        <w:ind w:firstLine="560" w:firstLineChars="200"/>
        <w:rPr>
          <w:rFonts w:eastAsia="仿宋_GB2312"/>
          <w:bCs/>
          <w:color w:val="000000"/>
          <w:sz w:val="28"/>
          <w:szCs w:val="28"/>
        </w:rPr>
      </w:pPr>
    </w:p>
    <w:p>
      <w:pPr>
        <w:spacing w:line="520" w:lineRule="exact"/>
        <w:ind w:firstLine="560" w:firstLineChars="200"/>
        <w:rPr>
          <w:rFonts w:eastAsia="仿宋_GB2312"/>
          <w:bCs/>
          <w:color w:val="000000"/>
          <w:sz w:val="28"/>
          <w:szCs w:val="28"/>
        </w:rPr>
      </w:pPr>
    </w:p>
    <w:p>
      <w:pPr>
        <w:spacing w:line="520" w:lineRule="exact"/>
        <w:ind w:firstLine="560" w:firstLineChars="200"/>
        <w:rPr>
          <w:rFonts w:eastAsia="仿宋_GB2312"/>
          <w:bCs/>
          <w:color w:val="000000"/>
          <w:sz w:val="28"/>
          <w:szCs w:val="28"/>
        </w:rPr>
      </w:pPr>
    </w:p>
    <w:p>
      <w:pPr>
        <w:spacing w:line="520" w:lineRule="exact"/>
        <w:ind w:firstLine="560" w:firstLineChars="200"/>
        <w:rPr>
          <w:rFonts w:eastAsia="仿宋_GB2312"/>
          <w:bCs/>
          <w:color w:val="000000"/>
          <w:sz w:val="28"/>
          <w:szCs w:val="28"/>
        </w:rPr>
      </w:pPr>
    </w:p>
    <w:p>
      <w:pPr>
        <w:spacing w:line="520" w:lineRule="exact"/>
        <w:ind w:firstLine="560" w:firstLineChars="200"/>
        <w:rPr>
          <w:rFonts w:eastAsia="仿宋_GB2312"/>
          <w:bCs/>
          <w:color w:val="000000"/>
          <w:sz w:val="28"/>
          <w:szCs w:val="28"/>
        </w:rPr>
      </w:pPr>
    </w:p>
    <w:p>
      <w:pPr>
        <w:spacing w:line="520" w:lineRule="exact"/>
        <w:ind w:firstLine="560" w:firstLineChars="200"/>
        <w:rPr>
          <w:rFonts w:eastAsia="仿宋_GB2312"/>
          <w:bCs/>
          <w:color w:val="000000"/>
          <w:sz w:val="28"/>
          <w:szCs w:val="28"/>
        </w:rPr>
      </w:pPr>
    </w:p>
    <w:p>
      <w:pPr>
        <w:spacing w:line="520" w:lineRule="exact"/>
        <w:ind w:firstLine="560" w:firstLineChars="200"/>
        <w:rPr>
          <w:rFonts w:eastAsia="仿宋_GB2312"/>
          <w:bCs/>
          <w:color w:val="000000"/>
          <w:sz w:val="28"/>
          <w:szCs w:val="28"/>
        </w:rPr>
      </w:pPr>
    </w:p>
    <w:p>
      <w:pPr>
        <w:spacing w:line="520" w:lineRule="exact"/>
        <w:ind w:firstLine="560" w:firstLineChars="200"/>
        <w:rPr>
          <w:rFonts w:eastAsia="仿宋_GB2312"/>
          <w:bCs/>
          <w:color w:val="000000"/>
          <w:sz w:val="28"/>
          <w:szCs w:val="28"/>
        </w:rPr>
      </w:pPr>
    </w:p>
    <w:p>
      <w:pPr>
        <w:spacing w:line="520" w:lineRule="exact"/>
        <w:ind w:firstLine="560" w:firstLineChars="200"/>
        <w:rPr>
          <w:rFonts w:eastAsia="仿宋_GB2312"/>
          <w:bCs/>
          <w:color w:val="000000"/>
          <w:sz w:val="28"/>
          <w:szCs w:val="28"/>
        </w:rPr>
      </w:pPr>
    </w:p>
    <w:p>
      <w:pPr>
        <w:spacing w:line="520" w:lineRule="exact"/>
        <w:ind w:firstLine="560" w:firstLineChars="200"/>
        <w:rPr>
          <w:rFonts w:eastAsia="仿宋_GB2312"/>
          <w:bCs/>
          <w:color w:val="000000"/>
          <w:sz w:val="28"/>
          <w:szCs w:val="28"/>
        </w:rPr>
      </w:pPr>
    </w:p>
    <w:p>
      <w:pPr>
        <w:spacing w:line="520" w:lineRule="exact"/>
        <w:ind w:firstLine="560" w:firstLineChars="200"/>
        <w:rPr>
          <w:rFonts w:eastAsia="仿宋_GB2312"/>
          <w:bCs/>
          <w:color w:val="000000"/>
          <w:sz w:val="28"/>
          <w:szCs w:val="28"/>
        </w:rPr>
      </w:pPr>
    </w:p>
    <w:p>
      <w:pPr>
        <w:spacing w:line="520" w:lineRule="exact"/>
        <w:ind w:firstLine="560" w:firstLineChars="200"/>
        <w:rPr>
          <w:rFonts w:eastAsia="仿宋_GB2312"/>
          <w:bCs/>
          <w:color w:val="000000"/>
          <w:sz w:val="28"/>
          <w:szCs w:val="28"/>
        </w:rPr>
      </w:pPr>
    </w:p>
    <w:p>
      <w:pPr>
        <w:spacing w:line="520" w:lineRule="exact"/>
        <w:ind w:firstLine="560" w:firstLineChars="200"/>
        <w:rPr>
          <w:rFonts w:eastAsia="仿宋_GB2312"/>
          <w:bCs/>
          <w:color w:val="000000"/>
          <w:sz w:val="28"/>
          <w:szCs w:val="28"/>
        </w:rPr>
      </w:pPr>
    </w:p>
    <w:p>
      <w:pPr>
        <w:spacing w:line="520" w:lineRule="exact"/>
        <w:ind w:firstLine="560" w:firstLineChars="200"/>
        <w:rPr>
          <w:rFonts w:eastAsia="仿宋_GB2312"/>
          <w:bCs/>
          <w:color w:val="000000"/>
          <w:sz w:val="28"/>
          <w:szCs w:val="28"/>
        </w:rPr>
      </w:pPr>
    </w:p>
    <w:p>
      <w:pPr>
        <w:spacing w:line="520" w:lineRule="exact"/>
        <w:ind w:firstLine="560" w:firstLineChars="200"/>
        <w:rPr>
          <w:rFonts w:eastAsia="仿宋_GB2312"/>
          <w:bCs/>
          <w:color w:val="000000"/>
          <w:sz w:val="28"/>
          <w:szCs w:val="28"/>
        </w:rPr>
      </w:pPr>
      <w:r>
        <w:rPr>
          <w:rFonts w:eastAsia="仿宋_GB2312"/>
          <w:bCs/>
          <w:color w:val="000000"/>
          <w:sz w:val="28"/>
          <w:szCs w:val="28"/>
        </w:rPr>
        <w:drawing>
          <wp:anchor distT="0" distB="0" distL="114300" distR="114300" simplePos="0" relativeHeight="251661312" behindDoc="0" locked="0" layoutInCell="1" allowOverlap="1">
            <wp:simplePos x="0" y="0"/>
            <wp:positionH relativeFrom="column">
              <wp:posOffset>358775</wp:posOffset>
            </wp:positionH>
            <wp:positionV relativeFrom="paragraph">
              <wp:posOffset>-4601210</wp:posOffset>
            </wp:positionV>
            <wp:extent cx="4933950" cy="4864735"/>
            <wp:effectExtent l="0" t="0" r="0" b="0"/>
            <wp:wrapSquare wrapText="bothSides"/>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933817" cy="4864507"/>
                    </a:xfrm>
                    <a:prstGeom prst="rect">
                      <a:avLst/>
                    </a:prstGeom>
                    <a:noFill/>
                    <a:ln>
                      <a:noFill/>
                    </a:ln>
                  </pic:spPr>
                </pic:pic>
              </a:graphicData>
            </a:graphic>
          </wp:anchor>
        </w:drawing>
      </w:r>
    </w:p>
    <w:p>
      <w:pPr>
        <w:spacing w:line="520" w:lineRule="exact"/>
        <w:jc w:val="center"/>
        <w:rPr>
          <w:rFonts w:eastAsia="黑体"/>
          <w:bCs/>
          <w:color w:val="000000"/>
          <w:sz w:val="28"/>
          <w:szCs w:val="28"/>
        </w:rPr>
      </w:pPr>
      <w:bookmarkStart w:id="1" w:name="_Hlk78043905"/>
      <w:r>
        <w:rPr>
          <w:rFonts w:eastAsia="黑体"/>
          <w:bCs/>
          <w:color w:val="000000"/>
          <w:sz w:val="28"/>
          <w:szCs w:val="28"/>
        </w:rPr>
        <w:t>图2 针灸针的针柄型式</w:t>
      </w:r>
    </w:p>
    <w:p>
      <w:pPr>
        <w:spacing w:line="520" w:lineRule="exact"/>
        <w:jc w:val="center"/>
        <w:rPr>
          <w:rFonts w:eastAsia="仿宋_GB2312"/>
          <w:color w:val="000000"/>
          <w:sz w:val="30"/>
          <w:szCs w:val="30"/>
        </w:rPr>
      </w:pPr>
      <w:r>
        <w:rPr>
          <w:rFonts w:eastAsia="仿宋_GB2312"/>
          <w:color w:val="000000"/>
          <w:sz w:val="30"/>
          <w:szCs w:val="30"/>
        </w:rPr>
        <w:t>（注：</w:t>
      </w:r>
      <w:r>
        <w:rPr>
          <w:rFonts w:eastAsia="仿宋_GB2312"/>
          <w:i/>
          <w:iCs/>
          <w:color w:val="000000"/>
          <w:sz w:val="30"/>
          <w:szCs w:val="30"/>
        </w:rPr>
        <w:t>d</w:t>
      </w:r>
      <w:r>
        <w:rPr>
          <w:rFonts w:eastAsia="仿宋_GB2312"/>
          <w:color w:val="000000"/>
          <w:sz w:val="30"/>
          <w:szCs w:val="30"/>
        </w:rPr>
        <w:t>:针体直径、</w:t>
      </w:r>
      <w:r>
        <w:rPr>
          <w:rFonts w:eastAsia="仿宋_GB2312"/>
          <w:i/>
          <w:iCs/>
          <w:color w:val="000000"/>
          <w:sz w:val="30"/>
          <w:szCs w:val="30"/>
        </w:rPr>
        <w:t>D</w:t>
      </w:r>
      <w:r>
        <w:rPr>
          <w:rFonts w:eastAsia="仿宋_GB2312"/>
          <w:color w:val="000000"/>
          <w:sz w:val="30"/>
          <w:szCs w:val="30"/>
        </w:rPr>
        <w:t>:针柄直径、</w:t>
      </w:r>
      <w:r>
        <w:rPr>
          <w:rFonts w:eastAsia="仿宋_GB2312"/>
          <w:i/>
          <w:iCs/>
          <w:color w:val="000000"/>
          <w:sz w:val="30"/>
          <w:szCs w:val="30"/>
        </w:rPr>
        <w:t>l</w:t>
      </w:r>
      <w:r>
        <w:rPr>
          <w:rFonts w:eastAsia="仿宋_GB2312"/>
          <w:color w:val="000000"/>
          <w:sz w:val="30"/>
          <w:szCs w:val="30"/>
          <w:vertAlign w:val="subscript"/>
        </w:rPr>
        <w:t>1</w:t>
      </w:r>
      <w:r>
        <w:rPr>
          <w:rFonts w:eastAsia="仿宋_GB2312"/>
          <w:color w:val="000000"/>
          <w:sz w:val="30"/>
          <w:szCs w:val="30"/>
        </w:rPr>
        <w:t>: 针体长度、</w:t>
      </w:r>
      <w:r>
        <w:rPr>
          <w:rFonts w:eastAsia="仿宋_GB2312"/>
          <w:i/>
          <w:iCs/>
          <w:color w:val="000000"/>
          <w:sz w:val="30"/>
          <w:szCs w:val="30"/>
        </w:rPr>
        <w:t>l</w:t>
      </w:r>
      <w:r>
        <w:rPr>
          <w:rFonts w:eastAsia="仿宋_GB2312"/>
          <w:color w:val="000000"/>
          <w:sz w:val="30"/>
          <w:szCs w:val="30"/>
          <w:vertAlign w:val="subscript"/>
        </w:rPr>
        <w:t>2</w:t>
      </w:r>
      <w:r>
        <w:rPr>
          <w:rFonts w:eastAsia="仿宋_GB2312"/>
          <w:color w:val="000000"/>
          <w:sz w:val="30"/>
          <w:szCs w:val="30"/>
        </w:rPr>
        <w:t>:针柄长度）</w:t>
      </w:r>
    </w:p>
    <w:p>
      <w:pPr>
        <w:spacing w:line="520" w:lineRule="exact"/>
        <w:jc w:val="center"/>
        <w:rPr>
          <w:rFonts w:eastAsia="仿宋_GB2312"/>
          <w:color w:val="000000"/>
          <w:sz w:val="30"/>
          <w:szCs w:val="30"/>
        </w:rPr>
      </w:pPr>
    </w:p>
    <w:bookmarkEnd w:id="1"/>
    <w:p>
      <w:pPr>
        <w:spacing w:line="520" w:lineRule="exact"/>
        <w:ind w:firstLine="640" w:firstLineChars="200"/>
        <w:rPr>
          <w:rFonts w:eastAsia="仿宋_GB2312"/>
          <w:bCs/>
          <w:color w:val="000000"/>
          <w:sz w:val="32"/>
          <w:szCs w:val="28"/>
        </w:rPr>
      </w:pPr>
      <w:r>
        <w:rPr>
          <w:rFonts w:eastAsia="仿宋_GB2312"/>
          <w:bCs/>
          <w:color w:val="000000"/>
          <w:sz w:val="32"/>
          <w:szCs w:val="28"/>
        </w:rPr>
        <w:t>一次性使用无菌针灸针的型式分为带进针管和不带进针管两种,带进针管针灸针的型式如图3 所示 (进针管固定方式不作统一的规定)。</w:t>
      </w:r>
      <w:r>
        <w:rPr>
          <w:rFonts w:eastAsia="仿宋_GB2312"/>
          <w:color w:val="000000"/>
          <w:sz w:val="32"/>
          <w:szCs w:val="28"/>
        </w:rPr>
        <w:t>已上市产品进针管配置方式有一针一管（如图3所示）、多针一管（如10支/包的包装规格中配置10支针灸针和一个进针管）。</w:t>
      </w:r>
    </w:p>
    <w:p>
      <w:pPr>
        <w:spacing w:line="520" w:lineRule="exact"/>
        <w:ind w:firstLine="640" w:firstLineChars="200"/>
        <w:rPr>
          <w:rFonts w:eastAsia="仿宋_GB2312"/>
          <w:bCs/>
          <w:color w:val="000000"/>
          <w:sz w:val="32"/>
          <w:szCs w:val="28"/>
        </w:rPr>
      </w:pPr>
    </w:p>
    <w:p>
      <w:pPr>
        <w:spacing w:line="520" w:lineRule="exact"/>
        <w:ind w:firstLine="640" w:firstLineChars="200"/>
        <w:rPr>
          <w:rFonts w:eastAsia="仿宋_GB2312"/>
          <w:bCs/>
          <w:color w:val="000000"/>
          <w:sz w:val="32"/>
          <w:szCs w:val="28"/>
        </w:rPr>
      </w:pPr>
    </w:p>
    <w:p>
      <w:pPr>
        <w:spacing w:line="520" w:lineRule="exact"/>
        <w:ind w:firstLine="640" w:firstLineChars="200"/>
        <w:rPr>
          <w:rFonts w:eastAsia="仿宋_GB2312"/>
          <w:bCs/>
          <w:color w:val="000000"/>
          <w:sz w:val="32"/>
          <w:szCs w:val="28"/>
        </w:rPr>
      </w:pPr>
    </w:p>
    <w:p>
      <w:pPr>
        <w:spacing w:line="520" w:lineRule="exact"/>
        <w:ind w:firstLine="640" w:firstLineChars="200"/>
        <w:jc w:val="center"/>
        <w:rPr>
          <w:rFonts w:eastAsia="仿宋_GB2312"/>
          <w:bCs/>
          <w:color w:val="000000"/>
          <w:sz w:val="32"/>
          <w:szCs w:val="28"/>
        </w:rPr>
      </w:pPr>
      <w:r>
        <w:rPr>
          <w:rFonts w:eastAsia="仿宋_GB2312"/>
          <w:bCs/>
          <w:color w:val="000000"/>
          <w:sz w:val="32"/>
          <w:szCs w:val="28"/>
        </w:rPr>
        <w:drawing>
          <wp:anchor distT="0" distB="0" distL="114300" distR="114300" simplePos="0" relativeHeight="251660288" behindDoc="0" locked="0" layoutInCell="1" allowOverlap="1">
            <wp:simplePos x="0" y="0"/>
            <wp:positionH relativeFrom="column">
              <wp:posOffset>427990</wp:posOffset>
            </wp:positionH>
            <wp:positionV relativeFrom="paragraph">
              <wp:posOffset>-741680</wp:posOffset>
            </wp:positionV>
            <wp:extent cx="5614670" cy="1009015"/>
            <wp:effectExtent l="0" t="0" r="0" b="0"/>
            <wp:wrapSquare wrapText="bothSides"/>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614670" cy="1009015"/>
                    </a:xfrm>
                    <a:prstGeom prst="rect">
                      <a:avLst/>
                    </a:prstGeom>
                    <a:noFill/>
                    <a:ln>
                      <a:noFill/>
                    </a:ln>
                  </pic:spPr>
                </pic:pic>
              </a:graphicData>
            </a:graphic>
          </wp:anchor>
        </w:drawing>
      </w:r>
    </w:p>
    <w:p>
      <w:pPr>
        <w:spacing w:line="520" w:lineRule="exact"/>
        <w:ind w:firstLine="560" w:firstLineChars="200"/>
        <w:jc w:val="center"/>
        <w:rPr>
          <w:rFonts w:eastAsia="黑体"/>
          <w:bCs/>
          <w:color w:val="000000"/>
          <w:sz w:val="28"/>
          <w:szCs w:val="28"/>
        </w:rPr>
      </w:pPr>
      <w:r>
        <w:rPr>
          <w:rFonts w:eastAsia="黑体"/>
          <w:bCs/>
          <w:color w:val="000000"/>
          <w:sz w:val="28"/>
          <w:szCs w:val="28"/>
        </w:rPr>
        <w:t>图3 一次性使用无菌针灸针(带进针管)的型式</w:t>
      </w:r>
    </w:p>
    <w:p>
      <w:pPr>
        <w:spacing w:line="520" w:lineRule="exact"/>
        <w:ind w:firstLine="600" w:firstLineChars="200"/>
        <w:jc w:val="left"/>
        <w:rPr>
          <w:rFonts w:eastAsia="仿宋_GB2312"/>
          <w:color w:val="000000"/>
          <w:sz w:val="30"/>
          <w:szCs w:val="30"/>
        </w:rPr>
      </w:pPr>
      <w:r>
        <w:rPr>
          <w:rFonts w:eastAsia="仿宋_GB2312"/>
          <w:color w:val="000000"/>
          <w:sz w:val="30"/>
          <w:szCs w:val="30"/>
        </w:rPr>
        <w:t>针灸针的规格应以针体的直径×针体长度表示，示例:</w:t>
      </w:r>
    </w:p>
    <w:p>
      <w:pPr>
        <w:spacing w:line="520" w:lineRule="exact"/>
        <w:ind w:firstLine="600" w:firstLineChars="200"/>
        <w:jc w:val="left"/>
        <w:rPr>
          <w:rFonts w:eastAsia="仿宋_GB2312"/>
          <w:color w:val="000000"/>
          <w:sz w:val="30"/>
          <w:szCs w:val="30"/>
        </w:rPr>
      </w:pPr>
      <w:r>
        <w:rPr>
          <w:rFonts w:eastAsia="仿宋_GB2312"/>
          <w:color w:val="000000"/>
          <w:sz w:val="30"/>
          <w:szCs w:val="30"/>
        </w:rPr>
        <w:t>ϕ0.30mm×40mm。</w:t>
      </w:r>
    </w:p>
    <w:p>
      <w:pPr>
        <w:spacing w:line="520" w:lineRule="exact"/>
        <w:ind w:firstLine="640" w:firstLineChars="200"/>
        <w:jc w:val="left"/>
        <w:rPr>
          <w:rFonts w:eastAsia="仿宋_GB2312"/>
          <w:color w:val="000000"/>
          <w:sz w:val="32"/>
          <w:szCs w:val="32"/>
        </w:rPr>
      </w:pPr>
    </w:p>
    <w:p>
      <w:pPr>
        <w:spacing w:line="520" w:lineRule="exact"/>
        <w:ind w:firstLine="640" w:firstLineChars="200"/>
        <w:rPr>
          <w:rFonts w:eastAsia="仿宋_GB2312"/>
          <w:bCs/>
          <w:sz w:val="32"/>
          <w:szCs w:val="32"/>
        </w:rPr>
      </w:pPr>
      <w:r>
        <w:rPr>
          <w:rFonts w:eastAsia="仿宋_GB2312"/>
          <w:color w:val="000000"/>
          <w:sz w:val="32"/>
          <w:szCs w:val="28"/>
        </w:rPr>
        <w:t>对于同一注册单元中存在多种型号和规格的产品，应明确型号、规格之间的所有区别（如提供形式、针柄型式、针柄材料、尺寸、进针管的配置方式等，必要时可附相应图、表进行说明）。应列明某一型号下各规格针体直径的具体数值，以便于按照GB 2024《针灸针》确定针的各项性能指标，针体长度可以列明各规格具体数值，也可以采用范围合并间隔形式列出，如针体长度15mm～100mm，间隔5mm。</w:t>
      </w:r>
      <w:r>
        <w:rPr>
          <w:rFonts w:eastAsia="仿宋_GB2312"/>
          <w:bCs/>
          <w:sz w:val="32"/>
          <w:szCs w:val="32"/>
        </w:rPr>
        <w:t xml:space="preserve"> </w:t>
      </w:r>
    </w:p>
    <w:p>
      <w:pPr>
        <w:spacing w:line="520" w:lineRule="exact"/>
        <w:ind w:right="-67" w:rightChars="-32" w:firstLine="640" w:firstLineChars="200"/>
        <w:rPr>
          <w:rFonts w:eastAsia="仿宋_GB2312"/>
          <w:kern w:val="0"/>
          <w:sz w:val="32"/>
          <w:szCs w:val="32"/>
        </w:rPr>
      </w:pPr>
      <w:r>
        <w:rPr>
          <w:rFonts w:eastAsia="仿宋_GB2312"/>
          <w:color w:val="000000"/>
          <w:sz w:val="32"/>
          <w:szCs w:val="32"/>
        </w:rPr>
        <w:t>4</w:t>
      </w:r>
      <w:r>
        <w:rPr>
          <w:rFonts w:eastAsia="仿宋_GB2312"/>
          <w:sz w:val="32"/>
          <w:szCs w:val="32"/>
        </w:rPr>
        <w:t>.包装说明</w:t>
      </w:r>
    </w:p>
    <w:p>
      <w:pPr>
        <w:spacing w:line="520" w:lineRule="exact"/>
        <w:ind w:right="-67" w:rightChars="-32" w:firstLine="640" w:firstLineChars="200"/>
        <w:rPr>
          <w:rFonts w:eastAsia="仿宋_GB2312"/>
          <w:sz w:val="32"/>
          <w:szCs w:val="32"/>
        </w:rPr>
      </w:pPr>
      <w:r>
        <w:rPr>
          <w:rFonts w:eastAsia="仿宋_GB2312"/>
          <w:sz w:val="32"/>
          <w:szCs w:val="32"/>
        </w:rPr>
        <w:t>以图示及文字描述的方式说明所有产品组成的包装信息，包括直接接触产品的包装材料、针尖保护材料（如有）、包装规格、进针管的配置、外包装材质等情况。无菌提供针灸针产品应当说明其无菌屏障系统的信息。</w:t>
      </w:r>
    </w:p>
    <w:p>
      <w:pPr>
        <w:spacing w:line="520" w:lineRule="exact"/>
        <w:ind w:right="-67" w:rightChars="-32" w:firstLine="640" w:firstLineChars="200"/>
        <w:rPr>
          <w:rFonts w:eastAsia="仿宋_GB2312"/>
          <w:sz w:val="32"/>
          <w:szCs w:val="32"/>
        </w:rPr>
      </w:pPr>
      <w:r>
        <w:rPr>
          <w:rFonts w:eastAsia="仿宋_GB2312"/>
          <w:sz w:val="32"/>
          <w:szCs w:val="32"/>
        </w:rPr>
        <w:t>若为重复使用或使用前需要的灭菌的产品，应说明使用者在产品进行灭菌前正确的包装信息。</w:t>
      </w:r>
    </w:p>
    <w:p>
      <w:pPr>
        <w:spacing w:line="520" w:lineRule="exact"/>
        <w:ind w:left="638" w:leftChars="304" w:right="-67" w:rightChars="-32"/>
        <w:rPr>
          <w:rFonts w:eastAsia="仿宋_GB2312"/>
          <w:color w:val="000000"/>
          <w:sz w:val="32"/>
          <w:szCs w:val="32"/>
        </w:rPr>
      </w:pPr>
      <w:r>
        <w:rPr>
          <w:rFonts w:eastAsia="仿宋_GB2312"/>
          <w:color w:val="000000"/>
          <w:sz w:val="32"/>
          <w:szCs w:val="32"/>
        </w:rPr>
        <w:t>5.研发历程</w:t>
      </w:r>
    </w:p>
    <w:p>
      <w:pPr>
        <w:spacing w:line="520" w:lineRule="exact"/>
        <w:ind w:right="-67" w:rightChars="-32" w:firstLine="640" w:firstLineChars="200"/>
        <w:rPr>
          <w:rFonts w:eastAsia="仿宋_GB2312"/>
          <w:sz w:val="32"/>
          <w:szCs w:val="32"/>
        </w:rPr>
      </w:pPr>
      <w:r>
        <w:rPr>
          <w:rFonts w:eastAsia="仿宋_GB2312"/>
          <w:sz w:val="32"/>
          <w:szCs w:val="32"/>
        </w:rPr>
        <w:t>应阐述申请注册产品的研发背景和目的。如有参考的同类产品或前代产品，应当提供同类产品或前代产品（如有）的信息，并说明选择其作为研发参考的原因。</w:t>
      </w:r>
    </w:p>
    <w:p>
      <w:pPr>
        <w:spacing w:line="520" w:lineRule="exact"/>
        <w:ind w:right="-67" w:rightChars="-32" w:firstLine="640" w:firstLineChars="200"/>
        <w:rPr>
          <w:rFonts w:eastAsia="仿宋_GB2312"/>
          <w:sz w:val="32"/>
          <w:szCs w:val="32"/>
        </w:rPr>
      </w:pPr>
      <w:r>
        <w:rPr>
          <w:rFonts w:eastAsia="仿宋_GB2312"/>
          <w:sz w:val="32"/>
          <w:szCs w:val="32"/>
        </w:rPr>
        <w:t>6.与同类和/或前代产品的参考和比较</w:t>
      </w:r>
    </w:p>
    <w:p>
      <w:pPr>
        <w:spacing w:line="520" w:lineRule="exact"/>
        <w:ind w:right="-67" w:rightChars="-32" w:firstLine="640" w:firstLineChars="200"/>
        <w:rPr>
          <w:rFonts w:eastAsia="仿宋_GB2312"/>
          <w:sz w:val="32"/>
          <w:szCs w:val="32"/>
        </w:rPr>
      </w:pPr>
      <w:r>
        <w:rPr>
          <w:rFonts w:eastAsia="仿宋_GB2312"/>
          <w:sz w:val="32"/>
          <w:szCs w:val="32"/>
        </w:rPr>
        <w:t>应</w:t>
      </w:r>
      <w:r>
        <w:rPr>
          <w:rFonts w:eastAsia="仿宋_GB2312"/>
          <w:bCs/>
          <w:sz w:val="32"/>
          <w:szCs w:val="32"/>
        </w:rPr>
        <w:t>列表比较说明申报产品与同类产品和/或前代产品在工作原理、结构组成、制造材料、性能指标、作用方式以及适用范围等方面的异同。</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7.适用范围和禁忌证</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7.1适用范围</w:t>
      </w:r>
    </w:p>
    <w:p>
      <w:pPr>
        <w:spacing w:line="520" w:lineRule="exact"/>
        <w:ind w:firstLine="640" w:firstLineChars="200"/>
        <w:rPr>
          <w:rFonts w:eastAsia="仿宋_GB2312"/>
          <w:color w:val="000000"/>
          <w:sz w:val="32"/>
          <w:szCs w:val="28"/>
        </w:rPr>
      </w:pPr>
      <w:r>
        <w:rPr>
          <w:rFonts w:eastAsia="仿宋_GB2312"/>
          <w:color w:val="000000"/>
          <w:sz w:val="32"/>
          <w:szCs w:val="28"/>
        </w:rPr>
        <w:t>针灸针供中医针灸治疗用。</w:t>
      </w:r>
    </w:p>
    <w:p>
      <w:pPr>
        <w:spacing w:line="520" w:lineRule="exact"/>
        <w:ind w:firstLine="640" w:firstLineChars="200"/>
        <w:rPr>
          <w:rFonts w:eastAsia="仿宋_GB2312"/>
          <w:color w:val="000000"/>
          <w:sz w:val="32"/>
          <w:szCs w:val="28"/>
        </w:rPr>
      </w:pPr>
      <w:r>
        <w:rPr>
          <w:rFonts w:eastAsia="仿宋_GB2312"/>
          <w:color w:val="000000"/>
          <w:sz w:val="32"/>
          <w:szCs w:val="28"/>
        </w:rPr>
        <w:t>应说明操作者应具有的技能/知识，明确产品是否为一次性使用，若为重复使用应说明重复使用的次数及使用前的清洁、灭菌方式。</w:t>
      </w:r>
    </w:p>
    <w:p>
      <w:pPr>
        <w:spacing w:line="520" w:lineRule="exact"/>
        <w:ind w:right="-67" w:rightChars="-32" w:firstLine="640" w:firstLineChars="200"/>
        <w:rPr>
          <w:rFonts w:eastAsia="仿宋_GB2312"/>
          <w:color w:val="000000"/>
          <w:spacing w:val="-1"/>
          <w:sz w:val="32"/>
          <w:szCs w:val="32"/>
        </w:rPr>
      </w:pPr>
      <w:r>
        <w:rPr>
          <w:rFonts w:eastAsia="仿宋_GB2312"/>
          <w:color w:val="000000"/>
          <w:sz w:val="32"/>
          <w:szCs w:val="32"/>
        </w:rPr>
        <w:t>7.2</w:t>
      </w:r>
      <w:r>
        <w:rPr>
          <w:rFonts w:eastAsia="仿宋_GB2312"/>
          <w:color w:val="000000"/>
          <w:spacing w:val="-1"/>
          <w:sz w:val="32"/>
          <w:szCs w:val="32"/>
        </w:rPr>
        <w:t>预期使用环境</w:t>
      </w:r>
    </w:p>
    <w:p>
      <w:pPr>
        <w:spacing w:line="520" w:lineRule="exact"/>
        <w:ind w:right="-67" w:rightChars="-32" w:firstLine="636" w:firstLineChars="200"/>
        <w:rPr>
          <w:rFonts w:eastAsia="仿宋_GB2312"/>
          <w:color w:val="000000"/>
          <w:spacing w:val="-1"/>
          <w:sz w:val="32"/>
          <w:szCs w:val="32"/>
        </w:rPr>
      </w:pPr>
      <w:r>
        <w:rPr>
          <w:rFonts w:eastAsia="仿宋_GB2312"/>
          <w:color w:val="000000"/>
          <w:spacing w:val="-1"/>
          <w:sz w:val="32"/>
          <w:szCs w:val="32"/>
        </w:rPr>
        <w:t>该产品预期使用环境应为医疗机构。</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7.3适用人群</w:t>
      </w:r>
    </w:p>
    <w:p>
      <w:pPr>
        <w:spacing w:line="520" w:lineRule="exact"/>
        <w:ind w:firstLine="640" w:firstLineChars="200"/>
        <w:rPr>
          <w:rFonts w:eastAsia="仿宋_GB2312"/>
          <w:bCs/>
          <w:color w:val="000000"/>
          <w:sz w:val="32"/>
          <w:szCs w:val="32"/>
        </w:rPr>
      </w:pPr>
      <w:r>
        <w:rPr>
          <w:rFonts w:eastAsia="仿宋_GB2312"/>
          <w:bCs/>
          <w:color w:val="000000"/>
          <w:sz w:val="32"/>
          <w:szCs w:val="32"/>
        </w:rPr>
        <w:t>应明确目标患者人群的信息（如成人、小儿或者儿童）或提供无预期治疗特定人群的声明。</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7.4禁忌证</w:t>
      </w:r>
    </w:p>
    <w:p>
      <w:pPr>
        <w:overflowPunct w:val="0"/>
        <w:spacing w:line="520" w:lineRule="exact"/>
        <w:ind w:firstLine="672" w:firstLineChars="210"/>
        <w:rPr>
          <w:rFonts w:eastAsia="仿宋_GB2312"/>
          <w:iCs/>
          <w:color w:val="000000"/>
          <w:sz w:val="32"/>
          <w:szCs w:val="28"/>
        </w:rPr>
      </w:pPr>
      <w:r>
        <w:rPr>
          <w:rFonts w:hint="eastAsia" w:eastAsia="仿宋_GB2312"/>
          <w:color w:val="000000"/>
          <w:sz w:val="32"/>
          <w:szCs w:val="32"/>
        </w:rPr>
        <w:t>7</w:t>
      </w:r>
      <w:r>
        <w:rPr>
          <w:rFonts w:eastAsia="仿宋_GB2312"/>
          <w:color w:val="000000"/>
          <w:sz w:val="32"/>
          <w:szCs w:val="32"/>
        </w:rPr>
        <w:t>.4.1</w:t>
      </w:r>
      <w:r>
        <w:rPr>
          <w:rFonts w:eastAsia="仿宋_GB2312"/>
          <w:iCs/>
          <w:color w:val="000000"/>
          <w:sz w:val="32"/>
          <w:szCs w:val="28"/>
        </w:rPr>
        <w:t xml:space="preserve">饥饿、饱食、醉酒、大怒、大惊、过度疲劳、精神紧张者，不宜立即进行针刺；体质虚弱，气血亏损者，其针感不宜过重，应尽量采取卧位行针。 </w:t>
      </w:r>
    </w:p>
    <w:p>
      <w:pPr>
        <w:overflowPunct w:val="0"/>
        <w:spacing w:line="520" w:lineRule="exact"/>
        <w:ind w:firstLine="672" w:firstLineChars="210"/>
        <w:rPr>
          <w:rFonts w:eastAsia="仿宋_GB2312"/>
          <w:iCs/>
          <w:color w:val="000000"/>
          <w:sz w:val="32"/>
          <w:szCs w:val="28"/>
        </w:rPr>
      </w:pPr>
      <w:r>
        <w:rPr>
          <w:rFonts w:hint="eastAsia" w:eastAsia="仿宋_GB2312"/>
          <w:color w:val="000000"/>
          <w:sz w:val="32"/>
          <w:szCs w:val="32"/>
        </w:rPr>
        <w:t>7</w:t>
      </w:r>
      <w:r>
        <w:rPr>
          <w:rFonts w:eastAsia="仿宋_GB2312"/>
          <w:color w:val="000000"/>
          <w:sz w:val="32"/>
          <w:szCs w:val="32"/>
        </w:rPr>
        <w:t>.4.2</w:t>
      </w:r>
      <w:r>
        <w:rPr>
          <w:rFonts w:eastAsia="仿宋_GB2312"/>
          <w:iCs/>
          <w:color w:val="000000"/>
          <w:sz w:val="32"/>
          <w:szCs w:val="28"/>
        </w:rPr>
        <w:t xml:space="preserve">针刺时应避开大血管，腧穴深部有脏器时应掌握针刺深度，切不可伤及脏器。 </w:t>
      </w:r>
    </w:p>
    <w:p>
      <w:pPr>
        <w:overflowPunct w:val="0"/>
        <w:spacing w:line="520" w:lineRule="exact"/>
        <w:ind w:firstLine="672" w:firstLineChars="210"/>
        <w:rPr>
          <w:rFonts w:eastAsia="仿宋_GB2312"/>
          <w:iCs/>
          <w:color w:val="000000"/>
          <w:sz w:val="32"/>
          <w:szCs w:val="28"/>
        </w:rPr>
      </w:pPr>
      <w:r>
        <w:rPr>
          <w:rFonts w:hint="eastAsia" w:eastAsia="仿宋_GB2312"/>
          <w:color w:val="000000"/>
          <w:sz w:val="32"/>
          <w:szCs w:val="32"/>
        </w:rPr>
        <w:t>7</w:t>
      </w:r>
      <w:r>
        <w:rPr>
          <w:rFonts w:eastAsia="仿宋_GB2312"/>
          <w:color w:val="000000"/>
          <w:sz w:val="32"/>
          <w:szCs w:val="32"/>
        </w:rPr>
        <w:t>.4.3</w:t>
      </w:r>
      <w:r>
        <w:rPr>
          <w:rFonts w:eastAsia="仿宋_GB2312"/>
          <w:iCs/>
          <w:color w:val="000000"/>
          <w:sz w:val="32"/>
          <w:szCs w:val="28"/>
        </w:rPr>
        <w:t xml:space="preserve">小儿囟门未闭合时，囟门附近的腧穴不宜针刺。由于小儿不易配合，所以一般不留针。 </w:t>
      </w:r>
    </w:p>
    <w:p>
      <w:pPr>
        <w:overflowPunct w:val="0"/>
        <w:spacing w:line="520" w:lineRule="exact"/>
        <w:ind w:firstLine="672" w:firstLineChars="210"/>
        <w:rPr>
          <w:rFonts w:eastAsia="仿宋_GB2312"/>
          <w:iCs/>
          <w:color w:val="000000"/>
          <w:sz w:val="32"/>
          <w:szCs w:val="28"/>
        </w:rPr>
      </w:pPr>
      <w:r>
        <w:rPr>
          <w:rFonts w:hint="eastAsia" w:eastAsia="仿宋_GB2312"/>
          <w:color w:val="000000"/>
          <w:sz w:val="32"/>
          <w:szCs w:val="32"/>
        </w:rPr>
        <w:t>7</w:t>
      </w:r>
      <w:r>
        <w:rPr>
          <w:rFonts w:eastAsia="仿宋_GB2312"/>
          <w:color w:val="000000"/>
          <w:sz w:val="32"/>
          <w:szCs w:val="32"/>
        </w:rPr>
        <w:t>.4.4</w:t>
      </w:r>
      <w:r>
        <w:rPr>
          <w:rFonts w:eastAsia="仿宋_GB2312"/>
          <w:iCs/>
          <w:color w:val="000000"/>
          <w:sz w:val="32"/>
          <w:szCs w:val="28"/>
        </w:rPr>
        <w:t xml:space="preserve">孕妇不宜刺下腹部、腰骶部以及三阴交、合谷、至阴等对胎孕反应敏感的腧穴。 </w:t>
      </w:r>
    </w:p>
    <w:p>
      <w:pPr>
        <w:overflowPunct w:val="0"/>
        <w:spacing w:line="520" w:lineRule="exact"/>
        <w:ind w:firstLine="672" w:firstLineChars="210"/>
        <w:rPr>
          <w:rFonts w:eastAsia="仿宋_GB2312"/>
          <w:iCs/>
          <w:color w:val="000000"/>
          <w:sz w:val="32"/>
          <w:szCs w:val="28"/>
        </w:rPr>
      </w:pPr>
      <w:r>
        <w:rPr>
          <w:rFonts w:hint="eastAsia" w:eastAsia="仿宋_GB2312"/>
          <w:color w:val="000000"/>
          <w:sz w:val="32"/>
          <w:szCs w:val="32"/>
        </w:rPr>
        <w:t>7</w:t>
      </w:r>
      <w:r>
        <w:rPr>
          <w:rFonts w:eastAsia="仿宋_GB2312"/>
          <w:color w:val="000000"/>
          <w:sz w:val="32"/>
          <w:szCs w:val="32"/>
        </w:rPr>
        <w:t>.4.5</w:t>
      </w:r>
      <w:r>
        <w:rPr>
          <w:rFonts w:eastAsia="仿宋_GB2312"/>
          <w:iCs/>
          <w:color w:val="000000"/>
          <w:sz w:val="32"/>
          <w:szCs w:val="28"/>
        </w:rPr>
        <w:t xml:space="preserve">皮肤有感染、溃疡、瘢痕或肿瘤部位，除特殊治疗需要外，均不应在患部直接针刺。 </w:t>
      </w:r>
    </w:p>
    <w:p>
      <w:pPr>
        <w:overflowPunct w:val="0"/>
        <w:spacing w:line="520" w:lineRule="exact"/>
        <w:ind w:firstLine="672" w:firstLineChars="210"/>
        <w:rPr>
          <w:rFonts w:eastAsia="仿宋_GB2312"/>
          <w:iCs/>
          <w:color w:val="000000"/>
          <w:sz w:val="32"/>
          <w:szCs w:val="28"/>
        </w:rPr>
      </w:pPr>
      <w:r>
        <w:rPr>
          <w:rFonts w:hint="eastAsia" w:eastAsia="仿宋_GB2312"/>
          <w:color w:val="000000"/>
          <w:sz w:val="32"/>
          <w:szCs w:val="32"/>
        </w:rPr>
        <w:t>7</w:t>
      </w:r>
      <w:r>
        <w:rPr>
          <w:rFonts w:eastAsia="仿宋_GB2312"/>
          <w:color w:val="000000"/>
          <w:sz w:val="32"/>
          <w:szCs w:val="32"/>
        </w:rPr>
        <w:t>.4.6</w:t>
      </w:r>
      <w:r>
        <w:rPr>
          <w:rFonts w:eastAsia="仿宋_GB2312"/>
          <w:iCs/>
          <w:color w:val="000000"/>
          <w:sz w:val="32"/>
          <w:szCs w:val="28"/>
        </w:rPr>
        <w:t>有凝血机制障碍的患者，应禁用针刺。</w:t>
      </w:r>
    </w:p>
    <w:p>
      <w:pPr>
        <w:overflowPunct w:val="0"/>
        <w:spacing w:line="520" w:lineRule="exact"/>
        <w:ind w:firstLine="672" w:firstLineChars="210"/>
        <w:rPr>
          <w:rFonts w:eastAsia="仿宋_GB2312"/>
          <w:color w:val="000000"/>
          <w:sz w:val="32"/>
          <w:szCs w:val="32"/>
        </w:rPr>
      </w:pPr>
      <w:r>
        <w:rPr>
          <w:rFonts w:hint="eastAsia" w:eastAsia="仿宋_GB2312"/>
          <w:color w:val="000000"/>
          <w:sz w:val="32"/>
          <w:szCs w:val="32"/>
        </w:rPr>
        <w:t>7</w:t>
      </w:r>
      <w:r>
        <w:rPr>
          <w:rFonts w:eastAsia="仿宋_GB2312"/>
          <w:color w:val="000000"/>
          <w:sz w:val="32"/>
          <w:szCs w:val="32"/>
        </w:rPr>
        <w:t>.4.7对针灸针针体原材料过敏者禁用。</w:t>
      </w:r>
    </w:p>
    <w:p>
      <w:pPr>
        <w:overflowPunct w:val="0"/>
        <w:spacing w:line="520" w:lineRule="exact"/>
        <w:ind w:firstLine="672" w:firstLineChars="210"/>
        <w:rPr>
          <w:rFonts w:eastAsia="仿宋_GB2312"/>
          <w:sz w:val="32"/>
          <w:szCs w:val="32"/>
        </w:rPr>
      </w:pPr>
      <w:r>
        <w:rPr>
          <w:rFonts w:hint="eastAsia" w:eastAsia="仿宋_GB2312"/>
          <w:color w:val="000000"/>
          <w:sz w:val="32"/>
          <w:szCs w:val="32"/>
        </w:rPr>
        <w:t>7</w:t>
      </w:r>
      <w:r>
        <w:rPr>
          <w:rFonts w:eastAsia="仿宋_GB2312"/>
          <w:color w:val="000000"/>
          <w:sz w:val="32"/>
          <w:szCs w:val="32"/>
        </w:rPr>
        <w:t>.4.8</w:t>
      </w:r>
      <w:r>
        <w:rPr>
          <w:rFonts w:eastAsia="仿宋_GB2312"/>
          <w:sz w:val="32"/>
          <w:szCs w:val="32"/>
        </w:rPr>
        <w:t>针体表面有润滑剂的，对其成分过敏者禁用（如适用）。</w:t>
      </w:r>
    </w:p>
    <w:p>
      <w:pPr>
        <w:spacing w:line="520" w:lineRule="exact"/>
        <w:ind w:right="-67" w:rightChars="-32" w:firstLine="640" w:firstLineChars="200"/>
        <w:rPr>
          <w:rFonts w:eastAsia="仿宋_GB2312"/>
          <w:kern w:val="0"/>
          <w:sz w:val="32"/>
          <w:szCs w:val="32"/>
        </w:rPr>
      </w:pPr>
      <w:r>
        <w:rPr>
          <w:rFonts w:eastAsia="仿宋_GB2312"/>
          <w:color w:val="000000"/>
          <w:sz w:val="32"/>
          <w:szCs w:val="32"/>
        </w:rPr>
        <w:t>《针灸学》教材中毫针刺法常用针具“毫针”，在GB/T 21709.20《针灸技术操作规范 第20部分：毫针基本刺法》中要求“针灸临床使用的毫针应符合GB 2024的规定”，故本指导原则禁忌证内容引用GB/T 21709.20中禁忌内容形成。</w:t>
      </w:r>
    </w:p>
    <w:p>
      <w:pPr>
        <w:spacing w:line="520" w:lineRule="exact"/>
        <w:ind w:right="-67" w:rightChars="-32" w:firstLine="640" w:firstLineChars="200"/>
        <w:rPr>
          <w:rFonts w:eastAsia="仿宋_GB2312"/>
          <w:sz w:val="32"/>
          <w:szCs w:val="32"/>
        </w:rPr>
      </w:pPr>
      <w:r>
        <w:rPr>
          <w:rFonts w:eastAsia="仿宋_GB2312"/>
          <w:sz w:val="32"/>
          <w:szCs w:val="32"/>
        </w:rPr>
        <w:t>8.申报产品上市历史不良事件情况</w:t>
      </w:r>
    </w:p>
    <w:p>
      <w:pPr>
        <w:spacing w:line="520" w:lineRule="exact"/>
        <w:ind w:firstLine="640" w:firstLineChars="200"/>
        <w:rPr>
          <w:rFonts w:eastAsia="仿宋_GB2312"/>
          <w:sz w:val="32"/>
          <w:szCs w:val="32"/>
        </w:rPr>
      </w:pPr>
      <w:r>
        <w:rPr>
          <w:rFonts w:eastAsia="仿宋_GB2312"/>
          <w:sz w:val="32"/>
          <w:szCs w:val="32"/>
        </w:rPr>
        <w:t>如适用，应当提交申报产品的下列资料：</w:t>
      </w:r>
    </w:p>
    <w:p>
      <w:pPr>
        <w:spacing w:line="520" w:lineRule="exact"/>
        <w:ind w:right="-67" w:rightChars="-32" w:firstLine="640" w:firstLineChars="200"/>
        <w:rPr>
          <w:rFonts w:eastAsia="仿宋_GB2312"/>
          <w:bCs/>
          <w:sz w:val="32"/>
          <w:szCs w:val="32"/>
          <w:lang w:val="en-CA"/>
        </w:rPr>
      </w:pPr>
      <w:r>
        <w:rPr>
          <w:rFonts w:eastAsia="仿宋_GB2312"/>
          <w:bCs/>
          <w:sz w:val="32"/>
          <w:szCs w:val="32"/>
          <w:lang w:val="en-CA"/>
        </w:rPr>
        <w:t>8.1上市情况</w:t>
      </w:r>
    </w:p>
    <w:p>
      <w:pPr>
        <w:spacing w:line="520" w:lineRule="exact"/>
        <w:ind w:right="-67" w:rightChars="-32" w:firstLine="640" w:firstLineChars="200"/>
        <w:rPr>
          <w:rFonts w:eastAsia="仿宋_GB2312"/>
          <w:bCs/>
          <w:sz w:val="32"/>
          <w:szCs w:val="32"/>
          <w:lang w:val="en-CA"/>
        </w:rPr>
      </w:pPr>
      <w:r>
        <w:rPr>
          <w:rFonts w:eastAsia="仿宋_GB2312"/>
          <w:bCs/>
          <w:sz w:val="32"/>
          <w:szCs w:val="32"/>
          <w:lang w:val="en-CA"/>
        </w:rPr>
        <w:t>截至提交注册申请前，申报产品在各国家或地区的上市批准时间、销售情况。若申报产品在不同国家或地区上市时有差异（如设计、标签、技术参数等），应当逐一描述。</w:t>
      </w:r>
    </w:p>
    <w:p>
      <w:pPr>
        <w:spacing w:line="520" w:lineRule="exact"/>
        <w:ind w:right="-67" w:rightChars="-32" w:firstLine="640" w:firstLineChars="200"/>
        <w:rPr>
          <w:rFonts w:eastAsia="仿宋_GB2312"/>
          <w:bCs/>
          <w:sz w:val="32"/>
          <w:szCs w:val="32"/>
          <w:lang w:val="en-CA"/>
        </w:rPr>
      </w:pPr>
      <w:r>
        <w:rPr>
          <w:rFonts w:eastAsia="仿宋_GB2312"/>
          <w:bCs/>
          <w:sz w:val="32"/>
          <w:szCs w:val="32"/>
          <w:lang w:val="en-CA"/>
        </w:rPr>
        <w:t>8.2不良事件和召回</w:t>
      </w:r>
    </w:p>
    <w:p>
      <w:pPr>
        <w:spacing w:line="520" w:lineRule="exact"/>
        <w:ind w:right="-67" w:rightChars="-32" w:firstLine="640" w:firstLineChars="200"/>
        <w:rPr>
          <w:rFonts w:eastAsia="仿宋_GB2312"/>
          <w:bCs/>
          <w:sz w:val="32"/>
          <w:szCs w:val="32"/>
          <w:lang w:val="en-CA"/>
        </w:rPr>
      </w:pPr>
      <w:r>
        <w:rPr>
          <w:rFonts w:eastAsia="仿宋_GB2312"/>
          <w:bCs/>
          <w:sz w:val="32"/>
          <w:szCs w:val="32"/>
          <w:lang w:val="en-CA"/>
        </w:rPr>
        <w:t>如适用，应当以列表形式分别对申报产品上市后发生的不良事件、召回的发生时间以及每一种情况下申请人采取的处理和解决方案，包括主动控制产品风险的措施，向医疗器械不良事件监测技术机构报告的情况，相关部门的调查处理情况等进行描述。</w:t>
      </w:r>
    </w:p>
    <w:p>
      <w:pPr>
        <w:spacing w:line="520" w:lineRule="exact"/>
        <w:ind w:right="-67" w:rightChars="-32" w:firstLine="640" w:firstLineChars="200"/>
        <w:rPr>
          <w:rFonts w:eastAsia="仿宋_GB2312"/>
          <w:bCs/>
          <w:sz w:val="32"/>
          <w:szCs w:val="32"/>
          <w:lang w:val="en-CA"/>
        </w:rPr>
      </w:pPr>
      <w:r>
        <w:rPr>
          <w:rFonts w:eastAsia="仿宋_GB2312"/>
          <w:bCs/>
          <w:sz w:val="32"/>
          <w:szCs w:val="32"/>
          <w:lang w:val="en-CA"/>
        </w:rPr>
        <w:t>同时，应当对上述不良事件、召回进行分析评价，阐明不良事件发生、召回发生的原因并对其安全性、有效性的影响予以说明。若不良事件、召回数量大，应当根据事件类型总结每个类型涉及的数量。</w:t>
      </w:r>
    </w:p>
    <w:p>
      <w:pPr>
        <w:spacing w:line="520" w:lineRule="exact"/>
        <w:ind w:right="-67" w:rightChars="-32" w:firstLine="640" w:firstLineChars="200"/>
        <w:rPr>
          <w:rFonts w:eastAsia="仿宋_GB2312"/>
          <w:bCs/>
          <w:sz w:val="32"/>
          <w:szCs w:val="32"/>
          <w:lang w:val="en-CA"/>
        </w:rPr>
      </w:pPr>
      <w:r>
        <w:rPr>
          <w:rFonts w:eastAsia="仿宋_GB2312"/>
          <w:bCs/>
          <w:sz w:val="32"/>
          <w:szCs w:val="32"/>
          <w:lang w:val="en-CA"/>
        </w:rPr>
        <w:t>8.3销售、不良事件及召回率</w:t>
      </w:r>
    </w:p>
    <w:p>
      <w:pPr>
        <w:spacing w:line="520" w:lineRule="exact"/>
        <w:ind w:right="-67" w:rightChars="-32" w:firstLine="640" w:firstLineChars="200"/>
        <w:rPr>
          <w:rFonts w:eastAsia="仿宋_GB2312"/>
          <w:bCs/>
          <w:sz w:val="32"/>
          <w:szCs w:val="32"/>
        </w:rPr>
      </w:pPr>
      <w:r>
        <w:rPr>
          <w:rFonts w:eastAsia="仿宋_GB2312"/>
          <w:bCs/>
          <w:sz w:val="32"/>
          <w:szCs w:val="32"/>
        </w:rPr>
        <w:t>如适用，应当提交申报产品近五年在各国家（地区）销售数量的总结，按以下方式提供在各国家（地区）的不良事件、召回比率，并进行比率计算关键分析。</w:t>
      </w:r>
    </w:p>
    <w:p>
      <w:pPr>
        <w:spacing w:line="520" w:lineRule="exact"/>
        <w:ind w:firstLine="640" w:firstLineChars="200"/>
        <w:rPr>
          <w:rFonts w:eastAsia="仿宋_GB2312"/>
          <w:color w:val="000000"/>
          <w:sz w:val="32"/>
          <w:szCs w:val="32"/>
        </w:rPr>
      </w:pPr>
      <w:r>
        <w:rPr>
          <w:rFonts w:eastAsia="仿宋_GB2312"/>
          <w:bCs/>
          <w:sz w:val="32"/>
          <w:szCs w:val="32"/>
        </w:rPr>
        <w:t>如：不良事件发生率＝不良事件数量÷销售数量×100%，召回发生率＝召回数量÷销售数量×100%。发生率可以采用每使用患者年或每使用进行计算，申请人应当描述发生率计算方法。</w:t>
      </w:r>
    </w:p>
    <w:p>
      <w:pPr>
        <w:spacing w:line="520" w:lineRule="exact"/>
        <w:ind w:right="-67" w:rightChars="-32" w:firstLine="640" w:firstLineChars="200"/>
        <w:rPr>
          <w:rFonts w:eastAsia="楷体_GB2312"/>
          <w:color w:val="000000"/>
          <w:sz w:val="32"/>
          <w:szCs w:val="32"/>
        </w:rPr>
      </w:pPr>
      <w:r>
        <w:rPr>
          <w:rFonts w:eastAsia="楷体_GB2312"/>
          <w:color w:val="000000"/>
          <w:sz w:val="32"/>
          <w:szCs w:val="32"/>
        </w:rPr>
        <w:t>（三）非临床资料</w:t>
      </w:r>
    </w:p>
    <w:p>
      <w:pPr>
        <w:spacing w:line="520" w:lineRule="exact"/>
        <w:ind w:firstLine="640" w:firstLineChars="200"/>
        <w:rPr>
          <w:rFonts w:eastAsia="仿宋_GB2312"/>
          <w:color w:val="000000"/>
          <w:spacing w:val="-1"/>
          <w:sz w:val="32"/>
          <w:szCs w:val="32"/>
        </w:rPr>
      </w:pPr>
      <w:r>
        <w:rPr>
          <w:rFonts w:eastAsia="仿宋_GB2312"/>
          <w:color w:val="000000"/>
          <w:sz w:val="32"/>
          <w:szCs w:val="32"/>
        </w:rPr>
        <w:t>1.</w:t>
      </w:r>
      <w:r>
        <w:rPr>
          <w:rFonts w:eastAsia="仿宋_GB2312"/>
          <w:color w:val="000000"/>
          <w:spacing w:val="-1"/>
          <w:sz w:val="32"/>
          <w:szCs w:val="32"/>
        </w:rPr>
        <w:t>产品风险管理资料</w:t>
      </w:r>
    </w:p>
    <w:p>
      <w:pPr>
        <w:spacing w:line="520" w:lineRule="exact"/>
        <w:ind w:firstLine="640" w:firstLineChars="200"/>
        <w:rPr>
          <w:rFonts w:eastAsia="仿宋_GB2312"/>
          <w:b/>
          <w:bCs/>
          <w:color w:val="000000"/>
          <w:sz w:val="32"/>
          <w:szCs w:val="28"/>
        </w:rPr>
      </w:pPr>
      <w:r>
        <w:rPr>
          <w:rFonts w:eastAsia="仿宋_GB2312"/>
          <w:color w:val="000000"/>
          <w:sz w:val="32"/>
          <w:szCs w:val="28"/>
        </w:rPr>
        <w:t>针灸针的风险管理报告应符合YY/T 0316《医疗器械 风险管理对医疗器械的应用》的有关要求，审查要点包括：</w:t>
      </w:r>
    </w:p>
    <w:p>
      <w:pPr>
        <w:spacing w:line="520" w:lineRule="exact"/>
        <w:ind w:firstLine="640" w:firstLineChars="200"/>
        <w:rPr>
          <w:rFonts w:eastAsia="仿宋_GB2312"/>
          <w:sz w:val="32"/>
          <w:szCs w:val="32"/>
        </w:rPr>
      </w:pPr>
      <w:r>
        <w:rPr>
          <w:rFonts w:eastAsia="仿宋_GB2312"/>
          <w:color w:val="000000"/>
          <w:sz w:val="32"/>
          <w:szCs w:val="32"/>
        </w:rPr>
        <w:t>（1）</w:t>
      </w:r>
      <w:r>
        <w:rPr>
          <w:rFonts w:eastAsia="仿宋_GB2312"/>
          <w:sz w:val="32"/>
          <w:szCs w:val="32"/>
        </w:rPr>
        <w:t>是否确定了风险管理的范围、规定和人员职责分工。</w:t>
      </w:r>
    </w:p>
    <w:p>
      <w:pPr>
        <w:spacing w:line="520" w:lineRule="exact"/>
        <w:ind w:firstLine="640" w:firstLineChars="200"/>
        <w:rPr>
          <w:rFonts w:eastAsia="仿宋_GB2312"/>
          <w:sz w:val="32"/>
          <w:szCs w:val="32"/>
        </w:rPr>
      </w:pPr>
      <w:r>
        <w:rPr>
          <w:rFonts w:eastAsia="仿宋_GB2312"/>
          <w:color w:val="000000"/>
          <w:sz w:val="32"/>
          <w:szCs w:val="32"/>
        </w:rPr>
        <w:t>（2）</w:t>
      </w:r>
      <w:r>
        <w:rPr>
          <w:rFonts w:eastAsia="仿宋_GB2312"/>
          <w:sz w:val="32"/>
          <w:szCs w:val="32"/>
        </w:rPr>
        <w:t>产品风险定性定量分析是否准确。</w:t>
      </w:r>
    </w:p>
    <w:p>
      <w:pPr>
        <w:spacing w:line="520" w:lineRule="exact"/>
        <w:ind w:firstLine="640" w:firstLineChars="200"/>
        <w:rPr>
          <w:rFonts w:eastAsia="仿宋_GB2312"/>
          <w:sz w:val="32"/>
          <w:szCs w:val="32"/>
        </w:rPr>
      </w:pPr>
      <w:r>
        <w:rPr>
          <w:rFonts w:eastAsia="仿宋_GB2312"/>
          <w:color w:val="000000"/>
          <w:sz w:val="32"/>
          <w:szCs w:val="32"/>
        </w:rPr>
        <w:t>（3）</w:t>
      </w:r>
      <w:r>
        <w:rPr>
          <w:rFonts w:eastAsia="仿宋_GB2312"/>
          <w:sz w:val="32"/>
          <w:szCs w:val="32"/>
        </w:rPr>
        <w:t>危害分析是否全面。</w:t>
      </w:r>
    </w:p>
    <w:p>
      <w:pPr>
        <w:spacing w:line="520" w:lineRule="exact"/>
        <w:ind w:firstLine="640" w:firstLineChars="200"/>
        <w:rPr>
          <w:rFonts w:eastAsia="仿宋_GB2312"/>
          <w:sz w:val="32"/>
          <w:szCs w:val="32"/>
        </w:rPr>
      </w:pPr>
      <w:r>
        <w:rPr>
          <w:rFonts w:eastAsia="仿宋_GB2312"/>
          <w:color w:val="000000"/>
          <w:sz w:val="32"/>
          <w:szCs w:val="32"/>
        </w:rPr>
        <w:t>（4）</w:t>
      </w:r>
      <w:r>
        <w:rPr>
          <w:rFonts w:eastAsia="仿宋_GB2312"/>
          <w:sz w:val="32"/>
          <w:szCs w:val="32"/>
        </w:rPr>
        <w:t>风险可接受准则，降低风险的措施及采取措施后风险的可接受程度，是否有新的风险产生。</w:t>
      </w:r>
    </w:p>
    <w:p>
      <w:pPr>
        <w:spacing w:line="520" w:lineRule="exact"/>
        <w:ind w:firstLine="640" w:firstLineChars="200"/>
        <w:rPr>
          <w:rFonts w:eastAsia="仿宋_GB2312"/>
          <w:sz w:val="32"/>
          <w:szCs w:val="32"/>
        </w:rPr>
      </w:pPr>
      <w:r>
        <w:rPr>
          <w:rFonts w:eastAsia="仿宋_GB2312"/>
          <w:color w:val="000000"/>
          <w:sz w:val="32"/>
          <w:szCs w:val="32"/>
        </w:rPr>
        <w:t>（5）</w:t>
      </w:r>
      <w:r>
        <w:rPr>
          <w:rFonts w:eastAsia="仿宋_GB2312"/>
          <w:sz w:val="32"/>
          <w:szCs w:val="32"/>
        </w:rPr>
        <w:t>是否确定了风险反馈的规定及信息收集情况。</w:t>
      </w:r>
    </w:p>
    <w:p>
      <w:pPr>
        <w:spacing w:line="520" w:lineRule="exact"/>
        <w:ind w:firstLine="640" w:firstLineChars="200"/>
        <w:rPr>
          <w:rFonts w:eastAsia="仿宋_GB2312"/>
          <w:sz w:val="32"/>
          <w:szCs w:val="32"/>
        </w:rPr>
      </w:pPr>
      <w:r>
        <w:rPr>
          <w:rFonts w:eastAsia="仿宋_GB2312"/>
          <w:sz w:val="32"/>
          <w:szCs w:val="32"/>
        </w:rPr>
        <w:t>依据YY/T 0316附录E列举了该产品的主要危害（见表1），注册申请人还应结合产品自身特点确定其他危害。</w:t>
      </w:r>
    </w:p>
    <w:p>
      <w:pPr>
        <w:pStyle w:val="16"/>
        <w:spacing w:line="520" w:lineRule="exact"/>
        <w:ind w:firstLine="266" w:firstLineChars="95"/>
        <w:jc w:val="center"/>
        <w:rPr>
          <w:rStyle w:val="15"/>
          <w:rFonts w:eastAsia="黑体" w:cs="Times New Roman"/>
          <w:bCs/>
          <w:color w:val="auto"/>
          <w:sz w:val="28"/>
          <w:szCs w:val="28"/>
        </w:rPr>
      </w:pPr>
    </w:p>
    <w:p>
      <w:pPr>
        <w:pStyle w:val="16"/>
        <w:spacing w:line="520" w:lineRule="exact"/>
        <w:ind w:firstLine="266" w:firstLineChars="95"/>
        <w:jc w:val="center"/>
        <w:rPr>
          <w:rFonts w:eastAsia="黑体" w:cs="Times New Roman"/>
          <w:color w:val="auto"/>
          <w:sz w:val="32"/>
          <w:szCs w:val="32"/>
        </w:rPr>
      </w:pPr>
      <w:r>
        <w:rPr>
          <w:rStyle w:val="15"/>
          <w:rFonts w:eastAsia="黑体" w:cs="Times New Roman"/>
          <w:bCs/>
          <w:color w:val="auto"/>
          <w:sz w:val="28"/>
          <w:szCs w:val="28"/>
        </w:rPr>
        <w:t>表1针灸针的主要危害举例</w:t>
      </w:r>
    </w:p>
    <w:tbl>
      <w:tblPr>
        <w:tblStyle w:val="8"/>
        <w:tblW w:w="899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9"/>
        <w:gridCol w:w="1824"/>
        <w:gridCol w:w="3398"/>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03" w:type="dxa"/>
            <w:gridSpan w:val="2"/>
            <w:vAlign w:val="center"/>
          </w:tcPr>
          <w:p>
            <w:pPr>
              <w:spacing w:line="520" w:lineRule="exact"/>
              <w:ind w:firstLine="560" w:firstLineChars="200"/>
              <w:rPr>
                <w:rFonts w:eastAsia="仿宋_GB2312"/>
                <w:sz w:val="28"/>
                <w:szCs w:val="28"/>
              </w:rPr>
            </w:pPr>
            <w:r>
              <w:rPr>
                <w:rFonts w:hint="eastAsia" w:eastAsia="仿宋_GB2312"/>
                <w:sz w:val="28"/>
                <w:szCs w:val="28"/>
              </w:rPr>
              <w:t>危害类型</w:t>
            </w:r>
          </w:p>
        </w:tc>
        <w:tc>
          <w:tcPr>
            <w:tcW w:w="3398" w:type="dxa"/>
            <w:vAlign w:val="center"/>
          </w:tcPr>
          <w:p>
            <w:pPr>
              <w:spacing w:line="520" w:lineRule="exact"/>
              <w:ind w:firstLine="560" w:firstLineChars="200"/>
              <w:rPr>
                <w:rFonts w:eastAsia="仿宋_GB2312"/>
                <w:sz w:val="28"/>
                <w:szCs w:val="28"/>
              </w:rPr>
            </w:pPr>
            <w:r>
              <w:rPr>
                <w:rFonts w:hint="eastAsia" w:eastAsia="仿宋_GB2312"/>
                <w:sz w:val="28"/>
                <w:szCs w:val="28"/>
              </w:rPr>
              <w:t>可预见的事件序列</w:t>
            </w:r>
          </w:p>
        </w:tc>
        <w:tc>
          <w:tcPr>
            <w:tcW w:w="2693" w:type="dxa"/>
            <w:vAlign w:val="center"/>
          </w:tcPr>
          <w:p>
            <w:pPr>
              <w:spacing w:line="520" w:lineRule="exact"/>
              <w:jc w:val="center"/>
              <w:rPr>
                <w:rFonts w:eastAsia="仿宋_GB2312"/>
                <w:sz w:val="28"/>
                <w:szCs w:val="28"/>
              </w:rPr>
            </w:pPr>
            <w:r>
              <w:rPr>
                <w:rFonts w:hint="eastAsia" w:eastAsia="仿宋_GB2312"/>
                <w:sz w:val="28"/>
                <w:szCs w:val="28"/>
              </w:rPr>
              <w:t>可能产生的危害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9" w:type="dxa"/>
            <w:vMerge w:val="restart"/>
            <w:vAlign w:val="center"/>
          </w:tcPr>
          <w:p>
            <w:pPr>
              <w:spacing w:line="520" w:lineRule="exact"/>
              <w:rPr>
                <w:rFonts w:eastAsia="仿宋_GB2312"/>
                <w:sz w:val="28"/>
                <w:szCs w:val="28"/>
              </w:rPr>
            </w:pPr>
            <w:r>
              <w:rPr>
                <w:rFonts w:hint="eastAsia" w:eastAsia="仿宋_GB2312"/>
                <w:sz w:val="28"/>
                <w:szCs w:val="28"/>
              </w:rPr>
              <w:t>生物学危害和化学危害</w:t>
            </w:r>
          </w:p>
        </w:tc>
        <w:tc>
          <w:tcPr>
            <w:tcW w:w="1824" w:type="dxa"/>
            <w:vAlign w:val="center"/>
          </w:tcPr>
          <w:p>
            <w:pPr>
              <w:spacing w:line="520" w:lineRule="exact"/>
              <w:rPr>
                <w:rFonts w:eastAsia="仿宋_GB2312"/>
                <w:sz w:val="28"/>
                <w:szCs w:val="28"/>
              </w:rPr>
            </w:pPr>
            <w:r>
              <w:rPr>
                <w:rFonts w:hint="eastAsia" w:eastAsia="仿宋_GB2312"/>
                <w:sz w:val="28"/>
                <w:szCs w:val="28"/>
              </w:rPr>
              <w:t>生物污染</w:t>
            </w:r>
          </w:p>
        </w:tc>
        <w:tc>
          <w:tcPr>
            <w:tcW w:w="3398" w:type="dxa"/>
            <w:vAlign w:val="center"/>
          </w:tcPr>
          <w:p>
            <w:pPr>
              <w:spacing w:line="520" w:lineRule="exact"/>
              <w:rPr>
                <w:rFonts w:eastAsia="仿宋_GB2312"/>
                <w:sz w:val="28"/>
                <w:szCs w:val="28"/>
              </w:rPr>
            </w:pPr>
            <w:r>
              <w:rPr>
                <w:rFonts w:hint="eastAsia" w:eastAsia="仿宋_GB2312"/>
                <w:sz w:val="28"/>
                <w:szCs w:val="28"/>
              </w:rPr>
              <w:t>包装破损或使用时操作不规范造成生物污染；可重复使用的产品重复使用时清洁、灭菌不规范，导致交叉感染</w:t>
            </w:r>
          </w:p>
        </w:tc>
        <w:tc>
          <w:tcPr>
            <w:tcW w:w="2693" w:type="dxa"/>
            <w:vAlign w:val="center"/>
          </w:tcPr>
          <w:p>
            <w:pPr>
              <w:spacing w:line="520" w:lineRule="exact"/>
              <w:rPr>
                <w:rFonts w:eastAsia="仿宋_GB2312"/>
                <w:sz w:val="28"/>
                <w:szCs w:val="28"/>
              </w:rPr>
            </w:pPr>
            <w:r>
              <w:rPr>
                <w:rFonts w:hint="eastAsia" w:eastAsia="仿宋_GB2312"/>
                <w:sz w:val="28"/>
                <w:szCs w:val="28"/>
              </w:rPr>
              <w:t>产品携带致病菌，引起患者身体不适或感染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9" w:type="dxa"/>
            <w:vMerge w:val="continue"/>
            <w:vAlign w:val="center"/>
          </w:tcPr>
          <w:p>
            <w:pPr>
              <w:spacing w:line="520" w:lineRule="exact"/>
              <w:ind w:firstLine="560" w:firstLineChars="200"/>
              <w:rPr>
                <w:rFonts w:eastAsia="仿宋_GB2312"/>
                <w:sz w:val="28"/>
                <w:szCs w:val="28"/>
              </w:rPr>
            </w:pPr>
          </w:p>
        </w:tc>
        <w:tc>
          <w:tcPr>
            <w:tcW w:w="1824" w:type="dxa"/>
            <w:vAlign w:val="center"/>
          </w:tcPr>
          <w:p>
            <w:pPr>
              <w:spacing w:line="520" w:lineRule="exact"/>
              <w:rPr>
                <w:rFonts w:eastAsia="仿宋_GB2312"/>
                <w:sz w:val="28"/>
                <w:szCs w:val="28"/>
              </w:rPr>
            </w:pPr>
            <w:r>
              <w:rPr>
                <w:rFonts w:hint="eastAsia" w:eastAsia="仿宋_GB2312"/>
                <w:sz w:val="28"/>
                <w:szCs w:val="28"/>
              </w:rPr>
              <w:t>环境污染</w:t>
            </w:r>
          </w:p>
        </w:tc>
        <w:tc>
          <w:tcPr>
            <w:tcW w:w="3398" w:type="dxa"/>
            <w:vAlign w:val="center"/>
          </w:tcPr>
          <w:p>
            <w:pPr>
              <w:spacing w:line="520" w:lineRule="exact"/>
              <w:rPr>
                <w:rFonts w:eastAsia="仿宋_GB2312"/>
                <w:sz w:val="28"/>
                <w:szCs w:val="28"/>
              </w:rPr>
            </w:pPr>
            <w:r>
              <w:rPr>
                <w:rFonts w:hint="eastAsia" w:eastAsia="仿宋_GB2312"/>
                <w:sz w:val="28"/>
                <w:szCs w:val="28"/>
              </w:rPr>
              <w:t>生产环境污染产品，如外来的粉尘、微生物、其他杂质等</w:t>
            </w:r>
          </w:p>
        </w:tc>
        <w:tc>
          <w:tcPr>
            <w:tcW w:w="2693" w:type="dxa"/>
            <w:vAlign w:val="center"/>
          </w:tcPr>
          <w:p>
            <w:pPr>
              <w:spacing w:line="520" w:lineRule="exact"/>
              <w:rPr>
                <w:rFonts w:eastAsia="仿宋_GB2312"/>
                <w:sz w:val="28"/>
                <w:szCs w:val="28"/>
              </w:rPr>
            </w:pPr>
            <w:r>
              <w:rPr>
                <w:rFonts w:hint="eastAsia" w:eastAsia="仿宋_GB2312"/>
                <w:sz w:val="28"/>
                <w:szCs w:val="28"/>
              </w:rPr>
              <w:t>引起患者身体不适或感染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jc w:val="center"/>
        </w:trPr>
        <w:tc>
          <w:tcPr>
            <w:tcW w:w="1079" w:type="dxa"/>
            <w:vMerge w:val="continue"/>
            <w:vAlign w:val="center"/>
          </w:tcPr>
          <w:p>
            <w:pPr>
              <w:spacing w:line="520" w:lineRule="exact"/>
              <w:ind w:firstLine="560" w:firstLineChars="200"/>
              <w:rPr>
                <w:rFonts w:eastAsia="仿宋_GB2312"/>
                <w:sz w:val="28"/>
                <w:szCs w:val="28"/>
              </w:rPr>
            </w:pPr>
          </w:p>
        </w:tc>
        <w:tc>
          <w:tcPr>
            <w:tcW w:w="1824" w:type="dxa"/>
            <w:vAlign w:val="center"/>
          </w:tcPr>
          <w:p>
            <w:pPr>
              <w:spacing w:line="520" w:lineRule="exact"/>
              <w:rPr>
                <w:rFonts w:eastAsia="仿宋_GB2312"/>
                <w:sz w:val="28"/>
                <w:szCs w:val="28"/>
              </w:rPr>
            </w:pPr>
            <w:r>
              <w:rPr>
                <w:rFonts w:hint="eastAsia" w:eastAsia="仿宋_GB2312"/>
                <w:sz w:val="28"/>
                <w:szCs w:val="28"/>
              </w:rPr>
              <w:t>生物相容性</w:t>
            </w:r>
          </w:p>
        </w:tc>
        <w:tc>
          <w:tcPr>
            <w:tcW w:w="3398" w:type="dxa"/>
            <w:vAlign w:val="center"/>
          </w:tcPr>
          <w:p>
            <w:pPr>
              <w:spacing w:line="520" w:lineRule="exact"/>
              <w:rPr>
                <w:rFonts w:eastAsia="仿宋_GB2312"/>
                <w:sz w:val="28"/>
                <w:szCs w:val="28"/>
              </w:rPr>
            </w:pPr>
            <w:r>
              <w:rPr>
                <w:rFonts w:hint="eastAsia" w:eastAsia="仿宋_GB2312"/>
                <w:sz w:val="28"/>
                <w:szCs w:val="28"/>
              </w:rPr>
              <w:t>采用了不合格原辅材料；生产引入了外来物质</w:t>
            </w:r>
          </w:p>
        </w:tc>
        <w:tc>
          <w:tcPr>
            <w:tcW w:w="2693" w:type="dxa"/>
            <w:vAlign w:val="center"/>
          </w:tcPr>
          <w:p>
            <w:pPr>
              <w:spacing w:line="520" w:lineRule="exact"/>
              <w:rPr>
                <w:rFonts w:eastAsia="仿宋_GB2312"/>
                <w:sz w:val="28"/>
                <w:szCs w:val="28"/>
              </w:rPr>
            </w:pPr>
            <w:r>
              <w:rPr>
                <w:rFonts w:hint="eastAsia" w:eastAsia="仿宋_GB2312"/>
                <w:sz w:val="28"/>
                <w:szCs w:val="28"/>
              </w:rPr>
              <w:t>产生过敏、刺激或毒性，造成过敏、刺激或毒性反应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4" w:hRule="atLeast"/>
          <w:jc w:val="center"/>
        </w:trPr>
        <w:tc>
          <w:tcPr>
            <w:tcW w:w="1079" w:type="dxa"/>
            <w:vMerge w:val="continue"/>
            <w:vAlign w:val="center"/>
          </w:tcPr>
          <w:p>
            <w:pPr>
              <w:spacing w:line="520" w:lineRule="exact"/>
              <w:ind w:firstLine="560" w:firstLineChars="200"/>
              <w:rPr>
                <w:rFonts w:eastAsia="仿宋_GB2312"/>
                <w:sz w:val="28"/>
                <w:szCs w:val="28"/>
              </w:rPr>
            </w:pPr>
          </w:p>
        </w:tc>
        <w:tc>
          <w:tcPr>
            <w:tcW w:w="1824" w:type="dxa"/>
            <w:vAlign w:val="center"/>
          </w:tcPr>
          <w:p>
            <w:pPr>
              <w:spacing w:line="520" w:lineRule="exact"/>
              <w:rPr>
                <w:rFonts w:eastAsia="仿宋_GB2312"/>
                <w:sz w:val="28"/>
                <w:szCs w:val="28"/>
              </w:rPr>
            </w:pPr>
            <w:r>
              <w:rPr>
                <w:rFonts w:hint="eastAsia" w:eastAsia="仿宋_GB2312"/>
                <w:sz w:val="28"/>
                <w:szCs w:val="28"/>
              </w:rPr>
              <w:t>化学危害</w:t>
            </w:r>
          </w:p>
        </w:tc>
        <w:tc>
          <w:tcPr>
            <w:tcW w:w="3398" w:type="dxa"/>
            <w:vAlign w:val="center"/>
          </w:tcPr>
          <w:p>
            <w:pPr>
              <w:spacing w:line="520" w:lineRule="exact"/>
              <w:rPr>
                <w:rFonts w:eastAsia="仿宋_GB2312"/>
                <w:sz w:val="28"/>
                <w:szCs w:val="28"/>
              </w:rPr>
            </w:pPr>
            <w:r>
              <w:rPr>
                <w:rFonts w:hint="eastAsia" w:eastAsia="仿宋_GB2312"/>
                <w:sz w:val="28"/>
                <w:szCs w:val="28"/>
              </w:rPr>
              <w:t>生产工艺控制不严；不合格原辅材料（化学成分）；</w:t>
            </w:r>
          </w:p>
          <w:p>
            <w:pPr>
              <w:spacing w:line="520" w:lineRule="exact"/>
              <w:ind w:firstLine="560" w:firstLineChars="200"/>
              <w:rPr>
                <w:rFonts w:eastAsia="仿宋_GB2312"/>
                <w:sz w:val="28"/>
                <w:szCs w:val="28"/>
              </w:rPr>
            </w:pPr>
            <w:r>
              <w:rPr>
                <w:rFonts w:hint="eastAsia" w:eastAsia="仿宋_GB2312"/>
                <w:sz w:val="28"/>
                <w:szCs w:val="28"/>
              </w:rPr>
              <w:t xml:space="preserve">原辅材料腐蚀 </w:t>
            </w:r>
          </w:p>
        </w:tc>
        <w:tc>
          <w:tcPr>
            <w:tcW w:w="2693" w:type="dxa"/>
            <w:vAlign w:val="center"/>
          </w:tcPr>
          <w:p>
            <w:pPr>
              <w:spacing w:line="520" w:lineRule="exact"/>
              <w:rPr>
                <w:rFonts w:eastAsia="仿宋_GB2312"/>
                <w:sz w:val="28"/>
                <w:szCs w:val="28"/>
              </w:rPr>
            </w:pPr>
            <w:r>
              <w:rPr>
                <w:rFonts w:hint="eastAsia" w:eastAsia="仿宋_GB2312"/>
                <w:sz w:val="28"/>
                <w:szCs w:val="28"/>
              </w:rPr>
              <w:t>产生刺激或毒性，造成过敏或毒性反应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9" w:type="dxa"/>
            <w:vMerge w:val="restart"/>
            <w:vAlign w:val="center"/>
          </w:tcPr>
          <w:p>
            <w:pPr>
              <w:spacing w:line="520" w:lineRule="exact"/>
              <w:rPr>
                <w:rFonts w:eastAsia="仿宋_GB2312"/>
                <w:sz w:val="28"/>
                <w:szCs w:val="28"/>
              </w:rPr>
            </w:pPr>
            <w:r>
              <w:rPr>
                <w:rFonts w:hint="eastAsia" w:eastAsia="仿宋_GB2312"/>
                <w:sz w:val="28"/>
                <w:szCs w:val="28"/>
              </w:rPr>
              <w:t>操作危害</w:t>
            </w:r>
          </w:p>
        </w:tc>
        <w:tc>
          <w:tcPr>
            <w:tcW w:w="1824" w:type="dxa"/>
            <w:vAlign w:val="center"/>
          </w:tcPr>
          <w:p>
            <w:pPr>
              <w:spacing w:line="520" w:lineRule="exact"/>
              <w:rPr>
                <w:rFonts w:eastAsia="仿宋_GB2312"/>
                <w:sz w:val="28"/>
                <w:szCs w:val="28"/>
              </w:rPr>
            </w:pPr>
            <w:r>
              <w:rPr>
                <w:rFonts w:hint="eastAsia" w:eastAsia="仿宋_GB2312"/>
                <w:sz w:val="28"/>
                <w:szCs w:val="28"/>
              </w:rPr>
              <w:t>由不熟练/未经培训的人员使用</w:t>
            </w:r>
          </w:p>
        </w:tc>
        <w:tc>
          <w:tcPr>
            <w:tcW w:w="3398" w:type="dxa"/>
            <w:vAlign w:val="center"/>
          </w:tcPr>
          <w:p>
            <w:pPr>
              <w:spacing w:line="520" w:lineRule="exact"/>
              <w:rPr>
                <w:rFonts w:eastAsia="仿宋_GB2312"/>
                <w:sz w:val="28"/>
                <w:szCs w:val="28"/>
              </w:rPr>
            </w:pPr>
            <w:r>
              <w:rPr>
                <w:rFonts w:hint="eastAsia" w:eastAsia="仿宋_GB2312"/>
                <w:sz w:val="28"/>
                <w:szCs w:val="28"/>
              </w:rPr>
              <w:t>操作不熟练、操作失误</w:t>
            </w:r>
          </w:p>
        </w:tc>
        <w:tc>
          <w:tcPr>
            <w:tcW w:w="2693" w:type="dxa"/>
          </w:tcPr>
          <w:p>
            <w:pPr>
              <w:spacing w:line="520" w:lineRule="exact"/>
              <w:rPr>
                <w:rFonts w:eastAsia="仿宋_GB2312"/>
                <w:sz w:val="28"/>
                <w:szCs w:val="28"/>
              </w:rPr>
            </w:pPr>
            <w:r>
              <w:rPr>
                <w:rFonts w:hint="eastAsia" w:eastAsia="仿宋_GB2312"/>
                <w:sz w:val="28"/>
                <w:szCs w:val="28"/>
              </w:rPr>
              <w:t>无法保证使用安全性；无法达到满意的针灸效果；造成作用部位损伤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jc w:val="center"/>
        </w:trPr>
        <w:tc>
          <w:tcPr>
            <w:tcW w:w="1079" w:type="dxa"/>
            <w:vMerge w:val="continue"/>
            <w:vAlign w:val="center"/>
          </w:tcPr>
          <w:p>
            <w:pPr>
              <w:spacing w:line="520" w:lineRule="exact"/>
              <w:ind w:firstLine="560" w:firstLineChars="200"/>
              <w:rPr>
                <w:rFonts w:eastAsia="仿宋_GB2312"/>
                <w:sz w:val="28"/>
                <w:szCs w:val="28"/>
              </w:rPr>
            </w:pPr>
          </w:p>
        </w:tc>
        <w:tc>
          <w:tcPr>
            <w:tcW w:w="1824" w:type="dxa"/>
            <w:vAlign w:val="center"/>
          </w:tcPr>
          <w:p>
            <w:pPr>
              <w:spacing w:line="520" w:lineRule="exact"/>
              <w:rPr>
                <w:rFonts w:eastAsia="仿宋_GB2312"/>
                <w:sz w:val="28"/>
                <w:szCs w:val="28"/>
              </w:rPr>
            </w:pPr>
            <w:r>
              <w:rPr>
                <w:rFonts w:hint="eastAsia" w:eastAsia="仿宋_GB2312"/>
                <w:sz w:val="28"/>
                <w:szCs w:val="28"/>
              </w:rPr>
              <w:t>使用产品时未按照说明书中操作方法操作</w:t>
            </w:r>
          </w:p>
        </w:tc>
        <w:tc>
          <w:tcPr>
            <w:tcW w:w="3398" w:type="dxa"/>
            <w:vAlign w:val="center"/>
          </w:tcPr>
          <w:p>
            <w:pPr>
              <w:spacing w:line="520" w:lineRule="exact"/>
              <w:rPr>
                <w:rFonts w:eastAsia="仿宋_GB2312"/>
                <w:sz w:val="28"/>
                <w:szCs w:val="28"/>
              </w:rPr>
            </w:pPr>
            <w:r>
              <w:rPr>
                <w:rFonts w:hint="eastAsia" w:eastAsia="仿宋_GB2312"/>
                <w:sz w:val="28"/>
                <w:szCs w:val="28"/>
              </w:rPr>
              <w:t>错误操作；未采取相应的保护措施</w:t>
            </w:r>
          </w:p>
        </w:tc>
        <w:tc>
          <w:tcPr>
            <w:tcW w:w="2693" w:type="dxa"/>
          </w:tcPr>
          <w:p>
            <w:pPr>
              <w:spacing w:line="520" w:lineRule="exact"/>
              <w:rPr>
                <w:rFonts w:eastAsia="仿宋_GB2312"/>
                <w:sz w:val="28"/>
                <w:szCs w:val="28"/>
              </w:rPr>
            </w:pPr>
            <w:r>
              <w:rPr>
                <w:rFonts w:hint="eastAsia" w:eastAsia="仿宋_GB2312"/>
                <w:sz w:val="28"/>
                <w:szCs w:val="28"/>
              </w:rPr>
              <w:t>无法达到满意的针灸效果；患者红肿疼痛以及扎针处出血/发红/瘀斑/感染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5" w:hRule="atLeast"/>
          <w:jc w:val="center"/>
        </w:trPr>
        <w:tc>
          <w:tcPr>
            <w:tcW w:w="1079" w:type="dxa"/>
            <w:vMerge w:val="continue"/>
            <w:vAlign w:val="center"/>
          </w:tcPr>
          <w:p>
            <w:pPr>
              <w:spacing w:line="520" w:lineRule="exact"/>
              <w:ind w:firstLine="560" w:firstLineChars="200"/>
              <w:rPr>
                <w:rFonts w:eastAsia="仿宋_GB2312"/>
                <w:sz w:val="28"/>
                <w:szCs w:val="28"/>
              </w:rPr>
            </w:pPr>
          </w:p>
        </w:tc>
        <w:tc>
          <w:tcPr>
            <w:tcW w:w="1824" w:type="dxa"/>
            <w:vAlign w:val="center"/>
          </w:tcPr>
          <w:p>
            <w:pPr>
              <w:spacing w:line="520" w:lineRule="exact"/>
              <w:rPr>
                <w:rFonts w:eastAsia="仿宋_GB2312"/>
                <w:sz w:val="28"/>
                <w:szCs w:val="28"/>
              </w:rPr>
            </w:pPr>
            <w:r>
              <w:rPr>
                <w:rFonts w:hint="eastAsia" w:eastAsia="仿宋_GB2312"/>
                <w:sz w:val="28"/>
                <w:szCs w:val="28"/>
              </w:rPr>
              <w:t>忽视说明书中禁忌证、警示信息等内容</w:t>
            </w:r>
          </w:p>
        </w:tc>
        <w:tc>
          <w:tcPr>
            <w:tcW w:w="3398" w:type="dxa"/>
            <w:vAlign w:val="center"/>
          </w:tcPr>
          <w:p>
            <w:pPr>
              <w:spacing w:line="520" w:lineRule="exact"/>
              <w:rPr>
                <w:rFonts w:eastAsia="仿宋_GB2312"/>
                <w:sz w:val="28"/>
                <w:szCs w:val="28"/>
              </w:rPr>
            </w:pPr>
            <w:r>
              <w:rPr>
                <w:rFonts w:hint="eastAsia" w:eastAsia="仿宋_GB2312"/>
                <w:sz w:val="28"/>
                <w:szCs w:val="28"/>
              </w:rPr>
              <w:t>患者在使用过程中接触到过敏源，如镍等金属元素、润滑剂、皮肤消毒剂（如酒精）</w:t>
            </w:r>
          </w:p>
        </w:tc>
        <w:tc>
          <w:tcPr>
            <w:tcW w:w="2693" w:type="dxa"/>
            <w:vAlign w:val="center"/>
          </w:tcPr>
          <w:p>
            <w:pPr>
              <w:spacing w:line="520" w:lineRule="exact"/>
              <w:rPr>
                <w:rFonts w:eastAsia="仿宋_GB2312"/>
                <w:sz w:val="28"/>
                <w:szCs w:val="28"/>
              </w:rPr>
            </w:pPr>
            <w:r>
              <w:rPr>
                <w:rFonts w:hint="eastAsia" w:eastAsia="仿宋_GB2312"/>
                <w:sz w:val="28"/>
                <w:szCs w:val="28"/>
              </w:rPr>
              <w:t>造成患者过敏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9" w:type="dxa"/>
            <w:vMerge w:val="restart"/>
            <w:vAlign w:val="center"/>
          </w:tcPr>
          <w:p>
            <w:pPr>
              <w:spacing w:line="520" w:lineRule="exact"/>
              <w:rPr>
                <w:rFonts w:eastAsia="仿宋_GB2312"/>
                <w:sz w:val="28"/>
                <w:szCs w:val="28"/>
              </w:rPr>
            </w:pPr>
            <w:r>
              <w:rPr>
                <w:rFonts w:hint="eastAsia" w:eastAsia="仿宋_GB2312"/>
                <w:sz w:val="28"/>
                <w:szCs w:val="28"/>
              </w:rPr>
              <w:t>信息</w:t>
            </w:r>
          </w:p>
          <w:p>
            <w:pPr>
              <w:spacing w:line="520" w:lineRule="exact"/>
              <w:rPr>
                <w:rFonts w:eastAsia="仿宋_GB2312"/>
                <w:sz w:val="28"/>
                <w:szCs w:val="28"/>
              </w:rPr>
            </w:pPr>
            <w:bookmarkStart w:id="6" w:name="_GoBack"/>
            <w:bookmarkEnd w:id="6"/>
            <w:r>
              <w:rPr>
                <w:rFonts w:hint="eastAsia" w:eastAsia="仿宋_GB2312"/>
                <w:sz w:val="28"/>
                <w:szCs w:val="28"/>
              </w:rPr>
              <w:t>危害</w:t>
            </w:r>
          </w:p>
          <w:p>
            <w:pPr>
              <w:spacing w:line="520" w:lineRule="exact"/>
              <w:ind w:firstLine="560" w:firstLineChars="200"/>
              <w:rPr>
                <w:rFonts w:eastAsia="仿宋_GB2312"/>
                <w:sz w:val="28"/>
                <w:szCs w:val="28"/>
              </w:rPr>
            </w:pPr>
          </w:p>
        </w:tc>
        <w:tc>
          <w:tcPr>
            <w:tcW w:w="1824" w:type="dxa"/>
            <w:vAlign w:val="center"/>
          </w:tcPr>
          <w:p>
            <w:pPr>
              <w:spacing w:line="520" w:lineRule="exact"/>
              <w:rPr>
                <w:rFonts w:eastAsia="仿宋_GB2312"/>
                <w:sz w:val="28"/>
                <w:szCs w:val="28"/>
              </w:rPr>
            </w:pPr>
            <w:r>
              <w:rPr>
                <w:rFonts w:hint="eastAsia" w:eastAsia="仿宋_GB2312"/>
                <w:sz w:val="28"/>
                <w:szCs w:val="28"/>
              </w:rPr>
              <w:t>不正确的标签</w:t>
            </w:r>
          </w:p>
        </w:tc>
        <w:tc>
          <w:tcPr>
            <w:tcW w:w="3398" w:type="dxa"/>
            <w:vAlign w:val="center"/>
          </w:tcPr>
          <w:p>
            <w:pPr>
              <w:spacing w:line="520" w:lineRule="exact"/>
              <w:rPr>
                <w:rFonts w:eastAsia="仿宋_GB2312"/>
                <w:sz w:val="28"/>
                <w:szCs w:val="28"/>
              </w:rPr>
            </w:pPr>
            <w:r>
              <w:rPr>
                <w:rFonts w:hint="eastAsia" w:eastAsia="仿宋_GB2312"/>
                <w:sz w:val="28"/>
                <w:szCs w:val="28"/>
              </w:rPr>
              <w:t>外部标记不全面、标记不正确或不清楚、不易认导致使用错误、储存错误、产品辨别错误、误用过期产品。</w:t>
            </w:r>
          </w:p>
        </w:tc>
        <w:tc>
          <w:tcPr>
            <w:tcW w:w="2693" w:type="dxa"/>
            <w:vAlign w:val="center"/>
          </w:tcPr>
          <w:p>
            <w:pPr>
              <w:spacing w:line="520" w:lineRule="exact"/>
              <w:rPr>
                <w:rFonts w:eastAsia="仿宋_GB2312"/>
                <w:sz w:val="28"/>
                <w:szCs w:val="28"/>
              </w:rPr>
            </w:pPr>
            <w:r>
              <w:rPr>
                <w:rFonts w:hint="eastAsia" w:eastAsia="仿宋_GB2312"/>
                <w:sz w:val="28"/>
                <w:szCs w:val="28"/>
              </w:rPr>
              <w:t>无法保证使用安全性；操作失误，无法达到满意的针灸效果 ；造成患者感染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9" w:type="dxa"/>
            <w:vMerge w:val="continue"/>
            <w:vAlign w:val="center"/>
          </w:tcPr>
          <w:p>
            <w:pPr>
              <w:spacing w:line="520" w:lineRule="exact"/>
              <w:ind w:firstLine="560" w:firstLineChars="200"/>
              <w:rPr>
                <w:rFonts w:eastAsia="仿宋_GB2312"/>
                <w:sz w:val="28"/>
                <w:szCs w:val="28"/>
              </w:rPr>
            </w:pPr>
          </w:p>
        </w:tc>
        <w:tc>
          <w:tcPr>
            <w:tcW w:w="1824" w:type="dxa"/>
            <w:vAlign w:val="center"/>
          </w:tcPr>
          <w:p>
            <w:pPr>
              <w:spacing w:line="520" w:lineRule="exact"/>
              <w:rPr>
                <w:rFonts w:eastAsia="仿宋_GB2312"/>
                <w:sz w:val="28"/>
                <w:szCs w:val="28"/>
              </w:rPr>
            </w:pPr>
            <w:r>
              <w:rPr>
                <w:rFonts w:hint="eastAsia" w:eastAsia="仿宋_GB2312"/>
                <w:sz w:val="28"/>
                <w:szCs w:val="28"/>
              </w:rPr>
              <w:t xml:space="preserve">不正确的说明书；说明书上的注意事项、禁忌证不全 </w:t>
            </w:r>
          </w:p>
        </w:tc>
        <w:tc>
          <w:tcPr>
            <w:tcW w:w="3398" w:type="dxa"/>
            <w:vAlign w:val="center"/>
          </w:tcPr>
          <w:p>
            <w:pPr>
              <w:spacing w:line="520" w:lineRule="exact"/>
              <w:rPr>
                <w:rFonts w:eastAsia="仿宋_GB2312"/>
                <w:sz w:val="28"/>
                <w:szCs w:val="28"/>
              </w:rPr>
            </w:pPr>
            <w:r>
              <w:rPr>
                <w:rFonts w:hint="eastAsia" w:eastAsia="仿宋_GB2312"/>
                <w:sz w:val="28"/>
                <w:szCs w:val="28"/>
              </w:rPr>
              <w:t>缺少详细的使用方法、必要的警告说明；未正确区分一次性使用产品和可重复使用产品</w:t>
            </w:r>
          </w:p>
        </w:tc>
        <w:tc>
          <w:tcPr>
            <w:tcW w:w="2693" w:type="dxa"/>
            <w:vAlign w:val="center"/>
          </w:tcPr>
          <w:p>
            <w:pPr>
              <w:spacing w:line="520" w:lineRule="exact"/>
              <w:rPr>
                <w:rFonts w:eastAsia="仿宋_GB2312"/>
                <w:sz w:val="28"/>
                <w:szCs w:val="28"/>
              </w:rPr>
            </w:pPr>
            <w:r>
              <w:rPr>
                <w:rFonts w:hint="eastAsia" w:eastAsia="仿宋_GB2312"/>
                <w:sz w:val="28"/>
                <w:szCs w:val="28"/>
              </w:rPr>
              <w:t>造成作用部位损伤；造成患者感染，无法保证使用安全性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9" w:type="dxa"/>
            <w:vMerge w:val="continue"/>
            <w:vAlign w:val="center"/>
          </w:tcPr>
          <w:p>
            <w:pPr>
              <w:spacing w:line="520" w:lineRule="exact"/>
              <w:ind w:firstLine="560" w:firstLineChars="200"/>
              <w:rPr>
                <w:rFonts w:eastAsia="仿宋_GB2312"/>
                <w:sz w:val="28"/>
                <w:szCs w:val="28"/>
              </w:rPr>
            </w:pPr>
          </w:p>
        </w:tc>
        <w:tc>
          <w:tcPr>
            <w:tcW w:w="1824" w:type="dxa"/>
            <w:vAlign w:val="center"/>
          </w:tcPr>
          <w:p>
            <w:pPr>
              <w:spacing w:line="520" w:lineRule="exact"/>
              <w:rPr>
                <w:rFonts w:eastAsia="仿宋_GB2312"/>
                <w:sz w:val="28"/>
                <w:szCs w:val="28"/>
              </w:rPr>
            </w:pPr>
            <w:r>
              <w:rPr>
                <w:rFonts w:hint="eastAsia" w:eastAsia="仿宋_GB2312"/>
                <w:sz w:val="28"/>
                <w:szCs w:val="28"/>
              </w:rPr>
              <w:t>对医疗器械寿命终止缺少适当的决定</w:t>
            </w:r>
          </w:p>
        </w:tc>
        <w:tc>
          <w:tcPr>
            <w:tcW w:w="3398" w:type="dxa"/>
            <w:vAlign w:val="center"/>
          </w:tcPr>
          <w:p>
            <w:pPr>
              <w:spacing w:line="520" w:lineRule="exact"/>
              <w:rPr>
                <w:rFonts w:eastAsia="仿宋_GB2312"/>
                <w:sz w:val="28"/>
                <w:szCs w:val="28"/>
              </w:rPr>
            </w:pPr>
            <w:r>
              <w:rPr>
                <w:rFonts w:hint="eastAsia" w:eastAsia="仿宋_GB2312"/>
                <w:sz w:val="28"/>
                <w:szCs w:val="28"/>
              </w:rPr>
              <w:t xml:space="preserve">没有标识产品有效期或重复使用次数（如适用） </w:t>
            </w:r>
          </w:p>
        </w:tc>
        <w:tc>
          <w:tcPr>
            <w:tcW w:w="2693" w:type="dxa"/>
            <w:vAlign w:val="center"/>
          </w:tcPr>
          <w:p>
            <w:pPr>
              <w:spacing w:line="520" w:lineRule="exact"/>
              <w:rPr>
                <w:rFonts w:eastAsia="仿宋_GB2312"/>
                <w:sz w:val="28"/>
                <w:szCs w:val="28"/>
              </w:rPr>
            </w:pPr>
            <w:r>
              <w:rPr>
                <w:rFonts w:hint="eastAsia" w:eastAsia="仿宋_GB2312"/>
                <w:sz w:val="28"/>
                <w:szCs w:val="28"/>
              </w:rPr>
              <w:t>超出有效期的产品或超出最大重复使用次数的产品被使用，或因材料老化产生而导致产品性能不符合要求，无法保证使用安全性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9" w:type="dxa"/>
            <w:vMerge w:val="continue"/>
            <w:vAlign w:val="center"/>
          </w:tcPr>
          <w:p>
            <w:pPr>
              <w:spacing w:line="520" w:lineRule="exact"/>
              <w:ind w:firstLine="560" w:firstLineChars="200"/>
              <w:rPr>
                <w:rFonts w:eastAsia="仿宋_GB2312"/>
                <w:sz w:val="28"/>
                <w:szCs w:val="28"/>
              </w:rPr>
            </w:pPr>
          </w:p>
        </w:tc>
        <w:tc>
          <w:tcPr>
            <w:tcW w:w="1824" w:type="dxa"/>
            <w:vAlign w:val="center"/>
          </w:tcPr>
          <w:p>
            <w:pPr>
              <w:spacing w:line="520" w:lineRule="exact"/>
              <w:rPr>
                <w:rFonts w:eastAsia="仿宋_GB2312"/>
                <w:sz w:val="28"/>
                <w:szCs w:val="28"/>
              </w:rPr>
            </w:pPr>
            <w:r>
              <w:rPr>
                <w:rFonts w:hint="eastAsia" w:eastAsia="仿宋_GB2312"/>
                <w:sz w:val="28"/>
                <w:szCs w:val="28"/>
              </w:rPr>
              <w:t>不适当的产品包装（产品污染和／或变性）</w:t>
            </w:r>
          </w:p>
        </w:tc>
        <w:tc>
          <w:tcPr>
            <w:tcW w:w="3398" w:type="dxa"/>
            <w:vAlign w:val="center"/>
          </w:tcPr>
          <w:p>
            <w:pPr>
              <w:spacing w:line="520" w:lineRule="exact"/>
              <w:rPr>
                <w:rFonts w:eastAsia="仿宋_GB2312"/>
                <w:sz w:val="28"/>
                <w:szCs w:val="28"/>
              </w:rPr>
            </w:pPr>
            <w:r>
              <w:rPr>
                <w:rFonts w:hint="eastAsia" w:eastAsia="仿宋_GB2312"/>
                <w:sz w:val="28"/>
                <w:szCs w:val="28"/>
              </w:rPr>
              <w:t>生产、运输、搬运和储存过程中导致包装破损；包装封口不严密；包装材料选择不适当；使用前未检查产品包装状态</w:t>
            </w:r>
          </w:p>
        </w:tc>
        <w:tc>
          <w:tcPr>
            <w:tcW w:w="2693" w:type="dxa"/>
            <w:vAlign w:val="center"/>
          </w:tcPr>
          <w:p>
            <w:pPr>
              <w:spacing w:line="520" w:lineRule="exact"/>
              <w:rPr>
                <w:rFonts w:eastAsia="仿宋_GB2312"/>
                <w:sz w:val="28"/>
                <w:szCs w:val="28"/>
              </w:rPr>
            </w:pPr>
            <w:r>
              <w:rPr>
                <w:rFonts w:hint="eastAsia" w:eastAsia="仿宋_GB2312"/>
                <w:sz w:val="28"/>
                <w:szCs w:val="28"/>
              </w:rPr>
              <w:t>产品使用性能无法得到保证；对接触的部位造成刺激、过敏、感染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9" w:type="dxa"/>
            <w:vMerge w:val="continue"/>
            <w:vAlign w:val="center"/>
          </w:tcPr>
          <w:p>
            <w:pPr>
              <w:spacing w:line="520" w:lineRule="exact"/>
              <w:ind w:firstLine="560" w:firstLineChars="200"/>
              <w:rPr>
                <w:rFonts w:eastAsia="仿宋_GB2312"/>
                <w:sz w:val="28"/>
                <w:szCs w:val="28"/>
              </w:rPr>
            </w:pPr>
          </w:p>
        </w:tc>
        <w:tc>
          <w:tcPr>
            <w:tcW w:w="1824" w:type="dxa"/>
            <w:vAlign w:val="center"/>
          </w:tcPr>
          <w:p>
            <w:pPr>
              <w:spacing w:line="520" w:lineRule="exact"/>
              <w:rPr>
                <w:rFonts w:eastAsia="仿宋_GB2312"/>
                <w:sz w:val="28"/>
                <w:szCs w:val="28"/>
              </w:rPr>
            </w:pPr>
            <w:r>
              <w:rPr>
                <w:rFonts w:hint="eastAsia" w:eastAsia="仿宋_GB2312"/>
                <w:sz w:val="28"/>
                <w:szCs w:val="28"/>
              </w:rPr>
              <w:t>未说明适当、规范的清洁、灭菌方法</w:t>
            </w:r>
          </w:p>
        </w:tc>
        <w:tc>
          <w:tcPr>
            <w:tcW w:w="3398" w:type="dxa"/>
            <w:vAlign w:val="center"/>
          </w:tcPr>
          <w:p>
            <w:pPr>
              <w:spacing w:line="520" w:lineRule="exact"/>
              <w:rPr>
                <w:rFonts w:eastAsia="仿宋_GB2312"/>
                <w:sz w:val="28"/>
                <w:szCs w:val="28"/>
              </w:rPr>
            </w:pPr>
            <w:r>
              <w:rPr>
                <w:rFonts w:hint="eastAsia" w:eastAsia="仿宋_GB2312"/>
                <w:sz w:val="28"/>
                <w:szCs w:val="28"/>
              </w:rPr>
              <w:t>不适当、不规范的重复使用</w:t>
            </w:r>
          </w:p>
        </w:tc>
        <w:tc>
          <w:tcPr>
            <w:tcW w:w="2693" w:type="dxa"/>
            <w:vAlign w:val="center"/>
          </w:tcPr>
          <w:p>
            <w:pPr>
              <w:spacing w:line="520" w:lineRule="exact"/>
              <w:rPr>
                <w:rFonts w:eastAsia="仿宋_GB2312"/>
                <w:sz w:val="28"/>
                <w:szCs w:val="28"/>
              </w:rPr>
            </w:pPr>
            <w:r>
              <w:rPr>
                <w:rFonts w:hint="eastAsia" w:eastAsia="仿宋_GB2312"/>
                <w:sz w:val="28"/>
                <w:szCs w:val="28"/>
              </w:rPr>
              <w:t>出现患者感染、患者者交叉感染等现象</w:t>
            </w:r>
          </w:p>
        </w:tc>
      </w:tr>
    </w:tbl>
    <w:p>
      <w:pPr>
        <w:spacing w:line="520" w:lineRule="exact"/>
        <w:ind w:firstLine="640" w:firstLineChars="200"/>
        <w:rPr>
          <w:rStyle w:val="15"/>
          <w:rFonts w:eastAsia="仿宋_GB2312"/>
          <w:bCs/>
          <w:sz w:val="32"/>
          <w:szCs w:val="32"/>
        </w:rPr>
      </w:pPr>
    </w:p>
    <w:p>
      <w:pPr>
        <w:spacing w:line="520" w:lineRule="exact"/>
        <w:ind w:firstLine="640" w:firstLineChars="200"/>
        <w:rPr>
          <w:rFonts w:eastAsia="仿宋_GB2312"/>
          <w:sz w:val="32"/>
          <w:szCs w:val="32"/>
        </w:rPr>
      </w:pPr>
      <w:r>
        <w:rPr>
          <w:rStyle w:val="15"/>
          <w:rFonts w:eastAsia="仿宋_GB2312"/>
          <w:bCs/>
          <w:sz w:val="32"/>
          <w:szCs w:val="32"/>
        </w:rPr>
        <w:t>申请人还应根据自身产品特点确定其他危害，可通过产品设计控制、产品原材料选择、产品技术性能指标的制定、正确的标签标识、生产和检验控制、产品说明书等多项措施以降低风险至可接受水平。</w:t>
      </w:r>
    </w:p>
    <w:p>
      <w:pPr>
        <w:spacing w:line="520" w:lineRule="exact"/>
        <w:ind w:right="-67" w:rightChars="-32" w:firstLine="640" w:firstLineChars="200"/>
        <w:rPr>
          <w:rFonts w:eastAsia="仿宋_GB2312"/>
          <w:color w:val="000000"/>
          <w:spacing w:val="-1"/>
          <w:sz w:val="32"/>
          <w:szCs w:val="32"/>
        </w:rPr>
      </w:pPr>
      <w:r>
        <w:rPr>
          <w:rFonts w:eastAsia="仿宋_GB2312"/>
          <w:color w:val="000000"/>
          <w:sz w:val="32"/>
          <w:szCs w:val="32"/>
        </w:rPr>
        <w:t>2.</w:t>
      </w:r>
      <w:r>
        <w:rPr>
          <w:rFonts w:eastAsia="仿宋_GB2312"/>
          <w:color w:val="000000"/>
          <w:spacing w:val="-1"/>
          <w:sz w:val="32"/>
          <w:szCs w:val="32"/>
        </w:rPr>
        <w:t>产品技术要求及检验报告</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2.1产品适用标准情况</w:t>
      </w:r>
    </w:p>
    <w:p>
      <w:pPr>
        <w:spacing w:line="520" w:lineRule="exact"/>
        <w:ind w:firstLine="640" w:firstLineChars="200"/>
        <w:rPr>
          <w:rFonts w:eastAsia="仿宋_GB2312"/>
          <w:color w:val="000000"/>
          <w:sz w:val="32"/>
          <w:szCs w:val="32"/>
        </w:rPr>
      </w:pPr>
      <w:r>
        <w:rPr>
          <w:rFonts w:eastAsia="仿宋_GB2312"/>
          <w:color w:val="000000"/>
          <w:sz w:val="32"/>
          <w:szCs w:val="32"/>
        </w:rPr>
        <w:t>针灸针应符合GB 2024要求，若申报产品结构特征、适用范围、使用方式等与GB 2024的适用范围不一致，申请人应当提出不适用强制性标准的说明，并提供经验证的证明性资料。</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2.2 产品技术要求</w:t>
      </w:r>
    </w:p>
    <w:p>
      <w:pPr>
        <w:spacing w:line="520" w:lineRule="exact"/>
        <w:ind w:firstLine="640" w:firstLineChars="200"/>
        <w:rPr>
          <w:rFonts w:eastAsia="仿宋_GB2312"/>
          <w:color w:val="000000"/>
          <w:sz w:val="32"/>
          <w:szCs w:val="28"/>
        </w:rPr>
      </w:pPr>
      <w:r>
        <w:rPr>
          <w:rFonts w:eastAsia="仿宋_GB2312"/>
          <w:sz w:val="32"/>
          <w:szCs w:val="32"/>
        </w:rPr>
        <w:t>产品技术要求中性能指标项目的具体要求应与性能研究资料保持一致。性能指标至少应包含基本尺寸、硬度、针尖性能、针体韧性、表面质量、针体与针柄连接牢固度、螺旋圈排列（如适用）、针柄、平直、色泽、润滑剂（如适用）、针体耐腐蚀性能、无菌（如适用）、</w:t>
      </w:r>
      <w:r>
        <w:rPr>
          <w:rFonts w:eastAsia="仿宋_GB2312"/>
          <w:color w:val="000000"/>
          <w:sz w:val="32"/>
          <w:szCs w:val="28"/>
        </w:rPr>
        <w:t>环氧乙烷残留量（如适用，针灸针的环氧乙烷残留量应不大于10 μg/g）。</w:t>
      </w:r>
    </w:p>
    <w:p>
      <w:pPr>
        <w:spacing w:line="520" w:lineRule="exact"/>
        <w:ind w:firstLine="640" w:firstLineChars="200"/>
        <w:rPr>
          <w:rFonts w:eastAsia="仿宋_GB2312"/>
          <w:sz w:val="32"/>
          <w:szCs w:val="32"/>
        </w:rPr>
      </w:pPr>
      <w:r>
        <w:rPr>
          <w:rFonts w:eastAsia="仿宋_GB2312"/>
          <w:color w:val="000000"/>
          <w:sz w:val="32"/>
          <w:szCs w:val="28"/>
        </w:rPr>
        <w:t>产品技术要求型号规格划分说明部分应列明型号、规格之间的主要区别（如提供形式、针柄型式、尺寸、进针管的配置方式等，必要时可附相应图、表进行说明）。</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2.3产品检验报告</w:t>
      </w:r>
    </w:p>
    <w:p>
      <w:pPr>
        <w:spacing w:line="520" w:lineRule="exact"/>
        <w:ind w:firstLine="640" w:firstLineChars="200"/>
        <w:rPr>
          <w:rFonts w:eastAsia="仿宋_GB2312"/>
          <w:color w:val="000000"/>
          <w:sz w:val="32"/>
          <w:szCs w:val="32"/>
        </w:rPr>
      </w:pPr>
      <w:r>
        <w:rPr>
          <w:rFonts w:eastAsia="仿宋_GB2312"/>
          <w:color w:val="000000"/>
          <w:sz w:val="32"/>
          <w:szCs w:val="32"/>
        </w:rPr>
        <w:t>可提交以下任一形式的检验报告：</w:t>
      </w:r>
    </w:p>
    <w:p>
      <w:pPr>
        <w:spacing w:line="520" w:lineRule="exact"/>
        <w:ind w:firstLine="640" w:firstLineChars="200"/>
        <w:rPr>
          <w:rFonts w:eastAsia="仿宋_GB2312"/>
          <w:color w:val="000000"/>
          <w:sz w:val="32"/>
          <w:szCs w:val="32"/>
        </w:rPr>
      </w:pPr>
      <w:r>
        <w:rPr>
          <w:rFonts w:hint="eastAsia" w:eastAsia="仿宋_GB2312"/>
          <w:color w:val="000000"/>
          <w:sz w:val="32"/>
          <w:szCs w:val="32"/>
        </w:rPr>
        <w:t>2</w:t>
      </w:r>
      <w:r>
        <w:rPr>
          <w:rFonts w:eastAsia="仿宋_GB2312"/>
          <w:color w:val="000000"/>
          <w:sz w:val="32"/>
          <w:szCs w:val="32"/>
        </w:rPr>
        <w:t>.3.1申请人出具的符合《医疗器械注册自检管理规定》自检报告。</w:t>
      </w:r>
    </w:p>
    <w:p>
      <w:pPr>
        <w:spacing w:line="520" w:lineRule="exact"/>
        <w:ind w:firstLine="640" w:firstLineChars="200"/>
        <w:rPr>
          <w:rFonts w:eastAsia="仿宋_GB2312"/>
          <w:bCs/>
          <w:color w:val="000000"/>
          <w:sz w:val="32"/>
          <w:szCs w:val="32"/>
        </w:rPr>
      </w:pPr>
      <w:r>
        <w:rPr>
          <w:rFonts w:hint="eastAsia" w:eastAsia="仿宋_GB2312"/>
          <w:color w:val="000000"/>
          <w:sz w:val="32"/>
          <w:szCs w:val="32"/>
        </w:rPr>
        <w:t>2</w:t>
      </w:r>
      <w:r>
        <w:rPr>
          <w:rFonts w:eastAsia="仿宋_GB2312"/>
          <w:color w:val="000000"/>
          <w:sz w:val="32"/>
          <w:szCs w:val="32"/>
        </w:rPr>
        <w:t>.3.2委托有资质的医疗器械检验机构出具的检验报告</w:t>
      </w:r>
      <w:r>
        <w:rPr>
          <w:rFonts w:eastAsia="仿宋_GB2312"/>
          <w:bCs/>
          <w:color w:val="000000"/>
          <w:sz w:val="32"/>
          <w:szCs w:val="32"/>
        </w:rPr>
        <w:t>。</w:t>
      </w:r>
    </w:p>
    <w:p>
      <w:pPr>
        <w:spacing w:line="520" w:lineRule="exact"/>
        <w:ind w:firstLine="640" w:firstLineChars="200"/>
        <w:rPr>
          <w:rFonts w:eastAsia="仿宋_GB2312"/>
          <w:color w:val="000000"/>
          <w:sz w:val="32"/>
          <w:szCs w:val="32"/>
        </w:rPr>
      </w:pPr>
      <w:r>
        <w:rPr>
          <w:rFonts w:eastAsia="仿宋_GB2312"/>
          <w:bCs/>
          <w:color w:val="000000"/>
          <w:sz w:val="32"/>
          <w:szCs w:val="32"/>
        </w:rPr>
        <w:t>应说明检验用型号规格的典型性，如所检型号规格部分性能指标不足以覆盖其他型号规格时，应针对差异部分进行检验。如针体直径不同可能导致主要性能指标硬度、针尖性能、针体与针柄连接牢固度不同。</w:t>
      </w:r>
      <w:r>
        <w:rPr>
          <w:rFonts w:eastAsia="仿宋_GB2312"/>
          <w:color w:val="000000"/>
          <w:sz w:val="32"/>
          <w:szCs w:val="32"/>
        </w:rPr>
        <w:t xml:space="preserve"> </w:t>
      </w:r>
    </w:p>
    <w:p>
      <w:pPr>
        <w:spacing w:line="520" w:lineRule="exact"/>
        <w:ind w:right="-67" w:rightChars="-32" w:firstLine="640" w:firstLineChars="200"/>
        <w:rPr>
          <w:rFonts w:eastAsia="仿宋_GB2312"/>
          <w:color w:val="000000"/>
          <w:spacing w:val="-1"/>
          <w:sz w:val="32"/>
          <w:szCs w:val="32"/>
        </w:rPr>
      </w:pPr>
      <w:r>
        <w:rPr>
          <w:rFonts w:eastAsia="仿宋_GB2312"/>
          <w:color w:val="000000"/>
          <w:sz w:val="32"/>
          <w:szCs w:val="32"/>
        </w:rPr>
        <w:t>3.</w:t>
      </w:r>
      <w:r>
        <w:rPr>
          <w:rFonts w:eastAsia="仿宋_GB2312"/>
          <w:color w:val="000000"/>
          <w:spacing w:val="-1"/>
          <w:sz w:val="32"/>
          <w:szCs w:val="32"/>
        </w:rPr>
        <w:t>研究资料</w:t>
      </w:r>
    </w:p>
    <w:p>
      <w:pPr>
        <w:adjustRightInd w:val="0"/>
        <w:snapToGrid w:val="0"/>
        <w:spacing w:line="520" w:lineRule="exact"/>
        <w:ind w:firstLine="640" w:firstLineChars="200"/>
        <w:rPr>
          <w:rFonts w:eastAsia="仿宋_GB2312"/>
          <w:kern w:val="0"/>
          <w:sz w:val="32"/>
          <w:szCs w:val="32"/>
        </w:rPr>
      </w:pPr>
      <w:r>
        <w:rPr>
          <w:rFonts w:eastAsia="仿宋_GB2312"/>
          <w:kern w:val="0"/>
          <w:sz w:val="32"/>
          <w:szCs w:val="32"/>
        </w:rPr>
        <w:t>根据所申报的产品，提供相应的研究资料。</w:t>
      </w:r>
    </w:p>
    <w:p>
      <w:pPr>
        <w:spacing w:line="520" w:lineRule="exact"/>
        <w:ind w:firstLine="640" w:firstLineChars="200"/>
        <w:rPr>
          <w:rFonts w:eastAsia="仿宋_GB2312"/>
          <w:sz w:val="32"/>
          <w:szCs w:val="32"/>
        </w:rPr>
      </w:pPr>
      <w:r>
        <w:rPr>
          <w:rFonts w:eastAsia="仿宋_GB2312"/>
          <w:sz w:val="32"/>
          <w:szCs w:val="32"/>
        </w:rPr>
        <w:t>3.1化学和物理性能研究</w:t>
      </w:r>
    </w:p>
    <w:p>
      <w:pPr>
        <w:spacing w:line="520" w:lineRule="exact"/>
        <w:ind w:firstLine="640" w:firstLineChars="200"/>
        <w:rPr>
          <w:rFonts w:eastAsia="仿宋_GB2312"/>
          <w:sz w:val="32"/>
          <w:szCs w:val="32"/>
        </w:rPr>
      </w:pPr>
      <w:r>
        <w:rPr>
          <w:rFonts w:eastAsia="仿宋_GB2312"/>
          <w:sz w:val="32"/>
          <w:szCs w:val="32"/>
        </w:rPr>
        <w:t>应当说明产品化学、物理和/或机械性能指标的确定依据，所采用的的标准或方法。</w:t>
      </w:r>
    </w:p>
    <w:p>
      <w:pPr>
        <w:spacing w:line="520" w:lineRule="exact"/>
        <w:ind w:firstLine="640" w:firstLineChars="200"/>
        <w:rPr>
          <w:rFonts w:eastAsia="仿宋_GB2312"/>
          <w:kern w:val="0"/>
          <w:sz w:val="32"/>
          <w:szCs w:val="32"/>
        </w:rPr>
      </w:pPr>
      <w:r>
        <w:rPr>
          <w:rFonts w:eastAsia="仿宋_GB2312"/>
          <w:sz w:val="32"/>
          <w:szCs w:val="32"/>
        </w:rPr>
        <w:t>如</w:t>
      </w:r>
      <w:r>
        <w:rPr>
          <w:rFonts w:eastAsia="仿宋_GB2312"/>
          <w:kern w:val="0"/>
          <w:sz w:val="32"/>
          <w:szCs w:val="32"/>
        </w:rPr>
        <w:t>针体表面涂有润滑剂，应说明润滑剂的成分、临床用途、加工工艺、质量控制方式，并提交相关验证资料。</w:t>
      </w:r>
    </w:p>
    <w:p>
      <w:pPr>
        <w:spacing w:line="520" w:lineRule="exact"/>
        <w:ind w:firstLine="640" w:firstLineChars="200"/>
        <w:rPr>
          <w:rFonts w:eastAsia="仿宋_GB2312"/>
          <w:sz w:val="32"/>
          <w:szCs w:val="32"/>
        </w:rPr>
      </w:pPr>
      <w:r>
        <w:rPr>
          <w:rFonts w:eastAsia="仿宋_GB2312"/>
          <w:sz w:val="32"/>
          <w:szCs w:val="32"/>
        </w:rPr>
        <w:t>3.2生物相容性评价研究</w:t>
      </w:r>
    </w:p>
    <w:p>
      <w:pPr>
        <w:tabs>
          <w:tab w:val="left" w:pos="540"/>
        </w:tabs>
        <w:spacing w:line="520" w:lineRule="exact"/>
        <w:ind w:firstLine="640" w:firstLineChars="200"/>
        <w:rPr>
          <w:rFonts w:eastAsia="仿宋_GB2312"/>
          <w:kern w:val="0"/>
          <w:sz w:val="32"/>
          <w:szCs w:val="32"/>
        </w:rPr>
      </w:pPr>
      <w:r>
        <w:rPr>
          <w:rFonts w:eastAsia="仿宋_GB2312"/>
          <w:kern w:val="0"/>
          <w:sz w:val="32"/>
          <w:szCs w:val="32"/>
        </w:rPr>
        <w:t>生物相容性评价研究资料应当包括：生物相容性评价的依据和方法；产品所用材料的描述与人体接触的性质；实施或豁免生物学试验的理由和论证；对于现有数据或试验结果的评价。</w:t>
      </w:r>
    </w:p>
    <w:p>
      <w:pPr>
        <w:tabs>
          <w:tab w:val="left" w:pos="540"/>
        </w:tabs>
        <w:spacing w:line="520" w:lineRule="exact"/>
        <w:ind w:firstLine="640" w:firstLineChars="200"/>
        <w:rPr>
          <w:rFonts w:eastAsia="仿宋_GB2312"/>
          <w:kern w:val="0"/>
          <w:sz w:val="32"/>
          <w:szCs w:val="32"/>
        </w:rPr>
      </w:pPr>
      <w:r>
        <w:rPr>
          <w:rFonts w:eastAsia="仿宋_GB2312"/>
          <w:kern w:val="0"/>
          <w:sz w:val="32"/>
          <w:szCs w:val="32"/>
        </w:rPr>
        <w:t>结合产品特性详述各部分关注的内容，例如：</w:t>
      </w:r>
    </w:p>
    <w:p>
      <w:pPr>
        <w:tabs>
          <w:tab w:val="left" w:pos="540"/>
        </w:tabs>
        <w:spacing w:line="520" w:lineRule="exact"/>
        <w:ind w:firstLine="640" w:firstLineChars="200"/>
        <w:rPr>
          <w:rFonts w:eastAsia="仿宋_GB2312"/>
          <w:kern w:val="0"/>
          <w:sz w:val="32"/>
          <w:szCs w:val="32"/>
        </w:rPr>
      </w:pPr>
      <w:r>
        <w:rPr>
          <w:rFonts w:hint="eastAsia" w:eastAsia="仿宋_GB2312"/>
          <w:kern w:val="0"/>
          <w:sz w:val="32"/>
          <w:szCs w:val="32"/>
        </w:rPr>
        <w:t>3.2.1</w:t>
      </w:r>
      <w:r>
        <w:rPr>
          <w:rFonts w:eastAsia="仿宋_GB2312"/>
          <w:kern w:val="0"/>
          <w:sz w:val="32"/>
          <w:szCs w:val="32"/>
        </w:rPr>
        <w:t>生物相容性评价的依据和方法</w:t>
      </w:r>
      <w:bookmarkStart w:id="2" w:name="_Hlk104998406"/>
      <w:r>
        <w:rPr>
          <w:rFonts w:eastAsia="仿宋_GB2312"/>
          <w:kern w:val="0"/>
          <w:sz w:val="32"/>
          <w:szCs w:val="32"/>
        </w:rPr>
        <w:t>：应参照GB/T 16886.1《医疗器械生物学评价 第1部分：风险管理过程中的评价与试验》对成品中与患者直接接触的材料的生物相容性进行评价。</w:t>
      </w:r>
      <w:r>
        <w:rPr>
          <w:rFonts w:eastAsia="仿宋_GB2312"/>
          <w:sz w:val="32"/>
          <w:szCs w:val="32"/>
        </w:rPr>
        <w:t>无菌提供的产品应采用灭菌后终产品进行生物相容性评价。</w:t>
      </w:r>
    </w:p>
    <w:bookmarkEnd w:id="2"/>
    <w:p>
      <w:pPr>
        <w:tabs>
          <w:tab w:val="left" w:pos="540"/>
        </w:tabs>
        <w:spacing w:line="520" w:lineRule="exact"/>
        <w:ind w:firstLine="640" w:firstLineChars="200"/>
        <w:rPr>
          <w:rFonts w:eastAsia="仿宋_GB2312"/>
          <w:color w:val="000000"/>
          <w:sz w:val="32"/>
          <w:szCs w:val="32"/>
        </w:rPr>
      </w:pPr>
      <w:r>
        <w:rPr>
          <w:rFonts w:hint="eastAsia" w:eastAsia="仿宋_GB2312"/>
          <w:kern w:val="0"/>
          <w:sz w:val="32"/>
          <w:szCs w:val="32"/>
        </w:rPr>
        <w:t>3.2.2</w:t>
      </w:r>
      <w:r>
        <w:rPr>
          <w:rFonts w:eastAsia="仿宋_GB2312"/>
          <w:kern w:val="0"/>
          <w:sz w:val="32"/>
          <w:szCs w:val="32"/>
        </w:rPr>
        <w:t>产品所用材料的描述及与人体接触的性质：需明确产品所用材料，如针体、针柄、润滑剂（如适用）、进针管（如适用）等，明确产品与人体的接触方式、接触部位、单次接触时间、累积接触时间</w:t>
      </w:r>
      <w:r>
        <w:rPr>
          <w:rFonts w:eastAsia="仿宋_GB2312"/>
          <w:color w:val="000000"/>
          <w:sz w:val="32"/>
          <w:szCs w:val="32"/>
        </w:rPr>
        <w:t>。</w:t>
      </w:r>
    </w:p>
    <w:p>
      <w:pPr>
        <w:tabs>
          <w:tab w:val="left" w:pos="540"/>
        </w:tabs>
        <w:spacing w:line="520" w:lineRule="exact"/>
        <w:ind w:firstLine="640" w:firstLineChars="200"/>
        <w:rPr>
          <w:rFonts w:eastAsia="仿宋_GB2312"/>
          <w:kern w:val="0"/>
          <w:sz w:val="32"/>
          <w:szCs w:val="32"/>
        </w:rPr>
      </w:pPr>
      <w:r>
        <w:rPr>
          <w:rFonts w:hint="eastAsia" w:eastAsia="仿宋_GB2312"/>
          <w:kern w:val="0"/>
          <w:sz w:val="32"/>
          <w:szCs w:val="32"/>
        </w:rPr>
        <w:t>3.2.3</w:t>
      </w:r>
      <w:r>
        <w:rPr>
          <w:rFonts w:eastAsia="仿宋_GB2312"/>
          <w:kern w:val="0"/>
          <w:sz w:val="32"/>
          <w:szCs w:val="32"/>
        </w:rPr>
        <w:t>实施或豁免生物学试验的理由和论证：如制造针灸针针体的材料选择符合GB 2024附录A中所规定的情况，符合GB/T 4240中规定的 06Crl9Nil0 或其他奥氏体不锈钢可豁免进行生物学试验,同时在申报资料中应提供材质证明资料。</w:t>
      </w:r>
    </w:p>
    <w:p>
      <w:pPr>
        <w:tabs>
          <w:tab w:val="left" w:pos="540"/>
        </w:tabs>
        <w:spacing w:line="520" w:lineRule="exact"/>
        <w:ind w:firstLine="640" w:firstLineChars="200"/>
        <w:rPr>
          <w:rFonts w:eastAsia="仿宋_GB2312"/>
          <w:sz w:val="32"/>
          <w:szCs w:val="32"/>
        </w:rPr>
      </w:pPr>
      <w:r>
        <w:rPr>
          <w:rFonts w:eastAsia="仿宋_GB2312"/>
          <w:kern w:val="0"/>
          <w:sz w:val="32"/>
          <w:szCs w:val="32"/>
        </w:rPr>
        <w:t>当针体所用材料发生变化、针体表面增加润滑剂或有迹象表明产品用于人体会发生生物相容性引起的不良反应时，</w:t>
      </w:r>
      <w:r>
        <w:rPr>
          <w:rFonts w:eastAsia="仿宋_GB2312"/>
          <w:sz w:val="32"/>
          <w:szCs w:val="32"/>
        </w:rPr>
        <w:t xml:space="preserve">需依据GB/T 16886.1附录A中表A.1 内容进行评价试验。 </w:t>
      </w:r>
    </w:p>
    <w:p>
      <w:pPr>
        <w:tabs>
          <w:tab w:val="left" w:pos="540"/>
        </w:tabs>
        <w:spacing w:line="520" w:lineRule="exact"/>
        <w:ind w:firstLine="640" w:firstLineChars="200"/>
        <w:rPr>
          <w:rFonts w:eastAsia="仿宋_GB2312"/>
          <w:bCs/>
          <w:color w:val="000000"/>
          <w:kern w:val="0"/>
          <w:sz w:val="32"/>
          <w:szCs w:val="32"/>
        </w:rPr>
      </w:pPr>
      <w:r>
        <w:rPr>
          <w:rFonts w:eastAsia="仿宋_GB2312"/>
          <w:bCs/>
          <w:kern w:val="0"/>
          <w:sz w:val="32"/>
          <w:szCs w:val="32"/>
        </w:rPr>
        <w:t>若经过充分评价认为某些项目不需要开展生物学试验，</w:t>
      </w:r>
      <w:r>
        <w:rPr>
          <w:rFonts w:eastAsia="仿宋_GB2312"/>
          <w:bCs/>
          <w:color w:val="000000"/>
          <w:kern w:val="0"/>
          <w:sz w:val="32"/>
          <w:szCs w:val="32"/>
        </w:rPr>
        <w:t>应提交评价过程和所有可证明产品在某些生物学项目安全性的支持资料。</w:t>
      </w:r>
    </w:p>
    <w:p>
      <w:pPr>
        <w:tabs>
          <w:tab w:val="left" w:pos="540"/>
        </w:tabs>
        <w:spacing w:line="520" w:lineRule="exact"/>
        <w:ind w:firstLine="640" w:firstLineChars="200"/>
        <w:rPr>
          <w:rFonts w:eastAsia="仿宋_GB2312"/>
          <w:bCs/>
          <w:color w:val="000000"/>
          <w:kern w:val="0"/>
          <w:sz w:val="32"/>
          <w:szCs w:val="32"/>
        </w:rPr>
      </w:pPr>
      <w:r>
        <w:rPr>
          <w:rFonts w:hint="eastAsia" w:eastAsia="仿宋_GB2312"/>
          <w:bCs/>
          <w:sz w:val="32"/>
          <w:szCs w:val="32"/>
        </w:rPr>
        <w:t>3.2.4</w:t>
      </w:r>
      <w:r>
        <w:rPr>
          <w:rFonts w:eastAsia="仿宋_GB2312"/>
          <w:bCs/>
          <w:sz w:val="32"/>
          <w:szCs w:val="32"/>
        </w:rPr>
        <w:t>以及对于现有数据或试验结果的评价。</w:t>
      </w:r>
    </w:p>
    <w:p>
      <w:pPr>
        <w:spacing w:line="520" w:lineRule="exact"/>
        <w:ind w:left="640"/>
        <w:rPr>
          <w:rFonts w:eastAsia="仿宋_GB2312"/>
          <w:sz w:val="32"/>
          <w:szCs w:val="32"/>
        </w:rPr>
      </w:pPr>
      <w:r>
        <w:rPr>
          <w:rFonts w:eastAsia="仿宋_GB2312"/>
          <w:sz w:val="32"/>
          <w:szCs w:val="32"/>
        </w:rPr>
        <w:t>3.3灭菌工艺研究</w:t>
      </w:r>
    </w:p>
    <w:p>
      <w:pPr>
        <w:spacing w:line="520" w:lineRule="exact"/>
        <w:ind w:firstLine="640" w:firstLineChars="200"/>
        <w:rPr>
          <w:rFonts w:eastAsia="仿宋_GB2312"/>
          <w:kern w:val="0"/>
          <w:sz w:val="32"/>
          <w:szCs w:val="32"/>
        </w:rPr>
      </w:pPr>
      <w:r>
        <w:rPr>
          <w:rFonts w:eastAsia="仿宋_GB2312"/>
          <w:color w:val="000000"/>
          <w:kern w:val="0"/>
          <w:sz w:val="32"/>
          <w:szCs w:val="32"/>
        </w:rPr>
        <w:t>对于以无菌形式提供的针灸针产品，应参照GB 18279.1《医疗保健产品灭菌　环氧乙烷　第1部分：医疗器械灭菌过程的开发、确认和常规控制的要求》、GB 18280.1《医疗保健产品灭菌 辐射 第1部分：医疗器械灭菌过程的开发、确认和常规控制要求》、GB 18278.1《医疗保健产品灭菌 湿热 第1部分医疗器械灭菌过程的开发、确认和常规控制要求》等相应规定，提交产品包装及灭菌方法选择的依据，经过确认并进行常规控制，并应开展以下方面的确认：</w:t>
      </w:r>
      <w:r>
        <w:rPr>
          <w:rFonts w:eastAsia="仿宋_GB2312"/>
          <w:kern w:val="0"/>
          <w:sz w:val="32"/>
          <w:szCs w:val="32"/>
        </w:rPr>
        <w:t xml:space="preserve"> </w:t>
      </w:r>
    </w:p>
    <w:p>
      <w:pPr>
        <w:spacing w:line="520" w:lineRule="exact"/>
        <w:ind w:firstLine="640" w:firstLineChars="200"/>
        <w:rPr>
          <w:rFonts w:eastAsia="仿宋_GB2312"/>
          <w:kern w:val="0"/>
          <w:sz w:val="32"/>
          <w:szCs w:val="32"/>
        </w:rPr>
      </w:pPr>
      <w:r>
        <w:rPr>
          <w:rFonts w:hint="eastAsia" w:eastAsia="仿宋_GB2312"/>
          <w:kern w:val="0"/>
          <w:sz w:val="32"/>
          <w:szCs w:val="32"/>
        </w:rPr>
        <w:t>3.3.1</w:t>
      </w:r>
      <w:r>
        <w:rPr>
          <w:rFonts w:eastAsia="仿宋_GB2312"/>
          <w:kern w:val="0"/>
          <w:sz w:val="32"/>
          <w:szCs w:val="32"/>
        </w:rPr>
        <w:t>产品与灭菌过程的适应性：应考察灭菌工艺过程对于产品性能的影响。</w:t>
      </w:r>
    </w:p>
    <w:p>
      <w:pPr>
        <w:pStyle w:val="14"/>
        <w:spacing w:line="520" w:lineRule="exact"/>
        <w:ind w:firstLine="640"/>
        <w:rPr>
          <w:rFonts w:ascii="Times New Roman" w:hAnsi="Times New Roman" w:eastAsia="仿宋_GB2312"/>
          <w:kern w:val="0"/>
          <w:sz w:val="32"/>
          <w:szCs w:val="32"/>
        </w:rPr>
      </w:pPr>
      <w:r>
        <w:rPr>
          <w:rFonts w:hint="eastAsia" w:ascii="Times New Roman" w:hAnsi="Times New Roman" w:eastAsia="仿宋_GB2312"/>
          <w:kern w:val="0"/>
          <w:sz w:val="32"/>
          <w:szCs w:val="32"/>
        </w:rPr>
        <w:t>3.3.2</w:t>
      </w:r>
      <w:r>
        <w:rPr>
          <w:rFonts w:ascii="Times New Roman" w:hAnsi="Times New Roman" w:eastAsia="仿宋_GB2312"/>
          <w:kern w:val="0"/>
          <w:sz w:val="32"/>
          <w:szCs w:val="32"/>
        </w:rPr>
        <w:t>包装与灭菌过程的适应性</w:t>
      </w:r>
      <w:r>
        <w:rPr>
          <w:rFonts w:ascii="Times New Roman" w:hAnsi="Times New Roman" w:eastAsia="仿宋_GB2312"/>
          <w:sz w:val="32"/>
          <w:szCs w:val="32"/>
        </w:rPr>
        <w:t>。</w:t>
      </w:r>
    </w:p>
    <w:p>
      <w:pPr>
        <w:pStyle w:val="14"/>
        <w:spacing w:line="520" w:lineRule="exact"/>
        <w:ind w:firstLine="64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3.3.3</w:t>
      </w:r>
      <w:r>
        <w:rPr>
          <w:rFonts w:ascii="Times New Roman" w:hAnsi="Times New Roman" w:eastAsia="仿宋_GB2312"/>
          <w:color w:val="000000"/>
          <w:sz w:val="32"/>
          <w:szCs w:val="32"/>
        </w:rPr>
        <w:t>应明确灭菌工艺（方法和参数）和无菌保证水平（SAL），并提供灭菌确认报告。产品的无菌保证水平（SAL）需达到10</w:t>
      </w:r>
      <w:r>
        <w:rPr>
          <w:rFonts w:ascii="Times New Roman" w:hAnsi="Times New Roman" w:eastAsia="仿宋_GB2312"/>
          <w:color w:val="000000"/>
          <w:sz w:val="32"/>
          <w:szCs w:val="32"/>
          <w:vertAlign w:val="superscript"/>
        </w:rPr>
        <w:t>-6</w:t>
      </w:r>
      <w:r>
        <w:rPr>
          <w:rFonts w:ascii="Times New Roman" w:hAnsi="Times New Roman" w:eastAsia="仿宋_GB2312"/>
          <w:color w:val="000000"/>
          <w:sz w:val="32"/>
          <w:szCs w:val="32"/>
        </w:rPr>
        <w:t>。</w:t>
      </w:r>
    </w:p>
    <w:p>
      <w:pPr>
        <w:spacing w:line="520" w:lineRule="exact"/>
        <w:ind w:firstLine="640" w:firstLineChars="200"/>
        <w:rPr>
          <w:rFonts w:eastAsia="仿宋_GB2312"/>
          <w:kern w:val="0"/>
          <w:sz w:val="32"/>
          <w:szCs w:val="32"/>
        </w:rPr>
      </w:pPr>
      <w:r>
        <w:rPr>
          <w:rFonts w:hint="eastAsia" w:eastAsia="仿宋_GB2312"/>
          <w:kern w:val="0"/>
          <w:sz w:val="32"/>
          <w:szCs w:val="32"/>
        </w:rPr>
        <w:t>3.3.4</w:t>
      </w:r>
      <w:r>
        <w:rPr>
          <w:rFonts w:eastAsia="仿宋_GB2312"/>
          <w:kern w:val="0"/>
          <w:sz w:val="32"/>
          <w:szCs w:val="32"/>
        </w:rPr>
        <w:t>残留毒性：若灭菌使用的方法容易出现残留，应当明确残留物信息、控制标准及采取的处理方法，并提供研究资料。部分产品选择海绵保护针尖，但海绵此类空隙较多的材料，在灭菌过程中对环氧乙烷吸附量大，环氧乙烷残留量远大于产品本身，海绵的使用增加产品包装内环氧乙烷残留量的风险，在出厂检验时应对产品整体的环氧乙烷残留进行控制。</w:t>
      </w:r>
    </w:p>
    <w:p>
      <w:pPr>
        <w:pStyle w:val="14"/>
        <w:spacing w:line="520" w:lineRule="exact"/>
        <w:ind w:firstLine="640"/>
        <w:rPr>
          <w:rFonts w:ascii="Times New Roman" w:hAnsi="Times New Roman" w:eastAsia="仿宋_GB2312"/>
          <w:bCs/>
          <w:color w:val="000000"/>
          <w:sz w:val="32"/>
          <w:szCs w:val="32"/>
        </w:rPr>
      </w:pPr>
      <w:r>
        <w:rPr>
          <w:rFonts w:ascii="Times New Roman" w:hAnsi="Times New Roman" w:eastAsia="仿宋_GB2312"/>
          <w:bCs/>
          <w:color w:val="000000"/>
          <w:sz w:val="32"/>
          <w:szCs w:val="32"/>
        </w:rPr>
        <w:t>对于非无菌形式的针灸针，临床使用前需进行灭菌。应明确推荐的灭菌工艺（方法和参数）、包装方式，所推荐灭菌工艺的确定依据，并提交相关的验证资料。</w:t>
      </w:r>
    </w:p>
    <w:p>
      <w:pPr>
        <w:overflowPunct w:val="0"/>
        <w:spacing w:line="520" w:lineRule="exact"/>
        <w:ind w:firstLine="672" w:firstLineChars="210"/>
        <w:rPr>
          <w:rFonts w:eastAsia="仿宋_GB2312"/>
          <w:sz w:val="32"/>
          <w:szCs w:val="32"/>
        </w:rPr>
      </w:pPr>
      <w:r>
        <w:rPr>
          <w:rFonts w:eastAsia="仿宋_GB2312"/>
          <w:bCs/>
          <w:color w:val="000000"/>
          <w:sz w:val="32"/>
          <w:szCs w:val="32"/>
        </w:rPr>
        <w:t>对于可重复使用的针灸针，应提交可重复使用次数</w:t>
      </w:r>
      <w:r>
        <w:rPr>
          <w:rFonts w:eastAsia="仿宋_GB2312"/>
          <w:sz w:val="32"/>
          <w:szCs w:val="32"/>
        </w:rPr>
        <w:t>、清洁方式、灭菌工艺及</w:t>
      </w:r>
      <w:r>
        <w:rPr>
          <w:rFonts w:eastAsia="仿宋_GB2312"/>
          <w:bCs/>
          <w:color w:val="000000"/>
          <w:sz w:val="32"/>
          <w:szCs w:val="32"/>
        </w:rPr>
        <w:t>包装方式</w:t>
      </w:r>
      <w:r>
        <w:rPr>
          <w:rFonts w:eastAsia="仿宋_GB2312"/>
          <w:sz w:val="32"/>
          <w:szCs w:val="32"/>
        </w:rPr>
        <w:t>的相关验证资料。</w:t>
      </w:r>
    </w:p>
    <w:p>
      <w:pPr>
        <w:spacing w:line="520" w:lineRule="exact"/>
        <w:ind w:firstLine="640" w:firstLineChars="200"/>
        <w:rPr>
          <w:rFonts w:eastAsia="仿宋_GB2312"/>
          <w:color w:val="000000"/>
          <w:sz w:val="32"/>
          <w:szCs w:val="28"/>
        </w:rPr>
      </w:pPr>
      <w:r>
        <w:rPr>
          <w:rFonts w:eastAsia="仿宋_GB2312"/>
          <w:color w:val="000000"/>
          <w:sz w:val="32"/>
          <w:szCs w:val="28"/>
        </w:rPr>
        <w:t>3.4有效期和包装研究</w:t>
      </w:r>
    </w:p>
    <w:p>
      <w:pPr>
        <w:pStyle w:val="3"/>
        <w:spacing w:line="520" w:lineRule="exact"/>
        <w:ind w:firstLine="640" w:firstLineChars="200"/>
        <w:rPr>
          <w:rFonts w:ascii="Times New Roman" w:hAnsi="Times New Roman" w:eastAsia="仿宋_GB2312"/>
          <w:bCs/>
          <w:sz w:val="32"/>
          <w:szCs w:val="32"/>
        </w:rPr>
      </w:pPr>
      <w:r>
        <w:rPr>
          <w:rFonts w:hint="eastAsia" w:ascii="Times New Roman" w:hAnsi="Times New Roman" w:eastAsia="仿宋_GB2312"/>
          <w:bCs/>
          <w:sz w:val="32"/>
          <w:szCs w:val="32"/>
        </w:rPr>
        <w:t>3.4.1</w:t>
      </w:r>
      <w:r>
        <w:rPr>
          <w:rFonts w:ascii="Times New Roman" w:hAnsi="Times New Roman" w:eastAsia="仿宋_GB2312"/>
          <w:bCs/>
          <w:sz w:val="32"/>
          <w:szCs w:val="32"/>
        </w:rPr>
        <w:t>货架有效期</w:t>
      </w:r>
    </w:p>
    <w:p>
      <w:pPr>
        <w:pStyle w:val="3"/>
        <w:spacing w:line="520" w:lineRule="exact"/>
        <w:ind w:firstLine="640" w:firstLineChars="200"/>
        <w:rPr>
          <w:rFonts w:ascii="Times New Roman" w:hAnsi="Times New Roman" w:eastAsia="仿宋_GB2312"/>
          <w:bCs/>
          <w:color w:val="000000"/>
          <w:sz w:val="32"/>
          <w:szCs w:val="32"/>
        </w:rPr>
      </w:pPr>
      <w:r>
        <w:rPr>
          <w:rFonts w:ascii="Times New Roman" w:hAnsi="Times New Roman" w:eastAsia="仿宋_GB2312"/>
          <w:bCs/>
          <w:sz w:val="32"/>
          <w:szCs w:val="32"/>
        </w:rPr>
        <w:t>注册申请人应提供产品货架有效期的验证资料。</w:t>
      </w:r>
      <w:r>
        <w:rPr>
          <w:rFonts w:ascii="Times New Roman" w:hAnsi="Times New Roman" w:eastAsia="仿宋_GB2312"/>
          <w:bCs/>
          <w:color w:val="000000"/>
          <w:sz w:val="32"/>
          <w:szCs w:val="32"/>
        </w:rPr>
        <w:t>产品有效期验证可采用实时稳定性或加速稳定性的研究。实时稳定性的研究是唯一能够反映产品在规定储存条件下实际稳定性要求的方法，应遵循极限试验和过载试验原则。加速老化研究试验的具体要求可参考YY/T 0681系列标准。</w:t>
      </w:r>
    </w:p>
    <w:p>
      <w:pPr>
        <w:pStyle w:val="3"/>
        <w:spacing w:line="520" w:lineRule="exact"/>
        <w:ind w:firstLine="640" w:firstLineChars="200"/>
        <w:rPr>
          <w:rFonts w:ascii="Times New Roman" w:hAnsi="Times New Roman" w:eastAsia="仿宋_GB2312"/>
          <w:bCs/>
          <w:color w:val="000000"/>
          <w:sz w:val="32"/>
          <w:szCs w:val="32"/>
        </w:rPr>
      </w:pPr>
      <w:r>
        <w:rPr>
          <w:rFonts w:ascii="Times New Roman" w:hAnsi="Times New Roman" w:eastAsia="仿宋_GB2312"/>
          <w:bCs/>
          <w:color w:val="000000"/>
          <w:sz w:val="32"/>
          <w:szCs w:val="32"/>
        </w:rPr>
        <w:t>对于包装的有效期验证，建议选择恰当的材料和包装结构确定最终成品包装，提供该包装初始完整性和维持完整性的检测结果，检验项目应</w:t>
      </w:r>
      <w:r>
        <w:rPr>
          <w:rFonts w:ascii="Times New Roman" w:hAnsi="Times New Roman" w:eastAsia="仿宋_GB2312"/>
          <w:bCs/>
          <w:sz w:val="32"/>
          <w:szCs w:val="32"/>
        </w:rPr>
        <w:t>包括包装完整性、包装密封性和微生物屏障性能。不同包装、不同灭菌方式的产品需分别提供验证资料。</w:t>
      </w:r>
      <w:r>
        <w:rPr>
          <w:rFonts w:ascii="Times New Roman" w:hAnsi="Times New Roman" w:eastAsia="仿宋_GB2312"/>
          <w:bCs/>
          <w:color w:val="000000"/>
          <w:sz w:val="32"/>
          <w:szCs w:val="32"/>
        </w:rPr>
        <w:t xml:space="preserve">在进行加速老化试验研究时应注意：产品选择的环境条件的老化机制应与宣称的真实运输储存条件下发生产品老化的机制相匹配。 </w:t>
      </w:r>
    </w:p>
    <w:p>
      <w:pPr>
        <w:pStyle w:val="3"/>
        <w:spacing w:line="520" w:lineRule="exact"/>
        <w:ind w:firstLine="640" w:firstLineChars="200"/>
        <w:rPr>
          <w:rFonts w:ascii="Times New Roman" w:hAnsi="Times New Roman" w:eastAsia="仿宋_GB2312"/>
          <w:bCs/>
          <w:sz w:val="32"/>
          <w:szCs w:val="32"/>
        </w:rPr>
      </w:pPr>
      <w:r>
        <w:rPr>
          <w:rFonts w:hint="eastAsia" w:ascii="Times New Roman" w:hAnsi="Times New Roman" w:eastAsia="仿宋_GB2312"/>
          <w:bCs/>
          <w:sz w:val="32"/>
          <w:szCs w:val="32"/>
        </w:rPr>
        <w:t>3.4.2</w:t>
      </w:r>
      <w:r>
        <w:rPr>
          <w:rFonts w:ascii="Times New Roman" w:hAnsi="Times New Roman" w:eastAsia="仿宋_GB2312"/>
          <w:bCs/>
          <w:sz w:val="32"/>
          <w:szCs w:val="32"/>
        </w:rPr>
        <w:t>运输稳定性</w:t>
      </w:r>
    </w:p>
    <w:p>
      <w:pPr>
        <w:pStyle w:val="3"/>
        <w:spacing w:line="520" w:lineRule="exact"/>
        <w:ind w:firstLine="640" w:firstLineChars="200"/>
        <w:rPr>
          <w:rFonts w:ascii="Times New Roman" w:hAnsi="Times New Roman" w:eastAsia="仿宋_GB2312"/>
          <w:bCs/>
          <w:sz w:val="32"/>
          <w:szCs w:val="32"/>
        </w:rPr>
      </w:pPr>
      <w:r>
        <w:rPr>
          <w:rFonts w:ascii="Times New Roman" w:hAnsi="Times New Roman" w:eastAsia="仿宋_GB2312"/>
          <w:bCs/>
          <w:sz w:val="32"/>
          <w:szCs w:val="32"/>
        </w:rPr>
        <w:t>提供在宣称的有效期内以及运输储存条件（例如：震动、振动、温度和湿度的波动）下，保持包装完整性的依据，可采用真实运输或模拟运输的方式进行验证。</w:t>
      </w:r>
    </w:p>
    <w:p>
      <w:pPr>
        <w:adjustRightInd w:val="0"/>
        <w:snapToGrid w:val="0"/>
        <w:spacing w:line="520" w:lineRule="exact"/>
        <w:ind w:firstLine="640" w:firstLineChars="200"/>
        <w:rPr>
          <w:rFonts w:eastAsia="仿宋_GB2312"/>
          <w:bCs/>
          <w:sz w:val="32"/>
          <w:szCs w:val="32"/>
        </w:rPr>
      </w:pPr>
      <w:r>
        <w:rPr>
          <w:rFonts w:eastAsia="仿宋_GB2312"/>
          <w:bCs/>
          <w:sz w:val="32"/>
          <w:szCs w:val="32"/>
        </w:rPr>
        <w:t>3.5其他资料</w:t>
      </w:r>
    </w:p>
    <w:p>
      <w:pPr>
        <w:spacing w:line="520" w:lineRule="exact"/>
        <w:ind w:firstLine="624" w:firstLineChars="200"/>
        <w:rPr>
          <w:rFonts w:eastAsia="仿宋_GB2312"/>
          <w:color w:val="000000"/>
          <w:sz w:val="32"/>
          <w:szCs w:val="32"/>
        </w:rPr>
      </w:pPr>
      <w:r>
        <w:rPr>
          <w:rFonts w:eastAsia="仿宋_GB2312"/>
          <w:color w:val="000000"/>
          <w:spacing w:val="-4"/>
          <w:kern w:val="0"/>
          <w:sz w:val="32"/>
          <w:szCs w:val="32"/>
        </w:rPr>
        <w:t>对于符合《免于临床评价医疗器械目录》（以下简称《目录》）下分类编码为20-03-01的针灸针，</w:t>
      </w:r>
      <w:r>
        <w:rPr>
          <w:rFonts w:eastAsia="仿宋_GB2312"/>
          <w:color w:val="000000"/>
          <w:sz w:val="32"/>
          <w:szCs w:val="32"/>
        </w:rPr>
        <w:t>申请人应当按照《列入免于进行临床评价医疗器械目录产品对比说明技术指导原则》，从基本原理、结构组成、性能、安全性、适用范围等方面，证明产品的安全有效性。</w:t>
      </w:r>
    </w:p>
    <w:p>
      <w:pPr>
        <w:spacing w:line="520" w:lineRule="exact"/>
        <w:ind w:right="-67" w:rightChars="-32" w:firstLine="640" w:firstLineChars="200"/>
        <w:rPr>
          <w:rFonts w:eastAsia="楷体_GB2312"/>
          <w:color w:val="000000"/>
          <w:sz w:val="32"/>
          <w:szCs w:val="32"/>
        </w:rPr>
      </w:pPr>
      <w:r>
        <w:rPr>
          <w:rFonts w:eastAsia="楷体_GB2312"/>
          <w:color w:val="000000"/>
          <w:sz w:val="32"/>
          <w:szCs w:val="32"/>
        </w:rPr>
        <w:t>（四）临床评价资料</w:t>
      </w:r>
    </w:p>
    <w:p>
      <w:pPr>
        <w:tabs>
          <w:tab w:val="left" w:pos="312"/>
        </w:tabs>
        <w:spacing w:line="520" w:lineRule="exact"/>
        <w:ind w:firstLine="624" w:firstLineChars="200"/>
        <w:rPr>
          <w:rFonts w:eastAsia="仿宋_GB2312"/>
          <w:color w:val="000000"/>
          <w:spacing w:val="-4"/>
          <w:kern w:val="0"/>
          <w:sz w:val="32"/>
          <w:szCs w:val="32"/>
        </w:rPr>
      </w:pPr>
      <w:r>
        <w:rPr>
          <w:rFonts w:eastAsia="仿宋_GB2312"/>
          <w:color w:val="000000"/>
          <w:spacing w:val="-4"/>
          <w:kern w:val="0"/>
          <w:sz w:val="32"/>
          <w:szCs w:val="32"/>
        </w:rPr>
        <w:t>对于符合《目录》下分类编码为20-03-01的针灸针，该产品列入《目录》，申请人无需提交临床评价资料。对于《目录》以外的产品，需提交相应的临床评价资料。</w:t>
      </w:r>
    </w:p>
    <w:p>
      <w:pPr>
        <w:tabs>
          <w:tab w:val="left" w:pos="6521"/>
        </w:tabs>
        <w:adjustRightInd w:val="0"/>
        <w:snapToGrid w:val="0"/>
        <w:spacing w:line="520" w:lineRule="exact"/>
        <w:ind w:firstLine="640" w:firstLineChars="200"/>
        <w:rPr>
          <w:rFonts w:eastAsia="楷体_GB2312"/>
          <w:color w:val="000000"/>
          <w:sz w:val="32"/>
          <w:szCs w:val="32"/>
        </w:rPr>
      </w:pPr>
      <w:r>
        <w:rPr>
          <w:rFonts w:eastAsia="楷体_GB2312"/>
          <w:color w:val="000000"/>
          <w:sz w:val="32"/>
          <w:szCs w:val="32"/>
        </w:rPr>
        <w:t>（五）产品说明书和标签样稿</w:t>
      </w:r>
    </w:p>
    <w:p>
      <w:pPr>
        <w:pStyle w:val="17"/>
        <w:spacing w:line="520" w:lineRule="exact"/>
        <w:ind w:firstLine="640"/>
        <w:rPr>
          <w:rFonts w:ascii="Times New Roman" w:hAnsi="Times New Roman" w:eastAsia="仿宋_GB2312"/>
          <w:sz w:val="32"/>
          <w:szCs w:val="32"/>
        </w:rPr>
      </w:pPr>
      <w:r>
        <w:rPr>
          <w:rFonts w:ascii="Times New Roman" w:hAnsi="Times New Roman" w:eastAsia="仿宋_GB2312"/>
          <w:sz w:val="32"/>
          <w:szCs w:val="32"/>
        </w:rPr>
        <w:t>产品说明书和标签样稿的编写应符合《医疗器械说明书和标签管理规定》和相关标准的要求，同时还应注意以下几点（不限于此）：</w:t>
      </w:r>
    </w:p>
    <w:p>
      <w:pPr>
        <w:overflowPunct w:val="0"/>
        <w:spacing w:line="520" w:lineRule="exact"/>
        <w:ind w:firstLine="640" w:firstLineChars="200"/>
        <w:rPr>
          <w:rFonts w:eastAsia="仿宋_GB2312"/>
          <w:sz w:val="32"/>
          <w:szCs w:val="32"/>
        </w:rPr>
      </w:pPr>
      <w:r>
        <w:rPr>
          <w:rFonts w:hint="eastAsia" w:eastAsia="仿宋_GB2312"/>
          <w:sz w:val="32"/>
          <w:szCs w:val="32"/>
        </w:rPr>
        <w:t>1.</w:t>
      </w:r>
      <w:r>
        <w:rPr>
          <w:rFonts w:eastAsia="仿宋_GB2312"/>
          <w:sz w:val="32"/>
          <w:szCs w:val="32"/>
        </w:rPr>
        <w:t>注意事项应至少包括以下内容：</w:t>
      </w:r>
    </w:p>
    <w:p>
      <w:pPr>
        <w:overflowPunct w:val="0"/>
        <w:spacing w:line="520" w:lineRule="exact"/>
        <w:ind w:firstLine="640" w:firstLineChars="200"/>
        <w:rPr>
          <w:rFonts w:eastAsia="仿宋_GB2312"/>
          <w:sz w:val="32"/>
          <w:szCs w:val="32"/>
        </w:rPr>
      </w:pPr>
      <w:r>
        <w:rPr>
          <w:rFonts w:eastAsia="仿宋_GB2312"/>
          <w:color w:val="000000"/>
          <w:sz w:val="32"/>
          <w:szCs w:val="32"/>
        </w:rPr>
        <w:t>（1）</w:t>
      </w:r>
      <w:r>
        <w:rPr>
          <w:rFonts w:eastAsia="仿宋_GB2312"/>
          <w:sz w:val="32"/>
          <w:szCs w:val="32"/>
        </w:rPr>
        <w:t>产品应由专业针灸医生或经过针灸技能培训合格的有资质的专业医疗工作人员使用。</w:t>
      </w:r>
    </w:p>
    <w:p>
      <w:pPr>
        <w:overflowPunct w:val="0"/>
        <w:spacing w:line="520" w:lineRule="exact"/>
        <w:ind w:firstLine="672" w:firstLineChars="210"/>
        <w:rPr>
          <w:rFonts w:eastAsia="仿宋_GB2312"/>
          <w:sz w:val="32"/>
          <w:szCs w:val="32"/>
        </w:rPr>
      </w:pPr>
      <w:r>
        <w:rPr>
          <w:rFonts w:eastAsia="仿宋_GB2312"/>
          <w:sz w:val="32"/>
          <w:szCs w:val="32"/>
        </w:rPr>
        <w:t>（2）对于非无菌提供产品：说明书中应明确使用前应进行灭菌处理，并明确推荐使用的灭菌方式、灭菌参数及包装方式；若为一次性使用，应注明“一次性使用”字样；若为可重复使用，应明确使用次数、清洗方式、灭菌方式、灭菌参数及包装方式。</w:t>
      </w:r>
    </w:p>
    <w:p>
      <w:pPr>
        <w:overflowPunct w:val="0"/>
        <w:spacing w:line="520" w:lineRule="exact"/>
        <w:ind w:firstLine="672" w:firstLineChars="210"/>
        <w:rPr>
          <w:rFonts w:eastAsia="仿宋_GB2312"/>
          <w:sz w:val="32"/>
          <w:szCs w:val="32"/>
        </w:rPr>
      </w:pPr>
      <w:r>
        <w:rPr>
          <w:rFonts w:eastAsia="仿宋_GB2312"/>
          <w:sz w:val="32"/>
          <w:szCs w:val="32"/>
        </w:rPr>
        <w:t>（3）对于无菌提供产品：若为一次性使用，应注明“一次性使用”字样；若为可重复使用，应明确使用次数及使用后清洗方式、灭菌方式、灭菌参数及包装方式。</w:t>
      </w:r>
    </w:p>
    <w:p>
      <w:pPr>
        <w:overflowPunct w:val="0"/>
        <w:spacing w:line="520" w:lineRule="exact"/>
        <w:ind w:firstLine="640" w:firstLineChars="200"/>
        <w:rPr>
          <w:rFonts w:eastAsia="仿宋_GB2312"/>
          <w:bCs/>
          <w:sz w:val="32"/>
          <w:szCs w:val="28"/>
        </w:rPr>
      </w:pPr>
      <w:r>
        <w:rPr>
          <w:rFonts w:eastAsia="仿宋_GB2312"/>
          <w:color w:val="000000"/>
          <w:sz w:val="32"/>
          <w:szCs w:val="32"/>
        </w:rPr>
        <w:t>（4）</w:t>
      </w:r>
      <w:r>
        <w:rPr>
          <w:rFonts w:eastAsia="仿宋_GB2312"/>
          <w:bCs/>
          <w:sz w:val="32"/>
          <w:szCs w:val="28"/>
        </w:rPr>
        <w:t>针刺前对针刺部位皮肤严格消毒，施针完成后提醒患者注意针眼处卫生，避免感染。</w:t>
      </w:r>
    </w:p>
    <w:p>
      <w:pPr>
        <w:overflowPunct w:val="0"/>
        <w:spacing w:line="520" w:lineRule="exact"/>
        <w:ind w:firstLine="640" w:firstLineChars="200"/>
        <w:rPr>
          <w:rFonts w:eastAsia="仿宋_GB2312"/>
          <w:bCs/>
          <w:sz w:val="32"/>
          <w:szCs w:val="28"/>
        </w:rPr>
      </w:pPr>
      <w:r>
        <w:rPr>
          <w:rFonts w:eastAsia="仿宋_GB2312"/>
          <w:color w:val="000000"/>
          <w:sz w:val="32"/>
          <w:szCs w:val="32"/>
        </w:rPr>
        <w:t>（5）</w:t>
      </w:r>
      <w:r>
        <w:rPr>
          <w:rFonts w:eastAsia="仿宋_GB2312"/>
          <w:bCs/>
          <w:sz w:val="32"/>
          <w:szCs w:val="28"/>
        </w:rPr>
        <w:t>使用前认真检查，如果发现包装破损、断针、弯针、针体锈蚀、针尖带钩或钝针等及时剔除不用。</w:t>
      </w:r>
    </w:p>
    <w:p>
      <w:pPr>
        <w:overflowPunct w:val="0"/>
        <w:spacing w:line="520" w:lineRule="exact"/>
        <w:ind w:firstLine="640" w:firstLineChars="200"/>
        <w:rPr>
          <w:rFonts w:eastAsia="仿宋_GB2312"/>
          <w:bCs/>
          <w:sz w:val="32"/>
          <w:szCs w:val="28"/>
        </w:rPr>
      </w:pPr>
      <w:r>
        <w:rPr>
          <w:rFonts w:eastAsia="仿宋_GB2312"/>
          <w:color w:val="000000"/>
          <w:sz w:val="32"/>
          <w:szCs w:val="32"/>
        </w:rPr>
        <w:t>（6）</w:t>
      </w:r>
      <w:r>
        <w:rPr>
          <w:rFonts w:eastAsia="仿宋_GB2312"/>
          <w:bCs/>
          <w:sz w:val="32"/>
          <w:szCs w:val="28"/>
        </w:rPr>
        <w:t>进针过程中出现断针、弯针、滞针及晕针先兆症状应及时处理。</w:t>
      </w:r>
    </w:p>
    <w:p>
      <w:pPr>
        <w:overflowPunct w:val="0"/>
        <w:spacing w:line="520" w:lineRule="exact"/>
        <w:ind w:firstLine="640" w:firstLineChars="200"/>
        <w:rPr>
          <w:rFonts w:eastAsia="仿宋_GB2312"/>
          <w:sz w:val="32"/>
          <w:szCs w:val="32"/>
        </w:rPr>
      </w:pPr>
      <w:r>
        <w:rPr>
          <w:rFonts w:eastAsia="仿宋_GB2312"/>
          <w:color w:val="000000"/>
          <w:sz w:val="32"/>
          <w:szCs w:val="32"/>
        </w:rPr>
        <w:t>（7）</w:t>
      </w:r>
      <w:r>
        <w:rPr>
          <w:rFonts w:eastAsia="仿宋_GB2312"/>
          <w:sz w:val="32"/>
          <w:szCs w:val="32"/>
        </w:rPr>
        <w:t>电针疗法可能会对针灸针针体造成腐蚀、断针。</w:t>
      </w:r>
    </w:p>
    <w:p>
      <w:pPr>
        <w:overflowPunct w:val="0"/>
        <w:spacing w:line="520" w:lineRule="exact"/>
        <w:ind w:firstLine="672" w:firstLineChars="210"/>
        <w:rPr>
          <w:rFonts w:eastAsia="仿宋_GB2312"/>
          <w:sz w:val="32"/>
          <w:szCs w:val="32"/>
        </w:rPr>
      </w:pPr>
      <w:r>
        <w:rPr>
          <w:rFonts w:eastAsia="仿宋_GB2312"/>
          <w:sz w:val="32"/>
          <w:szCs w:val="32"/>
        </w:rPr>
        <w:t>2.禁忌证至少包括以下内容：</w:t>
      </w:r>
    </w:p>
    <w:p>
      <w:pPr>
        <w:overflowPunct w:val="0"/>
        <w:spacing w:line="520" w:lineRule="exact"/>
        <w:ind w:firstLine="672" w:firstLineChars="210"/>
        <w:rPr>
          <w:rFonts w:eastAsia="仿宋_GB2312"/>
          <w:iCs/>
          <w:color w:val="000000"/>
          <w:sz w:val="32"/>
          <w:szCs w:val="28"/>
        </w:rPr>
      </w:pPr>
      <w:r>
        <w:rPr>
          <w:rFonts w:eastAsia="仿宋_GB2312"/>
          <w:color w:val="000000"/>
          <w:sz w:val="32"/>
          <w:szCs w:val="32"/>
        </w:rPr>
        <w:t>（1）</w:t>
      </w:r>
      <w:r>
        <w:rPr>
          <w:rFonts w:eastAsia="仿宋_GB2312"/>
          <w:iCs/>
          <w:color w:val="000000"/>
          <w:sz w:val="32"/>
          <w:szCs w:val="28"/>
        </w:rPr>
        <w:t xml:space="preserve">饥饿、饱食、醉酒、大怒、大惊、过度疲劳、精神紧张者，不宜立即进行针刺；体质虚弱，气血亏损者，其针感不宜过重，应尽量采取卧位行针。 </w:t>
      </w:r>
    </w:p>
    <w:p>
      <w:pPr>
        <w:overflowPunct w:val="0"/>
        <w:spacing w:line="520" w:lineRule="exact"/>
        <w:ind w:firstLine="672" w:firstLineChars="210"/>
        <w:rPr>
          <w:rFonts w:eastAsia="仿宋_GB2312"/>
          <w:iCs/>
          <w:color w:val="000000"/>
          <w:sz w:val="32"/>
          <w:szCs w:val="28"/>
        </w:rPr>
      </w:pPr>
      <w:r>
        <w:rPr>
          <w:rFonts w:eastAsia="仿宋_GB2312"/>
          <w:color w:val="000000"/>
          <w:sz w:val="32"/>
          <w:szCs w:val="32"/>
        </w:rPr>
        <w:t>（2）</w:t>
      </w:r>
      <w:r>
        <w:rPr>
          <w:rFonts w:eastAsia="仿宋_GB2312"/>
          <w:iCs/>
          <w:color w:val="000000"/>
          <w:sz w:val="32"/>
          <w:szCs w:val="28"/>
        </w:rPr>
        <w:t xml:space="preserve">针刺时应避开大血管，腧穴深部有脏器时应掌握针刺深度，切不可伤及脏器。 </w:t>
      </w:r>
    </w:p>
    <w:p>
      <w:pPr>
        <w:overflowPunct w:val="0"/>
        <w:spacing w:line="520" w:lineRule="exact"/>
        <w:ind w:firstLine="672" w:firstLineChars="210"/>
        <w:rPr>
          <w:rFonts w:eastAsia="仿宋_GB2312"/>
          <w:iCs/>
          <w:color w:val="000000"/>
          <w:sz w:val="32"/>
          <w:szCs w:val="28"/>
        </w:rPr>
      </w:pPr>
      <w:r>
        <w:rPr>
          <w:rFonts w:eastAsia="仿宋_GB2312"/>
          <w:color w:val="000000"/>
          <w:sz w:val="32"/>
          <w:szCs w:val="32"/>
        </w:rPr>
        <w:t>（3）</w:t>
      </w:r>
      <w:r>
        <w:rPr>
          <w:rFonts w:eastAsia="仿宋_GB2312"/>
          <w:iCs/>
          <w:color w:val="000000"/>
          <w:sz w:val="32"/>
          <w:szCs w:val="28"/>
        </w:rPr>
        <w:t xml:space="preserve">小儿囟门未闭合时，囟门附近的腧穴不宜针刺。由于小儿不易配合，所以一般不留针。 </w:t>
      </w:r>
    </w:p>
    <w:p>
      <w:pPr>
        <w:overflowPunct w:val="0"/>
        <w:spacing w:line="520" w:lineRule="exact"/>
        <w:ind w:firstLine="672" w:firstLineChars="210"/>
        <w:rPr>
          <w:rFonts w:eastAsia="仿宋_GB2312"/>
          <w:iCs/>
          <w:color w:val="000000"/>
          <w:sz w:val="32"/>
          <w:szCs w:val="28"/>
        </w:rPr>
      </w:pPr>
      <w:r>
        <w:rPr>
          <w:rFonts w:eastAsia="仿宋_GB2312"/>
          <w:color w:val="000000"/>
          <w:sz w:val="32"/>
          <w:szCs w:val="32"/>
        </w:rPr>
        <w:t>（4）</w:t>
      </w:r>
      <w:r>
        <w:rPr>
          <w:rFonts w:eastAsia="仿宋_GB2312"/>
          <w:iCs/>
          <w:color w:val="000000"/>
          <w:sz w:val="32"/>
          <w:szCs w:val="28"/>
        </w:rPr>
        <w:t xml:space="preserve">孕妇不宜刺下腹部、腰骶部以及三阴交、合谷、至阴等对胎孕反应敏感的腧穴。 </w:t>
      </w:r>
    </w:p>
    <w:p>
      <w:pPr>
        <w:overflowPunct w:val="0"/>
        <w:spacing w:line="520" w:lineRule="exact"/>
        <w:ind w:firstLine="672" w:firstLineChars="210"/>
        <w:rPr>
          <w:rFonts w:eastAsia="仿宋_GB2312"/>
          <w:iCs/>
          <w:color w:val="000000"/>
          <w:sz w:val="32"/>
          <w:szCs w:val="28"/>
        </w:rPr>
      </w:pPr>
      <w:r>
        <w:rPr>
          <w:rFonts w:eastAsia="仿宋_GB2312"/>
          <w:color w:val="000000"/>
          <w:sz w:val="32"/>
          <w:szCs w:val="32"/>
        </w:rPr>
        <w:t>（5）</w:t>
      </w:r>
      <w:r>
        <w:rPr>
          <w:rFonts w:eastAsia="仿宋_GB2312"/>
          <w:iCs/>
          <w:color w:val="000000"/>
          <w:sz w:val="32"/>
          <w:szCs w:val="28"/>
        </w:rPr>
        <w:t xml:space="preserve">皮肤有感染、溃疡、瘢痕或肿瘤部位，除特殊治疗需要外，均不应在患部直接针刺。 </w:t>
      </w:r>
    </w:p>
    <w:p>
      <w:pPr>
        <w:overflowPunct w:val="0"/>
        <w:spacing w:line="520" w:lineRule="exact"/>
        <w:ind w:firstLine="672" w:firstLineChars="210"/>
        <w:rPr>
          <w:rFonts w:eastAsia="仿宋_GB2312"/>
          <w:iCs/>
          <w:color w:val="000000"/>
          <w:sz w:val="32"/>
          <w:szCs w:val="28"/>
        </w:rPr>
      </w:pPr>
      <w:r>
        <w:rPr>
          <w:rFonts w:eastAsia="仿宋_GB2312"/>
          <w:color w:val="000000"/>
          <w:sz w:val="32"/>
          <w:szCs w:val="32"/>
        </w:rPr>
        <w:t>（6）</w:t>
      </w:r>
      <w:r>
        <w:rPr>
          <w:rFonts w:eastAsia="仿宋_GB2312"/>
          <w:iCs/>
          <w:color w:val="000000"/>
          <w:sz w:val="32"/>
          <w:szCs w:val="28"/>
        </w:rPr>
        <w:t>有凝血机制障碍的患者，应禁用针刺。</w:t>
      </w:r>
    </w:p>
    <w:p>
      <w:pPr>
        <w:overflowPunct w:val="0"/>
        <w:spacing w:line="520" w:lineRule="exact"/>
        <w:ind w:firstLine="672" w:firstLineChars="210"/>
        <w:rPr>
          <w:rFonts w:eastAsia="仿宋_GB2312"/>
          <w:color w:val="000000"/>
          <w:sz w:val="32"/>
          <w:szCs w:val="32"/>
        </w:rPr>
      </w:pPr>
      <w:r>
        <w:rPr>
          <w:rFonts w:eastAsia="仿宋_GB2312"/>
          <w:color w:val="000000"/>
          <w:sz w:val="32"/>
          <w:szCs w:val="32"/>
        </w:rPr>
        <w:t>（7）对针灸针针体原材料过敏者禁用。</w:t>
      </w:r>
    </w:p>
    <w:p>
      <w:pPr>
        <w:overflowPunct w:val="0"/>
        <w:spacing w:line="520" w:lineRule="exact"/>
        <w:ind w:firstLine="672" w:firstLineChars="210"/>
        <w:rPr>
          <w:rFonts w:eastAsia="仿宋_GB2312"/>
          <w:sz w:val="32"/>
          <w:szCs w:val="32"/>
        </w:rPr>
      </w:pPr>
      <w:r>
        <w:rPr>
          <w:rFonts w:eastAsia="仿宋_GB2312"/>
          <w:color w:val="000000"/>
          <w:sz w:val="32"/>
          <w:szCs w:val="32"/>
        </w:rPr>
        <w:t>（8）</w:t>
      </w:r>
      <w:r>
        <w:rPr>
          <w:rFonts w:eastAsia="仿宋_GB2312"/>
          <w:sz w:val="32"/>
          <w:szCs w:val="32"/>
        </w:rPr>
        <w:t>针体表面有润滑剂的，对其成分过敏者禁用（如适用）。</w:t>
      </w:r>
    </w:p>
    <w:p>
      <w:pPr>
        <w:tabs>
          <w:tab w:val="left" w:pos="6521"/>
        </w:tabs>
        <w:adjustRightInd w:val="0"/>
        <w:snapToGrid w:val="0"/>
        <w:spacing w:line="520" w:lineRule="exact"/>
        <w:ind w:firstLine="640" w:firstLineChars="200"/>
        <w:rPr>
          <w:rFonts w:eastAsia="楷体_GB2312"/>
          <w:color w:val="000000"/>
          <w:sz w:val="32"/>
          <w:szCs w:val="32"/>
        </w:rPr>
      </w:pPr>
      <w:r>
        <w:rPr>
          <w:rFonts w:eastAsia="楷体_GB2312"/>
          <w:color w:val="000000"/>
          <w:sz w:val="32"/>
          <w:szCs w:val="32"/>
        </w:rPr>
        <w:t>（六）质量管理体系文件</w:t>
      </w:r>
    </w:p>
    <w:p>
      <w:pPr>
        <w:overflowPunct w:val="0"/>
        <w:spacing w:line="520" w:lineRule="exact"/>
        <w:ind w:firstLine="672" w:firstLineChars="210"/>
        <w:rPr>
          <w:rFonts w:eastAsia="仿宋_GB2312"/>
          <w:sz w:val="32"/>
          <w:szCs w:val="32"/>
        </w:rPr>
      </w:pPr>
      <w:r>
        <w:rPr>
          <w:rFonts w:eastAsia="仿宋_GB2312"/>
          <w:sz w:val="32"/>
          <w:szCs w:val="32"/>
        </w:rPr>
        <w:t>1.综述</w:t>
      </w:r>
    </w:p>
    <w:p>
      <w:pPr>
        <w:overflowPunct w:val="0"/>
        <w:spacing w:line="520" w:lineRule="exact"/>
        <w:ind w:firstLine="672" w:firstLineChars="210"/>
        <w:rPr>
          <w:rFonts w:eastAsia="仿宋_GB2312"/>
          <w:sz w:val="32"/>
          <w:szCs w:val="32"/>
        </w:rPr>
      </w:pPr>
      <w:r>
        <w:rPr>
          <w:rFonts w:eastAsia="仿宋_GB2312"/>
          <w:sz w:val="32"/>
          <w:szCs w:val="32"/>
        </w:rPr>
        <w:t>申请人应当承诺已按照相关法规要求建立相应的质量管理体系，随时接受质量管理体系核查。</w:t>
      </w:r>
    </w:p>
    <w:p>
      <w:pPr>
        <w:overflowPunct w:val="0"/>
        <w:spacing w:line="520" w:lineRule="exact"/>
        <w:ind w:firstLine="672" w:firstLineChars="210"/>
        <w:rPr>
          <w:rFonts w:eastAsia="仿宋_GB2312"/>
          <w:bCs/>
          <w:sz w:val="32"/>
          <w:szCs w:val="32"/>
        </w:rPr>
      </w:pPr>
      <w:r>
        <w:rPr>
          <w:rFonts w:eastAsia="仿宋_GB2312"/>
          <w:bCs/>
          <w:sz w:val="32"/>
          <w:szCs w:val="32"/>
        </w:rPr>
        <w:t>2.生产制造信息</w:t>
      </w:r>
    </w:p>
    <w:p>
      <w:pPr>
        <w:overflowPunct w:val="0"/>
        <w:spacing w:line="520" w:lineRule="exact"/>
        <w:ind w:firstLine="672" w:firstLineChars="210"/>
        <w:rPr>
          <w:rFonts w:eastAsia="仿宋_GB2312"/>
          <w:sz w:val="32"/>
          <w:szCs w:val="32"/>
        </w:rPr>
      </w:pPr>
      <w:r>
        <w:rPr>
          <w:rFonts w:eastAsia="仿宋_GB2312"/>
          <w:color w:val="000000"/>
          <w:sz w:val="32"/>
          <w:szCs w:val="32"/>
        </w:rPr>
        <w:t>（1）</w:t>
      </w:r>
      <w:r>
        <w:rPr>
          <w:rFonts w:eastAsia="仿宋_GB2312"/>
          <w:sz w:val="32"/>
          <w:szCs w:val="32"/>
        </w:rPr>
        <w:t>产品描述信息</w:t>
      </w:r>
    </w:p>
    <w:p>
      <w:pPr>
        <w:spacing w:line="520" w:lineRule="exact"/>
        <w:ind w:right="-67" w:rightChars="-32" w:firstLine="640" w:firstLineChars="200"/>
        <w:rPr>
          <w:rFonts w:eastAsia="仿宋_GB2312"/>
          <w:color w:val="000000"/>
          <w:sz w:val="32"/>
          <w:szCs w:val="32"/>
        </w:rPr>
      </w:pPr>
      <w:r>
        <w:rPr>
          <w:rFonts w:eastAsia="仿宋_GB2312"/>
          <w:sz w:val="32"/>
          <w:szCs w:val="32"/>
        </w:rPr>
        <w:t>应对针灸针工作原理和总体生产工艺进行简要说明。如包装材料中包含保护针尖的材料，因保护材料直接接触针尖，其残留物可能对针尖产生污染，外购保护材料为</w:t>
      </w:r>
      <w:r>
        <w:rPr>
          <w:rFonts w:eastAsia="仿宋_GB2312"/>
          <w:bCs/>
          <w:sz w:val="32"/>
          <w:szCs w:val="32"/>
        </w:rPr>
        <w:t>普通环境下生产的，应该对其进行清洁，清洁过程应列入生产工艺流程中。</w:t>
      </w:r>
    </w:p>
    <w:p>
      <w:pPr>
        <w:overflowPunct w:val="0"/>
        <w:spacing w:line="520" w:lineRule="exact"/>
        <w:ind w:firstLine="672" w:firstLineChars="210"/>
        <w:rPr>
          <w:rFonts w:eastAsia="仿宋_GB2312"/>
          <w:sz w:val="32"/>
          <w:szCs w:val="32"/>
        </w:rPr>
      </w:pPr>
      <w:r>
        <w:rPr>
          <w:rFonts w:eastAsia="仿宋_GB2312"/>
          <w:sz w:val="32"/>
          <w:szCs w:val="32"/>
        </w:rPr>
        <w:t>（2）一般生产信息</w:t>
      </w:r>
    </w:p>
    <w:p>
      <w:pPr>
        <w:overflowPunct w:val="0"/>
        <w:spacing w:line="520" w:lineRule="exact"/>
        <w:ind w:firstLine="672" w:firstLineChars="210"/>
        <w:rPr>
          <w:rFonts w:eastAsia="仿宋_GB2312"/>
          <w:sz w:val="32"/>
          <w:szCs w:val="32"/>
        </w:rPr>
      </w:pPr>
      <w:r>
        <w:rPr>
          <w:rFonts w:eastAsia="仿宋_GB2312"/>
          <w:sz w:val="32"/>
          <w:szCs w:val="32"/>
        </w:rPr>
        <w:t>提供生产器械或其部件的所有地址和联络信息。</w:t>
      </w:r>
    </w:p>
    <w:p>
      <w:pPr>
        <w:overflowPunct w:val="0"/>
        <w:spacing w:line="520" w:lineRule="exact"/>
        <w:ind w:firstLine="672" w:firstLineChars="210"/>
        <w:rPr>
          <w:rFonts w:eastAsia="仿宋_GB2312"/>
          <w:sz w:val="32"/>
          <w:szCs w:val="32"/>
        </w:rPr>
      </w:pPr>
      <w:r>
        <w:rPr>
          <w:rFonts w:eastAsia="仿宋_GB2312"/>
          <w:sz w:val="32"/>
          <w:szCs w:val="32"/>
        </w:rPr>
        <w:t>如适用，应当提供外包生产、重要组件或原材料的生产、关键工艺过程、灭菌等情况的所有重要供应商名称和地址。</w:t>
      </w:r>
    </w:p>
    <w:p>
      <w:pPr>
        <w:overflowPunct w:val="0"/>
        <w:spacing w:line="520" w:lineRule="exact"/>
        <w:ind w:firstLine="672" w:firstLineChars="210"/>
        <w:rPr>
          <w:rFonts w:eastAsia="仿宋_GB2312"/>
          <w:bCs/>
          <w:sz w:val="32"/>
          <w:szCs w:val="32"/>
        </w:rPr>
      </w:pPr>
      <w:r>
        <w:rPr>
          <w:rFonts w:eastAsia="仿宋_GB2312"/>
          <w:bCs/>
          <w:sz w:val="32"/>
          <w:szCs w:val="32"/>
        </w:rPr>
        <w:t>3.质量管理体系程序</w:t>
      </w:r>
    </w:p>
    <w:p>
      <w:pPr>
        <w:overflowPunct w:val="0"/>
        <w:spacing w:line="520" w:lineRule="exact"/>
        <w:ind w:firstLine="672" w:firstLineChars="210"/>
        <w:rPr>
          <w:rFonts w:eastAsia="仿宋_GB2312"/>
          <w:bCs/>
          <w:sz w:val="32"/>
          <w:szCs w:val="32"/>
        </w:rPr>
      </w:pPr>
      <w:r>
        <w:rPr>
          <w:rFonts w:eastAsia="仿宋_GB2312"/>
          <w:bCs/>
          <w:sz w:val="32"/>
          <w:szCs w:val="32"/>
        </w:rPr>
        <w:t>用于建立和维护质量管理体系的高层级质量管理体系程序，包括质量手册、质量方针、质量目标和文件及记录控制程序。</w:t>
      </w:r>
    </w:p>
    <w:p>
      <w:pPr>
        <w:overflowPunct w:val="0"/>
        <w:spacing w:line="520" w:lineRule="exact"/>
        <w:ind w:firstLine="672" w:firstLineChars="210"/>
        <w:rPr>
          <w:rFonts w:eastAsia="仿宋_GB2312"/>
          <w:bCs/>
          <w:sz w:val="32"/>
          <w:szCs w:val="32"/>
        </w:rPr>
      </w:pPr>
      <w:r>
        <w:rPr>
          <w:rFonts w:eastAsia="仿宋_GB2312"/>
          <w:bCs/>
          <w:sz w:val="32"/>
          <w:szCs w:val="32"/>
        </w:rPr>
        <w:t>4.管理职责程序</w:t>
      </w:r>
    </w:p>
    <w:p>
      <w:pPr>
        <w:overflowPunct w:val="0"/>
        <w:spacing w:line="520" w:lineRule="exact"/>
        <w:ind w:firstLine="672" w:firstLineChars="210"/>
        <w:rPr>
          <w:rFonts w:eastAsia="仿宋_GB2312"/>
          <w:bCs/>
          <w:sz w:val="32"/>
          <w:szCs w:val="32"/>
        </w:rPr>
      </w:pPr>
      <w:r>
        <w:rPr>
          <w:rFonts w:eastAsia="仿宋_GB2312"/>
          <w:bCs/>
          <w:sz w:val="32"/>
          <w:szCs w:val="32"/>
        </w:rPr>
        <w:t>用于通过阐述质量方针、策划、职责/权限/沟通和管理评审，对建立和维护质量管理体系形成管理保证文件的程序。</w:t>
      </w:r>
    </w:p>
    <w:p>
      <w:pPr>
        <w:overflowPunct w:val="0"/>
        <w:spacing w:line="520" w:lineRule="exact"/>
        <w:ind w:firstLine="672" w:firstLineChars="210"/>
        <w:rPr>
          <w:rFonts w:eastAsia="仿宋_GB2312"/>
          <w:bCs/>
          <w:sz w:val="32"/>
          <w:szCs w:val="32"/>
        </w:rPr>
      </w:pPr>
      <w:r>
        <w:rPr>
          <w:rFonts w:eastAsia="仿宋_GB2312"/>
          <w:bCs/>
          <w:sz w:val="32"/>
          <w:szCs w:val="32"/>
        </w:rPr>
        <w:t>5.资源管理程序</w:t>
      </w:r>
    </w:p>
    <w:p>
      <w:pPr>
        <w:overflowPunct w:val="0"/>
        <w:spacing w:line="520" w:lineRule="exact"/>
        <w:ind w:firstLine="672" w:firstLineChars="210"/>
        <w:rPr>
          <w:rFonts w:eastAsia="仿宋_GB2312"/>
          <w:bCs/>
          <w:sz w:val="32"/>
          <w:szCs w:val="32"/>
        </w:rPr>
      </w:pPr>
      <w:r>
        <w:rPr>
          <w:rFonts w:eastAsia="仿宋_GB2312"/>
          <w:bCs/>
          <w:sz w:val="32"/>
          <w:szCs w:val="32"/>
        </w:rPr>
        <w:t>用于为实施和维护质量管理体系所形成足够资源（包括人力资源、基础设施和工作环境）供应文件的程序。</w:t>
      </w:r>
    </w:p>
    <w:p>
      <w:pPr>
        <w:overflowPunct w:val="0"/>
        <w:spacing w:line="520" w:lineRule="exact"/>
        <w:ind w:firstLine="672" w:firstLineChars="210"/>
        <w:rPr>
          <w:rFonts w:eastAsia="仿宋_GB2312"/>
          <w:bCs/>
          <w:sz w:val="32"/>
          <w:szCs w:val="32"/>
        </w:rPr>
      </w:pPr>
      <w:r>
        <w:rPr>
          <w:rFonts w:eastAsia="仿宋_GB2312"/>
          <w:bCs/>
          <w:sz w:val="32"/>
          <w:szCs w:val="32"/>
        </w:rPr>
        <w:t>6.产品实现程序</w:t>
      </w:r>
    </w:p>
    <w:p>
      <w:pPr>
        <w:overflowPunct w:val="0"/>
        <w:spacing w:line="520" w:lineRule="exact"/>
        <w:ind w:firstLine="672" w:firstLineChars="210"/>
        <w:rPr>
          <w:rFonts w:eastAsia="仿宋_GB2312"/>
          <w:sz w:val="32"/>
          <w:szCs w:val="32"/>
        </w:rPr>
      </w:pPr>
      <w:r>
        <w:rPr>
          <w:rFonts w:eastAsia="仿宋_GB2312"/>
          <w:sz w:val="32"/>
          <w:szCs w:val="32"/>
        </w:rPr>
        <w:t>高层级的产品实现程序，如说明策划和客户相关过程的程序。</w:t>
      </w:r>
    </w:p>
    <w:p>
      <w:pPr>
        <w:overflowPunct w:val="0"/>
        <w:spacing w:line="520" w:lineRule="exact"/>
        <w:ind w:firstLine="672" w:firstLineChars="210"/>
        <w:rPr>
          <w:rFonts w:eastAsia="仿宋_GB2312"/>
          <w:sz w:val="32"/>
          <w:szCs w:val="32"/>
        </w:rPr>
      </w:pPr>
      <w:r>
        <w:rPr>
          <w:rFonts w:eastAsia="仿宋_GB2312"/>
          <w:sz w:val="32"/>
          <w:szCs w:val="32"/>
        </w:rPr>
        <w:t>（1）设计和开发程序</w:t>
      </w:r>
    </w:p>
    <w:p>
      <w:pPr>
        <w:overflowPunct w:val="0"/>
        <w:spacing w:line="520" w:lineRule="exact"/>
        <w:ind w:firstLine="672" w:firstLineChars="210"/>
        <w:rPr>
          <w:rFonts w:eastAsia="仿宋_GB2312"/>
          <w:sz w:val="32"/>
          <w:szCs w:val="32"/>
        </w:rPr>
      </w:pPr>
      <w:r>
        <w:rPr>
          <w:rFonts w:eastAsia="仿宋_GB2312"/>
          <w:sz w:val="32"/>
          <w:szCs w:val="32"/>
        </w:rPr>
        <w:t>用于形成从项目初始至设计转换的整个过程中关于产品设计的系统性和受控的开发过程文件的程序。</w:t>
      </w:r>
    </w:p>
    <w:p>
      <w:pPr>
        <w:overflowPunct w:val="0"/>
        <w:spacing w:line="520" w:lineRule="exact"/>
        <w:ind w:firstLine="672" w:firstLineChars="210"/>
        <w:rPr>
          <w:rFonts w:eastAsia="仿宋_GB2312"/>
          <w:sz w:val="32"/>
          <w:szCs w:val="32"/>
        </w:rPr>
      </w:pPr>
      <w:r>
        <w:rPr>
          <w:rFonts w:eastAsia="仿宋_GB2312"/>
          <w:sz w:val="32"/>
          <w:szCs w:val="32"/>
        </w:rPr>
        <w:t>（2）采购程序</w:t>
      </w:r>
    </w:p>
    <w:p>
      <w:pPr>
        <w:overflowPunct w:val="0"/>
        <w:spacing w:line="520" w:lineRule="exact"/>
        <w:ind w:firstLine="672" w:firstLineChars="210"/>
        <w:rPr>
          <w:rFonts w:eastAsia="仿宋_GB2312"/>
          <w:sz w:val="32"/>
          <w:szCs w:val="32"/>
        </w:rPr>
      </w:pPr>
      <w:r>
        <w:rPr>
          <w:rFonts w:eastAsia="仿宋_GB2312"/>
          <w:sz w:val="32"/>
          <w:szCs w:val="32"/>
        </w:rPr>
        <w:t>用于形成符合已制定的质量和/或产品技术参数的采购产品/服务文件的程序。</w:t>
      </w:r>
    </w:p>
    <w:p>
      <w:pPr>
        <w:overflowPunct w:val="0"/>
        <w:spacing w:line="520" w:lineRule="exact"/>
        <w:ind w:firstLine="672" w:firstLineChars="210"/>
        <w:rPr>
          <w:rFonts w:eastAsia="仿宋_GB2312"/>
          <w:sz w:val="32"/>
          <w:szCs w:val="32"/>
        </w:rPr>
      </w:pPr>
      <w:r>
        <w:rPr>
          <w:rFonts w:eastAsia="仿宋_GB2312"/>
          <w:sz w:val="32"/>
          <w:szCs w:val="32"/>
        </w:rPr>
        <w:t>（3）生产和服务控制程序</w:t>
      </w:r>
    </w:p>
    <w:p>
      <w:pPr>
        <w:overflowPunct w:val="0"/>
        <w:spacing w:line="520" w:lineRule="exact"/>
        <w:ind w:firstLine="672" w:firstLineChars="210"/>
        <w:rPr>
          <w:rFonts w:eastAsia="仿宋_GB2312"/>
          <w:sz w:val="32"/>
          <w:szCs w:val="32"/>
        </w:rPr>
      </w:pPr>
      <w:r>
        <w:rPr>
          <w:rFonts w:eastAsia="仿宋_GB2312"/>
          <w:sz w:val="32"/>
          <w:szCs w:val="32"/>
        </w:rPr>
        <w:t>用于形成受控条件下生产和服务活动文件的程序，这些程序阐述诸如产品的清洁和污染的控制、安装和服务活动、过程确认、标识和可追溯性等问题。</w:t>
      </w:r>
    </w:p>
    <w:p>
      <w:pPr>
        <w:overflowPunct w:val="0"/>
        <w:spacing w:line="520" w:lineRule="exact"/>
        <w:ind w:firstLine="672" w:firstLineChars="210"/>
        <w:rPr>
          <w:rFonts w:eastAsia="仿宋_GB2312"/>
          <w:sz w:val="32"/>
          <w:szCs w:val="32"/>
        </w:rPr>
      </w:pPr>
      <w:r>
        <w:rPr>
          <w:rFonts w:eastAsia="仿宋_GB2312"/>
          <w:sz w:val="32"/>
          <w:szCs w:val="32"/>
        </w:rPr>
        <w:t>（4）监视和测量装置控制程序</w:t>
      </w:r>
    </w:p>
    <w:p>
      <w:pPr>
        <w:overflowPunct w:val="0"/>
        <w:spacing w:line="520" w:lineRule="exact"/>
        <w:ind w:firstLine="672" w:firstLineChars="210"/>
        <w:rPr>
          <w:rFonts w:eastAsia="仿宋_GB2312"/>
          <w:sz w:val="32"/>
          <w:szCs w:val="32"/>
        </w:rPr>
      </w:pPr>
      <w:r>
        <w:rPr>
          <w:rFonts w:eastAsia="仿宋_GB2312"/>
          <w:sz w:val="32"/>
          <w:szCs w:val="32"/>
        </w:rPr>
        <w:t>用于形成质量管理体系运行过程中所使用的监视和测量设备已受控并持续符合既定要求文件的程序。</w:t>
      </w:r>
    </w:p>
    <w:p>
      <w:pPr>
        <w:overflowPunct w:val="0"/>
        <w:spacing w:line="520" w:lineRule="exact"/>
        <w:ind w:firstLine="672" w:firstLineChars="210"/>
        <w:rPr>
          <w:rFonts w:eastAsia="仿宋_GB2312"/>
          <w:sz w:val="32"/>
          <w:szCs w:val="32"/>
        </w:rPr>
      </w:pPr>
      <w:r>
        <w:rPr>
          <w:rFonts w:eastAsia="仿宋_GB2312"/>
          <w:sz w:val="32"/>
          <w:szCs w:val="32"/>
        </w:rPr>
        <w:t>7.质量管理体系的测量、分析和改进程序</w:t>
      </w:r>
    </w:p>
    <w:p>
      <w:pPr>
        <w:overflowPunct w:val="0"/>
        <w:spacing w:line="520" w:lineRule="exact"/>
        <w:ind w:firstLine="672" w:firstLineChars="210"/>
        <w:rPr>
          <w:rFonts w:eastAsia="仿宋_GB2312"/>
          <w:sz w:val="32"/>
          <w:szCs w:val="32"/>
        </w:rPr>
      </w:pPr>
      <w:r>
        <w:rPr>
          <w:rFonts w:eastAsia="仿宋_GB2312"/>
          <w:sz w:val="32"/>
          <w:szCs w:val="32"/>
        </w:rPr>
        <w:t>用于形成如何监视、测量、分析和改进以确保产品和质量管理体系的符合性，并保持质量管理体系有效性的文件的程序。</w:t>
      </w:r>
    </w:p>
    <w:p>
      <w:pPr>
        <w:overflowPunct w:val="0"/>
        <w:spacing w:line="520" w:lineRule="exact"/>
        <w:ind w:firstLine="672" w:firstLineChars="210"/>
        <w:rPr>
          <w:rFonts w:eastAsia="仿宋_GB2312"/>
          <w:sz w:val="32"/>
          <w:szCs w:val="32"/>
        </w:rPr>
      </w:pPr>
      <w:r>
        <w:rPr>
          <w:rFonts w:eastAsia="仿宋_GB2312"/>
          <w:sz w:val="32"/>
          <w:szCs w:val="32"/>
        </w:rPr>
        <w:t>8.其他质量体系程序信息</w:t>
      </w:r>
    </w:p>
    <w:p>
      <w:pPr>
        <w:overflowPunct w:val="0"/>
        <w:spacing w:line="520" w:lineRule="exact"/>
        <w:ind w:firstLine="672" w:firstLineChars="210"/>
        <w:rPr>
          <w:rFonts w:eastAsia="仿宋_GB2312"/>
          <w:sz w:val="32"/>
          <w:szCs w:val="32"/>
        </w:rPr>
      </w:pPr>
      <w:r>
        <w:rPr>
          <w:rFonts w:eastAsia="仿宋_GB2312"/>
          <w:sz w:val="32"/>
          <w:szCs w:val="32"/>
        </w:rPr>
        <w:t>不属于上述内容，但对此次申报较为重要的其他信息。</w:t>
      </w:r>
    </w:p>
    <w:p>
      <w:pPr>
        <w:overflowPunct w:val="0"/>
        <w:spacing w:line="520" w:lineRule="exact"/>
        <w:ind w:firstLine="672" w:firstLineChars="210"/>
        <w:rPr>
          <w:rFonts w:eastAsia="仿宋_GB2312"/>
          <w:sz w:val="32"/>
          <w:szCs w:val="32"/>
        </w:rPr>
      </w:pPr>
      <w:r>
        <w:rPr>
          <w:rFonts w:eastAsia="仿宋_GB2312"/>
          <w:sz w:val="32"/>
          <w:szCs w:val="32"/>
        </w:rPr>
        <w:t>9.质量管理体系核查文件</w:t>
      </w:r>
    </w:p>
    <w:p>
      <w:pPr>
        <w:overflowPunct w:val="0"/>
        <w:spacing w:line="520" w:lineRule="exact"/>
        <w:ind w:firstLine="672" w:firstLineChars="210"/>
        <w:rPr>
          <w:rFonts w:eastAsia="仿宋_GB2312"/>
          <w:sz w:val="32"/>
          <w:szCs w:val="32"/>
        </w:rPr>
      </w:pPr>
      <w:r>
        <w:rPr>
          <w:rFonts w:eastAsia="仿宋_GB2312"/>
          <w:sz w:val="32"/>
          <w:szCs w:val="32"/>
        </w:rPr>
        <w:t>根据上述质量管理体系程序，申请人应当形成相关质量管理体系文件和记录。应当提交下列资料，在质量管理体系核查时进行检查。</w:t>
      </w:r>
    </w:p>
    <w:p>
      <w:pPr>
        <w:overflowPunct w:val="0"/>
        <w:spacing w:line="520" w:lineRule="exact"/>
        <w:ind w:firstLine="672" w:firstLineChars="210"/>
        <w:rPr>
          <w:rFonts w:eastAsia="仿宋_GB2312"/>
          <w:sz w:val="32"/>
          <w:szCs w:val="32"/>
        </w:rPr>
      </w:pPr>
      <w:r>
        <w:rPr>
          <w:rFonts w:eastAsia="仿宋_GB2312"/>
          <w:sz w:val="32"/>
          <w:szCs w:val="32"/>
        </w:rPr>
        <w:t>（1）申请人基本情况表。</w:t>
      </w:r>
    </w:p>
    <w:p>
      <w:pPr>
        <w:overflowPunct w:val="0"/>
        <w:spacing w:line="520" w:lineRule="exact"/>
        <w:ind w:firstLine="672" w:firstLineChars="210"/>
        <w:rPr>
          <w:rFonts w:eastAsia="仿宋_GB2312"/>
          <w:sz w:val="32"/>
          <w:szCs w:val="32"/>
        </w:rPr>
      </w:pPr>
      <w:r>
        <w:rPr>
          <w:rFonts w:eastAsia="仿宋_GB2312"/>
          <w:sz w:val="32"/>
          <w:szCs w:val="32"/>
        </w:rPr>
        <w:t>（2）申请人组织机构图。</w:t>
      </w:r>
    </w:p>
    <w:p>
      <w:pPr>
        <w:overflowPunct w:val="0"/>
        <w:spacing w:line="520" w:lineRule="exact"/>
        <w:ind w:firstLine="672" w:firstLineChars="210"/>
        <w:rPr>
          <w:rFonts w:eastAsia="仿宋_GB2312"/>
          <w:sz w:val="32"/>
          <w:szCs w:val="32"/>
        </w:rPr>
      </w:pPr>
      <w:r>
        <w:rPr>
          <w:rFonts w:eastAsia="仿宋_GB2312"/>
          <w:sz w:val="32"/>
          <w:szCs w:val="32"/>
        </w:rPr>
        <w:t>（3）生产企业总平面布置图、生产区域分布图。</w:t>
      </w:r>
    </w:p>
    <w:p>
      <w:pPr>
        <w:overflowPunct w:val="0"/>
        <w:spacing w:line="520" w:lineRule="exact"/>
        <w:ind w:firstLine="672" w:firstLineChars="210"/>
        <w:rPr>
          <w:rFonts w:eastAsia="仿宋_GB2312"/>
          <w:sz w:val="32"/>
          <w:szCs w:val="32"/>
        </w:rPr>
      </w:pPr>
      <w:r>
        <w:rPr>
          <w:rFonts w:eastAsia="仿宋_GB2312"/>
          <w:sz w:val="32"/>
          <w:szCs w:val="32"/>
        </w:rPr>
        <w:t>（4）生产过程有净化要求的，应当提供有资质的检测机构出具的环境检测报告（附平面布局图）复印件。</w:t>
      </w:r>
    </w:p>
    <w:p>
      <w:pPr>
        <w:overflowPunct w:val="0"/>
        <w:spacing w:line="520" w:lineRule="exact"/>
        <w:ind w:firstLine="672" w:firstLineChars="210"/>
        <w:rPr>
          <w:rFonts w:eastAsia="仿宋_GB2312"/>
          <w:sz w:val="32"/>
          <w:szCs w:val="32"/>
        </w:rPr>
      </w:pPr>
      <w:r>
        <w:rPr>
          <w:rFonts w:eastAsia="仿宋_GB2312"/>
          <w:sz w:val="32"/>
          <w:szCs w:val="32"/>
        </w:rPr>
        <w:t>（5）产品生产工艺流程图，应当标明主要控制点与项目及主要原材料、采购件的来源及质量控制方法。</w:t>
      </w:r>
    </w:p>
    <w:p>
      <w:pPr>
        <w:overflowPunct w:val="0"/>
        <w:spacing w:line="520" w:lineRule="exact"/>
        <w:ind w:firstLine="672" w:firstLineChars="210"/>
        <w:rPr>
          <w:rFonts w:eastAsia="仿宋_GB2312"/>
          <w:sz w:val="32"/>
          <w:szCs w:val="32"/>
        </w:rPr>
      </w:pPr>
      <w:r>
        <w:rPr>
          <w:rFonts w:eastAsia="仿宋_GB2312"/>
          <w:sz w:val="32"/>
          <w:szCs w:val="32"/>
        </w:rPr>
        <w:t>（6）主要生产设备和检验设备（包括进货检验、过程检验、出厂最终检验所需的相关设备；在净化条件下生产的，还应当提供环境监测设备）目录。</w:t>
      </w:r>
    </w:p>
    <w:p>
      <w:pPr>
        <w:overflowPunct w:val="0"/>
        <w:spacing w:line="520" w:lineRule="exact"/>
        <w:ind w:firstLine="672" w:firstLineChars="210"/>
        <w:rPr>
          <w:rFonts w:eastAsia="仿宋_GB2312"/>
          <w:sz w:val="32"/>
          <w:szCs w:val="32"/>
        </w:rPr>
      </w:pPr>
      <w:r>
        <w:rPr>
          <w:rFonts w:eastAsia="仿宋_GB2312"/>
          <w:sz w:val="32"/>
          <w:szCs w:val="32"/>
        </w:rPr>
        <w:t>（7）质量管理体系自查报告。</w:t>
      </w:r>
    </w:p>
    <w:p>
      <w:pPr>
        <w:overflowPunct w:val="0"/>
        <w:spacing w:line="520" w:lineRule="exact"/>
        <w:ind w:firstLine="672" w:firstLineChars="210"/>
        <w:rPr>
          <w:rFonts w:eastAsia="仿宋_GB2312"/>
          <w:sz w:val="32"/>
          <w:szCs w:val="32"/>
        </w:rPr>
      </w:pPr>
      <w:r>
        <w:rPr>
          <w:rFonts w:eastAsia="仿宋_GB2312"/>
          <w:sz w:val="32"/>
          <w:szCs w:val="32"/>
        </w:rPr>
        <w:t>（8）如适用，应当提供拟核查产品与既往已通过核查产品在生产条件、生产工艺等方面的对比说明。</w:t>
      </w:r>
    </w:p>
    <w:p>
      <w:pPr>
        <w:spacing w:line="520" w:lineRule="exact"/>
        <w:ind w:firstLine="640" w:firstLineChars="200"/>
        <w:rPr>
          <w:rFonts w:eastAsia="黑体"/>
          <w:color w:val="000000"/>
          <w:sz w:val="32"/>
          <w:szCs w:val="32"/>
        </w:rPr>
      </w:pPr>
      <w:bookmarkStart w:id="3" w:name="_Toc275332588"/>
      <w:bookmarkStart w:id="4" w:name="_Toc272225073"/>
      <w:bookmarkStart w:id="5" w:name="_Toc272333393"/>
      <w:r>
        <w:rPr>
          <w:rFonts w:eastAsia="黑体"/>
          <w:color w:val="000000"/>
          <w:sz w:val="32"/>
          <w:szCs w:val="32"/>
        </w:rPr>
        <w:t>三、</w:t>
      </w:r>
      <w:bookmarkEnd w:id="3"/>
      <w:bookmarkEnd w:id="4"/>
      <w:bookmarkEnd w:id="5"/>
      <w:r>
        <w:rPr>
          <w:rFonts w:eastAsia="黑体"/>
          <w:color w:val="000000"/>
          <w:sz w:val="32"/>
          <w:szCs w:val="32"/>
        </w:rPr>
        <w:t>参考文献</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[1]</w:t>
      </w:r>
      <w:r>
        <w:rPr>
          <w:rFonts w:eastAsia="仿宋_GB2312"/>
          <w:color w:val="000000"/>
          <w:sz w:val="32"/>
          <w:szCs w:val="32"/>
          <w:lang w:val="en"/>
        </w:rPr>
        <w:t>中华人民共和国国务院</w:t>
      </w:r>
      <w:r>
        <w:rPr>
          <w:rFonts w:hint="eastAsia" w:eastAsia="仿宋_GB2312"/>
          <w:color w:val="000000"/>
          <w:sz w:val="32"/>
          <w:szCs w:val="32"/>
          <w:lang w:val="en"/>
        </w:rPr>
        <w:t>.</w:t>
      </w:r>
      <w:r>
        <w:rPr>
          <w:rFonts w:eastAsia="仿宋_GB2312"/>
          <w:color w:val="000000"/>
          <w:sz w:val="32"/>
          <w:szCs w:val="32"/>
        </w:rPr>
        <w:t>医疗器械监督管理条例</w:t>
      </w:r>
      <w:r>
        <w:rPr>
          <w:rFonts w:hint="eastAsia" w:eastAsia="仿宋_GB2312"/>
          <w:color w:val="000000"/>
          <w:sz w:val="32"/>
          <w:szCs w:val="32"/>
        </w:rPr>
        <w:t>:</w:t>
      </w:r>
      <w:r>
        <w:rPr>
          <w:rFonts w:eastAsia="仿宋_GB2312"/>
          <w:color w:val="000000"/>
          <w:sz w:val="32"/>
          <w:szCs w:val="32"/>
          <w:lang w:val="en"/>
        </w:rPr>
        <w:t>中华人民共和国国务院令第739号</w:t>
      </w:r>
      <w:r>
        <w:rPr>
          <w:rFonts w:eastAsia="仿宋_GB2312"/>
          <w:color w:val="000000"/>
          <w:sz w:val="32"/>
          <w:szCs w:val="32"/>
        </w:rPr>
        <w:t>[Z].</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[2]国家市场监督管理总局</w:t>
      </w:r>
      <w:r>
        <w:rPr>
          <w:rFonts w:hint="eastAsia" w:eastAsia="仿宋_GB2312"/>
          <w:color w:val="000000"/>
          <w:sz w:val="32"/>
          <w:szCs w:val="32"/>
        </w:rPr>
        <w:t>.</w:t>
      </w:r>
      <w:r>
        <w:rPr>
          <w:rFonts w:eastAsia="仿宋_GB2312"/>
          <w:color w:val="000000"/>
          <w:sz w:val="32"/>
          <w:szCs w:val="32"/>
        </w:rPr>
        <w:t>医疗器械注册与备案管理办法:国家市场监督管理总局令第47号[Z].</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[3]</w:t>
      </w:r>
      <w:r>
        <w:rPr>
          <w:rFonts w:hint="eastAsia" w:eastAsia="仿宋_GB2312"/>
          <w:color w:val="000000"/>
          <w:sz w:val="32"/>
          <w:szCs w:val="32"/>
        </w:rPr>
        <w:t>国家药品监督管理局.</w:t>
      </w:r>
      <w:r>
        <w:rPr>
          <w:rFonts w:eastAsia="仿宋_GB2312"/>
          <w:color w:val="000000"/>
          <w:sz w:val="32"/>
          <w:szCs w:val="32"/>
        </w:rPr>
        <w:t>医疗器械注册申报资料要求和批准证明文件格式</w:t>
      </w:r>
      <w:r>
        <w:rPr>
          <w:rFonts w:hint="eastAsia" w:eastAsia="仿宋_GB2312"/>
          <w:color w:val="000000"/>
          <w:sz w:val="32"/>
          <w:szCs w:val="32"/>
        </w:rPr>
        <w:t>:国家药监局关于公布医疗器械注册申报资料要求和批准证明文件格式的公告2021年第121号</w:t>
      </w:r>
      <w:r>
        <w:rPr>
          <w:rFonts w:eastAsia="仿宋_GB2312"/>
          <w:color w:val="000000"/>
          <w:sz w:val="32"/>
          <w:szCs w:val="32"/>
        </w:rPr>
        <w:t>[Z].</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[4]</w:t>
      </w:r>
      <w:r>
        <w:rPr>
          <w:rFonts w:eastAsia="仿宋_GB2312"/>
          <w:sz w:val="32"/>
          <w:szCs w:val="28"/>
        </w:rPr>
        <w:t>国家食品药品监督管理局</w:t>
      </w:r>
      <w:r>
        <w:rPr>
          <w:rFonts w:hint="eastAsia" w:eastAsia="仿宋_GB2312"/>
          <w:color w:val="000000"/>
          <w:sz w:val="32"/>
          <w:szCs w:val="32"/>
        </w:rPr>
        <w:t>.</w:t>
      </w:r>
      <w:r>
        <w:rPr>
          <w:rFonts w:eastAsia="仿宋_GB2312"/>
          <w:color w:val="000000"/>
          <w:sz w:val="32"/>
          <w:szCs w:val="32"/>
        </w:rPr>
        <w:t>医疗器械通用名称命名规则</w:t>
      </w:r>
      <w:r>
        <w:rPr>
          <w:rFonts w:hint="eastAsia" w:eastAsia="仿宋_GB2312"/>
          <w:color w:val="000000"/>
          <w:sz w:val="32"/>
          <w:szCs w:val="32"/>
        </w:rPr>
        <w:t>：</w:t>
      </w:r>
      <w:r>
        <w:rPr>
          <w:rFonts w:eastAsia="仿宋_GB2312"/>
          <w:sz w:val="32"/>
          <w:szCs w:val="28"/>
        </w:rPr>
        <w:t>国家食品药品监督管理总局令第19号</w:t>
      </w:r>
      <w:r>
        <w:rPr>
          <w:rFonts w:eastAsia="仿宋_GB2312"/>
          <w:color w:val="000000"/>
          <w:sz w:val="32"/>
          <w:szCs w:val="32"/>
        </w:rPr>
        <w:t>[Z].</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[5]</w:t>
      </w:r>
      <w:r>
        <w:rPr>
          <w:rFonts w:hint="eastAsia" w:eastAsia="仿宋_GB2312"/>
          <w:color w:val="000000"/>
          <w:sz w:val="32"/>
          <w:szCs w:val="32"/>
        </w:rPr>
        <w:t>国家药品监督管理局.</w:t>
      </w:r>
      <w:r>
        <w:rPr>
          <w:rFonts w:eastAsia="仿宋_GB2312"/>
          <w:color w:val="000000"/>
          <w:sz w:val="32"/>
          <w:szCs w:val="32"/>
        </w:rPr>
        <w:t>中医器械通用名称命名指导原则</w:t>
      </w:r>
      <w:r>
        <w:rPr>
          <w:rFonts w:hint="eastAsia" w:eastAsia="仿宋_GB2312"/>
          <w:color w:val="000000"/>
          <w:sz w:val="32"/>
          <w:szCs w:val="32"/>
        </w:rPr>
        <w:t>:国家药监局关于发布医用康复器械通用名称命名指导原则等6项指导原则的通告2021年第48号</w:t>
      </w:r>
      <w:r>
        <w:rPr>
          <w:rFonts w:eastAsia="仿宋_GB2312"/>
          <w:color w:val="000000"/>
          <w:sz w:val="32"/>
          <w:szCs w:val="32"/>
        </w:rPr>
        <w:t>[Z].</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[6]</w:t>
      </w:r>
      <w:r>
        <w:rPr>
          <w:rFonts w:eastAsia="仿宋_GB2312"/>
          <w:color w:val="000000"/>
          <w:sz w:val="32"/>
          <w:szCs w:val="32"/>
          <w:lang w:val="en"/>
        </w:rPr>
        <w:t>国家食品药品监督管理局</w:t>
      </w:r>
      <w:r>
        <w:rPr>
          <w:rFonts w:eastAsia="仿宋_GB2312"/>
          <w:color w:val="000000"/>
          <w:sz w:val="32"/>
          <w:szCs w:val="32"/>
        </w:rPr>
        <w:t>.医疗器械分类目录</w:t>
      </w:r>
      <w:r>
        <w:rPr>
          <w:rFonts w:hint="eastAsia" w:eastAsia="仿宋_GB2312"/>
          <w:color w:val="000000"/>
          <w:sz w:val="32"/>
          <w:szCs w:val="32"/>
        </w:rPr>
        <w:t>:</w:t>
      </w:r>
      <w:r>
        <w:rPr>
          <w:rFonts w:eastAsia="仿宋_GB2312"/>
          <w:color w:val="000000"/>
          <w:sz w:val="32"/>
          <w:szCs w:val="32"/>
          <w:lang w:val="en"/>
        </w:rPr>
        <w:t>国家食品药品监督管理总局</w:t>
      </w:r>
      <w:r>
        <w:rPr>
          <w:rFonts w:hint="eastAsia" w:eastAsia="仿宋_GB2312"/>
          <w:color w:val="000000"/>
          <w:sz w:val="32"/>
          <w:szCs w:val="32"/>
          <w:lang w:val="en"/>
        </w:rPr>
        <w:t>关于发布医疗器械分类目录的公告</w:t>
      </w:r>
      <w:r>
        <w:rPr>
          <w:rFonts w:eastAsia="仿宋_GB2312"/>
          <w:color w:val="000000"/>
          <w:sz w:val="32"/>
          <w:szCs w:val="32"/>
          <w:lang w:val="en"/>
        </w:rPr>
        <w:t>2017年第104号</w:t>
      </w:r>
      <w:r>
        <w:rPr>
          <w:rFonts w:eastAsia="仿宋_GB2312"/>
          <w:color w:val="000000"/>
          <w:sz w:val="32"/>
          <w:szCs w:val="32"/>
        </w:rPr>
        <w:t>[Z].</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[7]</w:t>
      </w:r>
      <w:r>
        <w:rPr>
          <w:rFonts w:eastAsia="仿宋_GB2312"/>
          <w:color w:val="000000"/>
          <w:sz w:val="32"/>
          <w:szCs w:val="32"/>
          <w:lang w:val="en"/>
        </w:rPr>
        <w:t>国家食品药品监督管理局</w:t>
      </w:r>
      <w:r>
        <w:rPr>
          <w:rFonts w:eastAsia="仿宋_GB2312"/>
          <w:color w:val="000000"/>
          <w:sz w:val="32"/>
          <w:szCs w:val="32"/>
        </w:rPr>
        <w:t>.医疗器械注册单元划分指导原则</w:t>
      </w:r>
      <w:r>
        <w:rPr>
          <w:rFonts w:hint="eastAsia" w:eastAsia="仿宋_GB2312"/>
          <w:color w:val="000000"/>
          <w:sz w:val="32"/>
          <w:szCs w:val="32"/>
        </w:rPr>
        <w:t>:总局关于发布</w:t>
      </w:r>
      <w:r>
        <w:rPr>
          <w:rFonts w:eastAsia="仿宋_GB2312"/>
          <w:color w:val="000000"/>
          <w:sz w:val="32"/>
          <w:szCs w:val="32"/>
        </w:rPr>
        <w:t>医疗器械注册单元划分指导原则</w:t>
      </w:r>
      <w:r>
        <w:rPr>
          <w:rFonts w:hint="eastAsia" w:eastAsia="仿宋_GB2312"/>
          <w:color w:val="000000"/>
          <w:sz w:val="32"/>
          <w:szCs w:val="32"/>
        </w:rPr>
        <w:t>的通</w:t>
      </w:r>
      <w:r>
        <w:rPr>
          <w:rFonts w:eastAsia="仿宋_GB2312"/>
          <w:color w:val="000000"/>
          <w:sz w:val="32"/>
          <w:szCs w:val="32"/>
          <w:lang w:val="en"/>
        </w:rPr>
        <w:t>告2017年第187号</w:t>
      </w:r>
      <w:r>
        <w:rPr>
          <w:rFonts w:eastAsia="仿宋_GB2312"/>
          <w:color w:val="000000"/>
          <w:sz w:val="32"/>
          <w:szCs w:val="32"/>
        </w:rPr>
        <w:t>[Z].</w:t>
      </w:r>
    </w:p>
    <w:p>
      <w:pPr>
        <w:spacing w:line="520" w:lineRule="exact"/>
        <w:ind w:right="-67" w:rightChars="-32" w:firstLine="640" w:firstLineChars="200"/>
        <w:rPr>
          <w:rFonts w:eastAsia="仿宋_GB2312"/>
          <w:sz w:val="32"/>
          <w:szCs w:val="32"/>
        </w:rPr>
      </w:pPr>
      <w:r>
        <w:rPr>
          <w:rFonts w:eastAsia="仿宋_GB2312"/>
          <w:sz w:val="32"/>
          <w:szCs w:val="32"/>
        </w:rPr>
        <w:t>[8]</w:t>
      </w:r>
      <w:r>
        <w:rPr>
          <w:rFonts w:hint="eastAsia" w:eastAsia="仿宋_GB2312"/>
          <w:color w:val="000000"/>
          <w:sz w:val="32"/>
          <w:szCs w:val="32"/>
        </w:rPr>
        <w:t>国家药品监督管理局.</w:t>
      </w:r>
      <w:r>
        <w:rPr>
          <w:rFonts w:eastAsia="仿宋_GB2312"/>
          <w:sz w:val="32"/>
          <w:szCs w:val="32"/>
        </w:rPr>
        <w:t>医疗器械产品技术要求编写指导原则</w:t>
      </w:r>
      <w:r>
        <w:rPr>
          <w:rFonts w:hint="eastAsia" w:eastAsia="仿宋_GB2312"/>
          <w:sz w:val="32"/>
          <w:szCs w:val="32"/>
        </w:rPr>
        <w:t>:国家药监局关于发布</w:t>
      </w:r>
      <w:r>
        <w:rPr>
          <w:rFonts w:eastAsia="仿宋_GB2312"/>
          <w:sz w:val="32"/>
          <w:szCs w:val="32"/>
        </w:rPr>
        <w:t>医疗器械产品技术要求编写指导原则</w:t>
      </w:r>
      <w:r>
        <w:rPr>
          <w:rFonts w:hint="eastAsia" w:eastAsia="仿宋_GB2312"/>
          <w:sz w:val="32"/>
          <w:szCs w:val="32"/>
        </w:rPr>
        <w:t>的</w:t>
      </w:r>
      <w:r>
        <w:rPr>
          <w:rFonts w:hint="eastAsia" w:eastAsia="仿宋_GB2312"/>
          <w:color w:val="000000"/>
          <w:sz w:val="32"/>
          <w:szCs w:val="32"/>
          <w:lang w:val="en"/>
        </w:rPr>
        <w:t>通告</w:t>
      </w:r>
      <w:r>
        <w:rPr>
          <w:rFonts w:eastAsia="仿宋_GB2312"/>
          <w:color w:val="000000"/>
          <w:sz w:val="32"/>
          <w:szCs w:val="32"/>
          <w:lang w:val="en"/>
        </w:rPr>
        <w:t>20</w:t>
      </w:r>
      <w:r>
        <w:rPr>
          <w:rFonts w:hint="eastAsia" w:eastAsia="仿宋_GB2312"/>
          <w:color w:val="000000"/>
          <w:sz w:val="32"/>
          <w:szCs w:val="32"/>
          <w:lang w:val="en"/>
        </w:rPr>
        <w:t>22</w:t>
      </w:r>
      <w:r>
        <w:rPr>
          <w:rFonts w:eastAsia="仿宋_GB2312"/>
          <w:color w:val="000000"/>
          <w:sz w:val="32"/>
          <w:szCs w:val="32"/>
          <w:lang w:val="en"/>
        </w:rPr>
        <w:t>年第8号</w:t>
      </w:r>
      <w:r>
        <w:rPr>
          <w:rFonts w:eastAsia="仿宋_GB2312"/>
          <w:sz w:val="32"/>
          <w:szCs w:val="32"/>
        </w:rPr>
        <w:t>[Z].</w:t>
      </w:r>
    </w:p>
    <w:p>
      <w:pPr>
        <w:spacing w:line="520" w:lineRule="exact"/>
        <w:ind w:firstLine="640" w:firstLineChars="200"/>
        <w:rPr>
          <w:rFonts w:eastAsia="仿宋_GB2312"/>
          <w:color w:val="000000"/>
          <w:sz w:val="32"/>
          <w:szCs w:val="32"/>
        </w:rPr>
      </w:pPr>
      <w:r>
        <w:rPr>
          <w:rFonts w:eastAsia="仿宋_GB2312"/>
          <w:color w:val="000000"/>
          <w:sz w:val="32"/>
          <w:szCs w:val="32"/>
        </w:rPr>
        <w:t>[9]</w:t>
      </w:r>
      <w:r>
        <w:rPr>
          <w:rFonts w:hint="eastAsia" w:eastAsia="仿宋_GB2312"/>
          <w:color w:val="000000"/>
          <w:sz w:val="32"/>
          <w:szCs w:val="32"/>
        </w:rPr>
        <w:t>国家药品监督管理局.</w:t>
      </w:r>
      <w:r>
        <w:rPr>
          <w:rFonts w:eastAsia="仿宋_GB2312"/>
          <w:color w:val="000000"/>
          <w:sz w:val="32"/>
          <w:szCs w:val="32"/>
        </w:rPr>
        <w:t>免于临床评价医疗器械目录</w:t>
      </w:r>
      <w:r>
        <w:rPr>
          <w:rFonts w:hint="eastAsia" w:eastAsia="仿宋_GB2312"/>
          <w:color w:val="000000"/>
          <w:sz w:val="32"/>
          <w:szCs w:val="32"/>
        </w:rPr>
        <w:t>：</w:t>
      </w:r>
      <w:r>
        <w:rPr>
          <w:rFonts w:eastAsia="仿宋_GB2312"/>
          <w:color w:val="000000"/>
          <w:sz w:val="32"/>
          <w:szCs w:val="32"/>
          <w:lang w:val="en"/>
        </w:rPr>
        <w:t>国家</w:t>
      </w:r>
      <w:r>
        <w:rPr>
          <w:rFonts w:hint="eastAsia" w:eastAsia="仿宋_GB2312"/>
          <w:color w:val="000000"/>
          <w:sz w:val="32"/>
          <w:szCs w:val="32"/>
          <w:lang w:val="en"/>
        </w:rPr>
        <w:t>药监</w:t>
      </w:r>
      <w:r>
        <w:rPr>
          <w:rFonts w:eastAsia="仿宋_GB2312"/>
          <w:color w:val="000000"/>
          <w:sz w:val="32"/>
          <w:szCs w:val="32"/>
          <w:lang w:val="en"/>
        </w:rPr>
        <w:t>局</w:t>
      </w:r>
      <w:r>
        <w:rPr>
          <w:rFonts w:hint="eastAsia" w:eastAsia="仿宋_GB2312"/>
          <w:color w:val="000000"/>
          <w:sz w:val="32"/>
          <w:szCs w:val="32"/>
          <w:lang w:val="en"/>
        </w:rPr>
        <w:t>关于发布</w:t>
      </w:r>
      <w:r>
        <w:rPr>
          <w:rFonts w:eastAsia="仿宋_GB2312"/>
          <w:color w:val="000000"/>
          <w:sz w:val="32"/>
          <w:szCs w:val="32"/>
        </w:rPr>
        <w:t>免于临床评价医疗器械目录</w:t>
      </w:r>
      <w:r>
        <w:rPr>
          <w:rFonts w:hint="eastAsia" w:eastAsia="仿宋_GB2312"/>
          <w:color w:val="000000"/>
          <w:sz w:val="32"/>
          <w:szCs w:val="32"/>
        </w:rPr>
        <w:t>的</w:t>
      </w:r>
      <w:r>
        <w:rPr>
          <w:rFonts w:hint="eastAsia" w:eastAsia="仿宋_GB2312"/>
          <w:color w:val="000000"/>
          <w:sz w:val="32"/>
          <w:szCs w:val="32"/>
          <w:lang w:val="en"/>
        </w:rPr>
        <w:t>通告</w:t>
      </w:r>
      <w:r>
        <w:rPr>
          <w:rFonts w:eastAsia="仿宋_GB2312"/>
          <w:color w:val="000000"/>
          <w:sz w:val="32"/>
          <w:szCs w:val="32"/>
          <w:lang w:val="en"/>
        </w:rPr>
        <w:t>20</w:t>
      </w:r>
      <w:r>
        <w:rPr>
          <w:rFonts w:hint="eastAsia" w:eastAsia="仿宋_GB2312"/>
          <w:color w:val="000000"/>
          <w:sz w:val="32"/>
          <w:szCs w:val="32"/>
          <w:lang w:val="en"/>
        </w:rPr>
        <w:t>21</w:t>
      </w:r>
      <w:r>
        <w:rPr>
          <w:rFonts w:eastAsia="仿宋_GB2312"/>
          <w:color w:val="000000"/>
          <w:sz w:val="32"/>
          <w:szCs w:val="32"/>
          <w:lang w:val="en"/>
        </w:rPr>
        <w:t>年第</w:t>
      </w:r>
      <w:r>
        <w:rPr>
          <w:rFonts w:hint="eastAsia" w:eastAsia="仿宋_GB2312"/>
          <w:color w:val="000000"/>
          <w:sz w:val="32"/>
          <w:szCs w:val="32"/>
          <w:lang w:val="en"/>
        </w:rPr>
        <w:t>71</w:t>
      </w:r>
      <w:r>
        <w:rPr>
          <w:rFonts w:eastAsia="仿宋_GB2312"/>
          <w:color w:val="000000"/>
          <w:sz w:val="32"/>
          <w:szCs w:val="32"/>
          <w:lang w:val="en"/>
        </w:rPr>
        <w:t>号</w:t>
      </w:r>
      <w:r>
        <w:rPr>
          <w:rFonts w:eastAsia="仿宋_GB2312"/>
          <w:color w:val="000000"/>
          <w:sz w:val="32"/>
          <w:szCs w:val="32"/>
        </w:rPr>
        <w:t>[Z].</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[10]</w:t>
      </w:r>
      <w:r>
        <w:rPr>
          <w:rFonts w:hint="eastAsia" w:eastAsia="仿宋_GB2312"/>
          <w:color w:val="000000"/>
          <w:sz w:val="32"/>
          <w:szCs w:val="32"/>
        </w:rPr>
        <w:t>国家药品监督管理局.</w:t>
      </w:r>
      <w:r>
        <w:rPr>
          <w:rFonts w:eastAsia="仿宋_GB2312"/>
          <w:color w:val="000000"/>
          <w:sz w:val="32"/>
          <w:szCs w:val="32"/>
        </w:rPr>
        <w:t>列入免于临床评价医疗器械目录产品对比说明技术指导原则</w:t>
      </w:r>
      <w:r>
        <w:rPr>
          <w:rFonts w:hint="eastAsia" w:eastAsia="仿宋_GB2312"/>
          <w:color w:val="000000"/>
          <w:sz w:val="32"/>
          <w:szCs w:val="32"/>
        </w:rPr>
        <w:t>:</w:t>
      </w:r>
      <w:r>
        <w:rPr>
          <w:rFonts w:eastAsia="仿宋_GB2312"/>
          <w:color w:val="000000"/>
          <w:sz w:val="32"/>
          <w:szCs w:val="32"/>
          <w:lang w:val="en"/>
        </w:rPr>
        <w:t>国家</w:t>
      </w:r>
      <w:r>
        <w:rPr>
          <w:rFonts w:hint="eastAsia" w:eastAsia="仿宋_GB2312"/>
          <w:color w:val="000000"/>
          <w:sz w:val="32"/>
          <w:szCs w:val="32"/>
          <w:lang w:val="en"/>
        </w:rPr>
        <w:t>药监局关于发布医疗器械临床评价技术指导原则等5项技术指导原则的通告</w:t>
      </w:r>
      <w:r>
        <w:rPr>
          <w:rFonts w:eastAsia="仿宋_GB2312"/>
          <w:color w:val="000000"/>
          <w:sz w:val="32"/>
          <w:szCs w:val="32"/>
          <w:lang w:val="en"/>
        </w:rPr>
        <w:t>20</w:t>
      </w:r>
      <w:r>
        <w:rPr>
          <w:rFonts w:hint="eastAsia" w:eastAsia="仿宋_GB2312"/>
          <w:color w:val="000000"/>
          <w:sz w:val="32"/>
          <w:szCs w:val="32"/>
          <w:lang w:val="en"/>
        </w:rPr>
        <w:t>21</w:t>
      </w:r>
      <w:r>
        <w:rPr>
          <w:rFonts w:eastAsia="仿宋_GB2312"/>
          <w:color w:val="000000"/>
          <w:sz w:val="32"/>
          <w:szCs w:val="32"/>
          <w:lang w:val="en"/>
        </w:rPr>
        <w:t>年第</w:t>
      </w:r>
      <w:r>
        <w:rPr>
          <w:rFonts w:hint="eastAsia" w:eastAsia="仿宋_GB2312"/>
          <w:color w:val="000000"/>
          <w:sz w:val="32"/>
          <w:szCs w:val="32"/>
          <w:lang w:val="en"/>
        </w:rPr>
        <w:t>73</w:t>
      </w:r>
      <w:r>
        <w:rPr>
          <w:rFonts w:eastAsia="仿宋_GB2312"/>
          <w:color w:val="000000"/>
          <w:sz w:val="32"/>
          <w:szCs w:val="32"/>
          <w:lang w:val="en"/>
        </w:rPr>
        <w:t>号</w:t>
      </w:r>
      <w:r>
        <w:rPr>
          <w:rFonts w:eastAsia="仿宋_GB2312"/>
          <w:color w:val="000000"/>
          <w:sz w:val="32"/>
          <w:szCs w:val="32"/>
        </w:rPr>
        <w:t>[Z].</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[11]</w:t>
      </w:r>
      <w:r>
        <w:rPr>
          <w:rFonts w:eastAsia="仿宋_GB2312"/>
          <w:color w:val="000000"/>
          <w:sz w:val="32"/>
          <w:szCs w:val="32"/>
          <w:lang w:val="en"/>
        </w:rPr>
        <w:t>国家食品药品监督管理局</w:t>
      </w:r>
      <w:r>
        <w:rPr>
          <w:rFonts w:hint="eastAsia" w:eastAsia="仿宋_GB2312"/>
          <w:color w:val="000000"/>
          <w:sz w:val="32"/>
          <w:szCs w:val="32"/>
          <w:lang w:val="en"/>
        </w:rPr>
        <w:t>.</w:t>
      </w:r>
      <w:r>
        <w:rPr>
          <w:rFonts w:eastAsia="仿宋_GB2312"/>
          <w:color w:val="000000"/>
          <w:sz w:val="32"/>
          <w:szCs w:val="32"/>
        </w:rPr>
        <w:t>医疗器械说明书和标签管理规定</w:t>
      </w:r>
      <w:r>
        <w:rPr>
          <w:rFonts w:hint="eastAsia" w:eastAsia="仿宋_GB2312"/>
          <w:color w:val="000000"/>
          <w:sz w:val="32"/>
          <w:szCs w:val="32"/>
        </w:rPr>
        <w:t>:</w:t>
      </w:r>
      <w:r>
        <w:rPr>
          <w:rFonts w:eastAsia="仿宋_GB2312"/>
          <w:color w:val="000000"/>
          <w:sz w:val="32"/>
          <w:szCs w:val="32"/>
          <w:lang w:val="en"/>
        </w:rPr>
        <w:t>国家食品药品监督管理总局令第6号</w:t>
      </w:r>
      <w:r>
        <w:rPr>
          <w:rFonts w:eastAsia="仿宋_GB2312"/>
          <w:color w:val="000000"/>
          <w:sz w:val="32"/>
          <w:szCs w:val="32"/>
        </w:rPr>
        <w:t>[Z].</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[12]GB/T 191</w:t>
      </w:r>
      <w:r>
        <w:rPr>
          <w:rFonts w:hint="eastAsia" w:eastAsia="仿宋_GB2312"/>
          <w:color w:val="000000"/>
          <w:sz w:val="32"/>
          <w:szCs w:val="32"/>
        </w:rPr>
        <w:t>,</w:t>
      </w:r>
      <w:r>
        <w:rPr>
          <w:rFonts w:eastAsia="仿宋_GB2312"/>
          <w:color w:val="000000"/>
          <w:sz w:val="32"/>
          <w:szCs w:val="32"/>
        </w:rPr>
        <w:t>包装储运图示标志[S].</w:t>
      </w:r>
    </w:p>
    <w:p>
      <w:pPr>
        <w:widowControl/>
        <w:adjustRightInd w:val="0"/>
        <w:snapToGrid w:val="0"/>
        <w:spacing w:line="520" w:lineRule="exact"/>
        <w:ind w:firstLine="640" w:firstLineChars="200"/>
        <w:rPr>
          <w:rFonts w:eastAsia="仿宋"/>
          <w:sz w:val="32"/>
          <w:szCs w:val="32"/>
        </w:rPr>
      </w:pPr>
      <w:r>
        <w:rPr>
          <w:rFonts w:eastAsia="仿宋"/>
          <w:kern w:val="0"/>
          <w:sz w:val="32"/>
          <w:szCs w:val="32"/>
        </w:rPr>
        <w:t>[13]</w:t>
      </w:r>
      <w:r>
        <w:rPr>
          <w:rFonts w:eastAsia="仿宋"/>
          <w:sz w:val="32"/>
          <w:szCs w:val="32"/>
        </w:rPr>
        <w:t xml:space="preserve"> GB 2024</w:t>
      </w:r>
      <w:r>
        <w:rPr>
          <w:rFonts w:hint="eastAsia" w:eastAsia="仿宋"/>
          <w:sz w:val="32"/>
          <w:szCs w:val="32"/>
        </w:rPr>
        <w:t>,</w:t>
      </w:r>
      <w:r>
        <w:rPr>
          <w:rFonts w:eastAsia="仿宋"/>
          <w:sz w:val="32"/>
          <w:szCs w:val="32"/>
        </w:rPr>
        <w:t>针灸针[S].</w:t>
      </w:r>
    </w:p>
    <w:p>
      <w:pPr>
        <w:widowControl/>
        <w:adjustRightInd w:val="0"/>
        <w:snapToGrid w:val="0"/>
        <w:spacing w:line="520" w:lineRule="exact"/>
        <w:ind w:firstLine="640" w:firstLineChars="200"/>
        <w:rPr>
          <w:rFonts w:eastAsia="仿宋_GB2312"/>
          <w:sz w:val="32"/>
          <w:szCs w:val="32"/>
        </w:rPr>
      </w:pPr>
      <w:r>
        <w:rPr>
          <w:rFonts w:eastAsia="仿宋"/>
          <w:kern w:val="0"/>
          <w:sz w:val="32"/>
          <w:szCs w:val="32"/>
        </w:rPr>
        <w:t>[14]</w:t>
      </w:r>
      <w:r>
        <w:rPr>
          <w:rFonts w:eastAsia="仿宋_GB2312"/>
          <w:sz w:val="32"/>
          <w:szCs w:val="32"/>
        </w:rPr>
        <w:t>梁繁荣,王华</w:t>
      </w:r>
      <w:r>
        <w:rPr>
          <w:rFonts w:eastAsia="仿宋"/>
          <w:sz w:val="32"/>
          <w:szCs w:val="32"/>
        </w:rPr>
        <w:t>《针灸学》</w:t>
      </w:r>
      <w:r>
        <w:rPr>
          <w:rFonts w:eastAsia="仿宋_GB2312"/>
          <w:sz w:val="32"/>
          <w:szCs w:val="32"/>
        </w:rPr>
        <w:t>[M].北京:中国中医药出版社,2021.132-145.</w:t>
      </w:r>
    </w:p>
    <w:p>
      <w:pPr>
        <w:widowControl/>
        <w:adjustRightInd w:val="0"/>
        <w:snapToGrid w:val="0"/>
        <w:spacing w:line="520" w:lineRule="exact"/>
        <w:ind w:firstLine="640" w:firstLineChars="200"/>
        <w:rPr>
          <w:rFonts w:eastAsia="仿宋"/>
          <w:kern w:val="0"/>
          <w:sz w:val="32"/>
          <w:szCs w:val="32"/>
        </w:rPr>
      </w:pPr>
      <w:r>
        <w:rPr>
          <w:rFonts w:eastAsia="仿宋"/>
          <w:kern w:val="0"/>
          <w:sz w:val="32"/>
          <w:szCs w:val="32"/>
        </w:rPr>
        <w:t>[15]</w:t>
      </w:r>
      <w:r>
        <w:rPr>
          <w:rFonts w:eastAsia="仿宋"/>
          <w:sz w:val="32"/>
          <w:szCs w:val="32"/>
        </w:rPr>
        <w:t xml:space="preserve"> GB/T 191</w:t>
      </w:r>
      <w:r>
        <w:rPr>
          <w:rFonts w:hint="eastAsia" w:eastAsia="仿宋"/>
          <w:sz w:val="32"/>
          <w:szCs w:val="32"/>
        </w:rPr>
        <w:t>,</w:t>
      </w:r>
      <w:r>
        <w:rPr>
          <w:rFonts w:eastAsia="仿宋"/>
          <w:sz w:val="32"/>
          <w:szCs w:val="32"/>
        </w:rPr>
        <w:t>包装储运图示标志[S].</w:t>
      </w:r>
    </w:p>
    <w:p>
      <w:pPr>
        <w:widowControl/>
        <w:adjustRightInd w:val="0"/>
        <w:snapToGrid w:val="0"/>
        <w:spacing w:line="520" w:lineRule="exact"/>
        <w:ind w:firstLine="640" w:firstLineChars="200"/>
        <w:rPr>
          <w:rFonts w:eastAsia="仿宋"/>
          <w:sz w:val="32"/>
          <w:szCs w:val="32"/>
        </w:rPr>
      </w:pPr>
      <w:r>
        <w:rPr>
          <w:rFonts w:eastAsia="仿宋"/>
          <w:kern w:val="0"/>
          <w:sz w:val="32"/>
          <w:szCs w:val="32"/>
        </w:rPr>
        <w:t xml:space="preserve">[16] </w:t>
      </w:r>
      <w:r>
        <w:rPr>
          <w:rFonts w:eastAsia="仿宋"/>
          <w:sz w:val="32"/>
          <w:szCs w:val="32"/>
        </w:rPr>
        <w:t>GB/T 21709.20</w:t>
      </w:r>
      <w:r>
        <w:rPr>
          <w:rFonts w:hint="eastAsia" w:eastAsia="仿宋"/>
          <w:sz w:val="32"/>
          <w:szCs w:val="32"/>
        </w:rPr>
        <w:t>,</w:t>
      </w:r>
      <w:r>
        <w:rPr>
          <w:rFonts w:eastAsia="仿宋"/>
          <w:sz w:val="32"/>
          <w:szCs w:val="32"/>
        </w:rPr>
        <w:t>针灸技术操作规范 第20部分：毫针基本刺法[S].</w:t>
      </w:r>
    </w:p>
    <w:p>
      <w:pPr>
        <w:widowControl/>
        <w:adjustRightInd w:val="0"/>
        <w:snapToGrid w:val="0"/>
        <w:spacing w:line="520" w:lineRule="exact"/>
        <w:ind w:firstLine="640" w:firstLineChars="200"/>
        <w:rPr>
          <w:rFonts w:eastAsia="仿宋"/>
          <w:sz w:val="32"/>
          <w:szCs w:val="32"/>
        </w:rPr>
      </w:pPr>
      <w:r>
        <w:rPr>
          <w:rFonts w:eastAsia="仿宋"/>
          <w:kern w:val="0"/>
          <w:sz w:val="32"/>
          <w:szCs w:val="32"/>
        </w:rPr>
        <w:t xml:space="preserve">[17] </w:t>
      </w:r>
      <w:r>
        <w:rPr>
          <w:rFonts w:eastAsia="仿宋"/>
          <w:sz w:val="32"/>
          <w:szCs w:val="32"/>
        </w:rPr>
        <w:t>GB/T 21709.21</w:t>
      </w:r>
      <w:r>
        <w:rPr>
          <w:rFonts w:hint="eastAsia" w:eastAsia="仿宋"/>
          <w:sz w:val="32"/>
          <w:szCs w:val="32"/>
        </w:rPr>
        <w:t>,</w:t>
      </w:r>
      <w:r>
        <w:rPr>
          <w:rFonts w:eastAsia="仿宋"/>
          <w:sz w:val="32"/>
          <w:szCs w:val="32"/>
        </w:rPr>
        <w:t>针灸技术操作规范 第21部分：毫针基本手法[S].</w:t>
      </w:r>
    </w:p>
    <w:p>
      <w:pPr>
        <w:widowControl/>
        <w:adjustRightInd w:val="0"/>
        <w:snapToGrid w:val="0"/>
        <w:spacing w:line="520" w:lineRule="exact"/>
        <w:ind w:firstLine="640" w:firstLineChars="200"/>
        <w:rPr>
          <w:rFonts w:eastAsia="仿宋"/>
          <w:sz w:val="32"/>
          <w:szCs w:val="32"/>
        </w:rPr>
      </w:pPr>
      <w:r>
        <w:rPr>
          <w:rFonts w:eastAsia="仿宋"/>
          <w:kern w:val="0"/>
          <w:sz w:val="32"/>
          <w:szCs w:val="32"/>
        </w:rPr>
        <w:t>[18]</w:t>
      </w:r>
      <w:r>
        <w:rPr>
          <w:rFonts w:eastAsia="仿宋"/>
          <w:sz w:val="32"/>
          <w:szCs w:val="32"/>
        </w:rPr>
        <w:t>YY/T 0316</w:t>
      </w:r>
      <w:r>
        <w:rPr>
          <w:rFonts w:hint="eastAsia" w:eastAsia="仿宋"/>
          <w:sz w:val="32"/>
          <w:szCs w:val="32"/>
        </w:rPr>
        <w:t>,</w:t>
      </w:r>
      <w:r>
        <w:rPr>
          <w:rFonts w:eastAsia="仿宋"/>
          <w:sz w:val="32"/>
          <w:szCs w:val="32"/>
        </w:rPr>
        <w:t>医疗器械风险管理对医疗器械的应[S].</w:t>
      </w:r>
    </w:p>
    <w:p>
      <w:pPr>
        <w:widowControl/>
        <w:adjustRightInd w:val="0"/>
        <w:snapToGrid w:val="0"/>
        <w:spacing w:line="520" w:lineRule="exact"/>
        <w:ind w:firstLine="640" w:firstLineChars="200"/>
        <w:rPr>
          <w:rFonts w:eastAsia="仿宋"/>
          <w:sz w:val="32"/>
          <w:szCs w:val="32"/>
        </w:rPr>
      </w:pPr>
      <w:r>
        <w:rPr>
          <w:rFonts w:eastAsia="仿宋"/>
          <w:kern w:val="0"/>
          <w:sz w:val="32"/>
          <w:szCs w:val="32"/>
        </w:rPr>
        <w:t>[19]</w:t>
      </w:r>
      <w:r>
        <w:t xml:space="preserve"> </w:t>
      </w:r>
      <w:r>
        <w:rPr>
          <w:rFonts w:eastAsia="仿宋"/>
          <w:sz w:val="32"/>
          <w:szCs w:val="32"/>
        </w:rPr>
        <w:t>GB/T 16886.1</w:t>
      </w:r>
      <w:r>
        <w:rPr>
          <w:rFonts w:hint="eastAsia" w:eastAsia="仿宋"/>
          <w:sz w:val="32"/>
          <w:szCs w:val="32"/>
        </w:rPr>
        <w:t>,</w:t>
      </w:r>
      <w:r>
        <w:rPr>
          <w:rFonts w:eastAsia="仿宋"/>
          <w:sz w:val="32"/>
          <w:szCs w:val="32"/>
        </w:rPr>
        <w:t>医疗器械生物学评价 第1部分：风险管理过程中的评价与试验[S].</w:t>
      </w:r>
    </w:p>
    <w:p>
      <w:pPr>
        <w:widowControl/>
        <w:adjustRightInd w:val="0"/>
        <w:snapToGrid w:val="0"/>
        <w:spacing w:line="520" w:lineRule="exact"/>
        <w:ind w:firstLine="640" w:firstLineChars="200"/>
        <w:rPr>
          <w:rFonts w:eastAsia="仿宋"/>
          <w:sz w:val="32"/>
          <w:szCs w:val="32"/>
        </w:rPr>
      </w:pPr>
      <w:r>
        <w:rPr>
          <w:rFonts w:eastAsia="仿宋"/>
          <w:kern w:val="0"/>
          <w:sz w:val="32"/>
          <w:szCs w:val="32"/>
        </w:rPr>
        <w:t>[20]</w:t>
      </w:r>
      <w:r>
        <w:t xml:space="preserve"> </w:t>
      </w:r>
      <w:r>
        <w:rPr>
          <w:rFonts w:eastAsia="仿宋"/>
          <w:sz w:val="32"/>
          <w:szCs w:val="32"/>
        </w:rPr>
        <w:t>GB/T 16886.5</w:t>
      </w:r>
      <w:r>
        <w:rPr>
          <w:rFonts w:hint="eastAsia" w:eastAsia="仿宋"/>
          <w:sz w:val="32"/>
          <w:szCs w:val="32"/>
        </w:rPr>
        <w:t>,</w:t>
      </w:r>
      <w:r>
        <w:rPr>
          <w:rFonts w:eastAsia="仿宋"/>
          <w:sz w:val="32"/>
          <w:szCs w:val="32"/>
        </w:rPr>
        <w:t>医疗器械生物学评价 第5部分：体外细胞毒性试验[S].</w:t>
      </w:r>
    </w:p>
    <w:p>
      <w:pPr>
        <w:widowControl/>
        <w:adjustRightInd w:val="0"/>
        <w:snapToGrid w:val="0"/>
        <w:spacing w:line="520" w:lineRule="exact"/>
        <w:ind w:firstLine="640" w:firstLineChars="200"/>
        <w:rPr>
          <w:rFonts w:eastAsia="仿宋"/>
          <w:sz w:val="32"/>
          <w:szCs w:val="32"/>
        </w:rPr>
      </w:pPr>
      <w:r>
        <w:rPr>
          <w:rFonts w:eastAsia="仿宋"/>
          <w:kern w:val="0"/>
          <w:sz w:val="32"/>
          <w:szCs w:val="32"/>
        </w:rPr>
        <w:t>[21]</w:t>
      </w:r>
      <w:r>
        <w:t xml:space="preserve"> </w:t>
      </w:r>
      <w:r>
        <w:rPr>
          <w:rFonts w:eastAsia="仿宋"/>
          <w:sz w:val="32"/>
          <w:szCs w:val="32"/>
        </w:rPr>
        <w:t>GB/T 16886.10</w:t>
      </w:r>
      <w:r>
        <w:rPr>
          <w:rFonts w:hint="eastAsia" w:eastAsia="仿宋"/>
          <w:sz w:val="32"/>
          <w:szCs w:val="32"/>
        </w:rPr>
        <w:t>,</w:t>
      </w:r>
      <w:r>
        <w:rPr>
          <w:rFonts w:eastAsia="仿宋"/>
          <w:sz w:val="32"/>
          <w:szCs w:val="32"/>
        </w:rPr>
        <w:t>医疗器械生物学评价 第10部分：刺激与皮肤致敏试验[S].</w:t>
      </w:r>
    </w:p>
    <w:p>
      <w:pPr>
        <w:widowControl/>
        <w:adjustRightInd w:val="0"/>
        <w:snapToGrid w:val="0"/>
        <w:spacing w:line="520" w:lineRule="exact"/>
        <w:ind w:firstLine="640" w:firstLineChars="200"/>
        <w:rPr>
          <w:rFonts w:eastAsia="仿宋"/>
          <w:sz w:val="32"/>
          <w:szCs w:val="32"/>
        </w:rPr>
      </w:pPr>
      <w:r>
        <w:rPr>
          <w:rFonts w:eastAsia="仿宋"/>
          <w:kern w:val="0"/>
          <w:sz w:val="32"/>
          <w:szCs w:val="32"/>
        </w:rPr>
        <w:t>[22]</w:t>
      </w:r>
      <w:r>
        <w:t xml:space="preserve"> </w:t>
      </w:r>
      <w:r>
        <w:rPr>
          <w:rFonts w:eastAsia="仿宋"/>
          <w:sz w:val="32"/>
          <w:szCs w:val="32"/>
        </w:rPr>
        <w:t>GB/T 19971</w:t>
      </w:r>
      <w:r>
        <w:rPr>
          <w:rFonts w:hint="eastAsia" w:eastAsia="仿宋"/>
          <w:sz w:val="32"/>
          <w:szCs w:val="32"/>
        </w:rPr>
        <w:t>,</w:t>
      </w:r>
      <w:r>
        <w:rPr>
          <w:rFonts w:eastAsia="仿宋"/>
          <w:sz w:val="32"/>
          <w:szCs w:val="32"/>
        </w:rPr>
        <w:t>医疗保健产品灭菌 术语[S].</w:t>
      </w:r>
    </w:p>
    <w:p>
      <w:pPr>
        <w:widowControl/>
        <w:adjustRightInd w:val="0"/>
        <w:snapToGrid w:val="0"/>
        <w:spacing w:line="520" w:lineRule="exact"/>
        <w:ind w:firstLine="640" w:firstLineChars="200"/>
        <w:rPr>
          <w:rFonts w:eastAsia="仿宋"/>
          <w:sz w:val="32"/>
          <w:szCs w:val="32"/>
        </w:rPr>
      </w:pPr>
      <w:r>
        <w:rPr>
          <w:rFonts w:eastAsia="仿宋"/>
          <w:kern w:val="0"/>
          <w:sz w:val="32"/>
          <w:szCs w:val="32"/>
        </w:rPr>
        <w:t>[23]</w:t>
      </w:r>
      <w:r>
        <w:t xml:space="preserve"> </w:t>
      </w:r>
      <w:r>
        <w:rPr>
          <w:rFonts w:eastAsia="仿宋"/>
          <w:sz w:val="32"/>
          <w:szCs w:val="32"/>
        </w:rPr>
        <w:t>GB 18279.1</w:t>
      </w:r>
      <w:r>
        <w:rPr>
          <w:rFonts w:hint="eastAsia" w:eastAsia="仿宋"/>
          <w:sz w:val="32"/>
          <w:szCs w:val="32"/>
        </w:rPr>
        <w:t>,</w:t>
      </w:r>
      <w:r>
        <w:rPr>
          <w:rFonts w:eastAsia="仿宋"/>
          <w:sz w:val="32"/>
          <w:szCs w:val="32"/>
        </w:rPr>
        <w:t>医疗保健产品灭菌 环氧乙烷 第1部分：医疗器械灭菌过程的开发、确认和常规控制的要求[S].</w:t>
      </w:r>
    </w:p>
    <w:p>
      <w:pPr>
        <w:widowControl/>
        <w:adjustRightInd w:val="0"/>
        <w:snapToGrid w:val="0"/>
        <w:spacing w:line="520" w:lineRule="exact"/>
        <w:ind w:firstLine="640" w:firstLineChars="200"/>
        <w:rPr>
          <w:rFonts w:eastAsia="仿宋"/>
          <w:sz w:val="32"/>
          <w:szCs w:val="32"/>
        </w:rPr>
      </w:pPr>
      <w:r>
        <w:rPr>
          <w:rFonts w:eastAsia="仿宋"/>
          <w:kern w:val="0"/>
          <w:sz w:val="32"/>
          <w:szCs w:val="32"/>
        </w:rPr>
        <w:t>[24]</w:t>
      </w:r>
      <w:r>
        <w:t xml:space="preserve"> </w:t>
      </w:r>
      <w:r>
        <w:rPr>
          <w:rFonts w:eastAsia="仿宋"/>
          <w:sz w:val="32"/>
          <w:szCs w:val="32"/>
        </w:rPr>
        <w:t>GB 18280.1</w:t>
      </w:r>
      <w:r>
        <w:rPr>
          <w:rFonts w:hint="eastAsia" w:eastAsia="仿宋"/>
          <w:sz w:val="32"/>
          <w:szCs w:val="32"/>
        </w:rPr>
        <w:t>,</w:t>
      </w:r>
      <w:r>
        <w:rPr>
          <w:rFonts w:eastAsia="仿宋"/>
          <w:sz w:val="32"/>
          <w:szCs w:val="32"/>
        </w:rPr>
        <w:t>医疗保健产品灭菌 辐射 第1部分：医疗器械灭菌过程的开发、确认和常规控制要求[S].</w:t>
      </w:r>
    </w:p>
    <w:p>
      <w:pPr>
        <w:widowControl/>
        <w:adjustRightInd w:val="0"/>
        <w:snapToGrid w:val="0"/>
        <w:spacing w:line="520" w:lineRule="exact"/>
        <w:ind w:firstLine="640" w:firstLineChars="200"/>
        <w:rPr>
          <w:rFonts w:eastAsia="仿宋"/>
          <w:sz w:val="32"/>
          <w:szCs w:val="32"/>
        </w:rPr>
      </w:pPr>
      <w:r>
        <w:rPr>
          <w:rFonts w:eastAsia="仿宋"/>
          <w:kern w:val="0"/>
          <w:sz w:val="32"/>
          <w:szCs w:val="32"/>
        </w:rPr>
        <w:t>[25]</w:t>
      </w:r>
      <w:r>
        <w:rPr>
          <w:rFonts w:eastAsia="仿宋"/>
          <w:sz w:val="32"/>
          <w:szCs w:val="32"/>
        </w:rPr>
        <w:t xml:space="preserve"> GB 18278.1</w:t>
      </w:r>
      <w:r>
        <w:rPr>
          <w:rFonts w:hint="eastAsia" w:eastAsia="仿宋"/>
          <w:sz w:val="32"/>
          <w:szCs w:val="32"/>
        </w:rPr>
        <w:t>,</w:t>
      </w:r>
      <w:r>
        <w:rPr>
          <w:rFonts w:eastAsia="仿宋"/>
          <w:sz w:val="32"/>
          <w:szCs w:val="32"/>
        </w:rPr>
        <w:t>医疗保健产品灭菌 湿热 第1部分医疗器械灭菌过程的开发、确认和常规控制要求[S].</w:t>
      </w:r>
      <w:r>
        <w:t xml:space="preserve"> </w:t>
      </w:r>
    </w:p>
    <w:p>
      <w:pPr>
        <w:widowControl/>
        <w:adjustRightInd w:val="0"/>
        <w:snapToGrid w:val="0"/>
        <w:spacing w:line="520" w:lineRule="exact"/>
        <w:ind w:firstLine="640" w:firstLineChars="200"/>
        <w:rPr>
          <w:rFonts w:eastAsia="仿宋"/>
          <w:sz w:val="32"/>
          <w:szCs w:val="32"/>
        </w:rPr>
      </w:pPr>
      <w:r>
        <w:rPr>
          <w:rFonts w:eastAsia="仿宋"/>
          <w:kern w:val="0"/>
          <w:sz w:val="32"/>
          <w:szCs w:val="32"/>
        </w:rPr>
        <w:t>[26]</w:t>
      </w:r>
      <w:r>
        <w:t xml:space="preserve"> </w:t>
      </w:r>
      <w:r>
        <w:rPr>
          <w:rFonts w:eastAsia="仿宋"/>
          <w:sz w:val="32"/>
          <w:szCs w:val="32"/>
        </w:rPr>
        <w:t>YY/T 0466.1</w:t>
      </w:r>
      <w:r>
        <w:rPr>
          <w:rFonts w:hint="eastAsia" w:eastAsia="仿宋"/>
          <w:sz w:val="32"/>
          <w:szCs w:val="32"/>
        </w:rPr>
        <w:t>,</w:t>
      </w:r>
      <w:r>
        <w:rPr>
          <w:rFonts w:eastAsia="仿宋"/>
          <w:sz w:val="32"/>
          <w:szCs w:val="32"/>
        </w:rPr>
        <w:t>医疗器械用于医疗器械标签、标记和提供信息的符号第1部分：通用要求[S].</w:t>
      </w:r>
    </w:p>
    <w:p>
      <w:pPr>
        <w:widowControl/>
        <w:adjustRightInd w:val="0"/>
        <w:snapToGrid w:val="0"/>
        <w:spacing w:line="520" w:lineRule="exact"/>
        <w:ind w:firstLine="640" w:firstLineChars="200"/>
        <w:rPr>
          <w:rFonts w:eastAsia="仿宋"/>
          <w:sz w:val="32"/>
          <w:szCs w:val="32"/>
        </w:rPr>
      </w:pPr>
      <w:r>
        <w:rPr>
          <w:rFonts w:eastAsia="仿宋"/>
          <w:kern w:val="0"/>
          <w:sz w:val="32"/>
          <w:szCs w:val="32"/>
        </w:rPr>
        <w:t>[27]</w:t>
      </w:r>
      <w:r>
        <w:t xml:space="preserve"> </w:t>
      </w:r>
      <w:r>
        <w:rPr>
          <w:rFonts w:eastAsia="仿宋"/>
          <w:sz w:val="32"/>
          <w:szCs w:val="32"/>
        </w:rPr>
        <w:t>YY/T 0681.1</w:t>
      </w:r>
      <w:r>
        <w:rPr>
          <w:rFonts w:hint="eastAsia" w:eastAsia="仿宋"/>
          <w:sz w:val="32"/>
          <w:szCs w:val="32"/>
        </w:rPr>
        <w:t>,</w:t>
      </w:r>
      <w:r>
        <w:rPr>
          <w:rFonts w:eastAsia="仿宋"/>
          <w:sz w:val="32"/>
          <w:szCs w:val="32"/>
        </w:rPr>
        <w:t>无菌医疗器械包装试验方法 第1部分：加速老化试验指南[S].</w:t>
      </w:r>
    </w:p>
    <w:p>
      <w:pPr>
        <w:widowControl/>
        <w:adjustRightInd w:val="0"/>
        <w:snapToGrid w:val="0"/>
        <w:spacing w:line="520" w:lineRule="exact"/>
        <w:ind w:firstLine="640" w:firstLineChars="200"/>
        <w:rPr>
          <w:rFonts w:eastAsia="仿宋"/>
          <w:sz w:val="32"/>
          <w:szCs w:val="32"/>
        </w:rPr>
      </w:pPr>
      <w:r>
        <w:rPr>
          <w:rFonts w:eastAsia="仿宋"/>
          <w:kern w:val="0"/>
          <w:sz w:val="32"/>
          <w:szCs w:val="32"/>
        </w:rPr>
        <w:t>[28]</w:t>
      </w:r>
      <w:r>
        <w:t xml:space="preserve"> </w:t>
      </w:r>
      <w:r>
        <w:rPr>
          <w:rFonts w:eastAsia="仿宋"/>
          <w:sz w:val="32"/>
          <w:szCs w:val="32"/>
        </w:rPr>
        <w:t>GB/T 30232</w:t>
      </w:r>
      <w:r>
        <w:rPr>
          <w:rFonts w:hint="eastAsia" w:eastAsia="仿宋"/>
          <w:sz w:val="32"/>
          <w:szCs w:val="32"/>
        </w:rPr>
        <w:t>,</w:t>
      </w:r>
      <w:r>
        <w:rPr>
          <w:rFonts w:eastAsia="仿宋"/>
          <w:sz w:val="32"/>
          <w:szCs w:val="32"/>
        </w:rPr>
        <w:t>针灸学通用术语[S].</w:t>
      </w:r>
    </w:p>
    <w:p>
      <w:pPr>
        <w:widowControl/>
        <w:adjustRightInd w:val="0"/>
        <w:snapToGrid w:val="0"/>
        <w:spacing w:line="520" w:lineRule="exact"/>
        <w:ind w:firstLine="640" w:firstLineChars="200"/>
        <w:rPr>
          <w:rFonts w:eastAsia="仿宋"/>
          <w:sz w:val="32"/>
          <w:szCs w:val="32"/>
        </w:rPr>
      </w:pPr>
      <w:r>
        <w:rPr>
          <w:rFonts w:eastAsia="仿宋"/>
          <w:kern w:val="0"/>
          <w:sz w:val="32"/>
          <w:szCs w:val="32"/>
        </w:rPr>
        <w:t>[29]</w:t>
      </w:r>
      <w:r>
        <w:t xml:space="preserve"> </w:t>
      </w:r>
      <w:r>
        <w:rPr>
          <w:rFonts w:eastAsia="仿宋"/>
          <w:sz w:val="32"/>
          <w:szCs w:val="32"/>
        </w:rPr>
        <w:t>GB/T 33415</w:t>
      </w:r>
      <w:r>
        <w:rPr>
          <w:rFonts w:hint="eastAsia" w:eastAsia="仿宋"/>
          <w:sz w:val="32"/>
          <w:szCs w:val="32"/>
        </w:rPr>
        <w:t>,</w:t>
      </w:r>
      <w:r>
        <w:rPr>
          <w:rFonts w:eastAsia="仿宋"/>
          <w:sz w:val="32"/>
          <w:szCs w:val="32"/>
        </w:rPr>
        <w:t>针灸异常情况处理[S].</w:t>
      </w:r>
    </w:p>
    <w:p>
      <w:pPr>
        <w:widowControl/>
        <w:adjustRightInd w:val="0"/>
        <w:snapToGrid w:val="0"/>
        <w:spacing w:line="520" w:lineRule="exact"/>
        <w:rPr>
          <w:rFonts w:eastAsia="仿宋"/>
          <w:sz w:val="32"/>
          <w:szCs w:val="32"/>
        </w:rPr>
      </w:pPr>
    </w:p>
    <w:sectPr>
      <w:footerReference r:id="rId3" w:type="default"/>
      <w:footerReference r:id="rId4" w:type="even"/>
      <w:pgSz w:w="11906" w:h="16838"/>
      <w:pgMar w:top="1928" w:right="1531" w:bottom="1814" w:left="1531" w:header="851" w:footer="1247" w:gutter="0"/>
      <w:pgNumType w:start="1"/>
      <w:cols w:space="425" w:num="1"/>
      <w:docGrid w:type="lines" w:linePitch="312" w:charSpace="168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MS Shell Dlg">
    <w:altName w:val="Microsoft Sans Serif"/>
    <w:panose1 w:val="020B0604020202020204"/>
    <w:charset w:val="00"/>
    <w:family w:val="swiss"/>
    <w:pitch w:val="default"/>
    <w:sig w:usb0="00000000" w:usb1="00000000" w:usb2="00000029" w:usb3="00000000" w:csb0="000101FF" w:csb1="00000000"/>
  </w:font>
  <w:font w:name="Microsoft Sans Serif">
    <w:panose1 w:val="020B0604020202020204"/>
    <w:charset w:val="00"/>
    <w:family w:val="auto"/>
    <w:pitch w:val="default"/>
    <w:sig w:usb0="E5002EFF" w:usb1="C000605B" w:usb2="00000029" w:usb3="00000000" w:csb0="200101FF" w:csb1="20280000"/>
  </w:font>
  <w:font w:name="方正小标宋简体">
    <w:panose1 w:val="02010601030101010101"/>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28"/>
        <w:szCs w:val="28"/>
      </w:rPr>
    </w:pPr>
    <w:r>
      <w:rPr>
        <w:sz w:val="28"/>
      </w:rPr>
      <w:pict>
        <v:shape id="_x0000_s2049" o:spid="_x0000_s2049"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5"/>
                  <w:jc w:val="center"/>
                </w:pPr>
                <w:r>
                  <w:rPr>
                    <w:rFonts w:hint="eastAsia"/>
                    <w:sz w:val="28"/>
                    <w:szCs w:val="28"/>
                  </w:rPr>
                  <w:t xml:space="preserve">— </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22</w:t>
                </w:r>
                <w:r>
                  <w:rPr>
                    <w:sz w:val="28"/>
                    <w:szCs w:val="28"/>
                  </w:rPr>
                  <w:fldChar w:fldCharType="end"/>
                </w:r>
                <w:r>
                  <w:rPr>
                    <w:rFonts w:hint="eastAsia"/>
                    <w:sz w:val="28"/>
                    <w:szCs w:val="28"/>
                  </w:rPr>
                  <w:t xml:space="preserve"> —</w:t>
                </w:r>
                <w:r>
                  <w:rPr>
                    <w:rFonts w:hint="eastAsia"/>
                    <w:color w:val="FFFFFF"/>
                    <w:sz w:val="28"/>
                    <w:szCs w:val="28"/>
                  </w:rPr>
                  <w:t>—</w:t>
                </w:r>
              </w:p>
            </w:txbxContent>
          </v:textbox>
        </v:shape>
      </w:pict>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28"/>
        <w:szCs w:val="28"/>
      </w:rPr>
    </w:pPr>
    <w:r>
      <w:rPr>
        <w:rFonts w:hint="eastAsia"/>
        <w:color w:val="FFFFFF"/>
        <w:sz w:val="28"/>
        <w:szCs w:val="28"/>
      </w:rPr>
      <w:t>—</w:t>
    </w:r>
    <w:r>
      <w:rPr>
        <w:rFonts w:hint="eastAsia"/>
        <w:sz w:val="28"/>
        <w:szCs w:val="28"/>
      </w:rPr>
      <w:t xml:space="preserve">— </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18</w:t>
    </w:r>
    <w:r>
      <w:rPr>
        <w:sz w:val="28"/>
        <w:szCs w:val="28"/>
      </w:rPr>
      <w:fldChar w:fldCharType="end"/>
    </w:r>
    <w:r>
      <w:rPr>
        <w:rFonts w:hint="eastAsia"/>
        <w:sz w:val="28"/>
        <w:szCs w:val="28"/>
      </w:rPr>
      <w:t xml:space="preserve"> —</w:t>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HorizontalSpacing w:val="109"/>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zIxZjVlMGZhZTM5OTk4NTFlYjlhMzU3NTY5YzkwYWIifQ=="/>
  </w:docVars>
  <w:rsids>
    <w:rsidRoot w:val="29633BD2"/>
    <w:rsid w:val="00010C47"/>
    <w:rsid w:val="00015578"/>
    <w:rsid w:val="00017A07"/>
    <w:rsid w:val="00025287"/>
    <w:rsid w:val="00025438"/>
    <w:rsid w:val="000313FF"/>
    <w:rsid w:val="00032984"/>
    <w:rsid w:val="000355F6"/>
    <w:rsid w:val="000469D2"/>
    <w:rsid w:val="00054F73"/>
    <w:rsid w:val="0006349A"/>
    <w:rsid w:val="00073C4F"/>
    <w:rsid w:val="00074B5A"/>
    <w:rsid w:val="0008000A"/>
    <w:rsid w:val="00090AF5"/>
    <w:rsid w:val="000926C5"/>
    <w:rsid w:val="00093CFA"/>
    <w:rsid w:val="000A125C"/>
    <w:rsid w:val="000A7A55"/>
    <w:rsid w:val="000B427E"/>
    <w:rsid w:val="000D1828"/>
    <w:rsid w:val="000D2068"/>
    <w:rsid w:val="000D5755"/>
    <w:rsid w:val="000E2FFE"/>
    <w:rsid w:val="000E4EF1"/>
    <w:rsid w:val="000F2ED3"/>
    <w:rsid w:val="00111C6C"/>
    <w:rsid w:val="00114A7F"/>
    <w:rsid w:val="001203AD"/>
    <w:rsid w:val="00120F72"/>
    <w:rsid w:val="00132589"/>
    <w:rsid w:val="0013762D"/>
    <w:rsid w:val="00137D00"/>
    <w:rsid w:val="0016174D"/>
    <w:rsid w:val="0016579E"/>
    <w:rsid w:val="00171D40"/>
    <w:rsid w:val="0017725F"/>
    <w:rsid w:val="001777FB"/>
    <w:rsid w:val="001828DB"/>
    <w:rsid w:val="00185A72"/>
    <w:rsid w:val="0019290F"/>
    <w:rsid w:val="00194CAA"/>
    <w:rsid w:val="00195F8B"/>
    <w:rsid w:val="001A178B"/>
    <w:rsid w:val="001A3B36"/>
    <w:rsid w:val="001A65D4"/>
    <w:rsid w:val="001B0A25"/>
    <w:rsid w:val="001B0AFF"/>
    <w:rsid w:val="001B12CA"/>
    <w:rsid w:val="001C0496"/>
    <w:rsid w:val="001C1764"/>
    <w:rsid w:val="001E029C"/>
    <w:rsid w:val="001E49C6"/>
    <w:rsid w:val="001F2E14"/>
    <w:rsid w:val="001F33CE"/>
    <w:rsid w:val="00201223"/>
    <w:rsid w:val="002022E1"/>
    <w:rsid w:val="0021299C"/>
    <w:rsid w:val="00222EA9"/>
    <w:rsid w:val="00236C72"/>
    <w:rsid w:val="00237572"/>
    <w:rsid w:val="00253C96"/>
    <w:rsid w:val="0025506C"/>
    <w:rsid w:val="00257A6A"/>
    <w:rsid w:val="00262278"/>
    <w:rsid w:val="00271E8D"/>
    <w:rsid w:val="00272EAA"/>
    <w:rsid w:val="00281F2C"/>
    <w:rsid w:val="00292F24"/>
    <w:rsid w:val="002A66F6"/>
    <w:rsid w:val="002B78F7"/>
    <w:rsid w:val="002C5D54"/>
    <w:rsid w:val="002E1784"/>
    <w:rsid w:val="002E7288"/>
    <w:rsid w:val="002F29C5"/>
    <w:rsid w:val="002F3620"/>
    <w:rsid w:val="002F6508"/>
    <w:rsid w:val="00306806"/>
    <w:rsid w:val="0031422D"/>
    <w:rsid w:val="00322473"/>
    <w:rsid w:val="003361C9"/>
    <w:rsid w:val="00342831"/>
    <w:rsid w:val="003527A1"/>
    <w:rsid w:val="00353295"/>
    <w:rsid w:val="00353D1B"/>
    <w:rsid w:val="00377A50"/>
    <w:rsid w:val="00391789"/>
    <w:rsid w:val="00395796"/>
    <w:rsid w:val="003A21C4"/>
    <w:rsid w:val="003A5509"/>
    <w:rsid w:val="003B04BA"/>
    <w:rsid w:val="003B13DF"/>
    <w:rsid w:val="003B3460"/>
    <w:rsid w:val="003B662C"/>
    <w:rsid w:val="003C1B81"/>
    <w:rsid w:val="003C2D06"/>
    <w:rsid w:val="003D7268"/>
    <w:rsid w:val="003D75A1"/>
    <w:rsid w:val="003D7D07"/>
    <w:rsid w:val="003E2829"/>
    <w:rsid w:val="003E5201"/>
    <w:rsid w:val="003E6AB4"/>
    <w:rsid w:val="003E6D3C"/>
    <w:rsid w:val="003E76FB"/>
    <w:rsid w:val="003F24E1"/>
    <w:rsid w:val="003F421C"/>
    <w:rsid w:val="00415E9B"/>
    <w:rsid w:val="004218D7"/>
    <w:rsid w:val="00422CCD"/>
    <w:rsid w:val="00453836"/>
    <w:rsid w:val="0046194F"/>
    <w:rsid w:val="00465E6F"/>
    <w:rsid w:val="00484734"/>
    <w:rsid w:val="00490E2A"/>
    <w:rsid w:val="00493868"/>
    <w:rsid w:val="00497D6A"/>
    <w:rsid w:val="004A0FAA"/>
    <w:rsid w:val="004A2D71"/>
    <w:rsid w:val="004A2F12"/>
    <w:rsid w:val="004C07B5"/>
    <w:rsid w:val="004C1276"/>
    <w:rsid w:val="004D45D2"/>
    <w:rsid w:val="004F59D4"/>
    <w:rsid w:val="004F7EDB"/>
    <w:rsid w:val="005053C7"/>
    <w:rsid w:val="00506889"/>
    <w:rsid w:val="005102C4"/>
    <w:rsid w:val="00510D12"/>
    <w:rsid w:val="00511E34"/>
    <w:rsid w:val="005224E9"/>
    <w:rsid w:val="00540B42"/>
    <w:rsid w:val="005424E6"/>
    <w:rsid w:val="00542DD2"/>
    <w:rsid w:val="00546EEF"/>
    <w:rsid w:val="005530B4"/>
    <w:rsid w:val="00564E6E"/>
    <w:rsid w:val="005677AC"/>
    <w:rsid w:val="00570260"/>
    <w:rsid w:val="0057465C"/>
    <w:rsid w:val="00575477"/>
    <w:rsid w:val="00581035"/>
    <w:rsid w:val="005901D0"/>
    <w:rsid w:val="00590B74"/>
    <w:rsid w:val="00590DC9"/>
    <w:rsid w:val="0059425F"/>
    <w:rsid w:val="005A04F2"/>
    <w:rsid w:val="005A0D19"/>
    <w:rsid w:val="005A0EBD"/>
    <w:rsid w:val="005A7166"/>
    <w:rsid w:val="005B3505"/>
    <w:rsid w:val="005B4447"/>
    <w:rsid w:val="005C0501"/>
    <w:rsid w:val="005C6036"/>
    <w:rsid w:val="005D0445"/>
    <w:rsid w:val="005D745B"/>
    <w:rsid w:val="005E072E"/>
    <w:rsid w:val="005E39D2"/>
    <w:rsid w:val="005E6E63"/>
    <w:rsid w:val="005F384C"/>
    <w:rsid w:val="005F73EA"/>
    <w:rsid w:val="0060380C"/>
    <w:rsid w:val="00604347"/>
    <w:rsid w:val="00614627"/>
    <w:rsid w:val="00620199"/>
    <w:rsid w:val="00622F24"/>
    <w:rsid w:val="00624935"/>
    <w:rsid w:val="0062551E"/>
    <w:rsid w:val="00633F00"/>
    <w:rsid w:val="0063490B"/>
    <w:rsid w:val="006355D4"/>
    <w:rsid w:val="0063701F"/>
    <w:rsid w:val="006509D3"/>
    <w:rsid w:val="00653F2B"/>
    <w:rsid w:val="00662856"/>
    <w:rsid w:val="00670309"/>
    <w:rsid w:val="00674880"/>
    <w:rsid w:val="0069385D"/>
    <w:rsid w:val="006960F4"/>
    <w:rsid w:val="006A4A86"/>
    <w:rsid w:val="006B3E96"/>
    <w:rsid w:val="006C3086"/>
    <w:rsid w:val="006D730F"/>
    <w:rsid w:val="006D7FB2"/>
    <w:rsid w:val="006E64FD"/>
    <w:rsid w:val="006E68B2"/>
    <w:rsid w:val="006F1938"/>
    <w:rsid w:val="006F473D"/>
    <w:rsid w:val="00711A7E"/>
    <w:rsid w:val="00713F5B"/>
    <w:rsid w:val="00726FC5"/>
    <w:rsid w:val="0073594E"/>
    <w:rsid w:val="00752D58"/>
    <w:rsid w:val="007565D9"/>
    <w:rsid w:val="0076131A"/>
    <w:rsid w:val="0077110E"/>
    <w:rsid w:val="00772A09"/>
    <w:rsid w:val="007B5175"/>
    <w:rsid w:val="007C0177"/>
    <w:rsid w:val="007C38E1"/>
    <w:rsid w:val="007C5380"/>
    <w:rsid w:val="007E3AB1"/>
    <w:rsid w:val="007E779A"/>
    <w:rsid w:val="007F5250"/>
    <w:rsid w:val="00800558"/>
    <w:rsid w:val="008014ED"/>
    <w:rsid w:val="00805383"/>
    <w:rsid w:val="00805CB8"/>
    <w:rsid w:val="008174D3"/>
    <w:rsid w:val="00831C79"/>
    <w:rsid w:val="00832794"/>
    <w:rsid w:val="00840322"/>
    <w:rsid w:val="00842FCC"/>
    <w:rsid w:val="00850459"/>
    <w:rsid w:val="0085179B"/>
    <w:rsid w:val="008568E5"/>
    <w:rsid w:val="008639F4"/>
    <w:rsid w:val="00876A52"/>
    <w:rsid w:val="00877340"/>
    <w:rsid w:val="0088091D"/>
    <w:rsid w:val="00891D25"/>
    <w:rsid w:val="00893C14"/>
    <w:rsid w:val="008A55B8"/>
    <w:rsid w:val="008A7E0B"/>
    <w:rsid w:val="008B6BF3"/>
    <w:rsid w:val="008D0CB9"/>
    <w:rsid w:val="008D23F5"/>
    <w:rsid w:val="008D3A96"/>
    <w:rsid w:val="008D49A4"/>
    <w:rsid w:val="008E1984"/>
    <w:rsid w:val="008E7DD1"/>
    <w:rsid w:val="008F708D"/>
    <w:rsid w:val="00902A5D"/>
    <w:rsid w:val="0090378D"/>
    <w:rsid w:val="00903A35"/>
    <w:rsid w:val="009213FB"/>
    <w:rsid w:val="00923C0E"/>
    <w:rsid w:val="00926348"/>
    <w:rsid w:val="00926A54"/>
    <w:rsid w:val="009316F0"/>
    <w:rsid w:val="00932F02"/>
    <w:rsid w:val="00935234"/>
    <w:rsid w:val="009365E0"/>
    <w:rsid w:val="0094315D"/>
    <w:rsid w:val="00950006"/>
    <w:rsid w:val="0095315A"/>
    <w:rsid w:val="0095654B"/>
    <w:rsid w:val="009726FE"/>
    <w:rsid w:val="00973957"/>
    <w:rsid w:val="00975EEF"/>
    <w:rsid w:val="00976451"/>
    <w:rsid w:val="009812D4"/>
    <w:rsid w:val="009938C7"/>
    <w:rsid w:val="009976D1"/>
    <w:rsid w:val="009A2B79"/>
    <w:rsid w:val="009A5319"/>
    <w:rsid w:val="009A6DA9"/>
    <w:rsid w:val="009B0105"/>
    <w:rsid w:val="009C2F06"/>
    <w:rsid w:val="009C5FBF"/>
    <w:rsid w:val="009C6B9F"/>
    <w:rsid w:val="009D3068"/>
    <w:rsid w:val="009D41AC"/>
    <w:rsid w:val="009E1E93"/>
    <w:rsid w:val="009E6246"/>
    <w:rsid w:val="009F1949"/>
    <w:rsid w:val="009F3FA1"/>
    <w:rsid w:val="009F59A7"/>
    <w:rsid w:val="00A02415"/>
    <w:rsid w:val="00A10630"/>
    <w:rsid w:val="00A21867"/>
    <w:rsid w:val="00A24BF9"/>
    <w:rsid w:val="00A35D5C"/>
    <w:rsid w:val="00A443CD"/>
    <w:rsid w:val="00A5437A"/>
    <w:rsid w:val="00A55677"/>
    <w:rsid w:val="00A55AE0"/>
    <w:rsid w:val="00A6233C"/>
    <w:rsid w:val="00A64C26"/>
    <w:rsid w:val="00A67BAE"/>
    <w:rsid w:val="00A758A6"/>
    <w:rsid w:val="00A77C0D"/>
    <w:rsid w:val="00A81C96"/>
    <w:rsid w:val="00A82420"/>
    <w:rsid w:val="00A84CA4"/>
    <w:rsid w:val="00A90353"/>
    <w:rsid w:val="00A92FD3"/>
    <w:rsid w:val="00A96F7C"/>
    <w:rsid w:val="00AA0065"/>
    <w:rsid w:val="00AC1AC9"/>
    <w:rsid w:val="00AC1EE4"/>
    <w:rsid w:val="00AC4FA0"/>
    <w:rsid w:val="00AD0654"/>
    <w:rsid w:val="00AD223A"/>
    <w:rsid w:val="00AE0187"/>
    <w:rsid w:val="00AE2065"/>
    <w:rsid w:val="00AE3975"/>
    <w:rsid w:val="00AE6B3C"/>
    <w:rsid w:val="00AF0205"/>
    <w:rsid w:val="00AF1352"/>
    <w:rsid w:val="00AF41EF"/>
    <w:rsid w:val="00AF43BE"/>
    <w:rsid w:val="00AF5855"/>
    <w:rsid w:val="00B00F47"/>
    <w:rsid w:val="00B026D2"/>
    <w:rsid w:val="00B07028"/>
    <w:rsid w:val="00B10CF8"/>
    <w:rsid w:val="00B144B8"/>
    <w:rsid w:val="00B2000B"/>
    <w:rsid w:val="00B20DD6"/>
    <w:rsid w:val="00B2100A"/>
    <w:rsid w:val="00B22946"/>
    <w:rsid w:val="00B30E80"/>
    <w:rsid w:val="00B36390"/>
    <w:rsid w:val="00B37D58"/>
    <w:rsid w:val="00B404FD"/>
    <w:rsid w:val="00B430F4"/>
    <w:rsid w:val="00B50C48"/>
    <w:rsid w:val="00B64C83"/>
    <w:rsid w:val="00B80714"/>
    <w:rsid w:val="00B95FD0"/>
    <w:rsid w:val="00BA3792"/>
    <w:rsid w:val="00BA5A9A"/>
    <w:rsid w:val="00BB5034"/>
    <w:rsid w:val="00BB5363"/>
    <w:rsid w:val="00BC6B16"/>
    <w:rsid w:val="00BD3A88"/>
    <w:rsid w:val="00BD578E"/>
    <w:rsid w:val="00BD6C4B"/>
    <w:rsid w:val="00BE01E7"/>
    <w:rsid w:val="00BE184A"/>
    <w:rsid w:val="00BE66DB"/>
    <w:rsid w:val="00BF0841"/>
    <w:rsid w:val="00BF540F"/>
    <w:rsid w:val="00C0230C"/>
    <w:rsid w:val="00C06D5F"/>
    <w:rsid w:val="00C17023"/>
    <w:rsid w:val="00C2750E"/>
    <w:rsid w:val="00C276ED"/>
    <w:rsid w:val="00C51718"/>
    <w:rsid w:val="00C6327C"/>
    <w:rsid w:val="00C642BE"/>
    <w:rsid w:val="00C660D9"/>
    <w:rsid w:val="00C71E0B"/>
    <w:rsid w:val="00C8270A"/>
    <w:rsid w:val="00C8571C"/>
    <w:rsid w:val="00C86247"/>
    <w:rsid w:val="00C86400"/>
    <w:rsid w:val="00CA4E2F"/>
    <w:rsid w:val="00CA5F4B"/>
    <w:rsid w:val="00CB712B"/>
    <w:rsid w:val="00CC5DE0"/>
    <w:rsid w:val="00CC6888"/>
    <w:rsid w:val="00CF0074"/>
    <w:rsid w:val="00CF1B4E"/>
    <w:rsid w:val="00CF1E69"/>
    <w:rsid w:val="00CF4279"/>
    <w:rsid w:val="00CF7564"/>
    <w:rsid w:val="00D04F83"/>
    <w:rsid w:val="00D06C07"/>
    <w:rsid w:val="00D11EC2"/>
    <w:rsid w:val="00D120BD"/>
    <w:rsid w:val="00D167D2"/>
    <w:rsid w:val="00D17619"/>
    <w:rsid w:val="00D24B66"/>
    <w:rsid w:val="00D2585C"/>
    <w:rsid w:val="00D2781A"/>
    <w:rsid w:val="00D3017E"/>
    <w:rsid w:val="00D5091A"/>
    <w:rsid w:val="00D7447F"/>
    <w:rsid w:val="00D76077"/>
    <w:rsid w:val="00D84B27"/>
    <w:rsid w:val="00DB166E"/>
    <w:rsid w:val="00DB6757"/>
    <w:rsid w:val="00DC169D"/>
    <w:rsid w:val="00DC5C61"/>
    <w:rsid w:val="00DC7402"/>
    <w:rsid w:val="00DD0EB4"/>
    <w:rsid w:val="00DD506E"/>
    <w:rsid w:val="00DE4778"/>
    <w:rsid w:val="00DE7150"/>
    <w:rsid w:val="00DF1274"/>
    <w:rsid w:val="00DF679A"/>
    <w:rsid w:val="00E03072"/>
    <w:rsid w:val="00E03399"/>
    <w:rsid w:val="00E26471"/>
    <w:rsid w:val="00E279CD"/>
    <w:rsid w:val="00E32F71"/>
    <w:rsid w:val="00E33E27"/>
    <w:rsid w:val="00E4566F"/>
    <w:rsid w:val="00E467D8"/>
    <w:rsid w:val="00E46B2E"/>
    <w:rsid w:val="00E5234A"/>
    <w:rsid w:val="00E756A3"/>
    <w:rsid w:val="00E807FB"/>
    <w:rsid w:val="00E8597B"/>
    <w:rsid w:val="00E85C75"/>
    <w:rsid w:val="00E8798D"/>
    <w:rsid w:val="00E91571"/>
    <w:rsid w:val="00E94DE8"/>
    <w:rsid w:val="00EA118C"/>
    <w:rsid w:val="00EA4BA3"/>
    <w:rsid w:val="00EB03B3"/>
    <w:rsid w:val="00EB464C"/>
    <w:rsid w:val="00EB4CB4"/>
    <w:rsid w:val="00ED0A22"/>
    <w:rsid w:val="00ED37C5"/>
    <w:rsid w:val="00ED48AF"/>
    <w:rsid w:val="00ED5391"/>
    <w:rsid w:val="00ED5926"/>
    <w:rsid w:val="00EE1DC3"/>
    <w:rsid w:val="00EF73A4"/>
    <w:rsid w:val="00F131EB"/>
    <w:rsid w:val="00F17468"/>
    <w:rsid w:val="00F455E8"/>
    <w:rsid w:val="00F47163"/>
    <w:rsid w:val="00F6248B"/>
    <w:rsid w:val="00F73B95"/>
    <w:rsid w:val="00F75ADA"/>
    <w:rsid w:val="00F76203"/>
    <w:rsid w:val="00F81AE7"/>
    <w:rsid w:val="00F92AC5"/>
    <w:rsid w:val="00FA1444"/>
    <w:rsid w:val="00FA3F6D"/>
    <w:rsid w:val="00FA7654"/>
    <w:rsid w:val="00FB61E0"/>
    <w:rsid w:val="00FC0125"/>
    <w:rsid w:val="00FC2AD5"/>
    <w:rsid w:val="00FE076A"/>
    <w:rsid w:val="00FE2970"/>
    <w:rsid w:val="00FE3AED"/>
    <w:rsid w:val="00FF16AD"/>
    <w:rsid w:val="00FF32EA"/>
    <w:rsid w:val="00FF7B2A"/>
    <w:rsid w:val="01206828"/>
    <w:rsid w:val="01D31D8C"/>
    <w:rsid w:val="04E979DD"/>
    <w:rsid w:val="04F10D38"/>
    <w:rsid w:val="09106D7F"/>
    <w:rsid w:val="0D8D1D82"/>
    <w:rsid w:val="147F4EB9"/>
    <w:rsid w:val="1A330601"/>
    <w:rsid w:val="1C0E3533"/>
    <w:rsid w:val="26D5563C"/>
    <w:rsid w:val="29633BD2"/>
    <w:rsid w:val="2C51592B"/>
    <w:rsid w:val="37B47A97"/>
    <w:rsid w:val="37DB4B4C"/>
    <w:rsid w:val="3ECF366B"/>
    <w:rsid w:val="4271404A"/>
    <w:rsid w:val="481801F3"/>
    <w:rsid w:val="4C401081"/>
    <w:rsid w:val="4DF93B95"/>
    <w:rsid w:val="4DFA2DFE"/>
    <w:rsid w:val="5BDF6909"/>
    <w:rsid w:val="61E22C4A"/>
    <w:rsid w:val="75953E7A"/>
    <w:rsid w:val="7CC91CD9"/>
    <w:rsid w:val="7E3271C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qFormat="1"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qFormat="1" w:uiPriority="99" w:semiHidden="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20"/>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Plain Text"/>
    <w:link w:val="18"/>
    <w:unhideWhenUsed/>
    <w:qFormat/>
    <w:uiPriority w:val="99"/>
    <w:pPr>
      <w:widowControl w:val="0"/>
      <w:jc w:val="both"/>
    </w:pPr>
    <w:rPr>
      <w:rFonts w:ascii="宋体" w:hAnsi="Courier New" w:eastAsia="宋体" w:cs="Times New Roman"/>
      <w:kern w:val="2"/>
      <w:sz w:val="21"/>
      <w:szCs w:val="21"/>
      <w:lang w:val="en-US" w:eastAsia="zh-CN" w:bidi="ar-SA"/>
    </w:rPr>
  </w:style>
  <w:style w:type="paragraph" w:styleId="4">
    <w:name w:val="Balloon Text"/>
    <w:basedOn w:val="1"/>
    <w:link w:val="19"/>
    <w:qFormat/>
    <w:uiPriority w:val="0"/>
    <w:rPr>
      <w:sz w:val="18"/>
      <w:szCs w:val="18"/>
    </w:rPr>
  </w:style>
  <w:style w:type="paragraph" w:styleId="5">
    <w:name w:val="footer"/>
    <w:basedOn w:val="1"/>
    <w:qFormat/>
    <w:uiPriority w:val="99"/>
    <w:pPr>
      <w:tabs>
        <w:tab w:val="center" w:pos="4153"/>
        <w:tab w:val="right" w:pos="8306"/>
      </w:tabs>
      <w:snapToGrid w:val="0"/>
      <w:jc w:val="left"/>
    </w:pPr>
    <w:rPr>
      <w:sz w:val="18"/>
      <w:szCs w:val="18"/>
    </w:rPr>
  </w:style>
  <w:style w:type="paragraph" w:styleId="6">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0"/>
    <w:rPr>
      <w:sz w:val="24"/>
    </w:rPr>
  </w:style>
  <w:style w:type="table" w:styleId="9">
    <w:name w:val="Table Grid"/>
    <w:basedOn w:val="8"/>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1">
    <w:name w:val="line number"/>
    <w:basedOn w:val="10"/>
    <w:semiHidden/>
    <w:unhideWhenUsed/>
    <w:qFormat/>
    <w:uiPriority w:val="0"/>
  </w:style>
  <w:style w:type="character" w:customStyle="1" w:styleId="12">
    <w:name w:val="页眉 字符"/>
    <w:basedOn w:val="10"/>
    <w:link w:val="6"/>
    <w:qFormat/>
    <w:uiPriority w:val="0"/>
    <w:rPr>
      <w:rFonts w:ascii="Times New Roman" w:hAnsi="Times New Roman" w:eastAsia="宋体" w:cs="Times New Roman"/>
      <w:kern w:val="2"/>
      <w:sz w:val="18"/>
      <w:szCs w:val="18"/>
    </w:rPr>
  </w:style>
  <w:style w:type="paragraph" w:customStyle="1" w:styleId="13">
    <w:name w:val="王奕改内文"/>
    <w:basedOn w:val="1"/>
    <w:qFormat/>
    <w:uiPriority w:val="0"/>
    <w:pPr>
      <w:widowControl/>
      <w:spacing w:line="360" w:lineRule="auto"/>
      <w:ind w:firstLine="200" w:firstLineChars="200"/>
    </w:pPr>
    <w:rPr>
      <w:rFonts w:ascii="宋体" w:hAnsi="宋体"/>
      <w:color w:val="000000"/>
      <w:spacing w:val="-4"/>
      <w:kern w:val="0"/>
      <w:sz w:val="24"/>
    </w:rPr>
  </w:style>
  <w:style w:type="paragraph" w:styleId="14">
    <w:name w:val="List Paragraph"/>
    <w:basedOn w:val="1"/>
    <w:qFormat/>
    <w:uiPriority w:val="0"/>
    <w:pPr>
      <w:ind w:firstLine="420" w:firstLineChars="200"/>
    </w:pPr>
    <w:rPr>
      <w:rFonts w:ascii="Calibri" w:hAnsi="Calibri"/>
    </w:rPr>
  </w:style>
  <w:style w:type="character" w:customStyle="1" w:styleId="15">
    <w:name w:val="f101"/>
    <w:qFormat/>
    <w:uiPriority w:val="99"/>
    <w:rPr>
      <w:sz w:val="24"/>
      <w:szCs w:val="24"/>
    </w:rPr>
  </w:style>
  <w:style w:type="paragraph" w:customStyle="1" w:styleId="16">
    <w:name w:val="王奕，内文"/>
    <w:basedOn w:val="7"/>
    <w:qFormat/>
    <w:uiPriority w:val="0"/>
    <w:pPr>
      <w:widowControl/>
      <w:spacing w:line="360" w:lineRule="auto"/>
      <w:ind w:firstLine="200" w:firstLineChars="200"/>
    </w:pPr>
    <w:rPr>
      <w:rFonts w:cs="MS Shell Dlg"/>
      <w:color w:val="000000"/>
      <w:kern w:val="0"/>
      <w:szCs w:val="20"/>
    </w:rPr>
  </w:style>
  <w:style w:type="paragraph" w:customStyle="1" w:styleId="17">
    <w:name w:val="列出段落1"/>
    <w:basedOn w:val="1"/>
    <w:qFormat/>
    <w:uiPriority w:val="0"/>
    <w:pPr>
      <w:ind w:firstLine="420" w:firstLineChars="200"/>
    </w:pPr>
    <w:rPr>
      <w:rFonts w:ascii="Calibri" w:hAnsi="Calibri"/>
      <w:szCs w:val="22"/>
    </w:rPr>
  </w:style>
  <w:style w:type="character" w:customStyle="1" w:styleId="18">
    <w:name w:val="纯文本 字符"/>
    <w:basedOn w:val="10"/>
    <w:link w:val="3"/>
    <w:qFormat/>
    <w:uiPriority w:val="99"/>
    <w:rPr>
      <w:rFonts w:ascii="宋体" w:hAnsi="Courier New" w:eastAsia="宋体" w:cs="Times New Roman"/>
      <w:kern w:val="2"/>
      <w:sz w:val="21"/>
      <w:szCs w:val="21"/>
    </w:rPr>
  </w:style>
  <w:style w:type="character" w:customStyle="1" w:styleId="19">
    <w:name w:val="批注框文本 字符"/>
    <w:basedOn w:val="10"/>
    <w:link w:val="4"/>
    <w:qFormat/>
    <w:uiPriority w:val="0"/>
    <w:rPr>
      <w:rFonts w:ascii="Times New Roman" w:hAnsi="Times New Roman" w:eastAsia="宋体" w:cs="Times New Roman"/>
      <w:kern w:val="2"/>
      <w:sz w:val="18"/>
      <w:szCs w:val="18"/>
    </w:rPr>
  </w:style>
  <w:style w:type="character" w:customStyle="1" w:styleId="20">
    <w:name w:val="标题 2 字符"/>
    <w:basedOn w:val="10"/>
    <w:link w:val="2"/>
    <w:semiHidden/>
    <w:qFormat/>
    <w:uiPriority w:val="0"/>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A0D304-DCBF-4A4E-B572-A22A07BABBBD}">
  <ds:schemaRefs/>
</ds:datastoreItem>
</file>

<file path=docProps/app.xml><?xml version="1.0" encoding="utf-8"?>
<Properties xmlns="http://schemas.openxmlformats.org/officeDocument/2006/extended-properties" xmlns:vt="http://schemas.openxmlformats.org/officeDocument/2006/docPropsVTypes">
  <Template>Normal</Template>
  <Company>神州网信技术有限公司</Company>
  <Pages>22</Pages>
  <Words>9958</Words>
  <Characters>10715</Characters>
  <Lines>79</Lines>
  <Paragraphs>22</Paragraphs>
  <TotalTime>0</TotalTime>
  <ScaleCrop>false</ScaleCrop>
  <LinksUpToDate>false</LinksUpToDate>
  <CharactersWithSpaces>10818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2021-09-27T01:06:00Z</dcterms:created>
  <dc:creator>刘倩倩</dc:creator>
  <cp:lastModifiedBy>马琼荣</cp:lastModifiedBy>
  <cp:lastPrinted>2022-06-02T03:34:00Z</cp:lastPrinted>
  <dcterms:modified xsi:type="dcterms:W3CDTF">2022-11-25T04:12:50Z</dcterms:modified>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12BA8BEAE6D64DB48D06C5F4CF156109</vt:lpwstr>
  </property>
</Properties>
</file>