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3EF" w:rsidRPr="00F02CD8" w:rsidRDefault="00317F5D">
      <w:pPr>
        <w:spacing w:line="500" w:lineRule="exact"/>
        <w:jc w:val="left"/>
        <w:rPr>
          <w:rFonts w:eastAsia="黑体"/>
          <w:color w:val="000000" w:themeColor="text1"/>
          <w:szCs w:val="32"/>
        </w:rPr>
      </w:pPr>
      <w:r w:rsidRPr="00F02CD8">
        <w:rPr>
          <w:rFonts w:eastAsia="黑体"/>
          <w:color w:val="000000" w:themeColor="text1"/>
          <w:szCs w:val="32"/>
        </w:rPr>
        <w:t>附件</w:t>
      </w:r>
    </w:p>
    <w:p w:rsidR="007C73EF" w:rsidRPr="00F02CD8" w:rsidRDefault="007C73EF">
      <w:pPr>
        <w:spacing w:line="500" w:lineRule="exact"/>
        <w:jc w:val="center"/>
        <w:rPr>
          <w:rFonts w:eastAsia="方正小标宋简体"/>
          <w:color w:val="000000" w:themeColor="text1"/>
          <w:sz w:val="44"/>
          <w:szCs w:val="44"/>
        </w:rPr>
      </w:pPr>
    </w:p>
    <w:p w:rsidR="007C73EF" w:rsidRPr="00F02CD8" w:rsidRDefault="00347B6B" w:rsidP="006D67E6">
      <w:pPr>
        <w:spacing w:line="520" w:lineRule="exact"/>
        <w:jc w:val="center"/>
        <w:rPr>
          <w:rFonts w:eastAsia="方正小标宋简体"/>
          <w:color w:val="000000" w:themeColor="text1"/>
          <w:sz w:val="44"/>
          <w:szCs w:val="44"/>
        </w:rPr>
      </w:pPr>
      <w:r>
        <w:rPr>
          <w:rFonts w:eastAsia="方正小标宋简体"/>
          <w:color w:val="000000" w:themeColor="text1"/>
          <w:sz w:val="44"/>
          <w:szCs w:val="44"/>
        </w:rPr>
        <w:t>近视</w:t>
      </w:r>
      <w:r>
        <w:rPr>
          <w:rFonts w:eastAsia="方正小标宋简体"/>
          <w:color w:val="000000" w:themeColor="text1"/>
          <w:sz w:val="44"/>
          <w:szCs w:val="44"/>
        </w:rPr>
        <w:t>/</w:t>
      </w:r>
      <w:r>
        <w:rPr>
          <w:rFonts w:eastAsia="方正小标宋简体"/>
          <w:color w:val="000000" w:themeColor="text1"/>
          <w:sz w:val="44"/>
          <w:szCs w:val="44"/>
        </w:rPr>
        <w:t>弱视</w:t>
      </w:r>
      <w:r w:rsidR="00317F5D" w:rsidRPr="00F02CD8">
        <w:rPr>
          <w:rFonts w:eastAsia="方正小标宋简体"/>
          <w:color w:val="000000" w:themeColor="text1"/>
          <w:sz w:val="44"/>
          <w:szCs w:val="44"/>
        </w:rPr>
        <w:t>激光治疗</w:t>
      </w:r>
      <w:r>
        <w:rPr>
          <w:rFonts w:eastAsia="方正小标宋简体" w:hint="eastAsia"/>
          <w:color w:val="000000" w:themeColor="text1"/>
          <w:sz w:val="44"/>
          <w:szCs w:val="44"/>
        </w:rPr>
        <w:t>仪</w:t>
      </w:r>
      <w:r w:rsidR="00317F5D" w:rsidRPr="00F02CD8">
        <w:rPr>
          <w:rFonts w:eastAsia="方正小标宋简体"/>
          <w:color w:val="000000" w:themeColor="text1"/>
          <w:sz w:val="44"/>
          <w:szCs w:val="44"/>
        </w:rPr>
        <w:t>技术审评要点</w:t>
      </w:r>
    </w:p>
    <w:p w:rsidR="007C73EF" w:rsidRPr="00F02CD8" w:rsidRDefault="00EE556B" w:rsidP="006D67E6">
      <w:pPr>
        <w:spacing w:line="520" w:lineRule="exact"/>
        <w:jc w:val="center"/>
        <w:rPr>
          <w:rFonts w:eastAsia="方正小标宋简体"/>
          <w:color w:val="000000" w:themeColor="text1"/>
          <w:sz w:val="44"/>
          <w:szCs w:val="44"/>
        </w:rPr>
      </w:pPr>
      <w:r>
        <w:rPr>
          <w:rFonts w:eastAsia="方正小标宋简体"/>
          <w:color w:val="000000" w:themeColor="text1"/>
          <w:sz w:val="44"/>
          <w:szCs w:val="44"/>
        </w:rPr>
        <w:t>（</w:t>
      </w:r>
      <w:r>
        <w:rPr>
          <w:rFonts w:eastAsia="方正小标宋简体" w:hint="eastAsia"/>
          <w:color w:val="000000" w:themeColor="text1"/>
          <w:sz w:val="44"/>
          <w:szCs w:val="44"/>
        </w:rPr>
        <w:t>征求意见稿</w:t>
      </w:r>
      <w:r w:rsidR="00317F5D" w:rsidRPr="00F02CD8">
        <w:rPr>
          <w:rFonts w:eastAsia="方正小标宋简体"/>
          <w:color w:val="000000" w:themeColor="text1"/>
          <w:sz w:val="44"/>
          <w:szCs w:val="44"/>
        </w:rPr>
        <w:t>）</w:t>
      </w:r>
    </w:p>
    <w:p w:rsidR="006D67E6" w:rsidRPr="00F02CD8" w:rsidRDefault="006D67E6">
      <w:pPr>
        <w:snapToGrid w:val="0"/>
        <w:spacing w:line="520" w:lineRule="exact"/>
        <w:ind w:firstLineChars="200" w:firstLine="640"/>
        <w:jc w:val="left"/>
        <w:rPr>
          <w:rFonts w:eastAsia="仿宋_GB2312"/>
          <w:color w:val="000000" w:themeColor="text1"/>
          <w:szCs w:val="32"/>
        </w:rPr>
      </w:pPr>
    </w:p>
    <w:p w:rsidR="007C73EF" w:rsidRPr="00F02CD8" w:rsidRDefault="00317F5D" w:rsidP="00A84306">
      <w:pPr>
        <w:spacing w:line="560" w:lineRule="exact"/>
        <w:ind w:firstLineChars="200" w:firstLine="640"/>
        <w:rPr>
          <w:rFonts w:eastAsia="黑体"/>
          <w:color w:val="000000" w:themeColor="text1"/>
          <w:szCs w:val="32"/>
        </w:rPr>
      </w:pPr>
      <w:r w:rsidRPr="00F02CD8">
        <w:rPr>
          <w:rFonts w:eastAsia="黑体"/>
          <w:color w:val="000000" w:themeColor="text1"/>
          <w:szCs w:val="32"/>
        </w:rPr>
        <w:t>一、适用范围</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本审评要点适用于经瞳孔照射眼底的</w:t>
      </w:r>
      <w:r w:rsidR="00347B6B">
        <w:rPr>
          <w:rFonts w:eastAsia="仿宋_GB2312"/>
          <w:color w:val="000000" w:themeColor="text1"/>
          <w:szCs w:val="32"/>
        </w:rPr>
        <w:t>近视</w:t>
      </w:r>
      <w:r w:rsidR="00347B6B">
        <w:rPr>
          <w:rFonts w:eastAsia="仿宋_GB2312"/>
          <w:color w:val="000000" w:themeColor="text1"/>
          <w:szCs w:val="32"/>
        </w:rPr>
        <w:t>/</w:t>
      </w:r>
      <w:r w:rsidR="00347B6B">
        <w:rPr>
          <w:rFonts w:eastAsia="仿宋_GB2312"/>
          <w:color w:val="000000" w:themeColor="text1"/>
          <w:szCs w:val="32"/>
        </w:rPr>
        <w:t>弱视</w:t>
      </w:r>
      <w:r w:rsidRPr="00F02CD8">
        <w:rPr>
          <w:rFonts w:eastAsia="仿宋_GB2312"/>
          <w:color w:val="000000" w:themeColor="text1"/>
          <w:szCs w:val="32"/>
        </w:rPr>
        <w:t>激光治疗产品的产品注册，</w:t>
      </w:r>
      <w:r w:rsidR="00322E16" w:rsidRPr="009D7608">
        <w:rPr>
          <w:rFonts w:eastAsia="仿宋_GB2312" w:hint="eastAsia"/>
          <w:color w:val="000000"/>
          <w:szCs w:val="32"/>
        </w:rPr>
        <w:t>按现行《医疗器械分类目录》，该类产品分类编码为</w:t>
      </w:r>
      <w:r w:rsidR="00322E16" w:rsidRPr="009D7608">
        <w:rPr>
          <w:rFonts w:eastAsia="仿宋_GB2312"/>
          <w:color w:val="000000"/>
          <w:szCs w:val="32"/>
        </w:rPr>
        <w:t>16-05-02</w:t>
      </w:r>
      <w:r w:rsidR="00322E16" w:rsidRPr="009D7608">
        <w:rPr>
          <w:rFonts w:eastAsia="仿宋_GB2312" w:hint="eastAsia"/>
          <w:color w:val="000000"/>
          <w:szCs w:val="32"/>
        </w:rPr>
        <w:t>，管理类别为</w:t>
      </w:r>
      <w:r w:rsidR="00322E16" w:rsidRPr="009D7608">
        <w:rPr>
          <w:rFonts w:eastAsia="仿宋_GB2312"/>
          <w:color w:val="000000"/>
          <w:szCs w:val="32"/>
        </w:rPr>
        <w:t>III</w:t>
      </w:r>
      <w:r w:rsidR="00322E16" w:rsidRPr="009D7608">
        <w:rPr>
          <w:rFonts w:eastAsia="仿宋_GB2312" w:hint="eastAsia"/>
          <w:color w:val="000000"/>
          <w:szCs w:val="32"/>
        </w:rPr>
        <w:t>类。</w:t>
      </w:r>
      <w:r w:rsidR="00322E16" w:rsidRPr="00F02CD8">
        <w:rPr>
          <w:rFonts w:eastAsia="仿宋_GB2312"/>
          <w:color w:val="000000" w:themeColor="text1"/>
          <w:szCs w:val="32"/>
        </w:rPr>
        <w:t>本审评要点</w:t>
      </w:r>
      <w:r w:rsidRPr="00F02CD8">
        <w:rPr>
          <w:rFonts w:eastAsia="仿宋_GB2312"/>
          <w:color w:val="000000" w:themeColor="text1"/>
          <w:szCs w:val="32"/>
        </w:rPr>
        <w:t>旨在指导注册申请人开展产品设计开发工作及准备产品注册申报资料。</w:t>
      </w:r>
    </w:p>
    <w:p w:rsidR="007C73EF" w:rsidRPr="00F02CD8" w:rsidRDefault="00317F5D">
      <w:pPr>
        <w:spacing w:line="560" w:lineRule="exact"/>
        <w:ind w:firstLineChars="200" w:firstLine="640"/>
        <w:rPr>
          <w:rFonts w:eastAsia="黑体"/>
          <w:color w:val="000000" w:themeColor="text1"/>
          <w:szCs w:val="32"/>
        </w:rPr>
      </w:pPr>
      <w:r w:rsidRPr="00F02CD8">
        <w:rPr>
          <w:rFonts w:eastAsia="黑体"/>
          <w:color w:val="000000" w:themeColor="text1"/>
          <w:szCs w:val="32"/>
        </w:rPr>
        <w:t>二、基本要求</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注册申请人应依据《医疗器械生产质量管理规范》及其独立软件附录的要求建立质量管理体系，并将风险管理纳入其中。按照质量管理体系要求开展产品的设计开发、生产管理、质量控制等工作。可参考</w:t>
      </w:r>
      <w:r w:rsidR="00046691" w:rsidRPr="00CC2B3C">
        <w:rPr>
          <w:rFonts w:eastAsia="仿宋_GB2312" w:cs="宋体" w:hint="eastAsia"/>
          <w:color w:val="000000"/>
          <w:kern w:val="0"/>
          <w:szCs w:val="32"/>
        </w:rPr>
        <w:t>GB/T 42062</w:t>
      </w:r>
      <w:r w:rsidR="00046691" w:rsidRPr="00CC2B3C">
        <w:rPr>
          <w:rFonts w:eastAsia="仿宋_GB2312" w:cs="宋体" w:hint="eastAsia"/>
          <w:color w:val="000000"/>
          <w:kern w:val="0"/>
          <w:szCs w:val="32"/>
        </w:rPr>
        <w:t>、</w:t>
      </w:r>
      <w:r w:rsidR="00046691" w:rsidRPr="00CC2B3C">
        <w:rPr>
          <w:rFonts w:eastAsia="仿宋_GB2312" w:cs="宋体" w:hint="eastAsia"/>
          <w:color w:val="000000"/>
          <w:kern w:val="0"/>
          <w:szCs w:val="32"/>
        </w:rPr>
        <w:t>GB/T 42061</w:t>
      </w:r>
      <w:r w:rsidRPr="00F02CD8">
        <w:rPr>
          <w:rFonts w:eastAsia="仿宋_GB2312"/>
          <w:color w:val="000000" w:themeColor="text1"/>
          <w:szCs w:val="32"/>
        </w:rPr>
        <w:t>等标准完善质量管理体系。</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需基于产品的预期用途、使用场景、结构组成、技术特征等因素，按照《医疗器械安全和性能基本原则》及其符合性技术指南要求，确定产品安全、有效的基本要求，并结合相关指导原则和标准开展产品设计开发工作。参考《医疗器械产品受益</w:t>
      </w:r>
      <w:r w:rsidRPr="00F02CD8">
        <w:rPr>
          <w:rFonts w:eastAsia="仿宋_GB2312"/>
          <w:color w:val="000000" w:themeColor="text1"/>
          <w:szCs w:val="32"/>
        </w:rPr>
        <w:t>-</w:t>
      </w:r>
      <w:r w:rsidRPr="00F02CD8">
        <w:rPr>
          <w:rFonts w:eastAsia="仿宋_GB2312"/>
          <w:color w:val="000000" w:themeColor="text1"/>
          <w:szCs w:val="32"/>
        </w:rPr>
        <w:t>风险评估注册技术审查指导原则》开展产品受益</w:t>
      </w:r>
      <w:r w:rsidRPr="00F02CD8">
        <w:rPr>
          <w:rFonts w:eastAsia="仿宋_GB2312"/>
          <w:color w:val="000000" w:themeColor="text1"/>
          <w:szCs w:val="32"/>
        </w:rPr>
        <w:t>-</w:t>
      </w:r>
      <w:r w:rsidRPr="00F02CD8">
        <w:rPr>
          <w:rFonts w:eastAsia="仿宋_GB2312"/>
          <w:color w:val="000000" w:themeColor="text1"/>
          <w:szCs w:val="32"/>
        </w:rPr>
        <w:t>风险评估工作，确保产品受益大于风险。</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需按照《关于公布医疗器械注册申报资料要求和批准证明文件格式的公告》要求，结合本审评要点和相关指导原则要求，准备产品注册申报资料。基于产品特性判断本审评要点和相关指导原则具体内容的适用性，不适用内容详述理</w:t>
      </w:r>
      <w:r w:rsidRPr="00F02CD8">
        <w:rPr>
          <w:rFonts w:eastAsia="仿宋_GB2312"/>
          <w:color w:val="000000" w:themeColor="text1"/>
          <w:szCs w:val="32"/>
        </w:rPr>
        <w:lastRenderedPageBreak/>
        <w:t>由。</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产品注册申报资料及注册体系核查结果若能证明申报产品安全、有效且质量可控，方可获批上市。</w:t>
      </w:r>
    </w:p>
    <w:p w:rsidR="007C73EF" w:rsidRPr="00F02CD8" w:rsidRDefault="00317F5D" w:rsidP="006D67E6">
      <w:pPr>
        <w:spacing w:line="520" w:lineRule="exact"/>
        <w:ind w:firstLineChars="200" w:firstLine="640"/>
        <w:rPr>
          <w:rFonts w:eastAsia="黑体"/>
          <w:color w:val="000000" w:themeColor="text1"/>
          <w:szCs w:val="32"/>
        </w:rPr>
      </w:pPr>
      <w:r w:rsidRPr="00F02CD8">
        <w:rPr>
          <w:rFonts w:eastAsia="黑体" w:hAnsi="黑体"/>
          <w:color w:val="000000" w:themeColor="text1"/>
          <w:szCs w:val="32"/>
        </w:rPr>
        <w:t>三、产品受益</w:t>
      </w:r>
      <w:r w:rsidRPr="00F02CD8">
        <w:rPr>
          <w:rFonts w:eastAsia="黑体"/>
          <w:color w:val="000000" w:themeColor="text1"/>
          <w:szCs w:val="32"/>
        </w:rPr>
        <w:t>-</w:t>
      </w:r>
      <w:r w:rsidRPr="00F02CD8">
        <w:rPr>
          <w:rFonts w:eastAsia="黑体" w:hAnsi="黑体"/>
          <w:color w:val="000000" w:themeColor="text1"/>
          <w:szCs w:val="32"/>
        </w:rPr>
        <w:t>风险考量</w:t>
      </w:r>
      <w:r w:rsidRPr="00F02CD8">
        <w:rPr>
          <w:rFonts w:eastAsia="黑体"/>
          <w:color w:val="000000" w:themeColor="text1"/>
          <w:szCs w:val="32"/>
        </w:rPr>
        <w:t xml:space="preserve"> </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需基于产品的预期用途、使用场景、结构组成、技术特征等因素确定产品特性，明确产品投入使用的受益，并按风险管理程序要求开展产品风险的识别、分析、评价、控制等工作，确保产品综合剩余风险均可接受，受益大于风险。</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激光照射产品是</w:t>
      </w:r>
      <w:r w:rsidR="00347B6B">
        <w:rPr>
          <w:rFonts w:eastAsia="仿宋_GB2312"/>
          <w:color w:val="000000" w:themeColor="text1"/>
          <w:szCs w:val="32"/>
        </w:rPr>
        <w:t>近视</w:t>
      </w:r>
      <w:r w:rsidR="00347B6B">
        <w:rPr>
          <w:rFonts w:eastAsia="仿宋_GB2312"/>
          <w:color w:val="000000" w:themeColor="text1"/>
          <w:szCs w:val="32"/>
        </w:rPr>
        <w:t>/</w:t>
      </w:r>
      <w:r w:rsidR="00347B6B">
        <w:rPr>
          <w:rFonts w:eastAsia="仿宋_GB2312"/>
          <w:color w:val="000000" w:themeColor="text1"/>
          <w:szCs w:val="32"/>
        </w:rPr>
        <w:t>弱视</w:t>
      </w:r>
      <w:r w:rsidRPr="00F02CD8">
        <w:rPr>
          <w:rFonts w:eastAsia="仿宋_GB2312"/>
          <w:color w:val="000000" w:themeColor="text1"/>
          <w:szCs w:val="32"/>
        </w:rPr>
        <w:t>治疗中风险较高的产品，需极为慎重。根据国际及国内激光使用原则，所有激光类产品均不可以凝视或长时间注视，且目前相关激光安全标准主要基于成人未考虑儿童使用的情形。长时间注视激光可能会诱发辐射损伤性白内障，视网膜三级神经元及色素上皮细胞变性、黄斑区光损伤等。损伤一旦造成，难以通过其他治疗手段恢复。</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由于该类产品风险较大，申请人应深入开展产品</w:t>
      </w:r>
      <w:r w:rsidRPr="0019695E">
        <w:rPr>
          <w:rFonts w:eastAsia="仿宋_GB2312"/>
          <w:b/>
          <w:color w:val="000000" w:themeColor="text1"/>
          <w:szCs w:val="32"/>
        </w:rPr>
        <w:t>受益</w:t>
      </w:r>
      <w:r w:rsidRPr="0019695E">
        <w:rPr>
          <w:rFonts w:eastAsia="仿宋_GB2312"/>
          <w:b/>
          <w:color w:val="000000" w:themeColor="text1"/>
          <w:szCs w:val="32"/>
        </w:rPr>
        <w:t>-</w:t>
      </w:r>
      <w:r w:rsidRPr="0019695E">
        <w:rPr>
          <w:rFonts w:eastAsia="仿宋_GB2312"/>
          <w:b/>
          <w:color w:val="000000" w:themeColor="text1"/>
          <w:szCs w:val="32"/>
        </w:rPr>
        <w:t>风险评估</w:t>
      </w:r>
      <w:r w:rsidRPr="00F02CD8">
        <w:rPr>
          <w:rFonts w:eastAsia="仿宋_GB2312"/>
          <w:color w:val="000000" w:themeColor="text1"/>
          <w:szCs w:val="32"/>
        </w:rPr>
        <w:t>工作。</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具体风险及控制措施包括但不限于：</w:t>
      </w:r>
    </w:p>
    <w:p w:rsidR="007C73EF" w:rsidRPr="00F02CD8" w:rsidRDefault="00317F5D" w:rsidP="00A84306">
      <w:pPr>
        <w:adjustRightInd w:val="0"/>
        <w:snapToGrid w:val="0"/>
        <w:spacing w:line="520" w:lineRule="exact"/>
        <w:ind w:firstLineChars="200" w:firstLine="640"/>
        <w:rPr>
          <w:rFonts w:eastAsia="楷体_GB2312"/>
          <w:color w:val="000000" w:themeColor="text1"/>
          <w:szCs w:val="32"/>
        </w:rPr>
      </w:pPr>
      <w:r w:rsidRPr="00F02CD8">
        <w:rPr>
          <w:rFonts w:eastAsia="楷体_GB2312"/>
          <w:color w:val="000000" w:themeColor="text1"/>
          <w:szCs w:val="32"/>
        </w:rPr>
        <w:t>（一）不良反应风险及控制措施</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患者使用激光照射后，一旦出现以下的副作用，提示已经出现了眼底细胞结构的损伤，包括：后像持续时间延长；或出现视网膜结构或功能损伤，可表现为短期内明显视力下降、视物变色、视野暗点、持续眼前光晕或光点等不良反应。一旦出现</w:t>
      </w:r>
      <w:r w:rsidR="00435189" w:rsidRPr="00F02CD8">
        <w:rPr>
          <w:rFonts w:eastAsia="仿宋_GB2312"/>
          <w:color w:val="000000" w:themeColor="text1"/>
          <w:szCs w:val="32"/>
        </w:rPr>
        <w:t>如上</w:t>
      </w:r>
      <w:r w:rsidRPr="00F02CD8">
        <w:rPr>
          <w:rFonts w:eastAsia="仿宋_GB2312"/>
          <w:color w:val="000000" w:themeColor="text1"/>
          <w:szCs w:val="32"/>
        </w:rPr>
        <w:t>症状</w:t>
      </w:r>
      <w:r w:rsidR="00435189" w:rsidRPr="00F02CD8">
        <w:rPr>
          <w:rFonts w:eastAsia="仿宋_GB2312"/>
          <w:color w:val="000000" w:themeColor="text1"/>
          <w:szCs w:val="32"/>
        </w:rPr>
        <w:t>或使用者自身感觉不适应</w:t>
      </w:r>
      <w:r w:rsidRPr="00F02CD8">
        <w:rPr>
          <w:rFonts w:eastAsia="仿宋_GB2312"/>
          <w:color w:val="000000" w:themeColor="text1"/>
          <w:szCs w:val="32"/>
        </w:rPr>
        <w:t>立即停止治疗</w:t>
      </w:r>
      <w:r w:rsidR="00435189" w:rsidRPr="00F02CD8">
        <w:rPr>
          <w:rFonts w:eastAsia="仿宋_GB2312"/>
          <w:color w:val="000000" w:themeColor="text1"/>
          <w:szCs w:val="32"/>
        </w:rPr>
        <w:t>，及时至相关医疗机构就诊</w:t>
      </w:r>
      <w:r w:rsidRPr="00F02CD8">
        <w:rPr>
          <w:rFonts w:eastAsia="仿宋_GB2312"/>
          <w:color w:val="000000" w:themeColor="text1"/>
          <w:szCs w:val="32"/>
        </w:rPr>
        <w:t>。注册申请人应对定期随访或检查规定适当要求</w:t>
      </w:r>
      <w:r w:rsidRPr="00F02CD8">
        <w:rPr>
          <w:rFonts w:eastAsia="仿宋_GB2312"/>
          <w:color w:val="000000" w:themeColor="text1"/>
          <w:szCs w:val="32"/>
        </w:rPr>
        <w:t>,</w:t>
      </w:r>
      <w:r w:rsidRPr="00F02CD8">
        <w:rPr>
          <w:rFonts w:eastAsia="仿宋_GB2312"/>
          <w:color w:val="000000" w:themeColor="text1"/>
          <w:szCs w:val="32"/>
        </w:rPr>
        <w:t>避免不良事件发生。</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（二）与其他诊疗方案联合使用的风险及控制措施</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lastRenderedPageBreak/>
        <w:t>治疗仪与其他用于弱视训练的方法、近视缓解方法联合应用时，可能导致效果下降或出现不良反应的风险。注册申请人应开展联合使用的安全有效的相关研究</w:t>
      </w:r>
      <w:r w:rsidRPr="00F02CD8">
        <w:rPr>
          <w:rFonts w:eastAsia="仿宋_GB2312"/>
          <w:color w:val="000000" w:themeColor="text1"/>
          <w:szCs w:val="32"/>
        </w:rPr>
        <w:t>,</w:t>
      </w:r>
      <w:r w:rsidRPr="00F02CD8">
        <w:rPr>
          <w:rFonts w:eastAsia="仿宋_GB2312"/>
          <w:color w:val="000000" w:themeColor="text1"/>
          <w:szCs w:val="32"/>
        </w:rPr>
        <w:t>包括联合使用的风险及控制措施、联合使用的限制，兼容性研究等。联合药物使用的，还应提供药物相容性研究资料，证明药品和器械联合使用的性能符合其适应证和预期用途。</w:t>
      </w:r>
    </w:p>
    <w:p w:rsidR="007C73EF" w:rsidRPr="00F02CD8" w:rsidRDefault="00435189"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需明确激光照射不能替代户外活动或弱视训练中的精细目力训练，并应在说明书中给出相应提示。应明确使用低浓度阿托品滴眼液后对使用红光照射的影响；及联合使用角膜塑形镜、单焦框架镜、离焦框架镜或软性</w:t>
      </w:r>
      <w:r w:rsidRPr="00F02CD8">
        <w:rPr>
          <w:rFonts w:eastAsia="仿宋_GB2312"/>
          <w:color w:val="000000" w:themeColor="text1"/>
          <w:szCs w:val="32"/>
        </w:rPr>
        <w:t>/</w:t>
      </w:r>
      <w:r w:rsidRPr="00F02CD8">
        <w:rPr>
          <w:rFonts w:eastAsia="仿宋_GB2312"/>
          <w:color w:val="000000" w:themeColor="text1"/>
          <w:szCs w:val="32"/>
        </w:rPr>
        <w:t>硬性角膜接触镜对激光照射进入眼内剂量的影响。</w:t>
      </w:r>
    </w:p>
    <w:p w:rsidR="007C73EF" w:rsidRPr="00F02CD8" w:rsidRDefault="00317F5D" w:rsidP="006D67E6">
      <w:pPr>
        <w:spacing w:line="520" w:lineRule="exact"/>
        <w:ind w:firstLineChars="200" w:firstLine="640"/>
        <w:outlineLvl w:val="1"/>
        <w:rPr>
          <w:rFonts w:eastAsia="仿宋_GB2312"/>
          <w:color w:val="000000" w:themeColor="text1"/>
          <w:szCs w:val="32"/>
        </w:rPr>
      </w:pPr>
      <w:r w:rsidRPr="00F02CD8">
        <w:rPr>
          <w:rFonts w:eastAsia="楷体_GB2312"/>
          <w:color w:val="000000" w:themeColor="text1"/>
          <w:szCs w:val="32"/>
        </w:rPr>
        <w:t>（三）适应证与禁忌证规定不当的风险及控制措施</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超范围使用或不符合适应证使用，导致不适宜使用</w:t>
      </w:r>
      <w:r w:rsidR="00347B6B">
        <w:rPr>
          <w:rFonts w:eastAsia="仿宋_GB2312"/>
          <w:color w:val="000000" w:themeColor="text1"/>
          <w:szCs w:val="32"/>
        </w:rPr>
        <w:t>近视</w:t>
      </w:r>
      <w:r w:rsidR="00347B6B">
        <w:rPr>
          <w:rFonts w:eastAsia="仿宋_GB2312"/>
          <w:color w:val="000000" w:themeColor="text1"/>
          <w:szCs w:val="32"/>
        </w:rPr>
        <w:t>/</w:t>
      </w:r>
      <w:r w:rsidR="00347B6B">
        <w:rPr>
          <w:rFonts w:eastAsia="仿宋_GB2312"/>
          <w:color w:val="000000" w:themeColor="text1"/>
          <w:szCs w:val="32"/>
        </w:rPr>
        <w:t>弱视</w:t>
      </w:r>
      <w:r w:rsidRPr="00F02CD8">
        <w:rPr>
          <w:rFonts w:eastAsia="仿宋_GB2312"/>
          <w:color w:val="000000" w:themeColor="text1"/>
          <w:szCs w:val="32"/>
        </w:rPr>
        <w:t>激光治疗仪的儿童青少年或其他人群使用设备后出现不良反应。注册申请人需在充分研究的基础上，明确适用人群、患者选择标准的信息，以及使用过程中需要监测的参数、考虑的因素。应明确禁忌症注册申请人应在产品全生命周期持续开展风险</w:t>
      </w:r>
      <w:r w:rsidRPr="00F02CD8">
        <w:rPr>
          <w:rFonts w:eastAsia="仿宋_GB2312"/>
          <w:color w:val="000000" w:themeColor="text1"/>
          <w:szCs w:val="32"/>
        </w:rPr>
        <w:t>/</w:t>
      </w:r>
      <w:r w:rsidRPr="00F02CD8">
        <w:rPr>
          <w:rFonts w:eastAsia="仿宋_GB2312"/>
          <w:color w:val="000000" w:themeColor="text1"/>
          <w:szCs w:val="32"/>
        </w:rPr>
        <w:t>受益评估，并及时更新禁忌证。</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（四）使用风险及控制措施</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应结合研究情况，给出适当的单次使用时长、使用频次和长期</w:t>
      </w:r>
      <w:r w:rsidR="001F108A" w:rsidRPr="00F02CD8">
        <w:rPr>
          <w:rFonts w:eastAsia="仿宋_GB2312"/>
          <w:color w:val="000000" w:themeColor="text1"/>
          <w:szCs w:val="32"/>
        </w:rPr>
        <w:t>累计使用时长</w:t>
      </w:r>
      <w:r w:rsidRPr="00F02CD8">
        <w:rPr>
          <w:rFonts w:eastAsia="仿宋_GB2312"/>
          <w:color w:val="000000" w:themeColor="text1"/>
          <w:szCs w:val="32"/>
        </w:rPr>
        <w:t>。该类产品应特别关注长期使用的风险，注册申请人应分析长期使用带来的风险，提供长期使用后视网膜黄斑功能性（例如</w:t>
      </w:r>
      <w:proofErr w:type="spellStart"/>
      <w:r w:rsidRPr="00F02CD8">
        <w:rPr>
          <w:rFonts w:eastAsia="仿宋_GB2312"/>
          <w:color w:val="000000" w:themeColor="text1"/>
          <w:szCs w:val="32"/>
        </w:rPr>
        <w:t>mERG</w:t>
      </w:r>
      <w:proofErr w:type="spellEnd"/>
      <w:r w:rsidRPr="00F02CD8">
        <w:rPr>
          <w:rFonts w:eastAsia="仿宋_GB2312"/>
          <w:color w:val="000000" w:themeColor="text1"/>
          <w:szCs w:val="32"/>
        </w:rPr>
        <w:t>、微视野等）、形态学数据（例如</w:t>
      </w:r>
      <w:r w:rsidRPr="00F02CD8">
        <w:rPr>
          <w:rFonts w:eastAsia="仿宋_GB2312"/>
          <w:color w:val="000000" w:themeColor="text1"/>
          <w:szCs w:val="32"/>
        </w:rPr>
        <w:t>OCT</w:t>
      </w:r>
      <w:r w:rsidRPr="00F02CD8">
        <w:rPr>
          <w:rFonts w:eastAsia="仿宋_GB2312"/>
          <w:color w:val="000000" w:themeColor="text1"/>
          <w:szCs w:val="32"/>
        </w:rPr>
        <w:t>、自发荧光、自适应光学检查中心凹光感受器密度等）及相关研究，说明长期使用的风险可接受。</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儿童青少年独自使用治疗仪时，其依从性及表达能力均欠</w:t>
      </w:r>
      <w:r w:rsidRPr="00F02CD8">
        <w:rPr>
          <w:rFonts w:eastAsia="仿宋_GB2312"/>
          <w:color w:val="000000" w:themeColor="text1"/>
          <w:szCs w:val="32"/>
        </w:rPr>
        <w:lastRenderedPageBreak/>
        <w:t>佳，可能在出现不良反应时无法及时准确的与家属沟通，从而导致持续损伤，甚至不可逆损伤。调试瞳距过程中发现融像异常、单次使用时间、使用频次和长期使用时常不恰当将增加产品的使用风险。</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注册申请人需明确产品在医疗机构使用，治疗过程中需有医护人员或家长全程陪护。如有不适情况，应及时咨询眼科医生。应有手段避免单次使用时长、使用频次、</w:t>
      </w:r>
      <w:r w:rsidR="001F108A" w:rsidRPr="00F02CD8">
        <w:rPr>
          <w:rFonts w:eastAsia="仿宋_GB2312"/>
          <w:color w:val="000000" w:themeColor="text1"/>
          <w:szCs w:val="32"/>
        </w:rPr>
        <w:t>长期累计使用时长</w:t>
      </w:r>
      <w:r w:rsidRPr="00F02CD8">
        <w:rPr>
          <w:rFonts w:eastAsia="仿宋_GB2312"/>
          <w:color w:val="000000" w:themeColor="text1"/>
          <w:szCs w:val="32"/>
        </w:rPr>
        <w:t>不当的发生。</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w:t>
      </w:r>
      <w:r w:rsidR="00161B66" w:rsidRPr="00F02CD8">
        <w:rPr>
          <w:rFonts w:eastAsia="楷体_GB2312"/>
          <w:color w:val="000000" w:themeColor="text1"/>
          <w:szCs w:val="32"/>
        </w:rPr>
        <w:t>五</w:t>
      </w:r>
      <w:r w:rsidRPr="00F02CD8">
        <w:rPr>
          <w:rFonts w:eastAsia="楷体_GB2312"/>
          <w:color w:val="000000" w:themeColor="text1"/>
          <w:szCs w:val="32"/>
        </w:rPr>
        <w:t>）机械风险及控制措施</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产品用于支撑或固定的固定装置意外松动，机械保护装置设计不恰当，系统在不适当的环境条件中振动、碰撞，未按规定搬运（如运输）有关的危险，如无合适的可用包装等。</w:t>
      </w:r>
    </w:p>
    <w:p w:rsidR="007C73EF" w:rsidRPr="00F02CD8" w:rsidRDefault="00317F5D" w:rsidP="00F02CD8">
      <w:pPr>
        <w:spacing w:line="520" w:lineRule="exact"/>
        <w:ind w:firstLineChars="200" w:firstLine="640"/>
        <w:rPr>
          <w:rFonts w:eastAsia="仿宋_GB2312"/>
          <w:color w:val="000000" w:themeColor="text1"/>
          <w:szCs w:val="32"/>
        </w:rPr>
      </w:pPr>
      <w:bookmarkStart w:id="0" w:name="_Hlk134547498"/>
      <w:r w:rsidRPr="00F02CD8">
        <w:rPr>
          <w:rFonts w:eastAsia="仿宋_GB2312"/>
          <w:color w:val="000000" w:themeColor="text1"/>
          <w:szCs w:val="32"/>
        </w:rPr>
        <w:t>注册申请人需根据</w:t>
      </w:r>
      <w:r w:rsidRPr="00F02CD8">
        <w:rPr>
          <w:rFonts w:eastAsia="仿宋_GB2312"/>
          <w:color w:val="000000" w:themeColor="text1"/>
          <w:szCs w:val="32"/>
        </w:rPr>
        <w:t>GB 9706</w:t>
      </w:r>
      <w:r w:rsidRPr="00F02CD8">
        <w:rPr>
          <w:rFonts w:eastAsia="仿宋_GB2312"/>
          <w:color w:val="000000" w:themeColor="text1"/>
          <w:szCs w:val="32"/>
        </w:rPr>
        <w:t>电气安全系列标准相关内容的要求开展产品设计开发工作</w:t>
      </w:r>
      <w:bookmarkEnd w:id="0"/>
      <w:r w:rsidRPr="00F02CD8">
        <w:rPr>
          <w:rFonts w:eastAsia="仿宋_GB2312"/>
          <w:color w:val="000000" w:themeColor="text1"/>
          <w:szCs w:val="32"/>
        </w:rPr>
        <w:t>。</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w:t>
      </w:r>
      <w:r w:rsidR="00161B66" w:rsidRPr="00F02CD8">
        <w:rPr>
          <w:rFonts w:eastAsia="楷体_GB2312"/>
          <w:color w:val="000000" w:themeColor="text1"/>
          <w:szCs w:val="32"/>
        </w:rPr>
        <w:t>六</w:t>
      </w:r>
      <w:r w:rsidRPr="00F02CD8">
        <w:rPr>
          <w:rFonts w:eastAsia="楷体_GB2312"/>
          <w:color w:val="000000" w:themeColor="text1"/>
          <w:szCs w:val="32"/>
        </w:rPr>
        <w:t>）热能危险及控制措施</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产品超温无防火措施，</w:t>
      </w:r>
      <w:r w:rsidRPr="00F02CD8">
        <w:rPr>
          <w:rFonts w:eastAsia="仿宋_GB2312"/>
          <w:color w:val="000000" w:themeColor="text1"/>
          <w:szCs w:val="32"/>
        </w:rPr>
        <w:t>ME</w:t>
      </w:r>
      <w:r w:rsidRPr="00F02CD8">
        <w:rPr>
          <w:rFonts w:eastAsia="仿宋_GB2312"/>
          <w:color w:val="000000" w:themeColor="text1"/>
          <w:szCs w:val="32"/>
        </w:rPr>
        <w:t>设备的防火外壳不能承受火灾，过电流引起火灾，管状加热元件引起的危险，由于过量使用设备导致的系统过热等。</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注册申请人需根据</w:t>
      </w:r>
      <w:r w:rsidRPr="00F02CD8">
        <w:rPr>
          <w:rFonts w:eastAsia="仿宋_GB2312"/>
          <w:color w:val="000000" w:themeColor="text1"/>
          <w:szCs w:val="32"/>
        </w:rPr>
        <w:t>GB 9706</w:t>
      </w:r>
      <w:r w:rsidRPr="00F02CD8">
        <w:rPr>
          <w:rFonts w:eastAsia="仿宋_GB2312"/>
          <w:color w:val="000000" w:themeColor="text1"/>
          <w:szCs w:val="32"/>
        </w:rPr>
        <w:t>电气安全系列标准相关内容的要求开展产品设计开发工作。</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w:t>
      </w:r>
      <w:r w:rsidR="00161B66" w:rsidRPr="00F02CD8">
        <w:rPr>
          <w:rFonts w:eastAsia="楷体_GB2312"/>
          <w:color w:val="000000" w:themeColor="text1"/>
          <w:szCs w:val="32"/>
        </w:rPr>
        <w:t>七</w:t>
      </w:r>
      <w:r w:rsidRPr="00F02CD8">
        <w:rPr>
          <w:rFonts w:eastAsia="楷体_GB2312"/>
          <w:color w:val="000000" w:themeColor="text1"/>
          <w:szCs w:val="32"/>
        </w:rPr>
        <w:t>）生物相容性风险及控制措施</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产品各部件与人体接触部位生物不相容，造成患者或操作者细胞毒性、致敏、刺激等反应。</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注册申请人需选择合适的材料和生产工艺，并提供成品的生物学评价资料。</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w:t>
      </w:r>
      <w:r w:rsidR="00161B66" w:rsidRPr="00F02CD8">
        <w:rPr>
          <w:rFonts w:eastAsia="楷体_GB2312"/>
          <w:color w:val="000000" w:themeColor="text1"/>
          <w:szCs w:val="32"/>
        </w:rPr>
        <w:t>八</w:t>
      </w:r>
      <w:r w:rsidRPr="00F02CD8">
        <w:rPr>
          <w:rFonts w:eastAsia="楷体_GB2312"/>
          <w:color w:val="000000" w:themeColor="text1"/>
          <w:szCs w:val="32"/>
        </w:rPr>
        <w:t>）稳定性风险及控制措施</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lastRenderedPageBreak/>
        <w:t>因工作时间、环境条件（如温度、湿度、气压或海拔等）、运输条件等超出预期设定导致产品发生故障不能正常运行或非预期运行。</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注册申请人需明确产品工作时间、环境条件、开机自检、故障提示、运行日志等要求，明确开机率、故障情况及其应对措施。提供使用稳定性、运输稳定性的研究资料。</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激光输出功率的稳定性及准确性对于治疗仪而言至关重要。注册申请人需通过质量体系严格控制产品激光输出功率的稳定性。设计开发及生产应能确保产品上市后的功率稳定性满足临床需求，不会对产品安全性带来不利影响。</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w:t>
      </w:r>
      <w:r w:rsidR="00161B66" w:rsidRPr="00F02CD8">
        <w:rPr>
          <w:rFonts w:eastAsia="楷体_GB2312"/>
          <w:color w:val="000000" w:themeColor="text1"/>
          <w:szCs w:val="32"/>
        </w:rPr>
        <w:t>九</w:t>
      </w:r>
      <w:r w:rsidRPr="00F02CD8">
        <w:rPr>
          <w:rFonts w:eastAsia="楷体_GB2312"/>
          <w:color w:val="000000" w:themeColor="text1"/>
          <w:szCs w:val="32"/>
        </w:rPr>
        <w:t>）软件风险及控制措施</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产品软件风险需考虑软件算法性能不佳、软件缺陷，如使用提示出错、故障提示失效等问题带来的风险。若软件用于控制输出剂量相关的参数，控制出错将导致照射到患者的剂量错误的风险，则软件安全性级别应为严重级别。注册申请人需结合</w:t>
      </w:r>
      <w:r w:rsidRPr="00F02CD8">
        <w:rPr>
          <w:rFonts w:eastAsia="仿宋_GB2312"/>
          <w:color w:val="000000" w:themeColor="text1"/>
          <w:szCs w:val="32"/>
        </w:rPr>
        <w:t>GB/T 25000.51</w:t>
      </w:r>
      <w:r w:rsidRPr="00F02CD8">
        <w:rPr>
          <w:rFonts w:eastAsia="仿宋_GB2312"/>
          <w:color w:val="000000" w:themeColor="text1"/>
          <w:szCs w:val="32"/>
        </w:rPr>
        <w:t>标准要求，按照严重级别要求开展产品软件设计开发工作。</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（十）网络安全风险及控制措施</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注册申请人应根据《医疗器械网络安全注册审查指导原则（</w:t>
      </w:r>
      <w:r w:rsidRPr="00F02CD8">
        <w:rPr>
          <w:rFonts w:eastAsia="仿宋_GB2312"/>
          <w:color w:val="000000" w:themeColor="text1"/>
          <w:szCs w:val="32"/>
        </w:rPr>
        <w:t>2022</w:t>
      </w:r>
      <w:r w:rsidRPr="00F02CD8">
        <w:rPr>
          <w:rFonts w:eastAsia="仿宋_GB2312"/>
          <w:color w:val="000000" w:themeColor="text1"/>
          <w:szCs w:val="32"/>
        </w:rPr>
        <w:t>年修订版）》要求准备网络安全研究资料。确保产品自身和相关数据不受未授权活动影响，其保密性、完整性、可得性相关风险在全生命周期均处于可接受水平。</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连接</w:t>
      </w:r>
      <w:r w:rsidRPr="00F02CD8">
        <w:rPr>
          <w:rFonts w:eastAsia="仿宋_GB2312"/>
          <w:color w:val="000000" w:themeColor="text1"/>
          <w:szCs w:val="32"/>
        </w:rPr>
        <w:t>APP</w:t>
      </w:r>
      <w:r w:rsidRPr="00F02CD8">
        <w:rPr>
          <w:rFonts w:eastAsia="仿宋_GB2312"/>
          <w:color w:val="000000" w:themeColor="text1"/>
          <w:szCs w:val="32"/>
        </w:rPr>
        <w:t>上传训练数据等信息的，存在患者信息泄漏的风险。用于激励治疗频次或剂量的功能，可能造成不当使用，从而导致治疗过量甚至造成不可逆损伤。注册申请人还应按照《移动医疗器械注册审查指导原则》进行</w:t>
      </w:r>
      <w:r w:rsidRPr="00F02CD8">
        <w:rPr>
          <w:rFonts w:eastAsia="仿宋_GB2312"/>
          <w:color w:val="000000" w:themeColor="text1"/>
          <w:szCs w:val="32"/>
        </w:rPr>
        <w:t>APP</w:t>
      </w:r>
      <w:r w:rsidRPr="00F02CD8">
        <w:rPr>
          <w:rFonts w:eastAsia="仿宋_GB2312"/>
          <w:color w:val="000000" w:themeColor="text1"/>
          <w:szCs w:val="32"/>
        </w:rPr>
        <w:t>功能的设计开发，相</w:t>
      </w:r>
      <w:r w:rsidRPr="00F02CD8">
        <w:rPr>
          <w:rFonts w:eastAsia="仿宋_GB2312"/>
          <w:color w:val="000000" w:themeColor="text1"/>
          <w:szCs w:val="32"/>
        </w:rPr>
        <w:lastRenderedPageBreak/>
        <w:t>关内容应于说明书保持一致。</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（十</w:t>
      </w:r>
      <w:r w:rsidR="00161B66" w:rsidRPr="00F02CD8">
        <w:rPr>
          <w:rFonts w:eastAsia="楷体_GB2312"/>
          <w:color w:val="000000" w:themeColor="text1"/>
          <w:szCs w:val="32"/>
        </w:rPr>
        <w:t>一</w:t>
      </w:r>
      <w:r w:rsidRPr="00F02CD8">
        <w:rPr>
          <w:rFonts w:eastAsia="楷体_GB2312"/>
          <w:color w:val="000000" w:themeColor="text1"/>
          <w:szCs w:val="32"/>
        </w:rPr>
        <w:t>）电气安全风险及控制措施</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产品因电气安全（含电磁兼容）设计不当、防护措施不力、安全提示不明等问题，可能直接或间接导致患者等相关人员面临电气安全风险。注册申请人需根据</w:t>
      </w:r>
      <w:r w:rsidRPr="00F02CD8">
        <w:rPr>
          <w:rFonts w:eastAsia="仿宋_GB2312"/>
          <w:color w:val="000000" w:themeColor="text1"/>
          <w:szCs w:val="32"/>
        </w:rPr>
        <w:t>GB 9706</w:t>
      </w:r>
      <w:r w:rsidRPr="00F02CD8">
        <w:rPr>
          <w:rFonts w:eastAsia="仿宋_GB2312"/>
          <w:color w:val="000000" w:themeColor="text1"/>
          <w:szCs w:val="32"/>
        </w:rPr>
        <w:t>电气安全系列标准中的要求开展产品设计开发工作。</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激光电源的性能将影响激光输出功率的稳定性及准确性，注册申请人应分析电源性能不良、供电电压波动等可能带来的激光输出功率不稳定、不准确对患者造成损伤风险，并提供相应控制措施。</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（十</w:t>
      </w:r>
      <w:r w:rsidR="00161B66" w:rsidRPr="00F02CD8">
        <w:rPr>
          <w:rFonts w:eastAsia="楷体_GB2312"/>
          <w:color w:val="000000" w:themeColor="text1"/>
          <w:szCs w:val="32"/>
        </w:rPr>
        <w:t>二</w:t>
      </w:r>
      <w:r w:rsidRPr="00F02CD8">
        <w:rPr>
          <w:rFonts w:eastAsia="楷体_GB2312"/>
          <w:color w:val="000000" w:themeColor="text1"/>
          <w:szCs w:val="32"/>
        </w:rPr>
        <w:t>）光辐射安全风险及控制措施</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产品含激光器，存在光辐射安全风险。</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产品</w:t>
      </w:r>
      <w:r w:rsidR="008C088E">
        <w:rPr>
          <w:rFonts w:eastAsia="仿宋_GB2312"/>
          <w:color w:val="000000" w:themeColor="text1"/>
          <w:szCs w:val="32"/>
        </w:rPr>
        <w:t>应根据自身</w:t>
      </w:r>
      <w:r w:rsidR="008C088E">
        <w:rPr>
          <w:rFonts w:eastAsia="仿宋_GB2312" w:hint="eastAsia"/>
          <w:color w:val="000000" w:themeColor="text1"/>
          <w:szCs w:val="32"/>
        </w:rPr>
        <w:t>技术特点</w:t>
      </w:r>
      <w:r w:rsidR="00587082" w:rsidRPr="00F02CD8">
        <w:rPr>
          <w:rFonts w:eastAsia="仿宋_GB2312"/>
          <w:color w:val="000000" w:themeColor="text1"/>
          <w:szCs w:val="32"/>
        </w:rPr>
        <w:t>，</w:t>
      </w:r>
      <w:r w:rsidRPr="00F02CD8">
        <w:rPr>
          <w:rFonts w:eastAsia="仿宋_GB2312"/>
          <w:color w:val="000000" w:themeColor="text1"/>
          <w:szCs w:val="32"/>
        </w:rPr>
        <w:t>符合</w:t>
      </w:r>
      <w:r w:rsidR="008C088E">
        <w:rPr>
          <w:rFonts w:eastAsia="仿宋_GB2312" w:hint="eastAsia"/>
          <w:color w:val="000000" w:themeColor="text1"/>
          <w:szCs w:val="32"/>
        </w:rPr>
        <w:t>相关标准要求，如</w:t>
      </w:r>
      <w:r w:rsidRPr="00F02CD8">
        <w:rPr>
          <w:rFonts w:eastAsia="仿宋_GB2312"/>
          <w:color w:val="000000" w:themeColor="text1"/>
          <w:szCs w:val="32"/>
        </w:rPr>
        <w:t>GB 7247.1</w:t>
      </w:r>
      <w:r w:rsidRPr="00F02CD8">
        <w:rPr>
          <w:rFonts w:eastAsia="仿宋_GB2312"/>
          <w:color w:val="000000" w:themeColor="text1"/>
          <w:szCs w:val="32"/>
        </w:rPr>
        <w:t>、</w:t>
      </w:r>
      <w:r w:rsidRPr="00F02CD8">
        <w:rPr>
          <w:rFonts w:eastAsia="仿宋_GB2312"/>
          <w:color w:val="000000" w:themeColor="text1"/>
          <w:szCs w:val="32"/>
        </w:rPr>
        <w:t>GB 12257</w:t>
      </w:r>
      <w:r w:rsidRPr="00F02CD8">
        <w:rPr>
          <w:rFonts w:eastAsia="仿宋_GB2312"/>
          <w:color w:val="000000" w:themeColor="text1"/>
          <w:szCs w:val="32"/>
        </w:rPr>
        <w:t>等。但符合这些标准并不足以证明产品的光辐射安全。既往的激光安全性指标均为不经意或者不小心的瞬间照射，而并非凝视激光光源。因此，符合既往激光安全标准的设备在改变其使用方式时需要重新评估光辐射安全风险。</w:t>
      </w:r>
    </w:p>
    <w:p w:rsidR="007C73EF" w:rsidRPr="00F02CD8" w:rsidRDefault="00347B6B" w:rsidP="006D67E6">
      <w:pPr>
        <w:spacing w:line="520" w:lineRule="exact"/>
        <w:ind w:firstLineChars="200" w:firstLine="640"/>
        <w:rPr>
          <w:rFonts w:eastAsia="仿宋_GB2312"/>
          <w:color w:val="000000" w:themeColor="text1"/>
          <w:szCs w:val="32"/>
        </w:rPr>
      </w:pPr>
      <w:r>
        <w:rPr>
          <w:rFonts w:eastAsia="仿宋_GB2312"/>
          <w:color w:val="000000" w:themeColor="text1"/>
          <w:szCs w:val="32"/>
        </w:rPr>
        <w:t>近视</w:t>
      </w:r>
      <w:r>
        <w:rPr>
          <w:rFonts w:eastAsia="仿宋_GB2312"/>
          <w:color w:val="000000" w:themeColor="text1"/>
          <w:szCs w:val="32"/>
        </w:rPr>
        <w:t>/</w:t>
      </w:r>
      <w:r>
        <w:rPr>
          <w:rFonts w:eastAsia="仿宋_GB2312"/>
          <w:color w:val="000000" w:themeColor="text1"/>
          <w:szCs w:val="32"/>
        </w:rPr>
        <w:t>弱视</w:t>
      </w:r>
      <w:r w:rsidR="00317F5D" w:rsidRPr="00F02CD8">
        <w:rPr>
          <w:rFonts w:eastAsia="仿宋_GB2312"/>
          <w:color w:val="000000" w:themeColor="text1"/>
          <w:szCs w:val="32"/>
        </w:rPr>
        <w:t>激光治疗仪典型光照射作用模式是点状红色激光多次重复较长时间作用在视网膜黄斑中心凹处，其患者群体是弱视或近视的人群，故其作用模式和适用人群对光安全的评估要求</w:t>
      </w:r>
      <w:r w:rsidR="00201593" w:rsidRPr="00F02CD8">
        <w:rPr>
          <w:rFonts w:eastAsia="仿宋_GB2312"/>
          <w:color w:val="000000" w:themeColor="text1"/>
          <w:szCs w:val="32"/>
        </w:rPr>
        <w:t>需</w:t>
      </w:r>
      <w:r w:rsidR="00317F5D" w:rsidRPr="00F02CD8">
        <w:rPr>
          <w:rFonts w:eastAsia="仿宋_GB2312"/>
          <w:color w:val="000000" w:themeColor="text1"/>
          <w:szCs w:val="32"/>
        </w:rPr>
        <w:t>更加谨慎。另外，由于激光经眼内屈光介质后光束分布发生改变，眼底处的功率密度甚至可能远大于激光出射窗口处的功率密度。且目前相关激光安全标准主要基于成人未考虑儿童青少年使用的情形。注册申请人应开展相关研究，充分分析儿童青少年眼内光辐射危害的风险，</w:t>
      </w:r>
      <w:r w:rsidR="003C4D64" w:rsidRPr="00F02CD8">
        <w:rPr>
          <w:rFonts w:eastAsia="仿宋_GB2312"/>
          <w:color w:val="000000" w:themeColor="text1"/>
          <w:szCs w:val="32"/>
        </w:rPr>
        <w:t>分析儿童青少年与成人的眼内组织尤其是视网膜对激光光辐射耐受性的差异并提供依据，</w:t>
      </w:r>
      <w:r w:rsidR="003C4D64" w:rsidRPr="00F02CD8">
        <w:rPr>
          <w:rFonts w:eastAsia="仿宋_GB2312"/>
          <w:color w:val="000000" w:themeColor="text1"/>
          <w:szCs w:val="32"/>
        </w:rPr>
        <w:lastRenderedPageBreak/>
        <w:t>对差异部分提供相应的防控措施，确保产品光辐射安全性。</w:t>
      </w:r>
    </w:p>
    <w:p w:rsidR="007C73EF" w:rsidRPr="00F02CD8" w:rsidRDefault="00317F5D" w:rsidP="003B1BD6">
      <w:pPr>
        <w:spacing w:line="520" w:lineRule="exact"/>
        <w:ind w:firstLineChars="200" w:firstLine="640"/>
        <w:rPr>
          <w:rFonts w:eastAsia="黑体"/>
          <w:color w:val="000000" w:themeColor="text1"/>
          <w:szCs w:val="32"/>
        </w:rPr>
      </w:pPr>
      <w:r w:rsidRPr="00F02CD8">
        <w:rPr>
          <w:rFonts w:eastAsia="黑体" w:hAnsi="黑体"/>
          <w:color w:val="000000" w:themeColor="text1"/>
          <w:szCs w:val="32"/>
        </w:rPr>
        <w:t>四、审评关注点</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（一）产品的结构组成、工作原理</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结构组成需提供产品外观及各组件的图片、明确激光光源的波长及类型，明确接触患者部的材质。</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工作原理需提供内部光路设计及激光光路图，说明激光出射的状态（聚焦、发散或准直）。</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（二）作用机理、适用范围和禁忌证</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目前尚无科学、严谨的证据支持激光用于弱视治疗</w:t>
      </w:r>
      <w:r w:rsidRPr="00F02CD8">
        <w:rPr>
          <w:rFonts w:eastAsia="仿宋_GB2312"/>
          <w:bCs/>
          <w:color w:val="000000" w:themeColor="text1"/>
          <w:szCs w:val="32"/>
        </w:rPr>
        <w:t>/</w:t>
      </w:r>
      <w:r w:rsidRPr="00F02CD8">
        <w:rPr>
          <w:rFonts w:eastAsia="仿宋_GB2312"/>
          <w:bCs/>
          <w:color w:val="000000" w:themeColor="text1"/>
          <w:szCs w:val="32"/>
        </w:rPr>
        <w:t>辅助治疗、近视辅助治疗的作用机理。申请人需提供治疗机理的基础理论研究依据并验证。</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作用机理应详述激光与生物组织的相互作用，提供有激光在人眼中传输示意图，特别是作用于目标组织处的光分布。并提供验证资料。</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适用范围应根据作用机理明确产品的预期用途、使用方式和功能。</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使用环境应明确产品的使用场所为医疗机构，并应要求在有资质的医务人员指导下使用。</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适用人群明确产品的适用人群，如儿童、青少年的年龄段。</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禁忌证：</w:t>
      </w:r>
    </w:p>
    <w:p w:rsidR="007C73EF" w:rsidRPr="00F02CD8" w:rsidRDefault="00347B6B" w:rsidP="006D67E6">
      <w:pPr>
        <w:spacing w:line="520" w:lineRule="exact"/>
        <w:ind w:firstLineChars="200" w:firstLine="640"/>
        <w:rPr>
          <w:rFonts w:eastAsia="仿宋_GB2312"/>
          <w:bCs/>
          <w:color w:val="000000" w:themeColor="text1"/>
          <w:szCs w:val="32"/>
        </w:rPr>
      </w:pPr>
      <w:r>
        <w:rPr>
          <w:rFonts w:eastAsia="仿宋_GB2312"/>
          <w:color w:val="000000" w:themeColor="text1"/>
          <w:szCs w:val="32"/>
        </w:rPr>
        <w:t>近视</w:t>
      </w:r>
      <w:r>
        <w:rPr>
          <w:rFonts w:eastAsia="仿宋_GB2312"/>
          <w:color w:val="000000" w:themeColor="text1"/>
          <w:szCs w:val="32"/>
        </w:rPr>
        <w:t>/</w:t>
      </w:r>
      <w:r>
        <w:rPr>
          <w:rFonts w:eastAsia="仿宋_GB2312"/>
          <w:color w:val="000000" w:themeColor="text1"/>
          <w:szCs w:val="32"/>
        </w:rPr>
        <w:t>弱视</w:t>
      </w:r>
      <w:r w:rsidR="00317F5D" w:rsidRPr="00F02CD8">
        <w:rPr>
          <w:rFonts w:eastAsia="仿宋_GB2312"/>
          <w:bCs/>
          <w:color w:val="000000" w:themeColor="text1"/>
          <w:szCs w:val="32"/>
        </w:rPr>
        <w:t>激光治疗设备的安全性目前尚未得到有效确认，在此类设备的安全性尚未得到充分验证前</w:t>
      </w:r>
      <w:r w:rsidR="00317F5D" w:rsidRPr="00F02CD8">
        <w:rPr>
          <w:rFonts w:eastAsia="仿宋_GB2312"/>
          <w:bCs/>
          <w:color w:val="000000" w:themeColor="text1"/>
          <w:szCs w:val="32"/>
          <w:u w:val="single"/>
        </w:rPr>
        <w:t>，禁止将其用于传统治疗方式有效的弱视或近视治疗</w:t>
      </w:r>
      <w:r w:rsidR="00317F5D" w:rsidRPr="00F02CD8">
        <w:rPr>
          <w:rFonts w:eastAsia="仿宋_GB2312"/>
          <w:bCs/>
          <w:color w:val="000000" w:themeColor="text1"/>
          <w:szCs w:val="32"/>
        </w:rPr>
        <w:t>。</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禁忌证包括但不限于：</w:t>
      </w:r>
    </w:p>
    <w:p w:rsidR="007C73EF" w:rsidRPr="00F02CD8" w:rsidRDefault="00317F5D" w:rsidP="006D67E6">
      <w:pPr>
        <w:numPr>
          <w:ilvl w:val="0"/>
          <w:numId w:val="1"/>
        </w:num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年龄不满</w:t>
      </w:r>
      <w:r w:rsidRPr="00F02CD8">
        <w:rPr>
          <w:rFonts w:eastAsia="仿宋_GB2312"/>
          <w:bCs/>
          <w:color w:val="000000" w:themeColor="text1"/>
          <w:szCs w:val="32"/>
        </w:rPr>
        <w:t>8</w:t>
      </w:r>
      <w:r w:rsidRPr="00F02CD8">
        <w:rPr>
          <w:rFonts w:eastAsia="仿宋_GB2312"/>
          <w:bCs/>
          <w:color w:val="000000" w:themeColor="text1"/>
          <w:szCs w:val="32"/>
        </w:rPr>
        <w:t>岁的患者。</w:t>
      </w:r>
    </w:p>
    <w:p w:rsidR="007C73EF" w:rsidRPr="00F02CD8" w:rsidRDefault="00317F5D" w:rsidP="006D67E6">
      <w:pPr>
        <w:numPr>
          <w:ilvl w:val="0"/>
          <w:numId w:val="1"/>
        </w:num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尚未发生近视和弱视的患者。</w:t>
      </w:r>
    </w:p>
    <w:p w:rsidR="007C73EF" w:rsidRPr="00F02CD8" w:rsidRDefault="00317F5D" w:rsidP="006D67E6">
      <w:pPr>
        <w:numPr>
          <w:ilvl w:val="0"/>
          <w:numId w:val="1"/>
        </w:num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lastRenderedPageBreak/>
        <w:t>传统治疗方式有效的近视、弱视患者。</w:t>
      </w:r>
    </w:p>
    <w:p w:rsidR="007C73EF" w:rsidRPr="00F02CD8" w:rsidRDefault="00317F5D" w:rsidP="00F02CD8">
      <w:pPr>
        <w:numPr>
          <w:ilvl w:val="0"/>
          <w:numId w:val="1"/>
        </w:num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除近视外，有相关现症眼部疾病，包括但不限于：色盲和色弱、</w:t>
      </w:r>
      <w:r w:rsidRPr="00F02CD8">
        <w:rPr>
          <w:rFonts w:eastAsia="仿宋_GB2312"/>
          <w:color w:val="000000" w:themeColor="text1"/>
          <w:szCs w:val="32"/>
        </w:rPr>
        <w:t>光过敏史、眼表疾病、角膜疾病、白内障、葡萄膜炎、玻璃体视网膜疾病（尤其是黄斑疾病、视网膜色素变性、先天性静止性夜盲等）、视神经疾病等。</w:t>
      </w:r>
    </w:p>
    <w:p w:rsidR="007C73EF" w:rsidRPr="00F02CD8" w:rsidRDefault="00317F5D" w:rsidP="00F02CD8">
      <w:pPr>
        <w:numPr>
          <w:ilvl w:val="0"/>
          <w:numId w:val="1"/>
        </w:numPr>
        <w:spacing w:line="520" w:lineRule="exact"/>
        <w:ind w:firstLineChars="200" w:firstLine="640"/>
        <w:rPr>
          <w:rFonts w:eastAsia="仿宋_GB2312"/>
          <w:bCs/>
          <w:color w:val="000000" w:themeColor="text1"/>
          <w:szCs w:val="32"/>
        </w:rPr>
      </w:pPr>
      <w:r w:rsidRPr="00F02CD8">
        <w:rPr>
          <w:rFonts w:eastAsia="仿宋_GB2312"/>
          <w:color w:val="000000" w:themeColor="text1"/>
          <w:szCs w:val="32"/>
        </w:rPr>
        <w:t>存在全身性疾病，包括但不限于：自身免疫性疾病（包括红斑狼疮、皮肌炎、干燥综合征、银屑病等）、高血压、糖尿病、白化病；神经系统疾病，例如既往惊厥病史、抽动症、中枢神经系统发育不完善、癫痫、精神心理疾病等。</w:t>
      </w:r>
    </w:p>
    <w:p w:rsidR="007C73EF" w:rsidRPr="00F02CD8" w:rsidRDefault="00317F5D" w:rsidP="00F02CD8">
      <w:pPr>
        <w:numPr>
          <w:ilvl w:val="0"/>
          <w:numId w:val="1"/>
        </w:numPr>
        <w:spacing w:line="520" w:lineRule="exact"/>
        <w:ind w:firstLineChars="200" w:firstLine="640"/>
        <w:rPr>
          <w:rFonts w:eastAsia="仿宋_GB2312"/>
          <w:bCs/>
          <w:color w:val="000000" w:themeColor="text1"/>
          <w:szCs w:val="32"/>
        </w:rPr>
      </w:pPr>
      <w:r w:rsidRPr="00F02CD8">
        <w:rPr>
          <w:rFonts w:eastAsia="仿宋_GB2312"/>
          <w:color w:val="000000" w:themeColor="text1"/>
          <w:szCs w:val="32"/>
        </w:rPr>
        <w:t>治疗前后检查中发现下列情形均为禁忌：光感受器细胞密度低于正常值（</w:t>
      </w:r>
      <w:r w:rsidRPr="00F02CD8">
        <w:rPr>
          <w:rFonts w:eastAsia="仿宋_GB2312"/>
          <w:color w:val="000000" w:themeColor="text1"/>
          <w:szCs w:val="32"/>
        </w:rPr>
        <w:t>10-19</w:t>
      </w:r>
      <w:r w:rsidRPr="00F02CD8">
        <w:rPr>
          <w:rFonts w:eastAsia="仿宋_GB2312"/>
          <w:color w:val="000000" w:themeColor="text1"/>
          <w:szCs w:val="32"/>
        </w:rPr>
        <w:t>万</w:t>
      </w:r>
      <w:r w:rsidRPr="00F02CD8">
        <w:rPr>
          <w:rFonts w:eastAsia="仿宋_GB2312"/>
          <w:color w:val="000000" w:themeColor="text1"/>
          <w:szCs w:val="32"/>
        </w:rPr>
        <w:t>/mm</w:t>
      </w:r>
      <w:r w:rsidRPr="00F02CD8">
        <w:rPr>
          <w:rFonts w:eastAsia="仿宋_GB2312"/>
          <w:color w:val="000000" w:themeColor="text1"/>
          <w:szCs w:val="32"/>
          <w:vertAlign w:val="superscript"/>
        </w:rPr>
        <w:t>2</w:t>
      </w:r>
      <w:r w:rsidRPr="00F02CD8">
        <w:rPr>
          <w:rFonts w:eastAsia="仿宋_GB2312"/>
          <w:color w:val="000000" w:themeColor="text1"/>
          <w:szCs w:val="32"/>
        </w:rPr>
        <w:t>），或在随访过程中光感受器细胞密度进行性下降；</w:t>
      </w:r>
      <w:r w:rsidRPr="00F02CD8">
        <w:rPr>
          <w:rFonts w:eastAsia="仿宋_GB2312"/>
          <w:color w:val="000000" w:themeColor="text1"/>
          <w:szCs w:val="32"/>
        </w:rPr>
        <w:t>OCT</w:t>
      </w:r>
      <w:r w:rsidRPr="00F02CD8">
        <w:rPr>
          <w:rFonts w:eastAsia="仿宋_GB2312"/>
          <w:color w:val="000000" w:themeColor="text1"/>
          <w:szCs w:val="32"/>
        </w:rPr>
        <w:t>、眼底自发荧光、</w:t>
      </w:r>
      <w:proofErr w:type="spellStart"/>
      <w:r w:rsidRPr="00F02CD8">
        <w:rPr>
          <w:rFonts w:eastAsia="仿宋_GB2312"/>
          <w:color w:val="000000" w:themeColor="text1"/>
          <w:szCs w:val="32"/>
        </w:rPr>
        <w:t>mERG</w:t>
      </w:r>
      <w:proofErr w:type="spellEnd"/>
      <w:r w:rsidRPr="00F02CD8">
        <w:rPr>
          <w:rFonts w:eastAsia="仿宋_GB2312"/>
          <w:color w:val="000000" w:themeColor="text1"/>
          <w:szCs w:val="32"/>
        </w:rPr>
        <w:t>/ERG/EOG</w:t>
      </w:r>
      <w:r w:rsidRPr="00F02CD8">
        <w:rPr>
          <w:rFonts w:eastAsia="仿宋_GB2312"/>
          <w:color w:val="000000" w:themeColor="text1"/>
          <w:szCs w:val="32"/>
        </w:rPr>
        <w:t>检查等检查发现异常，或在随访过程中新出现异常。</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7.</w:t>
      </w:r>
      <w:r w:rsidRPr="00F02CD8">
        <w:rPr>
          <w:rFonts w:eastAsia="仿宋_GB2312"/>
          <w:bCs/>
          <w:color w:val="000000" w:themeColor="text1"/>
          <w:szCs w:val="32"/>
        </w:rPr>
        <w:t>其他临床医生认为不适合的情形。</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（三）产品技术要求</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根据《医疗器械产品技术要求编写指导原则》要求规范产品技术要求的内容和体例。</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基于产品特性和具体情况，明确激光波长、输出功率、发散角、光斑大小，</w:t>
      </w:r>
      <w:r w:rsidRPr="00F02CD8">
        <w:rPr>
          <w:rFonts w:eastAsia="仿宋_GB2312"/>
          <w:bCs/>
          <w:color w:val="000000" w:themeColor="text1"/>
          <w:szCs w:val="32"/>
          <w:u w:val="single"/>
        </w:rPr>
        <w:t>能量分布均匀性</w:t>
      </w:r>
      <w:r w:rsidRPr="00F02CD8">
        <w:rPr>
          <w:rFonts w:eastAsia="仿宋_GB2312"/>
          <w:bCs/>
          <w:color w:val="000000" w:themeColor="text1"/>
          <w:szCs w:val="32"/>
        </w:rPr>
        <w:t>、激光输出功率不稳定度和复现性、输出方式、脉冲特性（如适用）、定时、软件功能、电气安全（含电磁兼容）、光辐射安全等要求和检测方法。</w:t>
      </w:r>
    </w:p>
    <w:p w:rsidR="007C73EF" w:rsidRPr="00F02CD8" w:rsidRDefault="00317F5D" w:rsidP="00F02CD8">
      <w:pPr>
        <w:spacing w:line="520" w:lineRule="exact"/>
        <w:ind w:firstLineChars="200" w:firstLine="640"/>
        <w:outlineLvl w:val="1"/>
        <w:rPr>
          <w:rFonts w:eastAsia="仿宋_GB2312"/>
          <w:color w:val="000000" w:themeColor="text1"/>
          <w:szCs w:val="32"/>
        </w:rPr>
      </w:pPr>
      <w:r w:rsidRPr="00F02CD8">
        <w:rPr>
          <w:rFonts w:eastAsia="仿宋_GB2312"/>
          <w:bCs/>
          <w:color w:val="000000" w:themeColor="text1"/>
          <w:szCs w:val="32"/>
        </w:rPr>
        <w:t>电气安全（含电磁兼容）应符合</w:t>
      </w:r>
      <w:r w:rsidRPr="00F02CD8">
        <w:rPr>
          <w:rFonts w:eastAsia="仿宋_GB2312"/>
          <w:color w:val="000000" w:themeColor="text1"/>
          <w:szCs w:val="32"/>
        </w:rPr>
        <w:t>GB 9706</w:t>
      </w:r>
      <w:r w:rsidRPr="00F02CD8">
        <w:rPr>
          <w:rFonts w:eastAsia="仿宋_GB2312"/>
          <w:color w:val="000000" w:themeColor="text1"/>
          <w:szCs w:val="32"/>
        </w:rPr>
        <w:t>系列标准要求（</w:t>
      </w:r>
      <w:r w:rsidRPr="00F02CD8">
        <w:rPr>
          <w:rFonts w:eastAsia="仿宋_GB2312"/>
          <w:color w:val="000000" w:themeColor="text1"/>
          <w:szCs w:val="32"/>
        </w:rPr>
        <w:t>GB 9706.1</w:t>
      </w:r>
      <w:r w:rsidRPr="00F02CD8">
        <w:rPr>
          <w:rFonts w:eastAsia="仿宋_GB2312"/>
          <w:color w:val="000000" w:themeColor="text1"/>
          <w:szCs w:val="32"/>
        </w:rPr>
        <w:t>、</w:t>
      </w:r>
      <w:r w:rsidRPr="00F02CD8">
        <w:rPr>
          <w:rFonts w:eastAsia="仿宋_GB2312"/>
          <w:color w:val="000000" w:themeColor="text1"/>
          <w:szCs w:val="32"/>
        </w:rPr>
        <w:t>YY 9706.102</w:t>
      </w:r>
      <w:r w:rsidRPr="00F02CD8">
        <w:rPr>
          <w:rFonts w:eastAsia="仿宋_GB2312"/>
          <w:color w:val="000000" w:themeColor="text1"/>
          <w:szCs w:val="32"/>
        </w:rPr>
        <w:t>）</w:t>
      </w:r>
      <w:r w:rsidRPr="00F02CD8">
        <w:rPr>
          <w:rFonts w:eastAsia="仿宋_GB2312"/>
          <w:bCs/>
          <w:color w:val="000000" w:themeColor="text1"/>
          <w:szCs w:val="32"/>
        </w:rPr>
        <w:t>。应结合相关研究给出适宜的光辐射安全要求，其要求不得低于</w:t>
      </w:r>
      <w:r w:rsidRPr="00F02CD8">
        <w:rPr>
          <w:rFonts w:eastAsia="仿宋_GB2312"/>
          <w:bCs/>
          <w:color w:val="000000" w:themeColor="text1"/>
          <w:szCs w:val="32"/>
        </w:rPr>
        <w:t>GB 7247.1</w:t>
      </w:r>
      <w:r w:rsidRPr="00F02CD8">
        <w:rPr>
          <w:rFonts w:eastAsia="仿宋_GB2312"/>
          <w:bCs/>
          <w:color w:val="000000" w:themeColor="text1"/>
          <w:szCs w:val="32"/>
        </w:rPr>
        <w:t>标准的要求。</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（四）性能研究</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提供性能指标的确定依据、输入来源以及临床意义，所采</w:t>
      </w:r>
      <w:r w:rsidRPr="00F02CD8">
        <w:rPr>
          <w:rFonts w:eastAsia="仿宋_GB2312"/>
          <w:bCs/>
          <w:color w:val="000000" w:themeColor="text1"/>
          <w:szCs w:val="32"/>
        </w:rPr>
        <w:lastRenderedPageBreak/>
        <w:t>用的标准或方法、采用的原因及理论基础，以及验证资料。</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详细说明治疗参数如波长、功率</w:t>
      </w:r>
      <w:r w:rsidR="00847EBD" w:rsidRPr="00F02CD8">
        <w:rPr>
          <w:rFonts w:eastAsia="仿宋_GB2312"/>
          <w:bCs/>
          <w:color w:val="000000" w:themeColor="text1"/>
          <w:szCs w:val="32"/>
        </w:rPr>
        <w:t>（功率密度）</w:t>
      </w:r>
      <w:r w:rsidRPr="00F02CD8">
        <w:rPr>
          <w:rFonts w:eastAsia="仿宋_GB2312"/>
          <w:bCs/>
          <w:color w:val="000000" w:themeColor="text1"/>
          <w:szCs w:val="32"/>
        </w:rPr>
        <w:t>、照射时长等确定的依据，参数的确定应基于量效关系研究数据或其他研究数据。</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由于激光经眼内屈光介质后光束分布发生改变，性能指标还应提供眼底</w:t>
      </w:r>
      <w:r w:rsidR="00587082" w:rsidRPr="00F02CD8">
        <w:rPr>
          <w:rFonts w:eastAsia="仿宋_GB2312"/>
          <w:bCs/>
          <w:color w:val="000000" w:themeColor="text1"/>
          <w:szCs w:val="32"/>
        </w:rPr>
        <w:t>（黄斑）</w:t>
      </w:r>
      <w:r w:rsidRPr="00F02CD8">
        <w:rPr>
          <w:rFonts w:eastAsia="仿宋_GB2312"/>
          <w:bCs/>
          <w:color w:val="000000" w:themeColor="text1"/>
          <w:szCs w:val="32"/>
        </w:rPr>
        <w:t>功率密度、峰值功率等光剂量参数确定的依据及验证。</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注册申请人应开展激光输出功率的稳定性及准确性的研究，并提供验证报告。</w:t>
      </w:r>
      <w:r w:rsidR="00847EBD" w:rsidRPr="00F02CD8">
        <w:rPr>
          <w:rFonts w:eastAsia="仿宋_GB2312"/>
          <w:bCs/>
          <w:color w:val="000000" w:themeColor="text1"/>
          <w:szCs w:val="32"/>
        </w:rPr>
        <w:t>需要考虑产品异常状态下的最大可达发射水平。启动和关闭状态也可能存在的过辐射状态。</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电气性能方面，如果治疗仪使用交流电，注册申请人应采取控制措施避免电网的脉冲、浪涌等突发高电压导致的闪爆。如果使用干电池，电压可能衰减，注册申请人应明确电池更换要求。</w:t>
      </w:r>
    </w:p>
    <w:p w:rsidR="007C73EF" w:rsidRPr="00F02CD8" w:rsidRDefault="00317F5D" w:rsidP="006D67E6">
      <w:pPr>
        <w:spacing w:line="520" w:lineRule="exact"/>
        <w:ind w:firstLineChars="200" w:firstLine="640"/>
        <w:rPr>
          <w:rFonts w:eastAsia="楷体_GB2312"/>
          <w:color w:val="000000" w:themeColor="text1"/>
          <w:szCs w:val="32"/>
        </w:rPr>
      </w:pPr>
      <w:r w:rsidRPr="00F02CD8">
        <w:rPr>
          <w:rFonts w:eastAsia="楷体_GB2312"/>
          <w:color w:val="000000" w:themeColor="text1"/>
          <w:szCs w:val="32"/>
        </w:rPr>
        <w:t>（五）量效关系和能量安全研究</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注册申请人应当提供量效关系和能量安全研究资料，证明治疗参数设置的安全性、有效性、合理性，以及除预期靶组织外，能量不会造成不可接受的伤害的研究资料。</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量效关系研究是用于说明设备输出剂量与应用效果间的相互印证关系，该部分资料也可作为性能参数确定依据以及适应证的支持性资料。该部分研究资料重点关注最大剂量的安全性。应考虑临床治疗最不利情形（最大剂量、最高频次、最长疗程等）。</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能量安全应着重研究眼底损伤阈值、眼内（焦点及焦点前后）组织的安全性阈值。提供</w:t>
      </w:r>
      <w:r w:rsidR="00153266">
        <w:rPr>
          <w:rFonts w:eastAsia="仿宋_GB2312" w:hint="eastAsia"/>
          <w:bCs/>
          <w:color w:val="000000" w:themeColor="text1"/>
          <w:szCs w:val="32"/>
        </w:rPr>
        <w:t>治疗</w:t>
      </w:r>
      <w:r w:rsidRPr="00F02CD8">
        <w:rPr>
          <w:rFonts w:eastAsia="仿宋_GB2312"/>
          <w:bCs/>
          <w:color w:val="000000" w:themeColor="text1"/>
          <w:szCs w:val="32"/>
        </w:rPr>
        <w:t>频次</w:t>
      </w:r>
      <w:r w:rsidR="00153266">
        <w:rPr>
          <w:rFonts w:eastAsia="仿宋_GB2312" w:hint="eastAsia"/>
          <w:bCs/>
          <w:color w:val="000000" w:themeColor="text1"/>
          <w:szCs w:val="32"/>
        </w:rPr>
        <w:t>的</w:t>
      </w:r>
      <w:r w:rsidRPr="00F02CD8">
        <w:rPr>
          <w:rFonts w:eastAsia="仿宋_GB2312"/>
          <w:bCs/>
          <w:color w:val="000000" w:themeColor="text1"/>
          <w:szCs w:val="32"/>
        </w:rPr>
        <w:t>研究资料。</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产品主要用于儿童、青少年，注册申请人还应提供申报产</w:t>
      </w:r>
      <w:r w:rsidRPr="00F02CD8">
        <w:rPr>
          <w:rFonts w:eastAsia="仿宋_GB2312"/>
          <w:bCs/>
          <w:color w:val="000000" w:themeColor="text1"/>
          <w:szCs w:val="32"/>
        </w:rPr>
        <w:lastRenderedPageBreak/>
        <w:t>品自身的长期安全性数据，应对产品已有临床使用数据进行临床回顾性研究，关注视网膜尤其是黄斑区长期、隐匿损伤，说明视网膜黄斑功能性、形态学数据能否支持产品安全性可接受。</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建议通过动物试验开展量效关系及能量安全研究。</w:t>
      </w:r>
    </w:p>
    <w:p w:rsidR="007C73EF" w:rsidRPr="00F02CD8" w:rsidRDefault="00317F5D" w:rsidP="006D67E6">
      <w:pPr>
        <w:spacing w:line="520" w:lineRule="exact"/>
        <w:ind w:firstLineChars="200" w:firstLine="640"/>
        <w:outlineLvl w:val="1"/>
        <w:rPr>
          <w:rFonts w:eastAsia="仿宋_GB2312"/>
          <w:color w:val="000000" w:themeColor="text1"/>
          <w:szCs w:val="32"/>
        </w:rPr>
      </w:pPr>
      <w:r w:rsidRPr="00F02CD8">
        <w:rPr>
          <w:rFonts w:eastAsia="楷体_GB2312"/>
          <w:color w:val="000000" w:themeColor="text1"/>
          <w:szCs w:val="32"/>
        </w:rPr>
        <w:t>（六）动物试验研究</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动物试验应选用</w:t>
      </w:r>
      <w:r w:rsidR="00E13A1E" w:rsidRPr="00F02CD8">
        <w:rPr>
          <w:rFonts w:eastAsia="仿宋_GB2312"/>
          <w:bCs/>
          <w:color w:val="000000" w:themeColor="text1"/>
          <w:szCs w:val="32"/>
        </w:rPr>
        <w:t>视网膜结构与人眼结构相似的动物</w:t>
      </w:r>
      <w:r w:rsidRPr="00F02CD8">
        <w:rPr>
          <w:rFonts w:eastAsia="仿宋_GB2312"/>
          <w:bCs/>
          <w:color w:val="000000" w:themeColor="text1"/>
          <w:szCs w:val="32"/>
        </w:rPr>
        <w:t>（例如猴子）在经过类似能量的长时间照射以后，开展以下检查：采用自适应光学成像系统研究照射前后黄斑中心凹光感受器细胞和</w:t>
      </w:r>
      <w:r w:rsidRPr="00F02CD8">
        <w:rPr>
          <w:rFonts w:eastAsia="仿宋_GB2312"/>
          <w:bCs/>
          <w:color w:val="000000" w:themeColor="text1"/>
          <w:szCs w:val="32"/>
        </w:rPr>
        <w:t>RPE</w:t>
      </w:r>
      <w:r w:rsidRPr="00F02CD8">
        <w:rPr>
          <w:rFonts w:eastAsia="仿宋_GB2312"/>
          <w:bCs/>
          <w:color w:val="000000" w:themeColor="text1"/>
          <w:szCs w:val="32"/>
        </w:rPr>
        <w:t>细胞密度和形态</w:t>
      </w:r>
      <w:r w:rsidR="003C4D64" w:rsidRPr="00F02CD8">
        <w:rPr>
          <w:rFonts w:eastAsia="仿宋_GB2312"/>
          <w:bCs/>
          <w:color w:val="000000" w:themeColor="text1"/>
          <w:szCs w:val="32"/>
        </w:rPr>
        <w:t>及结构</w:t>
      </w:r>
      <w:r w:rsidRPr="00F02CD8">
        <w:rPr>
          <w:rFonts w:eastAsia="仿宋_GB2312"/>
          <w:bCs/>
          <w:color w:val="000000" w:themeColor="text1"/>
          <w:szCs w:val="32"/>
        </w:rPr>
        <w:t>变化；采用</w:t>
      </w:r>
      <w:r w:rsidRPr="00F02CD8">
        <w:rPr>
          <w:rFonts w:eastAsia="仿宋_GB2312"/>
          <w:bCs/>
          <w:color w:val="000000" w:themeColor="text1"/>
          <w:szCs w:val="32"/>
        </w:rPr>
        <w:t>OCT</w:t>
      </w:r>
      <w:r w:rsidRPr="00F02CD8">
        <w:rPr>
          <w:rFonts w:eastAsia="仿宋_GB2312"/>
          <w:bCs/>
          <w:color w:val="000000" w:themeColor="text1"/>
          <w:szCs w:val="32"/>
        </w:rPr>
        <w:t>检查照射前后黄斑中心凹形态；采用多焦</w:t>
      </w:r>
      <w:r w:rsidRPr="00F02CD8">
        <w:rPr>
          <w:rFonts w:eastAsia="仿宋_GB2312"/>
          <w:bCs/>
          <w:color w:val="000000" w:themeColor="text1"/>
          <w:szCs w:val="32"/>
        </w:rPr>
        <w:t>ERG</w:t>
      </w:r>
      <w:r w:rsidR="00E13A1E" w:rsidRPr="00F02CD8">
        <w:rPr>
          <w:rFonts w:eastAsia="仿宋_GB2312"/>
          <w:bCs/>
          <w:color w:val="000000" w:themeColor="text1"/>
          <w:szCs w:val="32"/>
        </w:rPr>
        <w:t>观察</w:t>
      </w:r>
      <w:r w:rsidRPr="00F02CD8">
        <w:rPr>
          <w:rFonts w:eastAsia="仿宋_GB2312"/>
          <w:bCs/>
          <w:color w:val="000000" w:themeColor="text1"/>
          <w:szCs w:val="32"/>
        </w:rPr>
        <w:t>照射前后黄斑中心凹</w:t>
      </w:r>
      <w:r w:rsidR="003C4D64" w:rsidRPr="00F02CD8">
        <w:rPr>
          <w:rFonts w:eastAsia="仿宋_GB2312"/>
          <w:bCs/>
          <w:color w:val="000000" w:themeColor="text1"/>
          <w:szCs w:val="32"/>
        </w:rPr>
        <w:t>感光细胞层</w:t>
      </w:r>
      <w:r w:rsidR="00E13A1E" w:rsidRPr="00F02CD8">
        <w:rPr>
          <w:rFonts w:eastAsia="仿宋_GB2312"/>
          <w:bCs/>
          <w:color w:val="000000" w:themeColor="text1"/>
          <w:szCs w:val="32"/>
        </w:rPr>
        <w:t>功能的</w:t>
      </w:r>
      <w:r w:rsidR="003C4D64" w:rsidRPr="00F02CD8">
        <w:rPr>
          <w:rFonts w:eastAsia="仿宋_GB2312"/>
          <w:bCs/>
          <w:color w:val="000000" w:themeColor="text1"/>
          <w:szCs w:val="32"/>
        </w:rPr>
        <w:t>变</w:t>
      </w:r>
      <w:r w:rsidRPr="00F02CD8">
        <w:rPr>
          <w:rFonts w:eastAsia="仿宋_GB2312"/>
          <w:bCs/>
          <w:color w:val="000000" w:themeColor="text1"/>
          <w:szCs w:val="32"/>
        </w:rPr>
        <w:t>化。其他可能需要的检查包括但不限于：自发荧光眼底照相设备检查、</w:t>
      </w:r>
      <w:r w:rsidR="00E13A1E" w:rsidRPr="00F02CD8">
        <w:rPr>
          <w:rFonts w:eastAsia="仿宋_GB2312"/>
          <w:bCs/>
          <w:color w:val="000000" w:themeColor="text1"/>
          <w:szCs w:val="32"/>
        </w:rPr>
        <w:t>眼科全视网膜电图（</w:t>
      </w:r>
      <w:r w:rsidRPr="00F02CD8">
        <w:rPr>
          <w:rFonts w:eastAsia="仿宋_GB2312"/>
          <w:bCs/>
          <w:color w:val="000000" w:themeColor="text1"/>
          <w:szCs w:val="32"/>
        </w:rPr>
        <w:t>ERG</w:t>
      </w:r>
      <w:r w:rsidRPr="00F02CD8">
        <w:rPr>
          <w:rFonts w:eastAsia="仿宋_GB2312"/>
          <w:bCs/>
          <w:color w:val="000000" w:themeColor="text1"/>
          <w:szCs w:val="32"/>
        </w:rPr>
        <w:t>）设备检查、眼科视野和微视野计检查、对比敏感度仪检查等。应与未经过激光照射的动物进行对照，比较</w:t>
      </w:r>
      <w:r w:rsidR="00E13A1E" w:rsidRPr="00F02CD8">
        <w:rPr>
          <w:rFonts w:eastAsia="仿宋_GB2312"/>
          <w:bCs/>
          <w:color w:val="000000" w:themeColor="text1"/>
          <w:szCs w:val="32"/>
        </w:rPr>
        <w:t>两者</w:t>
      </w:r>
      <w:r w:rsidRPr="00F02CD8">
        <w:rPr>
          <w:rFonts w:eastAsia="仿宋_GB2312"/>
          <w:bCs/>
          <w:color w:val="000000" w:themeColor="text1"/>
          <w:szCs w:val="32"/>
        </w:rPr>
        <w:t>感光细胞和</w:t>
      </w:r>
      <w:r w:rsidRPr="00F02CD8">
        <w:rPr>
          <w:rFonts w:eastAsia="仿宋_GB2312"/>
          <w:bCs/>
          <w:color w:val="000000" w:themeColor="text1"/>
          <w:szCs w:val="32"/>
        </w:rPr>
        <w:t>RPE</w:t>
      </w:r>
      <w:r w:rsidRPr="00F02CD8">
        <w:rPr>
          <w:rFonts w:eastAsia="仿宋_GB2312"/>
          <w:bCs/>
          <w:color w:val="000000" w:themeColor="text1"/>
          <w:szCs w:val="32"/>
        </w:rPr>
        <w:t>细胞的形态和功能差异。若采用其他动物，则应分析动物模型的代表性</w:t>
      </w:r>
      <w:r w:rsidR="00FF502E" w:rsidRPr="00F02CD8">
        <w:rPr>
          <w:rFonts w:eastAsia="仿宋_GB2312"/>
          <w:bCs/>
          <w:color w:val="000000" w:themeColor="text1"/>
          <w:szCs w:val="32"/>
        </w:rPr>
        <w:t>，</w:t>
      </w:r>
      <w:r w:rsidR="003C4D64" w:rsidRPr="00F02CD8">
        <w:rPr>
          <w:rFonts w:eastAsia="仿宋_GB2312"/>
          <w:bCs/>
          <w:color w:val="000000" w:themeColor="text1"/>
          <w:szCs w:val="32"/>
        </w:rPr>
        <w:t>分析所采用动物的视网膜与人眼视网膜的区别，以及此项区别对</w:t>
      </w:r>
      <w:r w:rsidR="00201593" w:rsidRPr="00F02CD8">
        <w:rPr>
          <w:rFonts w:eastAsia="仿宋_GB2312"/>
          <w:bCs/>
          <w:color w:val="000000" w:themeColor="text1"/>
          <w:szCs w:val="32"/>
        </w:rPr>
        <w:t>试验</w:t>
      </w:r>
      <w:r w:rsidR="003C4D64" w:rsidRPr="00F02CD8">
        <w:rPr>
          <w:rFonts w:eastAsia="仿宋_GB2312"/>
          <w:bCs/>
          <w:color w:val="000000" w:themeColor="text1"/>
          <w:szCs w:val="32"/>
        </w:rPr>
        <w:t>结果所产生的影响。</w:t>
      </w:r>
    </w:p>
    <w:p w:rsidR="00201593" w:rsidRPr="00F02CD8" w:rsidRDefault="003C4D64"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该</w:t>
      </w:r>
      <w:r w:rsidR="00E13A1E" w:rsidRPr="00F02CD8">
        <w:rPr>
          <w:rFonts w:eastAsia="仿宋_GB2312"/>
          <w:bCs/>
          <w:color w:val="000000" w:themeColor="text1"/>
          <w:szCs w:val="32"/>
        </w:rPr>
        <w:t>类</w:t>
      </w:r>
      <w:r w:rsidRPr="00F02CD8">
        <w:rPr>
          <w:rFonts w:eastAsia="仿宋_GB2312"/>
          <w:bCs/>
          <w:color w:val="000000" w:themeColor="text1"/>
          <w:szCs w:val="32"/>
        </w:rPr>
        <w:t>产品在实际临床使用中是照射人眼视网膜黄斑中心凹，</w:t>
      </w:r>
      <w:r w:rsidR="00317F5D" w:rsidRPr="00F02CD8">
        <w:rPr>
          <w:rFonts w:eastAsia="仿宋_GB2312"/>
          <w:bCs/>
          <w:color w:val="000000" w:themeColor="text1"/>
          <w:szCs w:val="32"/>
        </w:rPr>
        <w:t>由于动物不会主动凝视光源，动物试验</w:t>
      </w:r>
      <w:r w:rsidR="00201593" w:rsidRPr="00F02CD8">
        <w:rPr>
          <w:rFonts w:eastAsia="仿宋_GB2312"/>
          <w:bCs/>
          <w:color w:val="000000" w:themeColor="text1"/>
          <w:szCs w:val="32"/>
        </w:rPr>
        <w:t>建议</w:t>
      </w:r>
      <w:r w:rsidR="00317F5D" w:rsidRPr="00F02CD8">
        <w:rPr>
          <w:rFonts w:eastAsia="仿宋_GB2312"/>
          <w:bCs/>
          <w:color w:val="000000" w:themeColor="text1"/>
          <w:szCs w:val="32"/>
        </w:rPr>
        <w:t>采用合适的措施（例如使激光通过双目间接检眼镜）以保证将激光能量持续输出在黄斑中心凹上。若无法保证激光能量持续输出在黄斑中心凹上，则动物实验的安全性数据仍然存疑，则不可以进一步开展相关临床试验。</w:t>
      </w:r>
    </w:p>
    <w:p w:rsidR="007C73EF" w:rsidRPr="00F02CD8" w:rsidRDefault="00201593"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若动物试验的设计与实际临床使用存在差异，申请人</w:t>
      </w:r>
      <w:r w:rsidR="003C4D64" w:rsidRPr="00F02CD8">
        <w:rPr>
          <w:rFonts w:eastAsia="仿宋_GB2312"/>
          <w:bCs/>
          <w:color w:val="000000" w:themeColor="text1"/>
          <w:szCs w:val="32"/>
        </w:rPr>
        <w:t>应详细分析其差异</w:t>
      </w:r>
      <w:r w:rsidRPr="00F02CD8">
        <w:rPr>
          <w:rFonts w:eastAsia="仿宋_GB2312"/>
          <w:bCs/>
          <w:color w:val="000000" w:themeColor="text1"/>
          <w:szCs w:val="32"/>
        </w:rPr>
        <w:t>性</w:t>
      </w:r>
      <w:r w:rsidR="003C4D64" w:rsidRPr="00F02CD8">
        <w:rPr>
          <w:rFonts w:eastAsia="仿宋_GB2312"/>
          <w:bCs/>
          <w:color w:val="000000" w:themeColor="text1"/>
          <w:szCs w:val="32"/>
        </w:rPr>
        <w:t>，</w:t>
      </w:r>
      <w:r w:rsidRPr="00F02CD8">
        <w:rPr>
          <w:rFonts w:eastAsia="仿宋_GB2312"/>
          <w:bCs/>
          <w:color w:val="000000" w:themeColor="text1"/>
          <w:szCs w:val="32"/>
        </w:rPr>
        <w:t>提供</w:t>
      </w:r>
      <w:r w:rsidR="003C4D64" w:rsidRPr="00F02CD8">
        <w:rPr>
          <w:rFonts w:eastAsia="仿宋_GB2312"/>
          <w:bCs/>
          <w:color w:val="000000" w:themeColor="text1"/>
          <w:szCs w:val="32"/>
        </w:rPr>
        <w:t>差异性</w:t>
      </w:r>
      <w:r w:rsidRPr="00F02CD8">
        <w:rPr>
          <w:rFonts w:eastAsia="仿宋_GB2312"/>
          <w:bCs/>
          <w:color w:val="000000" w:themeColor="text1"/>
          <w:szCs w:val="32"/>
        </w:rPr>
        <w:t>可接受的支持性资料</w:t>
      </w:r>
      <w:r w:rsidR="003C4D64" w:rsidRPr="00F02CD8">
        <w:rPr>
          <w:rFonts w:eastAsia="仿宋_GB2312"/>
          <w:bCs/>
          <w:color w:val="000000" w:themeColor="text1"/>
          <w:szCs w:val="32"/>
        </w:rPr>
        <w:t>，并阐述与实际临床使用方法所造成的差异是否会带来新的风险，</w:t>
      </w:r>
      <w:r w:rsidRPr="00F02CD8">
        <w:rPr>
          <w:rFonts w:eastAsia="仿宋_GB2312"/>
          <w:bCs/>
          <w:color w:val="000000" w:themeColor="text1"/>
          <w:szCs w:val="32"/>
        </w:rPr>
        <w:t>以及</w:t>
      </w:r>
      <w:r w:rsidR="003C4D64" w:rsidRPr="00F02CD8">
        <w:rPr>
          <w:rFonts w:eastAsia="仿宋_GB2312"/>
          <w:bCs/>
          <w:color w:val="000000" w:themeColor="text1"/>
          <w:szCs w:val="32"/>
        </w:rPr>
        <w:t>新</w:t>
      </w:r>
      <w:r w:rsidR="003C4D64" w:rsidRPr="00F02CD8">
        <w:rPr>
          <w:rFonts w:eastAsia="仿宋_GB2312"/>
          <w:bCs/>
          <w:color w:val="000000" w:themeColor="text1"/>
          <w:szCs w:val="32"/>
        </w:rPr>
        <w:lastRenderedPageBreak/>
        <w:t>风险控制</w:t>
      </w:r>
      <w:r w:rsidRPr="00F02CD8">
        <w:rPr>
          <w:rFonts w:eastAsia="仿宋_GB2312"/>
          <w:bCs/>
          <w:color w:val="000000" w:themeColor="text1"/>
          <w:szCs w:val="32"/>
        </w:rPr>
        <w:t>的控制措施。</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动物试验的设计还应充分考虑动物与人生长发育周期的差异，制定适当的治疗频次并开展长期研究。</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另外，需至少在试验后一年进行组织病理学研究，确认无动物的眼底细胞结构损伤之后，才可以开展临床试验。</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（七）软件研究</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按照《医疗器械软件注册审查指导原则（</w:t>
      </w:r>
      <w:r w:rsidRPr="00F02CD8">
        <w:rPr>
          <w:rFonts w:eastAsia="仿宋_GB2312"/>
          <w:bCs/>
          <w:color w:val="000000" w:themeColor="text1"/>
          <w:szCs w:val="32"/>
        </w:rPr>
        <w:t>2022</w:t>
      </w:r>
      <w:r w:rsidRPr="00F02CD8">
        <w:rPr>
          <w:rFonts w:eastAsia="仿宋_GB2312"/>
          <w:bCs/>
          <w:color w:val="000000" w:themeColor="text1"/>
          <w:szCs w:val="32"/>
        </w:rPr>
        <w:t>年修订版）》要求，提交相应级别的软件（含现成软件）研究资料以及</w:t>
      </w:r>
      <w:r w:rsidRPr="00F02CD8">
        <w:rPr>
          <w:rFonts w:eastAsia="仿宋_GB2312"/>
          <w:bCs/>
          <w:color w:val="000000" w:themeColor="text1"/>
          <w:szCs w:val="32"/>
        </w:rPr>
        <w:t>GB/T 25000.51</w:t>
      </w:r>
      <w:r w:rsidRPr="00F02CD8">
        <w:rPr>
          <w:rFonts w:eastAsia="仿宋_GB2312"/>
          <w:bCs/>
          <w:color w:val="000000" w:themeColor="text1"/>
          <w:szCs w:val="32"/>
        </w:rPr>
        <w:t>测试报告。建议重点关注验证与确认、可追溯性分析、缺陷管理、核心功能等。</w:t>
      </w:r>
      <w:r w:rsidR="004E3031">
        <w:rPr>
          <w:rFonts w:eastAsia="仿宋_GB2312" w:hint="eastAsia"/>
          <w:bCs/>
          <w:color w:val="000000" w:themeColor="text1"/>
          <w:szCs w:val="32"/>
        </w:rPr>
        <w:t>通常软件的安全性级别为中等级别，</w:t>
      </w:r>
      <w:r w:rsidRPr="00F02CD8">
        <w:rPr>
          <w:rFonts w:eastAsia="仿宋_GB2312"/>
          <w:bCs/>
          <w:color w:val="000000" w:themeColor="text1"/>
          <w:szCs w:val="32"/>
        </w:rPr>
        <w:t>若软件用于控制输出剂量相关的参数则为严重级别。</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按照《医疗器械网络安全注册审查指导原则（</w:t>
      </w:r>
      <w:r w:rsidRPr="00F02CD8">
        <w:rPr>
          <w:rFonts w:eastAsia="仿宋_GB2312"/>
          <w:bCs/>
          <w:color w:val="000000" w:themeColor="text1"/>
          <w:szCs w:val="32"/>
        </w:rPr>
        <w:t>2022</w:t>
      </w:r>
      <w:r w:rsidRPr="00F02CD8">
        <w:rPr>
          <w:rFonts w:eastAsia="仿宋_GB2312"/>
          <w:bCs/>
          <w:color w:val="000000" w:themeColor="text1"/>
          <w:szCs w:val="32"/>
        </w:rPr>
        <w:t>年修订版）》要求，提交相应级别的网络安全研究资料。</w:t>
      </w:r>
    </w:p>
    <w:p w:rsidR="007C73EF" w:rsidRPr="00F02CD8" w:rsidRDefault="00317F5D" w:rsidP="006D67E6">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连接</w:t>
      </w:r>
      <w:r w:rsidRPr="00F02CD8">
        <w:rPr>
          <w:rFonts w:eastAsia="仿宋_GB2312"/>
          <w:bCs/>
          <w:color w:val="000000" w:themeColor="text1"/>
          <w:szCs w:val="32"/>
        </w:rPr>
        <w:t>APP</w:t>
      </w:r>
      <w:r w:rsidRPr="00F02CD8">
        <w:rPr>
          <w:rFonts w:eastAsia="仿宋_GB2312"/>
          <w:bCs/>
          <w:color w:val="000000" w:themeColor="text1"/>
          <w:szCs w:val="32"/>
        </w:rPr>
        <w:t>的，还应按照《移动医疗器械注册审查指导原则》提交资料。</w:t>
      </w:r>
    </w:p>
    <w:p w:rsidR="007C73EF" w:rsidRPr="00F02CD8" w:rsidRDefault="00317F5D" w:rsidP="006D67E6">
      <w:pPr>
        <w:spacing w:line="520" w:lineRule="exact"/>
        <w:ind w:firstLineChars="200" w:firstLine="640"/>
        <w:outlineLvl w:val="1"/>
        <w:rPr>
          <w:rFonts w:eastAsia="仿宋_GB2312"/>
          <w:color w:val="000000" w:themeColor="text1"/>
          <w:szCs w:val="32"/>
        </w:rPr>
      </w:pPr>
      <w:r w:rsidRPr="00F02CD8">
        <w:rPr>
          <w:rFonts w:eastAsia="楷体_GB2312"/>
          <w:color w:val="000000" w:themeColor="text1"/>
          <w:szCs w:val="32"/>
        </w:rPr>
        <w:t>（八）生物学特性研究</w:t>
      </w:r>
    </w:p>
    <w:p w:rsidR="007C73EF" w:rsidRPr="00F02CD8" w:rsidRDefault="00317F5D" w:rsidP="00F02CD8">
      <w:pPr>
        <w:spacing w:line="520" w:lineRule="exact"/>
        <w:ind w:firstLineChars="200" w:firstLine="640"/>
        <w:rPr>
          <w:rFonts w:eastAsia="仿宋_GB2312"/>
          <w:bCs/>
          <w:color w:val="000000" w:themeColor="text1"/>
          <w:szCs w:val="32"/>
        </w:rPr>
      </w:pPr>
      <w:r w:rsidRPr="00F02CD8">
        <w:rPr>
          <w:rFonts w:eastAsia="仿宋_GB2312"/>
          <w:bCs/>
          <w:color w:val="000000" w:themeColor="text1"/>
          <w:szCs w:val="32"/>
        </w:rPr>
        <w:t>与患者直接或间接接触的部件，需按照</w:t>
      </w:r>
      <w:r w:rsidRPr="00F02CD8">
        <w:rPr>
          <w:rFonts w:eastAsia="仿宋_GB2312"/>
          <w:bCs/>
          <w:color w:val="000000" w:themeColor="text1"/>
          <w:szCs w:val="32"/>
        </w:rPr>
        <w:t>GB/T 16886</w:t>
      </w:r>
      <w:r w:rsidRPr="00F02CD8">
        <w:rPr>
          <w:rFonts w:eastAsia="仿宋_GB2312"/>
          <w:bCs/>
          <w:color w:val="000000" w:themeColor="text1"/>
          <w:szCs w:val="32"/>
        </w:rPr>
        <w:t>系列标准开展生物相容性评价，并根据</w:t>
      </w:r>
      <w:r w:rsidRPr="00F02CD8">
        <w:rPr>
          <w:rFonts w:eastAsia="仿宋_GB2312"/>
          <w:bCs/>
          <w:color w:val="000000" w:themeColor="text1"/>
          <w:szCs w:val="32"/>
        </w:rPr>
        <w:t>121</w:t>
      </w:r>
      <w:r w:rsidRPr="00F02CD8">
        <w:rPr>
          <w:rFonts w:eastAsia="仿宋_GB2312"/>
          <w:bCs/>
          <w:color w:val="000000" w:themeColor="text1"/>
          <w:szCs w:val="32"/>
        </w:rPr>
        <w:t>号公告提供相应研究资料。</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（九）清洁、消毒研究</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明确产品清洁和消毒工艺（方法和参数），提供产品消毒要求及其确定依据、消毒效果验证资料、消毒对产品影响的评估资料，以及擦拭清洁的要求及其确定依据、清洁效果验证资料，确保产品污染与交叉感染的风险均可接受。</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若消毒可能产生残留物质，需对消毒后的产品进行残留毒性研究，明确残留物信息及采取的处理方法，并提供相关研究资料。</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lastRenderedPageBreak/>
        <w:t>（十）稳定性研究</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1.</w:t>
      </w:r>
      <w:r w:rsidRPr="00F02CD8">
        <w:rPr>
          <w:rFonts w:eastAsia="仿宋_GB2312"/>
          <w:color w:val="000000" w:themeColor="text1"/>
          <w:szCs w:val="32"/>
        </w:rPr>
        <w:t>使用稳定性</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按照《有源医疗器械使用期限注册技术审查指导原则》要求，提供产品使用耐久性</w:t>
      </w:r>
      <w:r w:rsidRPr="00F02CD8">
        <w:rPr>
          <w:rFonts w:eastAsia="仿宋_GB2312"/>
          <w:color w:val="000000" w:themeColor="text1"/>
          <w:szCs w:val="32"/>
        </w:rPr>
        <w:t>/</w:t>
      </w:r>
      <w:r w:rsidRPr="00F02CD8">
        <w:rPr>
          <w:rFonts w:eastAsia="仿宋_GB2312"/>
          <w:color w:val="000000" w:themeColor="text1"/>
          <w:szCs w:val="32"/>
        </w:rPr>
        <w:t>可靠性研究资料，证明在规定的使用期限</w:t>
      </w:r>
      <w:r w:rsidRPr="00F02CD8">
        <w:rPr>
          <w:rFonts w:eastAsia="仿宋_GB2312"/>
          <w:color w:val="000000" w:themeColor="text1"/>
          <w:szCs w:val="32"/>
        </w:rPr>
        <w:t>/</w:t>
      </w:r>
      <w:r w:rsidRPr="00F02CD8">
        <w:rPr>
          <w:rFonts w:eastAsia="仿宋_GB2312"/>
          <w:color w:val="000000" w:themeColor="text1"/>
          <w:szCs w:val="32"/>
        </w:rPr>
        <w:t>使用次数</w:t>
      </w:r>
      <w:r w:rsidRPr="00F02CD8">
        <w:rPr>
          <w:rFonts w:eastAsia="仿宋_GB2312"/>
          <w:color w:val="000000" w:themeColor="text1"/>
          <w:szCs w:val="32"/>
        </w:rPr>
        <w:t>/</w:t>
      </w:r>
      <w:r w:rsidRPr="00F02CD8">
        <w:rPr>
          <w:rFonts w:eastAsia="仿宋_GB2312"/>
          <w:color w:val="000000" w:themeColor="text1"/>
          <w:szCs w:val="32"/>
        </w:rPr>
        <w:t>出光时长内，在正常使用、维护和校准情况下，产品的性能功能满足使用要求。</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2.</w:t>
      </w:r>
      <w:r w:rsidRPr="00F02CD8">
        <w:rPr>
          <w:rFonts w:eastAsia="仿宋_GB2312"/>
          <w:color w:val="000000" w:themeColor="text1"/>
          <w:szCs w:val="32"/>
        </w:rPr>
        <w:t>运输稳定性</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提供产品运输稳定性和包装研究资料，证明在规定的运输条件下，运输过程中的环境条件不会对医疗器械的特性和性能造成不利影响。</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（十一）临床评价</w:t>
      </w:r>
    </w:p>
    <w:p w:rsidR="006A52C7" w:rsidRPr="002553CC" w:rsidRDefault="006A52C7" w:rsidP="002553CC">
      <w:pPr>
        <w:spacing w:line="520" w:lineRule="exact"/>
        <w:ind w:firstLineChars="200" w:firstLine="640"/>
        <w:rPr>
          <w:rFonts w:eastAsia="仿宋_GB2312"/>
          <w:color w:val="000000" w:themeColor="text1"/>
          <w:szCs w:val="32"/>
        </w:rPr>
      </w:pPr>
      <w:bookmarkStart w:id="1" w:name="_Hlk132636598"/>
      <w:r w:rsidRPr="002553CC">
        <w:rPr>
          <w:rFonts w:eastAsia="仿宋_GB2312" w:hint="eastAsia"/>
          <w:color w:val="000000" w:themeColor="text1"/>
          <w:szCs w:val="32"/>
        </w:rPr>
        <w:t>1.</w:t>
      </w:r>
      <w:r w:rsidRPr="002553CC">
        <w:rPr>
          <w:rFonts w:eastAsia="仿宋_GB2312" w:hint="eastAsia"/>
          <w:color w:val="000000" w:themeColor="text1"/>
          <w:szCs w:val="32"/>
        </w:rPr>
        <w:t>临床试验</w:t>
      </w:r>
      <w:bookmarkEnd w:id="1"/>
      <w:r w:rsidRPr="002553CC">
        <w:rPr>
          <w:rFonts w:eastAsia="仿宋_GB2312" w:hint="eastAsia"/>
          <w:color w:val="000000" w:themeColor="text1"/>
          <w:szCs w:val="32"/>
        </w:rPr>
        <w:t>前</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临床试验前，注册申请人需首先综合分析申报产品的适用范围、技术特征等因素，开展科学、严谨、充分、规范的临床前研究，全面确认产品的各项性能，充分降低并合理控制产品的临床使用风险，开展完善的临床前研究，包括论述产品作用机理的研究和验证资料，性能研究资料，量效关系研究、能量安全研究，动物试验研究，软件研究以及风险分析等，且结果可以证明产品初步的安全性和可行性，能够支持实施申报产品的临床试验。</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开展临床试验，需</w:t>
      </w:r>
      <w:r w:rsidRPr="0033740E">
        <w:rPr>
          <w:rFonts w:eastAsia="仿宋_GB2312"/>
          <w:color w:val="000000" w:themeColor="text1"/>
          <w:szCs w:val="32"/>
        </w:rPr>
        <w:t>遵守《世界医学大会赫尔辛基宣言》的伦理准则和国家涉及人的生物医学研究伦理的相关规范</w:t>
      </w:r>
      <w:r w:rsidRPr="0033740E">
        <w:rPr>
          <w:rFonts w:eastAsia="仿宋_GB2312" w:hint="eastAsia"/>
          <w:color w:val="000000" w:themeColor="text1"/>
          <w:szCs w:val="32"/>
        </w:rPr>
        <w:t>。按照《医疗器械临床试验质量管理规范》，</w:t>
      </w:r>
      <w:r w:rsidRPr="0033740E">
        <w:rPr>
          <w:rFonts w:eastAsia="仿宋_GB2312"/>
          <w:color w:val="000000" w:themeColor="text1"/>
          <w:szCs w:val="32"/>
        </w:rPr>
        <w:t>临床试验应当获得伦理委员会的同意</w:t>
      </w:r>
      <w:r w:rsidRPr="0033740E">
        <w:rPr>
          <w:rFonts w:eastAsia="仿宋_GB2312" w:hint="eastAsia"/>
          <w:color w:val="000000" w:themeColor="text1"/>
          <w:szCs w:val="32"/>
        </w:rPr>
        <w:t>。</w:t>
      </w:r>
      <w:r w:rsidRPr="0033740E">
        <w:rPr>
          <w:rFonts w:eastAsia="仿宋_GB2312"/>
          <w:color w:val="000000" w:themeColor="text1"/>
          <w:szCs w:val="32"/>
        </w:rPr>
        <w:t>伦理委员会应切实</w:t>
      </w:r>
      <w:r w:rsidRPr="0033740E">
        <w:rPr>
          <w:rFonts w:eastAsia="仿宋_GB2312" w:hint="eastAsia"/>
          <w:color w:val="000000" w:themeColor="text1"/>
          <w:szCs w:val="32"/>
        </w:rPr>
        <w:t>担当职责，</w:t>
      </w:r>
      <w:r w:rsidRPr="0033740E">
        <w:rPr>
          <w:rFonts w:eastAsia="仿宋_GB2312"/>
          <w:color w:val="000000" w:themeColor="text1"/>
          <w:szCs w:val="32"/>
        </w:rPr>
        <w:t>保护受试者合法权益和安全，维护受试者尊严</w:t>
      </w:r>
      <w:r w:rsidRPr="0033740E">
        <w:rPr>
          <w:rFonts w:eastAsia="仿宋_GB2312" w:hint="eastAsia"/>
          <w:color w:val="000000" w:themeColor="text1"/>
          <w:szCs w:val="32"/>
        </w:rPr>
        <w:t>，</w:t>
      </w:r>
      <w:r w:rsidRPr="0033740E">
        <w:rPr>
          <w:rFonts w:eastAsia="仿宋_GB2312"/>
          <w:color w:val="000000" w:themeColor="text1"/>
          <w:szCs w:val="32"/>
        </w:rPr>
        <w:t>对</w:t>
      </w:r>
      <w:r w:rsidRPr="0033740E">
        <w:rPr>
          <w:rFonts w:eastAsia="仿宋_GB2312" w:hint="eastAsia"/>
          <w:color w:val="000000" w:themeColor="text1"/>
          <w:szCs w:val="32"/>
        </w:rPr>
        <w:t>申报</w:t>
      </w:r>
      <w:r w:rsidRPr="0033740E">
        <w:rPr>
          <w:rFonts w:eastAsia="仿宋_GB2312"/>
          <w:color w:val="000000" w:themeColor="text1"/>
          <w:szCs w:val="32"/>
        </w:rPr>
        <w:t>产品临床试验的伦理性和科学性进行</w:t>
      </w:r>
      <w:r w:rsidRPr="0033740E">
        <w:rPr>
          <w:rFonts w:eastAsia="仿宋_GB2312" w:hint="eastAsia"/>
          <w:color w:val="000000" w:themeColor="text1"/>
          <w:szCs w:val="32"/>
        </w:rPr>
        <w:t>严格</w:t>
      </w:r>
      <w:r w:rsidRPr="0033740E">
        <w:rPr>
          <w:rFonts w:eastAsia="仿宋_GB2312"/>
          <w:color w:val="000000" w:themeColor="text1"/>
          <w:szCs w:val="32"/>
        </w:rPr>
        <w:t>审查</w:t>
      </w:r>
      <w:r w:rsidRPr="0033740E">
        <w:rPr>
          <w:rFonts w:eastAsia="仿宋_GB2312" w:hint="eastAsia"/>
          <w:color w:val="000000" w:themeColor="text1"/>
          <w:szCs w:val="32"/>
        </w:rPr>
        <w:t>，包括申报产品的</w:t>
      </w:r>
      <w:r w:rsidRPr="0033740E">
        <w:rPr>
          <w:rFonts w:eastAsia="仿宋_GB2312"/>
          <w:color w:val="000000" w:themeColor="text1"/>
          <w:szCs w:val="32"/>
        </w:rPr>
        <w:t>临床</w:t>
      </w:r>
      <w:r w:rsidRPr="0033740E">
        <w:rPr>
          <w:rFonts w:eastAsia="仿宋_GB2312" w:hint="eastAsia"/>
          <w:color w:val="000000" w:themeColor="text1"/>
          <w:szCs w:val="32"/>
        </w:rPr>
        <w:t>前研究是否完成，</w:t>
      </w:r>
      <w:r w:rsidRPr="0033740E">
        <w:rPr>
          <w:rFonts w:eastAsia="仿宋_GB2312" w:hint="eastAsia"/>
          <w:color w:val="000000" w:themeColor="text1"/>
          <w:szCs w:val="32"/>
        </w:rPr>
        <w:lastRenderedPageBreak/>
        <w:t>研究结果能否证明</w:t>
      </w:r>
      <w:r w:rsidRPr="0033740E">
        <w:rPr>
          <w:rFonts w:eastAsia="仿宋_GB2312"/>
          <w:color w:val="000000" w:themeColor="text1"/>
          <w:szCs w:val="32"/>
        </w:rPr>
        <w:t>受试者可能遭受的风险与试验预期的受益相比是合适</w:t>
      </w:r>
      <w:r w:rsidRPr="0033740E">
        <w:rPr>
          <w:rFonts w:eastAsia="仿宋_GB2312" w:hint="eastAsia"/>
          <w:color w:val="000000" w:themeColor="text1"/>
          <w:szCs w:val="32"/>
        </w:rPr>
        <w:t>的</w:t>
      </w:r>
      <w:r w:rsidRPr="0033740E">
        <w:rPr>
          <w:rFonts w:eastAsia="仿宋_GB2312"/>
          <w:color w:val="000000" w:themeColor="text1"/>
          <w:szCs w:val="32"/>
        </w:rPr>
        <w:t>；临床试验方案是否充分考虑了伦理原则，是否符合科学性，研究目的是否适当、受试者的权益和安全是否得到保障、其他人员可能遭受的风险是否得到充分保护</w:t>
      </w:r>
      <w:r w:rsidRPr="0033740E">
        <w:rPr>
          <w:rFonts w:eastAsia="仿宋_GB2312" w:hint="eastAsia"/>
          <w:color w:val="000000" w:themeColor="text1"/>
          <w:szCs w:val="32"/>
        </w:rPr>
        <w:t>；</w:t>
      </w:r>
      <w:r w:rsidRPr="0033740E">
        <w:rPr>
          <w:rFonts w:eastAsia="仿宋_GB2312"/>
          <w:color w:val="000000" w:themeColor="text1"/>
          <w:szCs w:val="32"/>
        </w:rPr>
        <w:t>受试者是否因参加临床试验而获得合理补偿；受试者若发生与临床试验相关的伤害，给予的诊治和保障措施是否充分；对儿童特殊人群受试者的保护是否充分</w:t>
      </w:r>
      <w:r w:rsidRPr="0033740E">
        <w:rPr>
          <w:rFonts w:eastAsia="仿宋_GB2312" w:hint="eastAsia"/>
          <w:color w:val="000000" w:themeColor="text1"/>
          <w:szCs w:val="32"/>
        </w:rPr>
        <w:t>等。</w:t>
      </w:r>
    </w:p>
    <w:p w:rsidR="006A52C7" w:rsidRPr="002553CC" w:rsidRDefault="006A52C7" w:rsidP="002553CC">
      <w:pPr>
        <w:spacing w:line="520" w:lineRule="exact"/>
        <w:ind w:firstLineChars="200" w:firstLine="640"/>
        <w:rPr>
          <w:rFonts w:eastAsia="仿宋_GB2312"/>
          <w:color w:val="000000" w:themeColor="text1"/>
          <w:szCs w:val="32"/>
        </w:rPr>
      </w:pPr>
      <w:r w:rsidRPr="002553CC">
        <w:rPr>
          <w:rFonts w:eastAsia="仿宋_GB2312" w:hint="eastAsia"/>
          <w:color w:val="000000" w:themeColor="text1"/>
          <w:szCs w:val="32"/>
        </w:rPr>
        <w:t>2.</w:t>
      </w:r>
      <w:r w:rsidRPr="002553CC">
        <w:rPr>
          <w:rFonts w:eastAsia="仿宋_GB2312" w:hint="eastAsia"/>
          <w:color w:val="000000" w:themeColor="text1"/>
          <w:szCs w:val="32"/>
        </w:rPr>
        <w:t>可行性临床试验</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近视</w:t>
      </w:r>
      <w:r w:rsidRPr="0033740E">
        <w:rPr>
          <w:rFonts w:eastAsia="仿宋_GB2312" w:hint="eastAsia"/>
          <w:color w:val="000000" w:themeColor="text1"/>
          <w:szCs w:val="32"/>
        </w:rPr>
        <w:t>/</w:t>
      </w:r>
      <w:r w:rsidRPr="0033740E">
        <w:rPr>
          <w:rFonts w:eastAsia="仿宋_GB2312" w:hint="eastAsia"/>
          <w:color w:val="000000" w:themeColor="text1"/>
          <w:szCs w:val="32"/>
        </w:rPr>
        <w:t>弱视激光</w:t>
      </w:r>
      <w:r w:rsidRPr="0033740E">
        <w:rPr>
          <w:rFonts w:eastAsia="仿宋_GB2312"/>
          <w:color w:val="000000" w:themeColor="text1"/>
          <w:szCs w:val="32"/>
        </w:rPr>
        <w:t>治疗仪</w:t>
      </w:r>
      <w:r w:rsidRPr="0033740E">
        <w:rPr>
          <w:color w:val="000000" w:themeColor="text1"/>
        </w:rPr>
        <w:t>在</w:t>
      </w:r>
      <w:r w:rsidRPr="0033740E">
        <w:rPr>
          <w:rFonts w:eastAsia="仿宋_GB2312"/>
          <w:color w:val="000000" w:themeColor="text1"/>
          <w:szCs w:val="32"/>
        </w:rPr>
        <w:t>开展确证性临床试验前</w:t>
      </w:r>
      <w:r w:rsidRPr="0033740E">
        <w:rPr>
          <w:rFonts w:eastAsia="仿宋_GB2312" w:hint="eastAsia"/>
          <w:color w:val="000000" w:themeColor="text1"/>
          <w:szCs w:val="32"/>
        </w:rPr>
        <w:t>，</w:t>
      </w:r>
      <w:r w:rsidRPr="0033740E">
        <w:rPr>
          <w:rFonts w:eastAsia="仿宋_GB2312"/>
          <w:color w:val="000000" w:themeColor="text1"/>
          <w:szCs w:val="32"/>
        </w:rPr>
        <w:t>应</w:t>
      </w:r>
      <w:r w:rsidRPr="0033740E">
        <w:rPr>
          <w:rFonts w:eastAsia="仿宋_GB2312" w:hint="eastAsia"/>
          <w:color w:val="000000" w:themeColor="text1"/>
          <w:szCs w:val="32"/>
        </w:rPr>
        <w:t>首先</w:t>
      </w:r>
      <w:r w:rsidRPr="0033740E">
        <w:rPr>
          <w:rFonts w:eastAsia="仿宋_GB2312"/>
          <w:color w:val="000000" w:themeColor="text1"/>
          <w:szCs w:val="32"/>
        </w:rPr>
        <w:t>进行可行性临床试验。可行性试验</w:t>
      </w:r>
      <w:r w:rsidRPr="0033740E">
        <w:rPr>
          <w:rFonts w:eastAsia="仿宋_GB2312" w:hint="eastAsia"/>
          <w:color w:val="000000" w:themeColor="text1"/>
          <w:szCs w:val="32"/>
        </w:rPr>
        <w:t>需</w:t>
      </w:r>
      <w:r w:rsidRPr="0033740E">
        <w:rPr>
          <w:rFonts w:eastAsia="仿宋_GB2312"/>
          <w:color w:val="000000" w:themeColor="text1"/>
          <w:szCs w:val="32"/>
        </w:rPr>
        <w:t>有清晰和明确的研究目标，</w:t>
      </w:r>
      <w:r w:rsidRPr="0033740E">
        <w:rPr>
          <w:rFonts w:eastAsia="仿宋_GB2312" w:hint="eastAsia"/>
          <w:color w:val="000000" w:themeColor="text1"/>
          <w:szCs w:val="32"/>
        </w:rPr>
        <w:t>可以初步</w:t>
      </w:r>
      <w:r w:rsidRPr="0033740E">
        <w:rPr>
          <w:rFonts w:eastAsia="仿宋_GB2312"/>
          <w:color w:val="000000" w:themeColor="text1"/>
          <w:szCs w:val="32"/>
        </w:rPr>
        <w:t>评估产品设计的安全性、有效性</w:t>
      </w:r>
      <w:r w:rsidRPr="0033740E">
        <w:rPr>
          <w:rFonts w:eastAsia="仿宋_GB2312" w:hint="eastAsia"/>
          <w:color w:val="000000" w:themeColor="text1"/>
          <w:szCs w:val="32"/>
        </w:rPr>
        <w:t>。</w:t>
      </w:r>
      <w:r w:rsidRPr="0033740E">
        <w:rPr>
          <w:rFonts w:eastAsia="仿宋_GB2312"/>
          <w:color w:val="000000" w:themeColor="text1"/>
          <w:szCs w:val="32"/>
        </w:rPr>
        <w:t>可行性试验</w:t>
      </w:r>
      <w:r w:rsidRPr="0033740E">
        <w:rPr>
          <w:rFonts w:eastAsia="仿宋_GB2312" w:hint="eastAsia"/>
          <w:color w:val="000000" w:themeColor="text1"/>
          <w:szCs w:val="32"/>
        </w:rPr>
        <w:t>需为</w:t>
      </w:r>
      <w:r w:rsidRPr="0033740E">
        <w:rPr>
          <w:rFonts w:eastAsia="仿宋_GB2312"/>
          <w:color w:val="000000" w:themeColor="text1"/>
          <w:szCs w:val="32"/>
        </w:rPr>
        <w:t>前瞻性研究</w:t>
      </w:r>
      <w:r w:rsidRPr="0033740E">
        <w:rPr>
          <w:rFonts w:eastAsia="仿宋_GB2312" w:hint="eastAsia"/>
          <w:color w:val="000000" w:themeColor="text1"/>
          <w:szCs w:val="32"/>
        </w:rPr>
        <w:t>，</w:t>
      </w:r>
      <w:r w:rsidRPr="0033740E">
        <w:rPr>
          <w:rFonts w:eastAsia="仿宋_GB2312"/>
          <w:color w:val="000000" w:themeColor="text1"/>
          <w:szCs w:val="32"/>
        </w:rPr>
        <w:t>样本量不</w:t>
      </w:r>
      <w:r w:rsidRPr="0033740E">
        <w:rPr>
          <w:rFonts w:eastAsia="仿宋_GB2312" w:hint="eastAsia"/>
          <w:color w:val="000000" w:themeColor="text1"/>
          <w:szCs w:val="32"/>
        </w:rPr>
        <w:t>少于</w:t>
      </w:r>
      <w:r w:rsidRPr="0033740E">
        <w:rPr>
          <w:rFonts w:eastAsia="仿宋_GB2312" w:hint="eastAsia"/>
          <w:color w:val="000000" w:themeColor="text1"/>
          <w:szCs w:val="32"/>
        </w:rPr>
        <w:t>50</w:t>
      </w:r>
      <w:r w:rsidRPr="0033740E">
        <w:rPr>
          <w:rFonts w:eastAsia="仿宋_GB2312" w:hint="eastAsia"/>
          <w:color w:val="000000" w:themeColor="text1"/>
          <w:szCs w:val="32"/>
        </w:rPr>
        <w:t>例，随访时间应结合产品照射频次、单次照射时间、治疗照射疗程确定，观察时间建议至少为所有治疗结束后不少于</w:t>
      </w:r>
      <w:r w:rsidRPr="0033740E">
        <w:rPr>
          <w:rFonts w:eastAsia="仿宋_GB2312" w:hint="eastAsia"/>
          <w:color w:val="000000" w:themeColor="text1"/>
          <w:szCs w:val="32"/>
        </w:rPr>
        <w:t>1</w:t>
      </w:r>
      <w:r w:rsidRPr="0033740E">
        <w:rPr>
          <w:rFonts w:eastAsia="仿宋_GB2312" w:hint="eastAsia"/>
          <w:color w:val="000000" w:themeColor="text1"/>
          <w:szCs w:val="32"/>
        </w:rPr>
        <w:t>年，并论述随访时间确定依据。可行性试验需观察视网膜（尤其是黄斑区）长期功能性、形态学、隐匿损伤等相关数据，建议进行包括</w:t>
      </w:r>
      <w:r w:rsidRPr="0033740E">
        <w:rPr>
          <w:rFonts w:eastAsia="仿宋_GB2312" w:hint="eastAsia"/>
          <w:color w:val="000000" w:themeColor="text1"/>
          <w:szCs w:val="32"/>
        </w:rPr>
        <w:t>OCT</w:t>
      </w:r>
      <w:r w:rsidRPr="0033740E">
        <w:rPr>
          <w:rFonts w:eastAsia="仿宋_GB2312" w:hint="eastAsia"/>
          <w:color w:val="000000" w:themeColor="text1"/>
          <w:szCs w:val="32"/>
        </w:rPr>
        <w:t>检查、微视野检测以及</w:t>
      </w:r>
      <w:proofErr w:type="spellStart"/>
      <w:r w:rsidRPr="0033740E">
        <w:rPr>
          <w:rFonts w:eastAsia="仿宋_GB2312" w:hint="eastAsia"/>
          <w:color w:val="000000" w:themeColor="text1"/>
          <w:szCs w:val="32"/>
        </w:rPr>
        <w:t>mERG</w:t>
      </w:r>
      <w:proofErr w:type="spellEnd"/>
      <w:r w:rsidRPr="0033740E">
        <w:rPr>
          <w:rFonts w:eastAsia="仿宋_GB2312" w:hint="eastAsia"/>
          <w:color w:val="000000" w:themeColor="text1"/>
          <w:szCs w:val="32"/>
        </w:rPr>
        <w:t>（多焦视网膜电图）测量、眼底感光细胞的观测等，并根据其结果对后期的确证性试验设计提供相应的信息。</w:t>
      </w:r>
      <w:r w:rsidRPr="0033740E">
        <w:rPr>
          <w:rFonts w:eastAsia="仿宋_GB2312" w:hint="eastAsia"/>
          <w:color w:val="000000" w:themeColor="text1"/>
          <w:szCs w:val="32"/>
        </w:rPr>
        <w:t xml:space="preserve"> </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经过可行性临床试验数据观测后，初步确认产品的安全性和有效性后，注册申请人方可开展确证性临床试验获取临床数据，以支持产品的临床评价。此时，临床试验目的为确认产品辅助治疗儿童弱视</w:t>
      </w:r>
      <w:r w:rsidRPr="0033740E">
        <w:rPr>
          <w:rFonts w:eastAsia="仿宋_GB2312" w:hint="eastAsia"/>
          <w:color w:val="000000" w:themeColor="text1"/>
          <w:szCs w:val="32"/>
        </w:rPr>
        <w:t>/</w:t>
      </w:r>
      <w:r w:rsidRPr="0033740E">
        <w:rPr>
          <w:rFonts w:eastAsia="仿宋_GB2312" w:hint="eastAsia"/>
          <w:color w:val="000000" w:themeColor="text1"/>
          <w:szCs w:val="32"/>
        </w:rPr>
        <w:t>近视的安全有效性，尤其是不存在导致视网膜黄斑区域的不可逆损伤等临床风险，以及不会诱发精神类疾病如癫痫，产品长期安全有效性可接受，受益大于风险。</w:t>
      </w:r>
    </w:p>
    <w:p w:rsidR="006A52C7" w:rsidRPr="002553CC" w:rsidRDefault="006A52C7" w:rsidP="002553CC">
      <w:pPr>
        <w:spacing w:line="520" w:lineRule="exact"/>
        <w:ind w:firstLineChars="200" w:firstLine="640"/>
        <w:rPr>
          <w:rFonts w:eastAsia="仿宋_GB2312"/>
          <w:color w:val="000000" w:themeColor="text1"/>
          <w:szCs w:val="32"/>
        </w:rPr>
      </w:pPr>
      <w:r w:rsidRPr="002553CC">
        <w:rPr>
          <w:rFonts w:eastAsia="仿宋_GB2312" w:hint="eastAsia"/>
          <w:color w:val="000000" w:themeColor="text1"/>
          <w:szCs w:val="32"/>
        </w:rPr>
        <w:t>3.</w:t>
      </w:r>
      <w:r w:rsidRPr="002553CC">
        <w:rPr>
          <w:rFonts w:eastAsia="仿宋_GB2312" w:hint="eastAsia"/>
          <w:color w:val="000000" w:themeColor="text1"/>
          <w:szCs w:val="32"/>
        </w:rPr>
        <w:t>确证性临床试验</w:t>
      </w:r>
    </w:p>
    <w:p w:rsidR="006A52C7" w:rsidRPr="002553CC" w:rsidRDefault="006A52C7" w:rsidP="002553CC">
      <w:pPr>
        <w:spacing w:line="520" w:lineRule="exact"/>
        <w:ind w:firstLineChars="200" w:firstLine="640"/>
        <w:rPr>
          <w:rFonts w:eastAsia="仿宋_GB2312"/>
          <w:color w:val="000000" w:themeColor="text1"/>
          <w:szCs w:val="32"/>
        </w:rPr>
      </w:pPr>
      <w:r w:rsidRPr="002553CC">
        <w:rPr>
          <w:rFonts w:eastAsia="仿宋_GB2312" w:hint="eastAsia"/>
          <w:color w:val="000000" w:themeColor="text1"/>
          <w:szCs w:val="32"/>
        </w:rPr>
        <w:t>3.1</w:t>
      </w:r>
      <w:r w:rsidRPr="002553CC">
        <w:rPr>
          <w:rFonts w:eastAsia="仿宋_GB2312" w:hint="eastAsia"/>
          <w:color w:val="000000" w:themeColor="text1"/>
          <w:szCs w:val="32"/>
        </w:rPr>
        <w:t>试验</w:t>
      </w:r>
      <w:r w:rsidRPr="002553CC">
        <w:rPr>
          <w:rFonts w:eastAsia="仿宋_GB2312"/>
          <w:color w:val="000000" w:themeColor="text1"/>
          <w:szCs w:val="32"/>
        </w:rPr>
        <w:t>设计</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lastRenderedPageBreak/>
        <w:t>基于申报</w:t>
      </w:r>
      <w:r w:rsidRPr="0033740E">
        <w:rPr>
          <w:rFonts w:eastAsia="仿宋_GB2312"/>
          <w:color w:val="000000" w:themeColor="text1"/>
          <w:szCs w:val="32"/>
        </w:rPr>
        <w:t>产品</w:t>
      </w:r>
      <w:r w:rsidRPr="0033740E">
        <w:rPr>
          <w:rFonts w:eastAsia="仿宋_GB2312" w:hint="eastAsia"/>
          <w:color w:val="000000" w:themeColor="text1"/>
          <w:szCs w:val="32"/>
        </w:rPr>
        <w:t>较现有临床治疗方式增加了额外临床风险</w:t>
      </w:r>
      <w:r w:rsidRPr="0033740E">
        <w:rPr>
          <w:rFonts w:eastAsia="仿宋_GB2312"/>
          <w:color w:val="000000" w:themeColor="text1"/>
          <w:szCs w:val="32"/>
        </w:rPr>
        <w:t>，</w:t>
      </w:r>
      <w:r w:rsidRPr="0033740E">
        <w:rPr>
          <w:rFonts w:eastAsia="仿宋_GB2312" w:hint="eastAsia"/>
          <w:color w:val="000000" w:themeColor="text1"/>
          <w:szCs w:val="32"/>
        </w:rPr>
        <w:t>如眼底安全性问题等，需</w:t>
      </w:r>
      <w:r w:rsidRPr="0033740E">
        <w:rPr>
          <w:rFonts w:eastAsia="仿宋_GB2312"/>
          <w:color w:val="000000" w:themeColor="text1"/>
          <w:szCs w:val="32"/>
        </w:rPr>
        <w:t>采用</w:t>
      </w:r>
      <w:r w:rsidRPr="0033740E">
        <w:rPr>
          <w:rFonts w:eastAsia="仿宋_GB2312" w:hint="eastAsia"/>
          <w:color w:val="000000" w:themeColor="text1"/>
          <w:szCs w:val="32"/>
        </w:rPr>
        <w:t>前瞻性、盲法、</w:t>
      </w:r>
      <w:r w:rsidRPr="0033740E">
        <w:rPr>
          <w:rFonts w:eastAsia="仿宋_GB2312"/>
          <w:color w:val="000000" w:themeColor="text1"/>
          <w:szCs w:val="32"/>
        </w:rPr>
        <w:t>随机对照</w:t>
      </w:r>
      <w:r w:rsidRPr="0033740E">
        <w:rPr>
          <w:rFonts w:eastAsia="仿宋_GB2312" w:hint="eastAsia"/>
          <w:color w:val="000000" w:themeColor="text1"/>
          <w:szCs w:val="32"/>
        </w:rPr>
        <w:t>试验设计，基于主要有效性评价指标开展优效设计；同时需基于主要安全性指标开展前瞻性单组设计。</w:t>
      </w:r>
    </w:p>
    <w:p w:rsidR="006A52C7" w:rsidRPr="002553CC" w:rsidRDefault="006A52C7" w:rsidP="002553CC">
      <w:pPr>
        <w:spacing w:line="520" w:lineRule="exact"/>
        <w:ind w:firstLineChars="200" w:firstLine="640"/>
        <w:rPr>
          <w:rFonts w:eastAsia="仿宋_GB2312"/>
          <w:color w:val="000000" w:themeColor="text1"/>
          <w:szCs w:val="32"/>
        </w:rPr>
      </w:pPr>
      <w:r w:rsidRPr="002553CC">
        <w:rPr>
          <w:rFonts w:eastAsia="仿宋_GB2312" w:hint="eastAsia"/>
          <w:color w:val="000000" w:themeColor="text1"/>
          <w:szCs w:val="32"/>
        </w:rPr>
        <w:t>3.</w:t>
      </w:r>
      <w:r w:rsidRPr="002553CC">
        <w:rPr>
          <w:rFonts w:eastAsia="仿宋_GB2312"/>
          <w:color w:val="000000" w:themeColor="text1"/>
          <w:szCs w:val="32"/>
        </w:rPr>
        <w:t>2</w:t>
      </w:r>
      <w:r w:rsidRPr="002553CC">
        <w:rPr>
          <w:rFonts w:eastAsia="仿宋_GB2312" w:hint="eastAsia"/>
          <w:color w:val="000000" w:themeColor="text1"/>
          <w:szCs w:val="32"/>
        </w:rPr>
        <w:t>对照组</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对照组应优先选择国家卫生健康委员会发布的《近视</w:t>
      </w:r>
      <w:r w:rsidRPr="0033740E">
        <w:rPr>
          <w:rFonts w:eastAsia="仿宋_GB2312"/>
          <w:color w:val="000000" w:themeColor="text1"/>
          <w:szCs w:val="32"/>
        </w:rPr>
        <w:t>防治指南</w:t>
      </w:r>
      <w:r w:rsidRPr="0033740E">
        <w:rPr>
          <w:rFonts w:eastAsia="仿宋_GB2312" w:hint="eastAsia"/>
          <w:color w:val="000000" w:themeColor="text1"/>
          <w:szCs w:val="32"/>
        </w:rPr>
        <w:t>》《弱视诊治</w:t>
      </w:r>
      <w:r w:rsidRPr="0033740E">
        <w:rPr>
          <w:rFonts w:eastAsia="仿宋_GB2312"/>
          <w:color w:val="000000" w:themeColor="text1"/>
          <w:szCs w:val="32"/>
        </w:rPr>
        <w:t>指南</w:t>
      </w:r>
      <w:r w:rsidRPr="0033740E">
        <w:rPr>
          <w:rFonts w:eastAsia="仿宋_GB2312" w:hint="eastAsia"/>
          <w:color w:val="000000" w:themeColor="text1"/>
          <w:szCs w:val="32"/>
        </w:rPr>
        <w:t>》中</w:t>
      </w:r>
      <w:r w:rsidRPr="0033740E">
        <w:rPr>
          <w:rFonts w:eastAsia="仿宋_GB2312"/>
          <w:color w:val="000000" w:themeColor="text1"/>
          <w:szCs w:val="32"/>
        </w:rPr>
        <w:t>在拟定的临床试验条件下疗效肯定的已上市</w:t>
      </w:r>
      <w:r w:rsidRPr="0033740E">
        <w:rPr>
          <w:rFonts w:eastAsia="仿宋_GB2312" w:hint="eastAsia"/>
          <w:color w:val="000000" w:themeColor="text1"/>
          <w:szCs w:val="32"/>
        </w:rPr>
        <w:t>产品</w:t>
      </w:r>
      <w:r w:rsidRPr="0033740E">
        <w:rPr>
          <w:rFonts w:eastAsia="仿宋_GB2312"/>
          <w:color w:val="000000" w:themeColor="text1"/>
          <w:szCs w:val="32"/>
        </w:rPr>
        <w:t>或公认的标准治疗方法作为对照组。</w:t>
      </w:r>
      <w:r w:rsidRPr="0033740E">
        <w:rPr>
          <w:rFonts w:eastAsia="仿宋_GB2312" w:hint="eastAsia"/>
          <w:color w:val="000000" w:themeColor="text1"/>
          <w:szCs w:val="32"/>
        </w:rPr>
        <w:t>例如，近视可考虑使用</w:t>
      </w:r>
      <w:r w:rsidRPr="0033740E">
        <w:rPr>
          <w:rFonts w:eastAsia="仿宋_GB2312"/>
          <w:color w:val="000000" w:themeColor="text1"/>
          <w:szCs w:val="32"/>
        </w:rPr>
        <w:t>同期</w:t>
      </w:r>
      <w:r w:rsidRPr="0033740E">
        <w:rPr>
          <w:rFonts w:eastAsia="仿宋_GB2312" w:hint="eastAsia"/>
          <w:color w:val="000000" w:themeColor="text1"/>
          <w:szCs w:val="32"/>
        </w:rPr>
        <w:t>未接受近视防控的儿童做</w:t>
      </w:r>
      <w:r w:rsidRPr="0033740E">
        <w:rPr>
          <w:rFonts w:eastAsia="仿宋_GB2312"/>
          <w:color w:val="000000" w:themeColor="text1"/>
          <w:szCs w:val="32"/>
        </w:rPr>
        <w:t>对照，</w:t>
      </w:r>
      <w:r w:rsidRPr="0033740E">
        <w:rPr>
          <w:rFonts w:eastAsia="仿宋_GB2312" w:hint="eastAsia"/>
          <w:color w:val="000000" w:themeColor="text1"/>
          <w:szCs w:val="32"/>
        </w:rPr>
        <w:t>弱视可考虑与现有弱视类型对应的</w:t>
      </w:r>
      <w:r w:rsidRPr="0033740E">
        <w:rPr>
          <w:rFonts w:eastAsia="仿宋_GB2312"/>
          <w:color w:val="000000" w:themeColor="text1"/>
          <w:szCs w:val="32"/>
        </w:rPr>
        <w:t>标准治疗方法</w:t>
      </w:r>
      <w:r w:rsidRPr="0033740E">
        <w:rPr>
          <w:rFonts w:eastAsia="仿宋_GB2312" w:hint="eastAsia"/>
          <w:color w:val="000000" w:themeColor="text1"/>
          <w:szCs w:val="32"/>
        </w:rPr>
        <w:t>进行对照。试验组和对照组的儿童均应处于相同的生长发育发展阶段，同时考虑不同年龄层次的疗效、视觉环境和生活习惯。</w:t>
      </w:r>
    </w:p>
    <w:p w:rsidR="006A52C7" w:rsidRPr="002553CC" w:rsidRDefault="006A52C7" w:rsidP="002553CC">
      <w:pPr>
        <w:spacing w:line="520" w:lineRule="exact"/>
        <w:ind w:firstLineChars="200" w:firstLine="640"/>
        <w:rPr>
          <w:rFonts w:eastAsia="仿宋_GB2312"/>
          <w:color w:val="000000" w:themeColor="text1"/>
          <w:szCs w:val="32"/>
        </w:rPr>
      </w:pPr>
      <w:r w:rsidRPr="002553CC">
        <w:rPr>
          <w:rFonts w:eastAsia="仿宋_GB2312" w:hint="eastAsia"/>
          <w:color w:val="000000" w:themeColor="text1"/>
          <w:szCs w:val="32"/>
        </w:rPr>
        <w:t>3.</w:t>
      </w:r>
      <w:r w:rsidRPr="002553CC">
        <w:rPr>
          <w:rFonts w:eastAsia="仿宋_GB2312"/>
          <w:color w:val="000000" w:themeColor="text1"/>
          <w:szCs w:val="32"/>
        </w:rPr>
        <w:t>3</w:t>
      </w:r>
      <w:r w:rsidRPr="002553CC">
        <w:rPr>
          <w:rFonts w:eastAsia="仿宋_GB2312" w:hint="eastAsia"/>
          <w:color w:val="000000" w:themeColor="text1"/>
          <w:szCs w:val="32"/>
        </w:rPr>
        <w:t>入排标准</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根据</w:t>
      </w:r>
      <w:bookmarkStart w:id="2" w:name="_Toc467328349"/>
      <w:r w:rsidRPr="0033740E">
        <w:rPr>
          <w:rFonts w:eastAsia="仿宋_GB2312" w:hint="eastAsia"/>
          <w:color w:val="000000" w:themeColor="text1"/>
          <w:szCs w:val="32"/>
        </w:rPr>
        <w:t>产品</w:t>
      </w:r>
      <w:r w:rsidRPr="0033740E">
        <w:rPr>
          <w:rFonts w:eastAsia="仿宋_GB2312"/>
          <w:color w:val="000000" w:themeColor="text1"/>
          <w:szCs w:val="32"/>
        </w:rPr>
        <w:t>预期的</w:t>
      </w:r>
      <w:r w:rsidRPr="0033740E">
        <w:rPr>
          <w:rFonts w:eastAsia="仿宋_GB2312" w:hint="eastAsia"/>
          <w:color w:val="000000" w:themeColor="text1"/>
          <w:szCs w:val="32"/>
        </w:rPr>
        <w:t>适用范围确定恰当</w:t>
      </w:r>
      <w:r w:rsidRPr="0033740E">
        <w:rPr>
          <w:rFonts w:eastAsia="仿宋_GB2312"/>
          <w:color w:val="000000" w:themeColor="text1"/>
          <w:szCs w:val="32"/>
        </w:rPr>
        <w:t>的</w:t>
      </w:r>
      <w:r w:rsidRPr="0033740E">
        <w:rPr>
          <w:rFonts w:eastAsia="仿宋_GB2312" w:hint="eastAsia"/>
          <w:color w:val="000000" w:themeColor="text1"/>
          <w:szCs w:val="32"/>
        </w:rPr>
        <w:t>临床</w:t>
      </w:r>
      <w:r w:rsidRPr="0033740E">
        <w:rPr>
          <w:rFonts w:eastAsia="仿宋_GB2312"/>
          <w:color w:val="000000" w:themeColor="text1"/>
          <w:szCs w:val="32"/>
        </w:rPr>
        <w:t>试验</w:t>
      </w:r>
      <w:r w:rsidRPr="0033740E">
        <w:rPr>
          <w:rFonts w:eastAsia="仿宋_GB2312" w:hint="eastAsia"/>
          <w:color w:val="000000" w:themeColor="text1"/>
          <w:szCs w:val="32"/>
        </w:rPr>
        <w:t>人群入选、排除标准。</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color w:val="000000" w:themeColor="text1"/>
          <w:szCs w:val="32"/>
        </w:rPr>
        <w:t>入选标准主要考虑受试对象对总体人群的代表性，</w:t>
      </w:r>
      <w:r w:rsidRPr="0033740E">
        <w:rPr>
          <w:rFonts w:eastAsia="仿宋_GB2312" w:hint="eastAsia"/>
          <w:color w:val="000000" w:themeColor="text1"/>
          <w:szCs w:val="32"/>
        </w:rPr>
        <w:t>包括但不限于因素：</w:t>
      </w:r>
    </w:p>
    <w:p w:rsidR="006A52C7" w:rsidRPr="00424BFD" w:rsidRDefault="006A52C7" w:rsidP="0033740E">
      <w:pPr>
        <w:spacing w:line="520" w:lineRule="exact"/>
        <w:ind w:firstLineChars="200" w:firstLine="640"/>
        <w:rPr>
          <w:rFonts w:eastAsia="仿宋_GB2312"/>
          <w:color w:val="000000" w:themeColor="text1"/>
          <w:szCs w:val="32"/>
        </w:rPr>
      </w:pPr>
      <w:r w:rsidRPr="00424BFD">
        <w:rPr>
          <w:rFonts w:eastAsia="仿宋_GB2312" w:hint="eastAsia"/>
          <w:color w:val="000000" w:themeColor="text1"/>
          <w:szCs w:val="32"/>
        </w:rPr>
        <w:t>对传统防控方式不敏感的快速进展的轴性单纯性近视</w:t>
      </w:r>
      <w:r w:rsidRPr="0033740E">
        <w:rPr>
          <w:rFonts w:eastAsia="仿宋_GB2312" w:hint="eastAsia"/>
          <w:color w:val="000000" w:themeColor="text1"/>
          <w:szCs w:val="32"/>
        </w:rPr>
        <w:t>/</w:t>
      </w:r>
      <w:r w:rsidRPr="00424BFD">
        <w:rPr>
          <w:rFonts w:eastAsia="仿宋_GB2312" w:hint="eastAsia"/>
          <w:color w:val="000000" w:themeColor="text1"/>
          <w:szCs w:val="32"/>
        </w:rPr>
        <w:t>对传统治疗方法不敏感的弱</w:t>
      </w:r>
      <w:r w:rsidRPr="0033740E">
        <w:rPr>
          <w:rFonts w:eastAsia="仿宋_GB2312" w:hint="eastAsia"/>
          <w:color w:val="000000" w:themeColor="text1"/>
          <w:szCs w:val="32"/>
        </w:rPr>
        <w:t>视患者</w:t>
      </w:r>
      <w:r w:rsidRPr="00424BFD">
        <w:rPr>
          <w:rFonts w:eastAsia="仿宋_GB2312" w:hint="eastAsia"/>
          <w:color w:val="000000" w:themeColor="text1"/>
          <w:szCs w:val="32"/>
        </w:rPr>
        <w:t>；</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明确具体入组人群的近视</w:t>
      </w:r>
      <w:r w:rsidRPr="0033740E">
        <w:rPr>
          <w:rFonts w:eastAsia="仿宋_GB2312" w:hint="eastAsia"/>
          <w:color w:val="000000" w:themeColor="text1"/>
          <w:szCs w:val="32"/>
        </w:rPr>
        <w:t>/</w:t>
      </w:r>
      <w:r w:rsidRPr="0033740E">
        <w:rPr>
          <w:rFonts w:eastAsia="仿宋_GB2312" w:hint="eastAsia"/>
          <w:color w:val="000000" w:themeColor="text1"/>
          <w:szCs w:val="32"/>
        </w:rPr>
        <w:t>弱视的具体适应症（包括疾病类型、程度等）；</w:t>
      </w:r>
      <w:r w:rsidRPr="0033740E">
        <w:rPr>
          <w:rFonts w:eastAsia="仿宋_GB2312"/>
          <w:color w:val="000000" w:themeColor="text1"/>
          <w:szCs w:val="32"/>
        </w:rPr>
        <w:t xml:space="preserve"> </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明确年龄阶段，如近视</w:t>
      </w:r>
      <w:r w:rsidRPr="0033740E">
        <w:rPr>
          <w:rFonts w:eastAsia="仿宋_GB2312"/>
          <w:color w:val="000000" w:themeColor="text1"/>
          <w:szCs w:val="32"/>
        </w:rPr>
        <w:t>8</w:t>
      </w:r>
      <w:r w:rsidRPr="0033740E">
        <w:rPr>
          <w:rFonts w:eastAsia="仿宋_GB2312" w:hint="eastAsia"/>
          <w:color w:val="000000" w:themeColor="text1"/>
          <w:szCs w:val="32"/>
        </w:rPr>
        <w:t>-16</w:t>
      </w:r>
      <w:r w:rsidRPr="0033740E">
        <w:rPr>
          <w:rFonts w:eastAsia="仿宋_GB2312" w:hint="eastAsia"/>
          <w:color w:val="000000" w:themeColor="text1"/>
          <w:szCs w:val="32"/>
        </w:rPr>
        <w:t>岁，弱视</w:t>
      </w:r>
      <w:r w:rsidRPr="0033740E">
        <w:rPr>
          <w:rFonts w:eastAsia="仿宋_GB2312" w:hint="eastAsia"/>
          <w:color w:val="000000" w:themeColor="text1"/>
          <w:szCs w:val="32"/>
        </w:rPr>
        <w:t>3-6</w:t>
      </w:r>
      <w:r w:rsidRPr="0033740E">
        <w:rPr>
          <w:rFonts w:eastAsia="仿宋_GB2312" w:hint="eastAsia"/>
          <w:color w:val="000000" w:themeColor="text1"/>
          <w:szCs w:val="32"/>
        </w:rPr>
        <w:t>岁；</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明确眼部屈光状况要求的具体条件；</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明确应双眼入组。</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排除标准包括但不限于：</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hint="eastAsia"/>
          <w:color w:val="000000" w:themeColor="text1"/>
          <w:szCs w:val="32"/>
        </w:rPr>
        <w:t>1</w:t>
      </w:r>
      <w:r w:rsidRPr="0033740E">
        <w:rPr>
          <w:rFonts w:eastAsia="仿宋_GB2312" w:hint="eastAsia"/>
          <w:color w:val="000000" w:themeColor="text1"/>
          <w:szCs w:val="32"/>
        </w:rPr>
        <w:t>）除近视</w:t>
      </w:r>
      <w:r w:rsidRPr="0033740E">
        <w:rPr>
          <w:rFonts w:eastAsia="仿宋_GB2312" w:hint="eastAsia"/>
          <w:color w:val="000000" w:themeColor="text1"/>
          <w:szCs w:val="32"/>
        </w:rPr>
        <w:t>/</w:t>
      </w:r>
      <w:r w:rsidRPr="0033740E">
        <w:rPr>
          <w:rFonts w:eastAsia="仿宋_GB2312" w:hint="eastAsia"/>
          <w:color w:val="000000" w:themeColor="text1"/>
          <w:szCs w:val="32"/>
        </w:rPr>
        <w:t>弱视外，有相关现症眼部疾病，包括但不限于：</w:t>
      </w:r>
      <w:r w:rsidRPr="0033740E">
        <w:rPr>
          <w:rFonts w:eastAsia="仿宋_GB2312" w:hint="eastAsia"/>
          <w:color w:val="000000" w:themeColor="text1"/>
          <w:szCs w:val="32"/>
        </w:rPr>
        <w:lastRenderedPageBreak/>
        <w:t>色盲和色弱、光过敏史、眼表疾病、角膜疾病、白内障、葡萄膜炎、玻璃体视网膜疾病（尤其是黄斑疾病、视网膜色素变性、先天性静止性夜盲等）、视神经疾病等。</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color w:val="000000" w:themeColor="text1"/>
          <w:szCs w:val="32"/>
        </w:rPr>
        <w:t>2</w:t>
      </w:r>
      <w:r w:rsidRPr="0033740E">
        <w:rPr>
          <w:rFonts w:eastAsia="仿宋_GB2312" w:hint="eastAsia"/>
          <w:color w:val="000000" w:themeColor="text1"/>
          <w:szCs w:val="32"/>
        </w:rPr>
        <w:t>）存在全身性疾病，包括但不限于：自身免疫性疾病（包括红斑狼疮、皮肌炎、干燥综合征、银屑病等）、高血压、糖尿病、白化病；神经系统疾病，例如既往惊厥病史、</w:t>
      </w:r>
      <w:bookmarkStart w:id="3" w:name="_GoBack"/>
      <w:bookmarkEnd w:id="3"/>
      <w:r w:rsidRPr="0033740E">
        <w:rPr>
          <w:rFonts w:eastAsia="仿宋_GB2312" w:hint="eastAsia"/>
          <w:color w:val="000000" w:themeColor="text1"/>
          <w:szCs w:val="32"/>
        </w:rPr>
        <w:t>中枢神经系统发育不完善、癫痫、精神心理疾病等。</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color w:val="000000" w:themeColor="text1"/>
          <w:szCs w:val="32"/>
        </w:rPr>
        <w:t>3</w:t>
      </w:r>
      <w:r w:rsidRPr="0033740E">
        <w:rPr>
          <w:rFonts w:eastAsia="仿宋_GB2312" w:hint="eastAsia"/>
          <w:color w:val="000000" w:themeColor="text1"/>
          <w:szCs w:val="32"/>
        </w:rPr>
        <w:t>）光感受器细胞密度异常。</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color w:val="000000" w:themeColor="text1"/>
          <w:szCs w:val="32"/>
        </w:rPr>
        <w:t>4</w:t>
      </w:r>
      <w:r w:rsidRPr="0033740E">
        <w:rPr>
          <w:rFonts w:eastAsia="仿宋_GB2312" w:hint="eastAsia"/>
          <w:color w:val="000000" w:themeColor="text1"/>
          <w:szCs w:val="32"/>
        </w:rPr>
        <w:t>）正在使用低浓度阿托品滴眼液点眼进行近视控制或应用睫状肌麻痹剂进行验光检查的</w:t>
      </w:r>
      <w:r w:rsidRPr="0033740E">
        <w:rPr>
          <w:rFonts w:eastAsia="仿宋_GB2312"/>
          <w:color w:val="000000" w:themeColor="text1"/>
          <w:szCs w:val="32"/>
        </w:rPr>
        <w:t>患者</w:t>
      </w:r>
      <w:r w:rsidRPr="0033740E">
        <w:rPr>
          <w:rFonts w:eastAsia="仿宋_GB2312" w:hint="eastAsia"/>
          <w:color w:val="000000" w:themeColor="text1"/>
          <w:szCs w:val="32"/>
        </w:rPr>
        <w:t>。</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color w:val="000000" w:themeColor="text1"/>
          <w:szCs w:val="32"/>
        </w:rPr>
        <w:t>5</w:t>
      </w:r>
      <w:r w:rsidRPr="0033740E">
        <w:rPr>
          <w:rFonts w:eastAsia="仿宋_GB2312" w:hint="eastAsia"/>
          <w:color w:val="000000" w:themeColor="text1"/>
          <w:szCs w:val="32"/>
        </w:rPr>
        <w:t>）病理性近视。</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color w:val="000000" w:themeColor="text1"/>
          <w:szCs w:val="32"/>
        </w:rPr>
        <w:t>6</w:t>
      </w:r>
      <w:r w:rsidRPr="0033740E">
        <w:rPr>
          <w:rFonts w:eastAsia="仿宋_GB2312" w:hint="eastAsia"/>
          <w:color w:val="000000" w:themeColor="text1"/>
          <w:szCs w:val="32"/>
        </w:rPr>
        <w:t>）其他临床医生认为不适合的情形。</w:t>
      </w:r>
    </w:p>
    <w:bookmarkEnd w:id="2"/>
    <w:p w:rsidR="006A52C7" w:rsidRPr="002553CC" w:rsidRDefault="006A52C7" w:rsidP="002553CC">
      <w:pPr>
        <w:spacing w:line="520" w:lineRule="exact"/>
        <w:ind w:firstLineChars="200" w:firstLine="640"/>
        <w:rPr>
          <w:rFonts w:eastAsia="仿宋_GB2312"/>
          <w:color w:val="000000" w:themeColor="text1"/>
          <w:szCs w:val="32"/>
        </w:rPr>
      </w:pPr>
      <w:r w:rsidRPr="002553CC">
        <w:rPr>
          <w:rFonts w:eastAsia="仿宋_GB2312" w:hint="eastAsia"/>
          <w:color w:val="000000" w:themeColor="text1"/>
          <w:szCs w:val="32"/>
        </w:rPr>
        <w:t>3.</w:t>
      </w:r>
      <w:r w:rsidRPr="002553CC">
        <w:rPr>
          <w:rFonts w:eastAsia="仿宋_GB2312"/>
          <w:color w:val="000000" w:themeColor="text1"/>
          <w:szCs w:val="32"/>
        </w:rPr>
        <w:t>4</w:t>
      </w:r>
      <w:r w:rsidRPr="002553CC">
        <w:rPr>
          <w:rFonts w:eastAsia="仿宋_GB2312" w:hint="eastAsia"/>
          <w:color w:val="000000" w:themeColor="text1"/>
          <w:szCs w:val="32"/>
        </w:rPr>
        <w:t>评价指标</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临床评价指标需符合临床常规诊疗认识，临床试验方案需对各项评价指标进行明确定义并提供确定依据</w:t>
      </w:r>
      <w:bookmarkStart w:id="4" w:name="OLE_LINK1"/>
      <w:r w:rsidRPr="0033740E">
        <w:rPr>
          <w:rFonts w:eastAsia="仿宋_GB2312" w:hint="eastAsia"/>
          <w:color w:val="000000" w:themeColor="text1"/>
          <w:szCs w:val="32"/>
        </w:rPr>
        <w:t>。</w:t>
      </w:r>
      <w:r w:rsidRPr="0033740E">
        <w:rPr>
          <w:rFonts w:hint="eastAsia"/>
          <w:color w:val="000000" w:themeColor="text1"/>
        </w:rPr>
        <w:t>主要评价指标</w:t>
      </w:r>
      <w:bookmarkEnd w:id="4"/>
      <w:r w:rsidRPr="0033740E">
        <w:rPr>
          <w:rFonts w:hint="eastAsia"/>
          <w:color w:val="000000" w:themeColor="text1"/>
        </w:rPr>
        <w:t>包括</w:t>
      </w:r>
      <w:r w:rsidRPr="0033740E">
        <w:rPr>
          <w:color w:val="000000" w:themeColor="text1"/>
        </w:rPr>
        <w:t>安全性评价指标、有效性评价指标</w:t>
      </w:r>
      <w:r w:rsidRPr="0033740E">
        <w:rPr>
          <w:rFonts w:hint="eastAsia"/>
          <w:color w:val="000000" w:themeColor="text1"/>
        </w:rPr>
        <w:t>，</w:t>
      </w:r>
      <w:r w:rsidRPr="0033740E">
        <w:rPr>
          <w:rFonts w:eastAsia="仿宋_GB2312" w:hint="eastAsia"/>
          <w:color w:val="000000" w:themeColor="text1"/>
          <w:szCs w:val="32"/>
        </w:rPr>
        <w:t>并体现近视</w:t>
      </w:r>
      <w:r w:rsidRPr="0033740E">
        <w:rPr>
          <w:rFonts w:eastAsia="仿宋_GB2312" w:hint="eastAsia"/>
          <w:color w:val="000000" w:themeColor="text1"/>
          <w:szCs w:val="32"/>
        </w:rPr>
        <w:t>/</w:t>
      </w:r>
      <w:r w:rsidRPr="0033740E">
        <w:rPr>
          <w:rFonts w:eastAsia="仿宋_GB2312" w:hint="eastAsia"/>
          <w:color w:val="000000" w:themeColor="text1"/>
          <w:szCs w:val="32"/>
        </w:rPr>
        <w:t>弱视控制效果稳定且可持续。</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近视</w:t>
      </w:r>
      <w:r w:rsidRPr="0033740E">
        <w:rPr>
          <w:rFonts w:eastAsia="仿宋_GB2312"/>
          <w:color w:val="000000" w:themeColor="text1"/>
          <w:szCs w:val="32"/>
        </w:rPr>
        <w:t>/</w:t>
      </w:r>
      <w:r w:rsidRPr="0033740E">
        <w:rPr>
          <w:rFonts w:eastAsia="仿宋_GB2312" w:hint="eastAsia"/>
          <w:color w:val="000000" w:themeColor="text1"/>
          <w:szCs w:val="32"/>
        </w:rPr>
        <w:t>弱视</w:t>
      </w:r>
      <w:r w:rsidRPr="0033740E">
        <w:rPr>
          <w:rFonts w:eastAsia="仿宋_GB2312"/>
          <w:color w:val="000000" w:themeColor="text1"/>
          <w:szCs w:val="32"/>
        </w:rPr>
        <w:t>激光治疗仪</w:t>
      </w:r>
      <w:r w:rsidRPr="0033740E">
        <w:rPr>
          <w:rFonts w:eastAsia="仿宋_GB2312" w:hint="eastAsia"/>
          <w:color w:val="000000" w:themeColor="text1"/>
          <w:szCs w:val="32"/>
        </w:rPr>
        <w:t>主要安全性指标包括</w:t>
      </w:r>
      <w:r w:rsidRPr="0033740E">
        <w:rPr>
          <w:rFonts w:eastAsia="仿宋_GB2312"/>
          <w:color w:val="000000" w:themeColor="text1"/>
          <w:szCs w:val="32"/>
        </w:rPr>
        <w:t>但不限于：</w:t>
      </w:r>
      <w:r w:rsidRPr="0033740E">
        <w:rPr>
          <w:rFonts w:eastAsia="仿宋_GB2312" w:hint="eastAsia"/>
          <w:color w:val="000000" w:themeColor="text1"/>
          <w:szCs w:val="32"/>
        </w:rPr>
        <w:t>3</w:t>
      </w:r>
      <w:r w:rsidRPr="0033740E">
        <w:rPr>
          <w:rFonts w:eastAsia="仿宋_GB2312" w:hint="eastAsia"/>
          <w:color w:val="000000" w:themeColor="text1"/>
          <w:szCs w:val="32"/>
        </w:rPr>
        <w:t>年时</w:t>
      </w:r>
      <w:r w:rsidRPr="0033740E">
        <w:rPr>
          <w:rFonts w:eastAsia="仿宋_GB2312"/>
          <w:color w:val="000000" w:themeColor="text1"/>
          <w:szCs w:val="32"/>
        </w:rPr>
        <w:t>眼底损伤</w:t>
      </w:r>
      <w:r w:rsidRPr="0033740E">
        <w:rPr>
          <w:rFonts w:eastAsia="仿宋_GB2312" w:hint="eastAsia"/>
          <w:color w:val="000000" w:themeColor="text1"/>
          <w:szCs w:val="32"/>
        </w:rPr>
        <w:t>发生率</w:t>
      </w:r>
      <w:r w:rsidRPr="0033740E">
        <w:rPr>
          <w:rFonts w:eastAsia="仿宋_GB2312"/>
          <w:color w:val="000000" w:themeColor="text1"/>
          <w:szCs w:val="32"/>
        </w:rPr>
        <w:t>，眼底损伤</w:t>
      </w:r>
      <w:r w:rsidRPr="0033740E">
        <w:rPr>
          <w:rFonts w:eastAsia="仿宋_GB2312" w:hint="eastAsia"/>
          <w:color w:val="000000" w:themeColor="text1"/>
          <w:szCs w:val="32"/>
        </w:rPr>
        <w:t>但不限于有无黄斑囊样水肿、</w:t>
      </w:r>
      <w:r w:rsidRPr="0033740E">
        <w:rPr>
          <w:rFonts w:eastAsia="仿宋_GB2312"/>
          <w:color w:val="000000" w:themeColor="text1"/>
          <w:szCs w:val="32"/>
        </w:rPr>
        <w:t>黄斑区域损伤</w:t>
      </w:r>
      <w:r w:rsidRPr="0033740E">
        <w:rPr>
          <w:rFonts w:eastAsia="仿宋_GB2312" w:hint="eastAsia"/>
          <w:color w:val="000000" w:themeColor="text1"/>
          <w:szCs w:val="32"/>
        </w:rPr>
        <w:t>（包括功能性、形态学的改变）、视网膜损伤或脱离等。</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近视激光治疗仪主要有效性评价指标包括但不限于：完成治疗时</w:t>
      </w:r>
      <w:r w:rsidRPr="0033740E">
        <w:rPr>
          <w:rFonts w:eastAsia="仿宋_GB2312"/>
          <w:color w:val="000000" w:themeColor="text1"/>
          <w:szCs w:val="32"/>
        </w:rPr>
        <w:t>、以及治疗</w:t>
      </w:r>
      <w:r w:rsidRPr="0033740E">
        <w:rPr>
          <w:rFonts w:eastAsia="仿宋_GB2312" w:hint="eastAsia"/>
          <w:color w:val="000000" w:themeColor="text1"/>
          <w:szCs w:val="32"/>
        </w:rPr>
        <w:t>后</w:t>
      </w:r>
      <w:r w:rsidRPr="0033740E">
        <w:rPr>
          <w:rFonts w:eastAsia="仿宋_GB2312"/>
          <w:color w:val="000000" w:themeColor="text1"/>
          <w:szCs w:val="32"/>
        </w:rPr>
        <w:t>1</w:t>
      </w:r>
      <w:r w:rsidRPr="0033740E">
        <w:rPr>
          <w:rFonts w:eastAsia="仿宋_GB2312"/>
          <w:color w:val="000000" w:themeColor="text1"/>
          <w:szCs w:val="32"/>
        </w:rPr>
        <w:t>年、</w:t>
      </w:r>
      <w:r w:rsidRPr="0033740E">
        <w:rPr>
          <w:rFonts w:eastAsia="仿宋_GB2312"/>
          <w:color w:val="000000" w:themeColor="text1"/>
          <w:szCs w:val="32"/>
        </w:rPr>
        <w:t>2</w:t>
      </w:r>
      <w:r w:rsidRPr="0033740E">
        <w:rPr>
          <w:rFonts w:eastAsia="仿宋_GB2312"/>
          <w:color w:val="000000" w:themeColor="text1"/>
          <w:szCs w:val="32"/>
        </w:rPr>
        <w:t>年、</w:t>
      </w:r>
      <w:r w:rsidRPr="0033740E">
        <w:rPr>
          <w:rFonts w:eastAsia="仿宋_GB2312"/>
          <w:color w:val="000000" w:themeColor="text1"/>
          <w:szCs w:val="32"/>
        </w:rPr>
        <w:t>3</w:t>
      </w:r>
      <w:r w:rsidRPr="0033740E">
        <w:rPr>
          <w:rFonts w:eastAsia="仿宋_GB2312"/>
          <w:color w:val="000000" w:themeColor="text1"/>
          <w:szCs w:val="32"/>
        </w:rPr>
        <w:t>年时近视进展情况，至少涵盖治疗前与随访时等效球镜屈光度变化和眼轴长度变化等。</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弱视激光</w:t>
      </w:r>
      <w:r w:rsidRPr="0033740E">
        <w:rPr>
          <w:rFonts w:eastAsia="仿宋_GB2312"/>
          <w:color w:val="000000" w:themeColor="text1"/>
          <w:szCs w:val="32"/>
        </w:rPr>
        <w:t>治疗仪</w:t>
      </w:r>
      <w:r w:rsidRPr="0033740E">
        <w:rPr>
          <w:rFonts w:eastAsia="仿宋_GB2312" w:hint="eastAsia"/>
          <w:color w:val="000000" w:themeColor="text1"/>
          <w:szCs w:val="32"/>
        </w:rPr>
        <w:t>主要</w:t>
      </w:r>
      <w:r w:rsidRPr="0033740E">
        <w:rPr>
          <w:rFonts w:eastAsia="仿宋_GB2312"/>
          <w:color w:val="000000" w:themeColor="text1"/>
          <w:szCs w:val="32"/>
        </w:rPr>
        <w:t>有效性</w:t>
      </w:r>
      <w:r w:rsidRPr="0033740E">
        <w:rPr>
          <w:rFonts w:eastAsia="仿宋_GB2312" w:hint="eastAsia"/>
          <w:color w:val="000000" w:themeColor="text1"/>
          <w:szCs w:val="32"/>
        </w:rPr>
        <w:t>评价指标为完成</w:t>
      </w:r>
      <w:r w:rsidRPr="0033740E">
        <w:rPr>
          <w:rFonts w:eastAsia="仿宋_GB2312"/>
          <w:color w:val="000000" w:themeColor="text1"/>
          <w:szCs w:val="32"/>
        </w:rPr>
        <w:t>治疗后</w:t>
      </w:r>
      <w:r w:rsidRPr="0033740E">
        <w:rPr>
          <w:rFonts w:eastAsia="仿宋_GB2312" w:hint="eastAsia"/>
          <w:color w:val="000000" w:themeColor="text1"/>
          <w:szCs w:val="32"/>
        </w:rPr>
        <w:t>受试者弱视眼最佳矫正远视力与治疗前</w:t>
      </w:r>
      <w:r w:rsidRPr="0033740E">
        <w:rPr>
          <w:rFonts w:eastAsia="仿宋_GB2312"/>
          <w:color w:val="000000" w:themeColor="text1"/>
          <w:szCs w:val="32"/>
        </w:rPr>
        <w:t>的</w:t>
      </w:r>
      <w:r w:rsidRPr="0033740E">
        <w:rPr>
          <w:rFonts w:eastAsia="仿宋_GB2312" w:hint="eastAsia"/>
          <w:color w:val="000000" w:themeColor="text1"/>
          <w:szCs w:val="32"/>
        </w:rPr>
        <w:t>变化情况。</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lastRenderedPageBreak/>
        <w:t>近视</w:t>
      </w:r>
      <w:r w:rsidRPr="0033740E">
        <w:rPr>
          <w:rFonts w:eastAsia="仿宋_GB2312"/>
          <w:color w:val="000000" w:themeColor="text1"/>
          <w:szCs w:val="32"/>
        </w:rPr>
        <w:t>/</w:t>
      </w:r>
      <w:r w:rsidRPr="0033740E">
        <w:rPr>
          <w:rFonts w:eastAsia="仿宋_GB2312" w:hint="eastAsia"/>
          <w:color w:val="000000" w:themeColor="text1"/>
          <w:szCs w:val="32"/>
        </w:rPr>
        <w:t>弱视</w:t>
      </w:r>
      <w:r w:rsidRPr="0033740E">
        <w:rPr>
          <w:rFonts w:eastAsia="仿宋_GB2312"/>
          <w:color w:val="000000" w:themeColor="text1"/>
          <w:szCs w:val="32"/>
        </w:rPr>
        <w:t>激光治疗仪</w:t>
      </w:r>
      <w:r w:rsidRPr="0033740E">
        <w:rPr>
          <w:rFonts w:eastAsia="仿宋_GB2312" w:hint="eastAsia"/>
          <w:color w:val="000000" w:themeColor="text1"/>
          <w:szCs w:val="32"/>
        </w:rPr>
        <w:t>次要评价指标包括但不限于：</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hint="eastAsia"/>
          <w:color w:val="000000" w:themeColor="text1"/>
          <w:szCs w:val="32"/>
        </w:rPr>
        <w:t>1</w:t>
      </w:r>
      <w:r w:rsidRPr="0033740E">
        <w:rPr>
          <w:rFonts w:eastAsia="仿宋_GB2312" w:hint="eastAsia"/>
          <w:color w:val="000000" w:themeColor="text1"/>
          <w:szCs w:val="32"/>
        </w:rPr>
        <w:t>）视觉质量评估、视力（裸眼视力、矫正视力）、主觉</w:t>
      </w:r>
      <w:r w:rsidRPr="0033740E">
        <w:rPr>
          <w:rFonts w:eastAsia="仿宋_GB2312"/>
          <w:color w:val="000000" w:themeColor="text1"/>
          <w:szCs w:val="32"/>
        </w:rPr>
        <w:t>和验光</w:t>
      </w:r>
      <w:r w:rsidRPr="0033740E">
        <w:rPr>
          <w:rFonts w:eastAsia="仿宋_GB2312" w:hint="eastAsia"/>
          <w:color w:val="000000" w:themeColor="text1"/>
          <w:szCs w:val="32"/>
        </w:rPr>
        <w:t>屈光度、视网膜电生理、视野、三级视功能（同时视、融合视、立体视）、眼底光感受器细胞密度变化、中心视野、微视野</w:t>
      </w:r>
      <w:r w:rsidRPr="0033740E">
        <w:rPr>
          <w:rFonts w:eastAsia="仿宋_GB2312"/>
          <w:color w:val="000000" w:themeColor="text1"/>
          <w:szCs w:val="32"/>
        </w:rPr>
        <w:t>等</w:t>
      </w:r>
      <w:r w:rsidRPr="0033740E">
        <w:rPr>
          <w:rFonts w:eastAsia="仿宋_GB2312" w:hint="eastAsia"/>
          <w:color w:val="000000" w:themeColor="text1"/>
          <w:szCs w:val="32"/>
        </w:rPr>
        <w:t>；</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hint="eastAsia"/>
          <w:color w:val="000000" w:themeColor="text1"/>
          <w:szCs w:val="32"/>
        </w:rPr>
        <w:t>2</w:t>
      </w:r>
      <w:r w:rsidRPr="0033740E">
        <w:rPr>
          <w:rFonts w:eastAsia="仿宋_GB2312" w:hint="eastAsia"/>
          <w:color w:val="000000" w:themeColor="text1"/>
          <w:szCs w:val="32"/>
        </w:rPr>
        <w:t>）眼轴长度、角膜曲率、眼压、眼位（弱视适用）、泪膜破裂时间、泪液分泌试验、</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hint="eastAsia"/>
          <w:color w:val="000000" w:themeColor="text1"/>
          <w:szCs w:val="32"/>
        </w:rPr>
        <w:t>3</w:t>
      </w:r>
      <w:r w:rsidRPr="0033740E">
        <w:rPr>
          <w:rFonts w:eastAsia="仿宋_GB2312" w:hint="eastAsia"/>
          <w:color w:val="000000" w:themeColor="text1"/>
          <w:szCs w:val="32"/>
        </w:rPr>
        <w:t>）裂隙灯检查</w:t>
      </w:r>
      <w:r w:rsidRPr="0033740E">
        <w:rPr>
          <w:rFonts w:eastAsia="仿宋_GB2312"/>
          <w:color w:val="000000" w:themeColor="text1"/>
          <w:szCs w:val="32"/>
        </w:rPr>
        <w:t>及角膜内皮细胞计数</w:t>
      </w:r>
      <w:r w:rsidRPr="0033740E">
        <w:rPr>
          <w:rFonts w:eastAsia="仿宋_GB2312" w:hint="eastAsia"/>
          <w:color w:val="000000" w:themeColor="text1"/>
          <w:szCs w:val="32"/>
        </w:rPr>
        <w:t>；</w:t>
      </w:r>
      <w:r w:rsidRPr="0033740E">
        <w:rPr>
          <w:rFonts w:eastAsia="仿宋_GB2312"/>
          <w:color w:val="000000" w:themeColor="text1"/>
          <w:szCs w:val="32"/>
        </w:rPr>
        <w:t xml:space="preserve">  </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hint="eastAsia"/>
          <w:color w:val="000000" w:themeColor="text1"/>
          <w:szCs w:val="32"/>
        </w:rPr>
        <w:t>4</w:t>
      </w:r>
      <w:r w:rsidRPr="0033740E">
        <w:rPr>
          <w:rFonts w:eastAsia="仿宋_GB2312" w:hint="eastAsia"/>
          <w:color w:val="000000" w:themeColor="text1"/>
          <w:szCs w:val="32"/>
        </w:rPr>
        <w:t>）不良事件应报告但</w:t>
      </w:r>
      <w:r w:rsidRPr="0033740E">
        <w:rPr>
          <w:rFonts w:eastAsia="仿宋_GB2312"/>
          <w:color w:val="000000" w:themeColor="text1"/>
          <w:szCs w:val="32"/>
        </w:rPr>
        <w:t>不</w:t>
      </w:r>
      <w:r w:rsidRPr="0033740E">
        <w:rPr>
          <w:rFonts w:eastAsia="仿宋_GB2312" w:hint="eastAsia"/>
          <w:color w:val="000000" w:themeColor="text1"/>
          <w:szCs w:val="32"/>
        </w:rPr>
        <w:t>限于后像</w:t>
      </w:r>
      <w:r w:rsidRPr="0033740E">
        <w:rPr>
          <w:rFonts w:eastAsia="仿宋_GB2312"/>
          <w:color w:val="000000" w:themeColor="text1"/>
          <w:szCs w:val="32"/>
        </w:rPr>
        <w:t>反应时长</w:t>
      </w:r>
      <w:r w:rsidRPr="0033740E">
        <w:rPr>
          <w:rFonts w:eastAsia="仿宋_GB2312" w:hint="eastAsia"/>
          <w:color w:val="000000" w:themeColor="text1"/>
          <w:szCs w:val="32"/>
        </w:rPr>
        <w:t>（使用</w:t>
      </w:r>
      <w:r w:rsidRPr="0033740E">
        <w:rPr>
          <w:rFonts w:eastAsia="仿宋_GB2312"/>
          <w:color w:val="000000" w:themeColor="text1"/>
          <w:szCs w:val="32"/>
        </w:rPr>
        <w:t>后眼前</w:t>
      </w:r>
      <w:r w:rsidRPr="0033740E">
        <w:rPr>
          <w:rFonts w:eastAsia="仿宋_GB2312" w:hint="eastAsia"/>
          <w:color w:val="000000" w:themeColor="text1"/>
          <w:szCs w:val="32"/>
        </w:rPr>
        <w:t>有</w:t>
      </w:r>
      <w:r w:rsidRPr="0033740E">
        <w:rPr>
          <w:rFonts w:eastAsia="仿宋_GB2312"/>
          <w:color w:val="000000" w:themeColor="text1"/>
          <w:szCs w:val="32"/>
        </w:rPr>
        <w:t>彩色光圈</w:t>
      </w:r>
      <w:r w:rsidRPr="0033740E">
        <w:rPr>
          <w:rFonts w:eastAsia="仿宋_GB2312" w:hint="eastAsia"/>
          <w:color w:val="000000" w:themeColor="text1"/>
          <w:szCs w:val="32"/>
        </w:rPr>
        <w:t>）、短期视力严重下降、持续眼前光晕、暗点、任何视网膜结构损伤或视网膜电生理、视野、对比敏感度或色觉的改变、椭圆体带断裂，远期视网膜黄斑区域变性及不可逆损伤以及诱发精神类疾病如癫痫等情况，需完整记录后续处理措施、患者转归，分析评价不良事件是否与申报产品相关</w:t>
      </w:r>
      <w:r w:rsidRPr="0033740E">
        <w:rPr>
          <w:rFonts w:eastAsia="仿宋_GB2312"/>
          <w:color w:val="000000" w:themeColor="text1"/>
          <w:szCs w:val="32"/>
        </w:rPr>
        <w:t>，</w:t>
      </w:r>
      <w:r w:rsidRPr="0033740E">
        <w:rPr>
          <w:rFonts w:eastAsia="仿宋_GB2312" w:hint="eastAsia"/>
          <w:color w:val="000000" w:themeColor="text1"/>
          <w:szCs w:val="32"/>
        </w:rPr>
        <w:t>不良事件发生率是否可接受；</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w:t>
      </w:r>
      <w:r w:rsidRPr="0033740E">
        <w:rPr>
          <w:rFonts w:eastAsia="仿宋_GB2312"/>
          <w:color w:val="000000" w:themeColor="text1"/>
          <w:szCs w:val="32"/>
        </w:rPr>
        <w:t>5</w:t>
      </w:r>
      <w:r w:rsidRPr="0033740E">
        <w:rPr>
          <w:rFonts w:eastAsia="仿宋_GB2312" w:hint="eastAsia"/>
          <w:color w:val="000000" w:themeColor="text1"/>
          <w:szCs w:val="32"/>
        </w:rPr>
        <w:t>）器械使用时间、使用频次、使用疗程、器械缺陷、</w:t>
      </w:r>
      <w:r w:rsidRPr="0033740E">
        <w:rPr>
          <w:rFonts w:eastAsia="仿宋_GB2312"/>
          <w:color w:val="000000" w:themeColor="text1"/>
          <w:szCs w:val="32"/>
        </w:rPr>
        <w:t>患者</w:t>
      </w:r>
      <w:r w:rsidRPr="0033740E">
        <w:rPr>
          <w:rFonts w:eastAsia="仿宋_GB2312" w:hint="eastAsia"/>
          <w:color w:val="000000" w:themeColor="text1"/>
          <w:szCs w:val="32"/>
        </w:rPr>
        <w:t>依从性等；</w:t>
      </w:r>
    </w:p>
    <w:p w:rsidR="006A52C7" w:rsidRPr="0033740E" w:rsidRDefault="006A52C7" w:rsidP="0033740E">
      <w:pPr>
        <w:spacing w:line="520" w:lineRule="exact"/>
        <w:ind w:firstLineChars="200" w:firstLine="640"/>
        <w:rPr>
          <w:rFonts w:eastAsia="仿宋_GB2312"/>
          <w:color w:val="000000" w:themeColor="text1"/>
          <w:szCs w:val="32"/>
        </w:rPr>
      </w:pPr>
      <w:bookmarkStart w:id="5" w:name="_Toc8171"/>
      <w:bookmarkStart w:id="6" w:name="_Toc467328356"/>
      <w:r w:rsidRPr="0033740E">
        <w:rPr>
          <w:rFonts w:eastAsia="仿宋_GB2312" w:hint="eastAsia"/>
          <w:color w:val="000000" w:themeColor="text1"/>
          <w:szCs w:val="32"/>
        </w:rPr>
        <w:t>评价指标中涉及视网膜（尤其是黄斑区）长期功能性、形态学、隐匿损伤等相关数据的检查应采用有效评估手段，包括黄斑部</w:t>
      </w:r>
      <w:r w:rsidRPr="0033740E">
        <w:rPr>
          <w:rFonts w:eastAsia="仿宋_GB2312"/>
          <w:color w:val="000000" w:themeColor="text1"/>
          <w:szCs w:val="32"/>
        </w:rPr>
        <w:t>OCT</w:t>
      </w:r>
      <w:r w:rsidRPr="0033740E">
        <w:rPr>
          <w:rFonts w:eastAsia="仿宋_GB2312" w:hint="eastAsia"/>
          <w:color w:val="000000" w:themeColor="text1"/>
          <w:szCs w:val="32"/>
        </w:rPr>
        <w:t>影像</w:t>
      </w:r>
      <w:r w:rsidRPr="0033740E">
        <w:rPr>
          <w:rFonts w:eastAsia="仿宋_GB2312" w:hint="eastAsia"/>
          <w:color w:val="000000" w:themeColor="text1"/>
          <w:szCs w:val="32"/>
        </w:rPr>
        <w:t>/</w:t>
      </w:r>
      <w:r w:rsidRPr="0033740E">
        <w:rPr>
          <w:rFonts w:eastAsia="仿宋_GB2312" w:hint="eastAsia"/>
          <w:color w:val="000000" w:themeColor="text1"/>
          <w:szCs w:val="32"/>
        </w:rPr>
        <w:t>黄斑部光相干断层扫描血管成像（</w:t>
      </w:r>
      <w:r w:rsidRPr="0033740E">
        <w:rPr>
          <w:rFonts w:eastAsia="仿宋_GB2312"/>
          <w:color w:val="000000" w:themeColor="text1"/>
          <w:szCs w:val="32"/>
        </w:rPr>
        <w:t>OCTA</w:t>
      </w:r>
      <w:r w:rsidRPr="0033740E">
        <w:rPr>
          <w:rFonts w:eastAsia="仿宋_GB2312"/>
          <w:color w:val="000000" w:themeColor="text1"/>
          <w:szCs w:val="32"/>
        </w:rPr>
        <w:t>）</w:t>
      </w:r>
      <w:r w:rsidRPr="0033740E">
        <w:rPr>
          <w:rFonts w:eastAsia="仿宋_GB2312" w:hint="eastAsia"/>
          <w:color w:val="000000" w:themeColor="text1"/>
          <w:szCs w:val="32"/>
        </w:rPr>
        <w:t>、微视野检测以及</w:t>
      </w:r>
      <w:proofErr w:type="spellStart"/>
      <w:r w:rsidRPr="0033740E">
        <w:rPr>
          <w:rFonts w:eastAsia="仿宋_GB2312" w:hint="eastAsia"/>
          <w:color w:val="000000" w:themeColor="text1"/>
          <w:szCs w:val="32"/>
        </w:rPr>
        <w:t>mERG</w:t>
      </w:r>
      <w:proofErr w:type="spellEnd"/>
      <w:r w:rsidRPr="0033740E">
        <w:rPr>
          <w:rFonts w:eastAsia="仿宋_GB2312" w:hint="eastAsia"/>
          <w:color w:val="000000" w:themeColor="text1"/>
          <w:szCs w:val="32"/>
        </w:rPr>
        <w:t>（多焦视网膜电图）测量、眼底感光细胞密度的观测、眼底彩照等，并建立试验入组人群的眼屈光发育档案，定期检查视力、屈光度、眼轴长度、角膜曲率和眼底情况等。</w:t>
      </w:r>
    </w:p>
    <w:bookmarkEnd w:id="5"/>
    <w:bookmarkEnd w:id="6"/>
    <w:p w:rsidR="006A52C7" w:rsidRPr="002553CC" w:rsidRDefault="006A52C7" w:rsidP="002553CC">
      <w:pPr>
        <w:spacing w:line="520" w:lineRule="exact"/>
        <w:ind w:firstLineChars="200" w:firstLine="640"/>
        <w:rPr>
          <w:rFonts w:eastAsia="仿宋_GB2312"/>
          <w:color w:val="000000" w:themeColor="text1"/>
          <w:szCs w:val="32"/>
        </w:rPr>
      </w:pPr>
      <w:r w:rsidRPr="002553CC">
        <w:rPr>
          <w:rFonts w:eastAsia="仿宋_GB2312" w:hint="eastAsia"/>
          <w:color w:val="000000" w:themeColor="text1"/>
          <w:szCs w:val="32"/>
        </w:rPr>
        <w:t>3.</w:t>
      </w:r>
      <w:r w:rsidRPr="002553CC">
        <w:rPr>
          <w:rFonts w:eastAsia="仿宋_GB2312"/>
          <w:color w:val="000000" w:themeColor="text1"/>
          <w:szCs w:val="32"/>
        </w:rPr>
        <w:t>5</w:t>
      </w:r>
      <w:r w:rsidRPr="002553CC">
        <w:rPr>
          <w:rFonts w:eastAsia="仿宋_GB2312" w:hint="eastAsia"/>
          <w:color w:val="000000" w:themeColor="text1"/>
          <w:szCs w:val="32"/>
        </w:rPr>
        <w:t>临床试验样本量计算</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样本量应分别基于</w:t>
      </w:r>
      <w:r w:rsidRPr="0033740E">
        <w:rPr>
          <w:rFonts w:eastAsia="仿宋_GB2312"/>
          <w:color w:val="000000" w:themeColor="text1"/>
          <w:szCs w:val="32"/>
        </w:rPr>
        <w:t>主要</w:t>
      </w:r>
      <w:r w:rsidRPr="0033740E">
        <w:rPr>
          <w:rFonts w:eastAsia="仿宋_GB2312" w:hint="eastAsia"/>
          <w:color w:val="000000" w:themeColor="text1"/>
          <w:szCs w:val="32"/>
        </w:rPr>
        <w:t>有效性、主要</w:t>
      </w:r>
      <w:r w:rsidRPr="0033740E">
        <w:rPr>
          <w:rFonts w:eastAsia="仿宋_GB2312"/>
          <w:color w:val="000000" w:themeColor="text1"/>
          <w:szCs w:val="32"/>
        </w:rPr>
        <w:t>安全性</w:t>
      </w:r>
      <w:r w:rsidRPr="0033740E">
        <w:rPr>
          <w:rFonts w:eastAsia="仿宋_GB2312" w:hint="eastAsia"/>
          <w:color w:val="000000" w:themeColor="text1"/>
          <w:szCs w:val="32"/>
        </w:rPr>
        <w:t>评价</w:t>
      </w:r>
      <w:r w:rsidRPr="0033740E">
        <w:rPr>
          <w:rFonts w:eastAsia="仿宋_GB2312"/>
          <w:color w:val="000000" w:themeColor="text1"/>
          <w:szCs w:val="32"/>
        </w:rPr>
        <w:t>指标</w:t>
      </w:r>
      <w:r w:rsidRPr="0033740E">
        <w:rPr>
          <w:rFonts w:eastAsia="仿宋_GB2312" w:hint="eastAsia"/>
          <w:color w:val="000000" w:themeColor="text1"/>
          <w:szCs w:val="32"/>
        </w:rPr>
        <w:t>进行</w:t>
      </w:r>
      <w:r w:rsidRPr="0033740E">
        <w:rPr>
          <w:rFonts w:eastAsia="仿宋_GB2312" w:hint="eastAsia"/>
          <w:color w:val="000000" w:themeColor="text1"/>
          <w:szCs w:val="32"/>
        </w:rPr>
        <w:lastRenderedPageBreak/>
        <w:t>估算</w:t>
      </w:r>
      <w:r w:rsidRPr="0033740E">
        <w:rPr>
          <w:rFonts w:eastAsia="仿宋_GB2312"/>
          <w:color w:val="000000" w:themeColor="text1"/>
          <w:szCs w:val="32"/>
        </w:rPr>
        <w:t>，需在临床试验方案中说明样本量估算的相关要素及其确定依据、样本量的具体计算方法。</w:t>
      </w:r>
      <w:r w:rsidRPr="0033740E">
        <w:rPr>
          <w:rFonts w:eastAsia="仿宋_GB2312" w:hint="eastAsia"/>
          <w:color w:val="000000" w:themeColor="text1"/>
          <w:szCs w:val="32"/>
        </w:rPr>
        <w:t>开展有效性评价时，将患者以</w:t>
      </w:r>
      <w:r w:rsidRPr="0033740E">
        <w:rPr>
          <w:rFonts w:eastAsia="仿宋_GB2312" w:hint="eastAsia"/>
          <w:color w:val="000000" w:themeColor="text1"/>
          <w:szCs w:val="32"/>
        </w:rPr>
        <w:t>1:</w:t>
      </w:r>
      <w:r w:rsidRPr="0033740E">
        <w:rPr>
          <w:rFonts w:eastAsia="仿宋_GB2312"/>
          <w:color w:val="000000" w:themeColor="text1"/>
          <w:szCs w:val="32"/>
        </w:rPr>
        <w:t>1</w:t>
      </w:r>
      <w:r w:rsidRPr="0033740E">
        <w:rPr>
          <w:rFonts w:eastAsia="仿宋_GB2312" w:hint="eastAsia"/>
          <w:color w:val="000000" w:themeColor="text1"/>
          <w:szCs w:val="32"/>
        </w:rPr>
        <w:t>的方式随机进入试验组、对照组。</w:t>
      </w:r>
      <w:r w:rsidRPr="0033740E">
        <w:rPr>
          <w:rFonts w:eastAsia="仿宋_GB2312"/>
          <w:color w:val="000000" w:themeColor="text1"/>
          <w:szCs w:val="32"/>
        </w:rPr>
        <w:t>同期</w:t>
      </w:r>
      <w:r w:rsidRPr="0033740E">
        <w:rPr>
          <w:rFonts w:eastAsia="仿宋_GB2312" w:hint="eastAsia"/>
          <w:color w:val="000000" w:themeColor="text1"/>
          <w:szCs w:val="32"/>
        </w:rPr>
        <w:t>设立独立的安全性评估组，</w:t>
      </w:r>
      <w:r w:rsidRPr="0033740E">
        <w:rPr>
          <w:rFonts w:eastAsia="仿宋_GB2312"/>
          <w:color w:val="000000" w:themeColor="text1"/>
          <w:szCs w:val="32"/>
        </w:rPr>
        <w:t>开展单组目标值</w:t>
      </w:r>
      <w:r w:rsidRPr="0033740E">
        <w:rPr>
          <w:rFonts w:eastAsia="仿宋_GB2312" w:hint="eastAsia"/>
          <w:color w:val="000000" w:themeColor="text1"/>
          <w:szCs w:val="32"/>
        </w:rPr>
        <w:t>研究。单组试验在满足统计假设的基础上，应不低于</w:t>
      </w:r>
      <w:r w:rsidRPr="0033740E">
        <w:rPr>
          <w:rFonts w:eastAsia="仿宋_GB2312"/>
          <w:color w:val="000000" w:themeColor="text1"/>
          <w:szCs w:val="32"/>
        </w:rPr>
        <w:t>2000</w:t>
      </w:r>
      <w:r w:rsidRPr="0033740E">
        <w:rPr>
          <w:rFonts w:eastAsia="仿宋_GB2312" w:hint="eastAsia"/>
          <w:color w:val="000000" w:themeColor="text1"/>
          <w:szCs w:val="32"/>
        </w:rPr>
        <w:t>例，可以包括随机对照试验中的试验组数据。如考虑到使用近视</w:t>
      </w:r>
      <w:r w:rsidRPr="0033740E">
        <w:rPr>
          <w:rFonts w:eastAsia="仿宋_GB2312" w:hint="eastAsia"/>
          <w:color w:val="000000" w:themeColor="text1"/>
          <w:szCs w:val="32"/>
        </w:rPr>
        <w:t>/</w:t>
      </w:r>
      <w:r w:rsidRPr="0033740E">
        <w:rPr>
          <w:rFonts w:eastAsia="仿宋_GB2312" w:hint="eastAsia"/>
          <w:color w:val="000000" w:themeColor="text1"/>
          <w:szCs w:val="32"/>
        </w:rPr>
        <w:t>弱视激光治疗仪发生眼底损伤的概率不应高于对照组，安全性指标如以眼底损伤发生率</w:t>
      </w:r>
      <w:r w:rsidRPr="0033740E">
        <w:rPr>
          <w:rFonts w:eastAsia="仿宋_GB2312"/>
          <w:color w:val="000000" w:themeColor="text1"/>
          <w:szCs w:val="32"/>
        </w:rPr>
        <w:t>1%</w:t>
      </w:r>
      <w:r w:rsidRPr="0033740E">
        <w:rPr>
          <w:rFonts w:eastAsia="仿宋_GB2312"/>
          <w:color w:val="000000" w:themeColor="text1"/>
          <w:szCs w:val="32"/>
        </w:rPr>
        <w:t>作为目标值，</w:t>
      </w:r>
      <w:r w:rsidRPr="0033740E">
        <w:rPr>
          <w:rFonts w:eastAsia="仿宋_GB2312" w:hint="eastAsia"/>
          <w:color w:val="000000" w:themeColor="text1"/>
          <w:szCs w:val="32"/>
        </w:rPr>
        <w:t>申报产品预期</w:t>
      </w:r>
      <w:r w:rsidRPr="0033740E">
        <w:rPr>
          <w:rFonts w:eastAsia="仿宋_GB2312"/>
          <w:color w:val="000000" w:themeColor="text1"/>
          <w:szCs w:val="32"/>
        </w:rPr>
        <w:t>不能超</w:t>
      </w:r>
      <w:r w:rsidRPr="0033740E">
        <w:rPr>
          <w:rFonts w:eastAsia="仿宋_GB2312"/>
          <w:color w:val="000000" w:themeColor="text1"/>
          <w:szCs w:val="32"/>
        </w:rPr>
        <w:t>0.5%</w:t>
      </w:r>
      <w:r w:rsidRPr="0033740E">
        <w:rPr>
          <w:rFonts w:eastAsia="仿宋_GB2312"/>
          <w:color w:val="000000" w:themeColor="text1"/>
          <w:szCs w:val="32"/>
        </w:rPr>
        <w:t>，需要</w:t>
      </w:r>
      <w:r w:rsidRPr="0033740E">
        <w:rPr>
          <w:rFonts w:eastAsia="仿宋_GB2312"/>
          <w:color w:val="000000" w:themeColor="text1"/>
          <w:szCs w:val="32"/>
        </w:rPr>
        <w:t>2470</w:t>
      </w:r>
      <w:r w:rsidRPr="0033740E">
        <w:rPr>
          <w:rFonts w:eastAsia="仿宋_GB2312"/>
          <w:color w:val="000000" w:themeColor="text1"/>
          <w:szCs w:val="32"/>
        </w:rPr>
        <w:t>例患者</w:t>
      </w:r>
      <w:r w:rsidRPr="0033740E">
        <w:rPr>
          <w:rFonts w:eastAsia="仿宋_GB2312" w:hint="eastAsia"/>
          <w:color w:val="000000" w:themeColor="text1"/>
          <w:szCs w:val="32"/>
        </w:rPr>
        <w:t>，同时结合上述近视激光治疗仪主要有效性评价指标预期与对照组相比等效球镜屈光度（</w:t>
      </w:r>
      <w:r w:rsidRPr="0033740E">
        <w:rPr>
          <w:rFonts w:eastAsia="仿宋_GB2312" w:hint="eastAsia"/>
          <w:color w:val="000000" w:themeColor="text1"/>
          <w:szCs w:val="32"/>
        </w:rPr>
        <w:t>SERE</w:t>
      </w:r>
      <w:r w:rsidRPr="0033740E">
        <w:rPr>
          <w:rFonts w:eastAsia="仿宋_GB2312" w:hint="eastAsia"/>
          <w:color w:val="000000" w:themeColor="text1"/>
          <w:szCs w:val="32"/>
        </w:rPr>
        <w:t>）每年减少增长大于</w:t>
      </w:r>
      <w:r w:rsidRPr="0033740E">
        <w:rPr>
          <w:rFonts w:eastAsia="仿宋_GB2312" w:hint="eastAsia"/>
          <w:color w:val="000000" w:themeColor="text1"/>
          <w:szCs w:val="32"/>
        </w:rPr>
        <w:t>0.25D</w:t>
      </w:r>
      <w:r w:rsidRPr="0033740E">
        <w:rPr>
          <w:rFonts w:eastAsia="仿宋_GB2312" w:hint="eastAsia"/>
          <w:color w:val="000000" w:themeColor="text1"/>
          <w:szCs w:val="32"/>
        </w:rPr>
        <w:t>，三年等效球镜屈光度（</w:t>
      </w:r>
      <w:r w:rsidRPr="0033740E">
        <w:rPr>
          <w:rFonts w:eastAsia="仿宋_GB2312" w:hint="eastAsia"/>
          <w:color w:val="000000" w:themeColor="text1"/>
          <w:szCs w:val="32"/>
        </w:rPr>
        <w:t>SERE</w:t>
      </w:r>
      <w:r w:rsidRPr="0033740E">
        <w:rPr>
          <w:rFonts w:eastAsia="仿宋_GB2312" w:hint="eastAsia"/>
          <w:color w:val="000000" w:themeColor="text1"/>
          <w:szCs w:val="32"/>
        </w:rPr>
        <w:t>）累计减少增长大于</w:t>
      </w:r>
      <w:r w:rsidRPr="0033740E">
        <w:rPr>
          <w:rFonts w:eastAsia="仿宋_GB2312" w:hint="eastAsia"/>
          <w:color w:val="000000" w:themeColor="text1"/>
          <w:szCs w:val="32"/>
        </w:rPr>
        <w:t>0.75D</w:t>
      </w:r>
      <w:r w:rsidRPr="0033740E">
        <w:rPr>
          <w:rFonts w:eastAsia="仿宋_GB2312" w:hint="eastAsia"/>
          <w:color w:val="000000" w:themeColor="text1"/>
          <w:szCs w:val="32"/>
        </w:rPr>
        <w:t>，眼轴长度变化均显著优于对照组，需要约</w:t>
      </w:r>
      <w:r w:rsidRPr="0033740E">
        <w:rPr>
          <w:rFonts w:eastAsia="仿宋_GB2312" w:hint="eastAsia"/>
          <w:color w:val="000000" w:themeColor="text1"/>
          <w:szCs w:val="32"/>
        </w:rPr>
        <w:t>144</w:t>
      </w:r>
      <w:r w:rsidRPr="0033740E">
        <w:rPr>
          <w:rFonts w:eastAsia="仿宋_GB2312" w:hint="eastAsia"/>
          <w:color w:val="000000" w:themeColor="text1"/>
          <w:szCs w:val="32"/>
        </w:rPr>
        <w:t>例，二者合并考虑，一共需要</w:t>
      </w:r>
      <w:r w:rsidRPr="0033740E">
        <w:rPr>
          <w:rFonts w:eastAsia="仿宋_GB2312" w:hint="eastAsia"/>
          <w:color w:val="000000" w:themeColor="text1"/>
          <w:szCs w:val="32"/>
        </w:rPr>
        <w:t>2470</w:t>
      </w:r>
      <w:r w:rsidRPr="0033740E">
        <w:rPr>
          <w:rFonts w:eastAsia="仿宋_GB2312" w:hint="eastAsia"/>
          <w:color w:val="000000" w:themeColor="text1"/>
          <w:szCs w:val="32"/>
        </w:rPr>
        <w:t>患者。</w:t>
      </w:r>
    </w:p>
    <w:p w:rsidR="006A52C7" w:rsidRPr="002553CC" w:rsidRDefault="006A52C7" w:rsidP="002553CC">
      <w:pPr>
        <w:spacing w:line="520" w:lineRule="exact"/>
        <w:ind w:firstLineChars="200" w:firstLine="640"/>
        <w:rPr>
          <w:rFonts w:eastAsia="仿宋_GB2312"/>
          <w:color w:val="000000" w:themeColor="text1"/>
          <w:szCs w:val="32"/>
        </w:rPr>
      </w:pPr>
      <w:r w:rsidRPr="002553CC">
        <w:rPr>
          <w:rFonts w:eastAsia="仿宋_GB2312" w:hint="eastAsia"/>
          <w:color w:val="000000" w:themeColor="text1"/>
          <w:szCs w:val="32"/>
        </w:rPr>
        <w:t>3.</w:t>
      </w:r>
      <w:r w:rsidRPr="002553CC">
        <w:rPr>
          <w:rFonts w:eastAsia="仿宋_GB2312"/>
          <w:color w:val="000000" w:themeColor="text1"/>
          <w:szCs w:val="32"/>
        </w:rPr>
        <w:t>6</w:t>
      </w:r>
      <w:r w:rsidRPr="002553CC">
        <w:rPr>
          <w:rFonts w:eastAsia="仿宋_GB2312" w:hint="eastAsia"/>
          <w:color w:val="000000" w:themeColor="text1"/>
          <w:szCs w:val="32"/>
        </w:rPr>
        <w:t>临床随访时间</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临床试验随访时间应持续至</w:t>
      </w:r>
      <w:r w:rsidRPr="0033740E">
        <w:rPr>
          <w:rFonts w:eastAsia="仿宋_GB2312"/>
          <w:color w:val="000000" w:themeColor="text1"/>
          <w:szCs w:val="32"/>
        </w:rPr>
        <w:t>所有治疗完成后</w:t>
      </w:r>
      <w:r w:rsidRPr="0033740E">
        <w:rPr>
          <w:rFonts w:eastAsia="仿宋_GB2312"/>
          <w:color w:val="000000" w:themeColor="text1"/>
          <w:szCs w:val="32"/>
        </w:rPr>
        <w:t>3</w:t>
      </w:r>
      <w:r w:rsidRPr="0033740E">
        <w:rPr>
          <w:rFonts w:eastAsia="仿宋_GB2312" w:hint="eastAsia"/>
          <w:color w:val="000000" w:themeColor="text1"/>
          <w:szCs w:val="32"/>
        </w:rPr>
        <w:t>年。中间设置合理的观察时间点，例如治疗当天、治疗</w:t>
      </w:r>
      <w:r w:rsidRPr="0033740E">
        <w:rPr>
          <w:rFonts w:eastAsia="仿宋_GB2312" w:hint="eastAsia"/>
          <w:color w:val="000000" w:themeColor="text1"/>
          <w:szCs w:val="32"/>
        </w:rPr>
        <w:t>1</w:t>
      </w:r>
      <w:r w:rsidRPr="0033740E">
        <w:rPr>
          <w:rFonts w:eastAsia="仿宋_GB2312" w:hint="eastAsia"/>
          <w:color w:val="000000" w:themeColor="text1"/>
          <w:szCs w:val="32"/>
        </w:rPr>
        <w:t>周、治疗</w:t>
      </w:r>
      <w:r w:rsidRPr="0033740E">
        <w:rPr>
          <w:rFonts w:eastAsia="仿宋_GB2312" w:hint="eastAsia"/>
          <w:color w:val="000000" w:themeColor="text1"/>
          <w:szCs w:val="32"/>
        </w:rPr>
        <w:t>1</w:t>
      </w:r>
      <w:r w:rsidRPr="0033740E">
        <w:rPr>
          <w:rFonts w:eastAsia="仿宋_GB2312" w:hint="eastAsia"/>
          <w:color w:val="000000" w:themeColor="text1"/>
          <w:szCs w:val="32"/>
        </w:rPr>
        <w:t>个月、治疗</w:t>
      </w:r>
      <w:r w:rsidRPr="0033740E">
        <w:rPr>
          <w:rFonts w:eastAsia="仿宋_GB2312" w:hint="eastAsia"/>
          <w:color w:val="000000" w:themeColor="text1"/>
          <w:szCs w:val="32"/>
        </w:rPr>
        <w:t>2</w:t>
      </w:r>
      <w:r w:rsidRPr="0033740E">
        <w:rPr>
          <w:rFonts w:eastAsia="仿宋_GB2312" w:hint="eastAsia"/>
          <w:color w:val="000000" w:themeColor="text1"/>
          <w:szCs w:val="32"/>
        </w:rPr>
        <w:t>个月、</w:t>
      </w:r>
      <w:r w:rsidRPr="0033740E">
        <w:rPr>
          <w:rFonts w:eastAsia="仿宋_GB2312" w:hint="eastAsia"/>
          <w:color w:val="000000" w:themeColor="text1"/>
          <w:szCs w:val="32"/>
        </w:rPr>
        <w:t>3</w:t>
      </w:r>
      <w:r w:rsidRPr="0033740E">
        <w:rPr>
          <w:rFonts w:eastAsia="仿宋_GB2312" w:hint="eastAsia"/>
          <w:color w:val="000000" w:themeColor="text1"/>
          <w:szCs w:val="32"/>
        </w:rPr>
        <w:t>个月、</w:t>
      </w:r>
      <w:r w:rsidRPr="0033740E">
        <w:rPr>
          <w:rFonts w:eastAsia="仿宋_GB2312" w:hint="eastAsia"/>
          <w:color w:val="000000" w:themeColor="text1"/>
          <w:szCs w:val="32"/>
        </w:rPr>
        <w:t>4</w:t>
      </w:r>
      <w:r w:rsidRPr="0033740E">
        <w:rPr>
          <w:rFonts w:eastAsia="仿宋_GB2312" w:hint="eastAsia"/>
          <w:color w:val="000000" w:themeColor="text1"/>
          <w:szCs w:val="32"/>
        </w:rPr>
        <w:t>个月、后续疗程内每</w:t>
      </w:r>
      <w:r w:rsidRPr="0033740E">
        <w:rPr>
          <w:rFonts w:eastAsia="仿宋_GB2312" w:hint="eastAsia"/>
          <w:color w:val="000000" w:themeColor="text1"/>
          <w:szCs w:val="32"/>
        </w:rPr>
        <w:t>3</w:t>
      </w:r>
      <w:r w:rsidRPr="0033740E">
        <w:rPr>
          <w:rFonts w:eastAsia="仿宋_GB2312" w:hint="eastAsia"/>
          <w:color w:val="000000" w:themeColor="text1"/>
          <w:szCs w:val="32"/>
        </w:rPr>
        <w:t>个月以及结束治疗后</w:t>
      </w:r>
      <w:r w:rsidRPr="0033740E">
        <w:rPr>
          <w:rFonts w:eastAsia="仿宋_GB2312"/>
          <w:color w:val="000000" w:themeColor="text1"/>
          <w:szCs w:val="32"/>
        </w:rPr>
        <w:t>1</w:t>
      </w:r>
      <w:r w:rsidRPr="0033740E">
        <w:rPr>
          <w:rFonts w:eastAsia="仿宋_GB2312"/>
          <w:color w:val="000000" w:themeColor="text1"/>
          <w:szCs w:val="32"/>
        </w:rPr>
        <w:t>年、</w:t>
      </w:r>
      <w:r w:rsidRPr="0033740E">
        <w:rPr>
          <w:rFonts w:eastAsia="仿宋_GB2312"/>
          <w:color w:val="000000" w:themeColor="text1"/>
          <w:szCs w:val="32"/>
        </w:rPr>
        <w:t>2</w:t>
      </w:r>
      <w:r w:rsidRPr="0033740E">
        <w:rPr>
          <w:rFonts w:eastAsia="仿宋_GB2312"/>
          <w:color w:val="000000" w:themeColor="text1"/>
          <w:szCs w:val="32"/>
        </w:rPr>
        <w:t>年、</w:t>
      </w:r>
      <w:r w:rsidRPr="0033740E">
        <w:rPr>
          <w:rFonts w:eastAsia="仿宋_GB2312"/>
          <w:color w:val="000000" w:themeColor="text1"/>
          <w:szCs w:val="32"/>
        </w:rPr>
        <w:t>3</w:t>
      </w:r>
      <w:r w:rsidRPr="0033740E">
        <w:rPr>
          <w:rFonts w:eastAsia="仿宋_GB2312"/>
          <w:color w:val="000000" w:themeColor="text1"/>
          <w:szCs w:val="32"/>
        </w:rPr>
        <w:t>年</w:t>
      </w:r>
      <w:r w:rsidRPr="0033740E">
        <w:rPr>
          <w:rFonts w:eastAsia="仿宋_GB2312" w:hint="eastAsia"/>
          <w:color w:val="000000" w:themeColor="text1"/>
          <w:szCs w:val="32"/>
        </w:rPr>
        <w:t>，设定的观察时间点需能科学合理的评估</w:t>
      </w:r>
      <w:r w:rsidRPr="0033740E">
        <w:rPr>
          <w:rFonts w:eastAsia="仿宋_GB2312"/>
          <w:color w:val="000000" w:themeColor="text1"/>
          <w:szCs w:val="32"/>
        </w:rPr>
        <w:t>视力维持情况，对眼部生长发育影响</w:t>
      </w:r>
      <w:r w:rsidRPr="0033740E">
        <w:rPr>
          <w:rFonts w:eastAsia="仿宋_GB2312" w:hint="eastAsia"/>
          <w:color w:val="000000" w:themeColor="text1"/>
          <w:szCs w:val="32"/>
        </w:rPr>
        <w:t>以及完成</w:t>
      </w:r>
      <w:r w:rsidRPr="0033740E">
        <w:rPr>
          <w:rFonts w:eastAsia="仿宋_GB2312"/>
          <w:color w:val="000000" w:themeColor="text1"/>
          <w:szCs w:val="32"/>
        </w:rPr>
        <w:t>对</w:t>
      </w:r>
      <w:r w:rsidRPr="0033740E">
        <w:rPr>
          <w:rFonts w:eastAsia="仿宋_GB2312" w:hint="eastAsia"/>
          <w:color w:val="000000" w:themeColor="text1"/>
          <w:szCs w:val="32"/>
        </w:rPr>
        <w:t>眼底损伤（其是视网膜黄斑区域隐匿损伤）影响</w:t>
      </w:r>
      <w:r w:rsidRPr="0033740E">
        <w:rPr>
          <w:rFonts w:eastAsia="仿宋_GB2312"/>
          <w:color w:val="000000" w:themeColor="text1"/>
          <w:szCs w:val="32"/>
        </w:rPr>
        <w:t>的评估。</w:t>
      </w:r>
    </w:p>
    <w:p w:rsidR="006A52C7" w:rsidRPr="002553CC" w:rsidRDefault="006A52C7" w:rsidP="002553CC">
      <w:pPr>
        <w:spacing w:line="520" w:lineRule="exact"/>
        <w:ind w:firstLineChars="200" w:firstLine="640"/>
        <w:rPr>
          <w:rFonts w:eastAsia="仿宋_GB2312"/>
          <w:color w:val="000000" w:themeColor="text1"/>
          <w:szCs w:val="32"/>
        </w:rPr>
      </w:pPr>
      <w:r w:rsidRPr="002553CC">
        <w:rPr>
          <w:rFonts w:eastAsia="仿宋_GB2312" w:hint="eastAsia"/>
          <w:color w:val="000000" w:themeColor="text1"/>
          <w:szCs w:val="32"/>
        </w:rPr>
        <w:t>3.</w:t>
      </w:r>
      <w:r w:rsidRPr="002553CC">
        <w:rPr>
          <w:rFonts w:eastAsia="仿宋_GB2312"/>
          <w:color w:val="000000" w:themeColor="text1"/>
          <w:szCs w:val="32"/>
        </w:rPr>
        <w:t>7</w:t>
      </w:r>
      <w:r w:rsidRPr="002553CC">
        <w:rPr>
          <w:rFonts w:eastAsia="仿宋_GB2312" w:hint="eastAsia"/>
          <w:color w:val="000000" w:themeColor="text1"/>
          <w:szCs w:val="32"/>
        </w:rPr>
        <w:t>其他需注意的事项</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临床试验其他设计要素可参考《医疗器械临床试验设计技术指导原则》相关要求。试验中涉及的检测仪器应统一，眼轴长度建议选择部分相干干涉法。</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在使用及随访过程中如使用申报产品的患者眼底检查发现异常（包括黄斑区域损伤、视网膜结构损伤或视网膜电生理等），</w:t>
      </w:r>
      <w:r w:rsidRPr="0033740E">
        <w:rPr>
          <w:rFonts w:eastAsia="仿宋_GB2312" w:hint="eastAsia"/>
          <w:color w:val="000000" w:themeColor="text1"/>
          <w:szCs w:val="32"/>
        </w:rPr>
        <w:lastRenderedPageBreak/>
        <w:t>以及出现视野</w:t>
      </w:r>
      <w:r w:rsidRPr="0033740E">
        <w:rPr>
          <w:rFonts w:eastAsia="仿宋_GB2312" w:hint="eastAsia"/>
          <w:color w:val="000000" w:themeColor="text1"/>
          <w:szCs w:val="32"/>
        </w:rPr>
        <w:t>/</w:t>
      </w:r>
      <w:r w:rsidRPr="0033740E">
        <w:rPr>
          <w:rFonts w:eastAsia="仿宋_GB2312" w:hint="eastAsia"/>
          <w:color w:val="000000" w:themeColor="text1"/>
          <w:szCs w:val="32"/>
        </w:rPr>
        <w:t>对比敏感度</w:t>
      </w:r>
      <w:r w:rsidRPr="0033740E">
        <w:rPr>
          <w:rFonts w:eastAsia="仿宋_GB2312" w:hint="eastAsia"/>
          <w:color w:val="000000" w:themeColor="text1"/>
          <w:szCs w:val="32"/>
        </w:rPr>
        <w:t>/</w:t>
      </w:r>
      <w:r w:rsidRPr="0033740E">
        <w:rPr>
          <w:rFonts w:eastAsia="仿宋_GB2312" w:hint="eastAsia"/>
          <w:color w:val="000000" w:themeColor="text1"/>
          <w:szCs w:val="32"/>
        </w:rPr>
        <w:t>色觉的改变、后像时间异常、短期视力严重下降、持续眼前光晕、暗点等，应立即停止试验，分析原因</w:t>
      </w:r>
      <w:r w:rsidRPr="0033740E">
        <w:rPr>
          <w:rFonts w:eastAsia="仿宋_GB2312"/>
          <w:color w:val="000000" w:themeColor="text1"/>
          <w:szCs w:val="32"/>
        </w:rPr>
        <w:t>，若不能判定与试验器械无关，</w:t>
      </w:r>
      <w:r w:rsidRPr="0033740E">
        <w:rPr>
          <w:rFonts w:eastAsia="仿宋_GB2312" w:hint="eastAsia"/>
          <w:color w:val="000000" w:themeColor="text1"/>
          <w:szCs w:val="32"/>
        </w:rPr>
        <w:t>申报产品可能存在安全性隐患，临床风险大于受益。</w:t>
      </w:r>
    </w:p>
    <w:p w:rsidR="006A52C7" w:rsidRPr="0033740E" w:rsidRDefault="006A52C7" w:rsidP="0033740E">
      <w:pPr>
        <w:spacing w:line="520" w:lineRule="exact"/>
        <w:ind w:firstLineChars="200" w:firstLine="640"/>
        <w:rPr>
          <w:rFonts w:eastAsia="仿宋_GB2312"/>
          <w:color w:val="000000" w:themeColor="text1"/>
          <w:szCs w:val="32"/>
        </w:rPr>
      </w:pPr>
      <w:r w:rsidRPr="0033740E">
        <w:rPr>
          <w:rFonts w:eastAsia="仿宋_GB2312" w:hint="eastAsia"/>
          <w:color w:val="000000" w:themeColor="text1"/>
          <w:szCs w:val="32"/>
        </w:rPr>
        <w:t>考虑到申报产品往往用于生长</w:t>
      </w:r>
      <w:r w:rsidRPr="0033740E">
        <w:rPr>
          <w:rFonts w:eastAsia="仿宋_GB2312"/>
          <w:color w:val="000000" w:themeColor="text1"/>
          <w:szCs w:val="32"/>
        </w:rPr>
        <w:t>发育</w:t>
      </w:r>
      <w:r w:rsidRPr="0033740E">
        <w:rPr>
          <w:rFonts w:eastAsia="仿宋_GB2312" w:hint="eastAsia"/>
          <w:color w:val="000000" w:themeColor="text1"/>
          <w:szCs w:val="32"/>
        </w:rPr>
        <w:t>期的儿童，使用该产品后给儿童带来的远期临床风险尚未明确，现有临床试验结束后应对试验中已使用申报产品的患者，就眼底健康情况持续跟踪随访至</w:t>
      </w:r>
      <w:r w:rsidRPr="0033740E">
        <w:rPr>
          <w:rFonts w:eastAsia="仿宋_GB2312" w:hint="eastAsia"/>
          <w:color w:val="000000" w:themeColor="text1"/>
          <w:szCs w:val="32"/>
        </w:rPr>
        <w:t>40</w:t>
      </w:r>
      <w:r w:rsidRPr="0033740E">
        <w:rPr>
          <w:rFonts w:eastAsia="仿宋_GB2312" w:hint="eastAsia"/>
          <w:color w:val="000000" w:themeColor="text1"/>
          <w:szCs w:val="32"/>
        </w:rPr>
        <w:t>岁</w:t>
      </w:r>
      <w:r w:rsidRPr="0033740E">
        <w:rPr>
          <w:rFonts w:eastAsia="仿宋_GB2312"/>
          <w:color w:val="000000" w:themeColor="text1"/>
          <w:szCs w:val="32"/>
        </w:rPr>
        <w:t>。</w:t>
      </w:r>
    </w:p>
    <w:p w:rsidR="007C73EF" w:rsidRPr="00F02CD8" w:rsidRDefault="00317F5D" w:rsidP="006D67E6">
      <w:pPr>
        <w:spacing w:line="520" w:lineRule="exact"/>
        <w:ind w:firstLineChars="200" w:firstLine="640"/>
        <w:outlineLvl w:val="1"/>
        <w:rPr>
          <w:rFonts w:eastAsia="楷体_GB2312"/>
          <w:color w:val="000000" w:themeColor="text1"/>
          <w:szCs w:val="32"/>
        </w:rPr>
      </w:pPr>
      <w:r w:rsidRPr="00F02CD8">
        <w:rPr>
          <w:rFonts w:eastAsia="楷体_GB2312"/>
          <w:color w:val="000000" w:themeColor="text1"/>
          <w:szCs w:val="32"/>
        </w:rPr>
        <w:t>（十二）说明书与标签</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说明书与标签应符合《医疗器械说明书和标签管理规定》和相关法规、规章、规范性文件、强制性标准的要求。</w:t>
      </w:r>
    </w:p>
    <w:p w:rsidR="007C73EF" w:rsidRPr="00F02CD8" w:rsidRDefault="007C73EF" w:rsidP="00F02CD8">
      <w:pPr>
        <w:spacing w:line="520" w:lineRule="exact"/>
        <w:ind w:firstLineChars="200" w:firstLine="640"/>
        <w:rPr>
          <w:rFonts w:eastAsia="仿宋_GB2312"/>
          <w:color w:val="000000" w:themeColor="text1"/>
          <w:szCs w:val="32"/>
        </w:rPr>
        <w:sectPr w:rsidR="007C73EF" w:rsidRPr="00F02CD8" w:rsidSect="00B97007">
          <w:footerReference w:type="default" r:id="rId8"/>
          <w:type w:val="continuous"/>
          <w:pgSz w:w="11906" w:h="16838"/>
          <w:pgMar w:top="1440" w:right="1588" w:bottom="1440" w:left="1588" w:header="851" w:footer="992" w:gutter="0"/>
          <w:lnNumType w:countBy="1" w:restart="continuous"/>
          <w:cols w:space="720"/>
          <w:docGrid w:type="lines" w:linePitch="435"/>
        </w:sectPr>
      </w:pP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lastRenderedPageBreak/>
        <w:t>说明书应明确产品在医疗机构中使用，经有资质的医生出具处方下使用。儿童青少年在治疗过程中需有人员全程陪护。</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应结合量效关系和能量研究资料及临床评价资料确定不同适应证的推荐剂量及治疗频次，并在说明书中给出提示。还应对定期随访或检查提出建议。</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需明确激光输出参数的校准频次和校准服务机构，及激光输出功率监测方式。若声称可由医疗机构自行购买功率计进行监测，说明书中应给出功率计的要求及监测方法，并要求如果出现功率异常波动时，需要立即停止使用并联系厂家。</w:t>
      </w:r>
    </w:p>
    <w:p w:rsidR="007C73EF" w:rsidRPr="00F02CD8" w:rsidRDefault="00317F5D" w:rsidP="00F02CD8">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需提示治疗前后必须进行自适应光学眼底成像检查光感受器细胞密度、黄斑区</w:t>
      </w:r>
      <w:r w:rsidRPr="00F02CD8">
        <w:rPr>
          <w:rFonts w:eastAsia="仿宋_GB2312"/>
          <w:color w:val="000000" w:themeColor="text1"/>
          <w:szCs w:val="32"/>
        </w:rPr>
        <w:t>OCT</w:t>
      </w:r>
      <w:r w:rsidRPr="00F02CD8">
        <w:rPr>
          <w:rFonts w:eastAsia="仿宋_GB2312"/>
          <w:color w:val="000000" w:themeColor="text1"/>
          <w:szCs w:val="32"/>
        </w:rPr>
        <w:t>检查、</w:t>
      </w:r>
      <w:proofErr w:type="spellStart"/>
      <w:r w:rsidRPr="00F02CD8">
        <w:rPr>
          <w:rFonts w:eastAsia="仿宋_GB2312"/>
          <w:color w:val="000000" w:themeColor="text1"/>
          <w:szCs w:val="32"/>
        </w:rPr>
        <w:t>mERG</w:t>
      </w:r>
      <w:proofErr w:type="spellEnd"/>
      <w:r w:rsidRPr="00F02CD8">
        <w:rPr>
          <w:rFonts w:eastAsia="仿宋_GB2312"/>
          <w:color w:val="000000" w:themeColor="text1"/>
          <w:szCs w:val="32"/>
        </w:rPr>
        <w:t>检查。</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需提示激光照射不能替代户外活动或弱视训练中的精细训练。</w:t>
      </w:r>
    </w:p>
    <w:p w:rsidR="007C73EF" w:rsidRPr="00F02CD8" w:rsidRDefault="00317F5D" w:rsidP="006D67E6">
      <w:pPr>
        <w:spacing w:line="520" w:lineRule="exact"/>
        <w:ind w:firstLineChars="200" w:firstLine="640"/>
        <w:rPr>
          <w:rFonts w:eastAsia="仿宋_GB2312"/>
          <w:color w:val="000000" w:themeColor="text1"/>
          <w:szCs w:val="32"/>
        </w:rPr>
      </w:pPr>
      <w:r w:rsidRPr="00F02CD8">
        <w:rPr>
          <w:rFonts w:eastAsia="仿宋_GB2312"/>
          <w:color w:val="000000" w:themeColor="text1"/>
          <w:szCs w:val="32"/>
        </w:rPr>
        <w:t>应给出联合使用注意事项的提示。</w:t>
      </w:r>
    </w:p>
    <w:p w:rsidR="003B1BD6" w:rsidRPr="00F02CD8" w:rsidRDefault="003B1BD6" w:rsidP="00126A1C">
      <w:pPr>
        <w:spacing w:beforeLines="50" w:line="520" w:lineRule="exact"/>
        <w:ind w:firstLineChars="200" w:firstLine="640"/>
        <w:rPr>
          <w:rFonts w:eastAsia="黑体"/>
          <w:color w:val="000000" w:themeColor="text1"/>
          <w:szCs w:val="32"/>
        </w:rPr>
      </w:pPr>
      <w:r w:rsidRPr="00F02CD8">
        <w:rPr>
          <w:rFonts w:eastAsia="黑体" w:hAnsi="黑体"/>
          <w:color w:val="000000" w:themeColor="text1"/>
          <w:szCs w:val="32"/>
        </w:rPr>
        <w:t>三、参考文献</w:t>
      </w:r>
    </w:p>
    <w:p w:rsidR="003B1BD6" w:rsidRPr="00F02CD8" w:rsidRDefault="003B1BD6" w:rsidP="00F02CD8">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lastRenderedPageBreak/>
        <w:t>[1]</w:t>
      </w:r>
      <w:r w:rsidRPr="00F02CD8">
        <w:rPr>
          <w:rFonts w:eastAsia="仿宋_GB2312"/>
          <w:color w:val="000000" w:themeColor="text1"/>
          <w:spacing w:val="-6"/>
          <w:szCs w:val="32"/>
        </w:rPr>
        <w:t>《医疗器械监督管理条例》（中华人民共和国国务院令第</w:t>
      </w:r>
      <w:r w:rsidRPr="00F02CD8">
        <w:rPr>
          <w:rFonts w:eastAsia="仿宋_GB2312"/>
          <w:color w:val="000000" w:themeColor="text1"/>
          <w:spacing w:val="-6"/>
          <w:szCs w:val="32"/>
        </w:rPr>
        <w:t>739</w:t>
      </w:r>
      <w:r w:rsidRPr="00F02CD8">
        <w:rPr>
          <w:rFonts w:eastAsia="仿宋_GB2312"/>
          <w:color w:val="000000" w:themeColor="text1"/>
          <w:spacing w:val="-6"/>
          <w:szCs w:val="32"/>
        </w:rPr>
        <w:t>号）</w:t>
      </w:r>
      <w:r w:rsidRPr="00F02CD8">
        <w:rPr>
          <w:rFonts w:eastAsia="仿宋_GB2312"/>
          <w:color w:val="000000" w:themeColor="text1"/>
          <w:spacing w:val="-6"/>
          <w:szCs w:val="32"/>
        </w:rPr>
        <w:t>[Z].</w:t>
      </w:r>
    </w:p>
    <w:p w:rsidR="003B1BD6" w:rsidRPr="00F02CD8" w:rsidRDefault="003B1BD6" w:rsidP="00F02CD8">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t>[2]</w:t>
      </w:r>
      <w:r w:rsidRPr="00F02CD8">
        <w:rPr>
          <w:rFonts w:eastAsia="仿宋_GB2312"/>
          <w:color w:val="000000" w:themeColor="text1"/>
          <w:spacing w:val="-6"/>
          <w:szCs w:val="32"/>
        </w:rPr>
        <w:t>《医疗器械注册与备案管理办法》（国家市场监管总局令第</w:t>
      </w:r>
      <w:r w:rsidRPr="00F02CD8">
        <w:rPr>
          <w:rFonts w:eastAsia="仿宋_GB2312"/>
          <w:color w:val="000000" w:themeColor="text1"/>
          <w:spacing w:val="-6"/>
          <w:szCs w:val="32"/>
        </w:rPr>
        <w:t>47</w:t>
      </w:r>
      <w:r w:rsidRPr="00F02CD8">
        <w:rPr>
          <w:rFonts w:eastAsia="仿宋_GB2312"/>
          <w:color w:val="000000" w:themeColor="text1"/>
          <w:spacing w:val="-6"/>
          <w:szCs w:val="32"/>
        </w:rPr>
        <w:t>号）</w:t>
      </w:r>
      <w:r w:rsidRPr="00F02CD8">
        <w:rPr>
          <w:rFonts w:eastAsia="仿宋_GB2312"/>
          <w:color w:val="000000" w:themeColor="text1"/>
          <w:spacing w:val="-6"/>
          <w:szCs w:val="32"/>
        </w:rPr>
        <w:t>[Z].</w:t>
      </w:r>
    </w:p>
    <w:p w:rsidR="003B1BD6" w:rsidRPr="00F02CD8" w:rsidRDefault="003B1BD6" w:rsidP="00F02CD8">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t>[3]</w:t>
      </w:r>
      <w:r w:rsidRPr="00F02CD8">
        <w:rPr>
          <w:rFonts w:eastAsia="仿宋_GB2312"/>
          <w:color w:val="000000" w:themeColor="text1"/>
          <w:spacing w:val="-6"/>
          <w:szCs w:val="32"/>
        </w:rPr>
        <w:t>《医疗器械说明书和标签管理规定》（原国家食品药品监督管理总局令第</w:t>
      </w:r>
      <w:r w:rsidRPr="00F02CD8">
        <w:rPr>
          <w:rFonts w:eastAsia="仿宋_GB2312"/>
          <w:color w:val="000000" w:themeColor="text1"/>
          <w:spacing w:val="-6"/>
          <w:szCs w:val="32"/>
        </w:rPr>
        <w:t>6</w:t>
      </w:r>
      <w:r w:rsidRPr="00F02CD8">
        <w:rPr>
          <w:rFonts w:eastAsia="仿宋_GB2312"/>
          <w:color w:val="000000" w:themeColor="text1"/>
          <w:spacing w:val="-6"/>
          <w:szCs w:val="32"/>
        </w:rPr>
        <w:t>号）</w:t>
      </w:r>
      <w:r w:rsidRPr="00F02CD8">
        <w:rPr>
          <w:rFonts w:eastAsia="仿宋_GB2312"/>
          <w:color w:val="000000" w:themeColor="text1"/>
          <w:spacing w:val="-6"/>
          <w:szCs w:val="32"/>
        </w:rPr>
        <w:t>[Z].</w:t>
      </w:r>
    </w:p>
    <w:p w:rsidR="003B1BD6" w:rsidRPr="00F02CD8" w:rsidRDefault="003B1BD6" w:rsidP="00F02CD8">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t xml:space="preserve">[4] </w:t>
      </w:r>
      <w:r w:rsidRPr="00F02CD8">
        <w:rPr>
          <w:rFonts w:eastAsia="仿宋_GB2312"/>
          <w:color w:val="000000" w:themeColor="text1"/>
          <w:spacing w:val="-6"/>
          <w:szCs w:val="32"/>
        </w:rPr>
        <w:t>《关于公布医疗器械注册申报资料要求和批准证明文件格式的公告》（国家药品监督管理局</w:t>
      </w:r>
      <w:r w:rsidRPr="00F02CD8">
        <w:rPr>
          <w:rFonts w:eastAsia="仿宋_GB2312"/>
          <w:color w:val="000000" w:themeColor="text1"/>
          <w:spacing w:val="-6"/>
          <w:szCs w:val="32"/>
        </w:rPr>
        <w:t>2021</w:t>
      </w:r>
      <w:r w:rsidRPr="00F02CD8">
        <w:rPr>
          <w:rFonts w:eastAsia="仿宋_GB2312"/>
          <w:color w:val="000000" w:themeColor="text1"/>
          <w:spacing w:val="-6"/>
          <w:szCs w:val="32"/>
        </w:rPr>
        <w:t>年第</w:t>
      </w:r>
      <w:r w:rsidRPr="00F02CD8">
        <w:rPr>
          <w:rFonts w:eastAsia="仿宋_GB2312"/>
          <w:color w:val="000000" w:themeColor="text1"/>
          <w:spacing w:val="-6"/>
          <w:szCs w:val="32"/>
        </w:rPr>
        <w:t>121</w:t>
      </w:r>
      <w:r w:rsidRPr="00F02CD8">
        <w:rPr>
          <w:rFonts w:eastAsia="仿宋_GB2312"/>
          <w:color w:val="000000" w:themeColor="text1"/>
          <w:spacing w:val="-6"/>
          <w:szCs w:val="32"/>
        </w:rPr>
        <w:t>号）</w:t>
      </w:r>
      <w:r w:rsidRPr="00F02CD8">
        <w:rPr>
          <w:rFonts w:eastAsia="仿宋_GB2312"/>
          <w:color w:val="000000" w:themeColor="text1"/>
          <w:spacing w:val="-6"/>
          <w:szCs w:val="32"/>
        </w:rPr>
        <w:t xml:space="preserve"> [Z].</w:t>
      </w:r>
    </w:p>
    <w:p w:rsidR="003B1BD6" w:rsidRPr="00F02CD8" w:rsidRDefault="003B1BD6" w:rsidP="00F02CD8">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t>[</w:t>
      </w:r>
      <w:r w:rsidR="00F02CD8" w:rsidRPr="00F02CD8">
        <w:rPr>
          <w:rFonts w:eastAsia="仿宋_GB2312"/>
          <w:color w:val="000000" w:themeColor="text1"/>
          <w:spacing w:val="-6"/>
          <w:szCs w:val="32"/>
        </w:rPr>
        <w:t>5</w:t>
      </w:r>
      <w:r w:rsidRPr="00F02CD8">
        <w:rPr>
          <w:rFonts w:eastAsia="仿宋_GB2312"/>
          <w:color w:val="000000" w:themeColor="text1"/>
          <w:spacing w:val="-6"/>
          <w:szCs w:val="32"/>
        </w:rPr>
        <w:t>]</w:t>
      </w:r>
      <w:r w:rsidRPr="00F02CD8">
        <w:rPr>
          <w:rFonts w:eastAsia="仿宋_GB2312"/>
          <w:color w:val="000000" w:themeColor="text1"/>
          <w:spacing w:val="-6"/>
          <w:szCs w:val="32"/>
        </w:rPr>
        <w:t>《总局关于发布医疗器械分类目录的公告》（原国家食品药品监督管理总局公告</w:t>
      </w:r>
      <w:r w:rsidRPr="00F02CD8">
        <w:rPr>
          <w:rFonts w:eastAsia="仿宋_GB2312"/>
          <w:color w:val="000000" w:themeColor="text1"/>
          <w:spacing w:val="-6"/>
          <w:szCs w:val="32"/>
        </w:rPr>
        <w:t>2017</w:t>
      </w:r>
      <w:r w:rsidRPr="00F02CD8">
        <w:rPr>
          <w:rFonts w:eastAsia="仿宋_GB2312"/>
          <w:color w:val="000000" w:themeColor="text1"/>
          <w:spacing w:val="-6"/>
          <w:szCs w:val="32"/>
        </w:rPr>
        <w:t>年第</w:t>
      </w:r>
      <w:r w:rsidRPr="00F02CD8">
        <w:rPr>
          <w:rFonts w:eastAsia="仿宋_GB2312"/>
          <w:color w:val="000000" w:themeColor="text1"/>
          <w:spacing w:val="-6"/>
          <w:szCs w:val="32"/>
        </w:rPr>
        <w:t>104</w:t>
      </w:r>
      <w:r w:rsidRPr="00F02CD8">
        <w:rPr>
          <w:rFonts w:eastAsia="仿宋_GB2312"/>
          <w:color w:val="000000" w:themeColor="text1"/>
          <w:spacing w:val="-6"/>
          <w:szCs w:val="32"/>
        </w:rPr>
        <w:t>号）</w:t>
      </w:r>
      <w:r w:rsidRPr="00F02CD8">
        <w:rPr>
          <w:rFonts w:eastAsia="仿宋_GB2312"/>
          <w:color w:val="000000" w:themeColor="text1"/>
          <w:spacing w:val="-6"/>
          <w:szCs w:val="32"/>
        </w:rPr>
        <w:t>[Z].</w:t>
      </w:r>
    </w:p>
    <w:p w:rsidR="003B1BD6" w:rsidRPr="00F02CD8" w:rsidRDefault="003B1BD6" w:rsidP="00F02CD8">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t>[</w:t>
      </w:r>
      <w:r w:rsidR="00F02CD8" w:rsidRPr="00F02CD8">
        <w:rPr>
          <w:rFonts w:eastAsia="仿宋_GB2312"/>
          <w:color w:val="000000" w:themeColor="text1"/>
          <w:spacing w:val="-6"/>
          <w:szCs w:val="32"/>
        </w:rPr>
        <w:t>6</w:t>
      </w:r>
      <w:r w:rsidRPr="00F02CD8">
        <w:rPr>
          <w:rFonts w:eastAsia="仿宋_GB2312"/>
          <w:color w:val="000000" w:themeColor="text1"/>
          <w:spacing w:val="-6"/>
          <w:szCs w:val="32"/>
        </w:rPr>
        <w:t>]</w:t>
      </w:r>
      <w:r w:rsidRPr="00F02CD8">
        <w:rPr>
          <w:rFonts w:eastAsia="仿宋_GB2312"/>
          <w:color w:val="000000" w:themeColor="text1"/>
          <w:spacing w:val="-6"/>
          <w:szCs w:val="32"/>
        </w:rPr>
        <w:t>《关于调整《医疗器械分类目录》部分内容的公告》（国家药品监督管理局</w:t>
      </w:r>
      <w:r w:rsidRPr="00F02CD8">
        <w:rPr>
          <w:rFonts w:eastAsia="仿宋_GB2312"/>
          <w:color w:val="000000" w:themeColor="text1"/>
          <w:spacing w:val="-6"/>
          <w:szCs w:val="32"/>
        </w:rPr>
        <w:t>2020</w:t>
      </w:r>
      <w:r w:rsidRPr="00F02CD8">
        <w:rPr>
          <w:rFonts w:eastAsia="仿宋_GB2312"/>
          <w:color w:val="000000" w:themeColor="text1"/>
          <w:spacing w:val="-6"/>
          <w:szCs w:val="32"/>
        </w:rPr>
        <w:t>年第</w:t>
      </w:r>
      <w:r w:rsidRPr="00F02CD8">
        <w:rPr>
          <w:rFonts w:eastAsia="仿宋_GB2312"/>
          <w:color w:val="000000" w:themeColor="text1"/>
          <w:spacing w:val="-6"/>
          <w:szCs w:val="32"/>
        </w:rPr>
        <w:t>147</w:t>
      </w:r>
      <w:r w:rsidRPr="00F02CD8">
        <w:rPr>
          <w:rFonts w:eastAsia="仿宋_GB2312"/>
          <w:color w:val="000000" w:themeColor="text1"/>
          <w:spacing w:val="-6"/>
          <w:szCs w:val="32"/>
        </w:rPr>
        <w:t>号）</w:t>
      </w:r>
      <w:r w:rsidRPr="00F02CD8">
        <w:rPr>
          <w:rFonts w:eastAsia="仿宋_GB2312"/>
          <w:color w:val="000000" w:themeColor="text1"/>
          <w:spacing w:val="-6"/>
          <w:szCs w:val="32"/>
        </w:rPr>
        <w:t>[Z].</w:t>
      </w:r>
    </w:p>
    <w:p w:rsidR="0033740E" w:rsidRPr="0033740E" w:rsidRDefault="0033740E" w:rsidP="0033740E">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t>[</w:t>
      </w:r>
      <w:r>
        <w:rPr>
          <w:rFonts w:eastAsia="仿宋_GB2312" w:hint="eastAsia"/>
          <w:color w:val="000000" w:themeColor="text1"/>
          <w:spacing w:val="-6"/>
          <w:szCs w:val="32"/>
        </w:rPr>
        <w:t>7</w:t>
      </w:r>
      <w:r w:rsidRPr="00F02CD8">
        <w:rPr>
          <w:rFonts w:eastAsia="仿宋_GB2312"/>
          <w:color w:val="000000" w:themeColor="text1"/>
          <w:spacing w:val="-6"/>
          <w:szCs w:val="32"/>
        </w:rPr>
        <w:t>]</w:t>
      </w:r>
      <w:r w:rsidRPr="0033740E">
        <w:rPr>
          <w:rFonts w:eastAsia="仿宋_GB2312" w:hint="eastAsia"/>
          <w:color w:val="000000" w:themeColor="text1"/>
          <w:spacing w:val="-6"/>
          <w:szCs w:val="32"/>
        </w:rPr>
        <w:t>《医疗器械临床评价技术指导原则》（</w:t>
      </w:r>
      <w:r w:rsidRPr="0033740E">
        <w:rPr>
          <w:rFonts w:eastAsia="仿宋_GB2312" w:hint="eastAsia"/>
          <w:color w:val="000000" w:themeColor="text1"/>
          <w:spacing w:val="-6"/>
          <w:szCs w:val="32"/>
        </w:rPr>
        <w:t>20</w:t>
      </w:r>
      <w:r w:rsidRPr="0033740E">
        <w:rPr>
          <w:rFonts w:eastAsia="仿宋_GB2312"/>
          <w:color w:val="000000" w:themeColor="text1"/>
          <w:spacing w:val="-6"/>
          <w:szCs w:val="32"/>
        </w:rPr>
        <w:t>21</w:t>
      </w:r>
      <w:r w:rsidRPr="0033740E">
        <w:rPr>
          <w:rFonts w:eastAsia="仿宋_GB2312" w:hint="eastAsia"/>
          <w:color w:val="000000" w:themeColor="text1"/>
          <w:spacing w:val="-6"/>
          <w:szCs w:val="32"/>
        </w:rPr>
        <w:t>年第</w:t>
      </w:r>
      <w:r w:rsidRPr="0033740E">
        <w:rPr>
          <w:rFonts w:eastAsia="仿宋_GB2312"/>
          <w:color w:val="000000" w:themeColor="text1"/>
          <w:spacing w:val="-6"/>
          <w:szCs w:val="32"/>
        </w:rPr>
        <w:t>73</w:t>
      </w:r>
      <w:r w:rsidRPr="0033740E">
        <w:rPr>
          <w:rFonts w:eastAsia="仿宋_GB2312" w:hint="eastAsia"/>
          <w:color w:val="000000" w:themeColor="text1"/>
          <w:spacing w:val="-6"/>
          <w:szCs w:val="32"/>
        </w:rPr>
        <w:t>号通告）</w:t>
      </w:r>
    </w:p>
    <w:p w:rsidR="0033740E" w:rsidRPr="0033740E" w:rsidRDefault="0033740E" w:rsidP="0033740E">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t>[</w:t>
      </w:r>
      <w:r>
        <w:rPr>
          <w:rFonts w:eastAsia="仿宋_GB2312" w:hint="eastAsia"/>
          <w:color w:val="000000" w:themeColor="text1"/>
          <w:spacing w:val="-6"/>
          <w:szCs w:val="32"/>
        </w:rPr>
        <w:t>8</w:t>
      </w:r>
      <w:r w:rsidRPr="00F02CD8">
        <w:rPr>
          <w:rFonts w:eastAsia="仿宋_GB2312"/>
          <w:color w:val="000000" w:themeColor="text1"/>
          <w:spacing w:val="-6"/>
          <w:szCs w:val="32"/>
        </w:rPr>
        <w:t>]</w:t>
      </w:r>
      <w:r w:rsidRPr="0033740E">
        <w:rPr>
          <w:rFonts w:eastAsia="仿宋_GB2312" w:hint="eastAsia"/>
          <w:color w:val="000000" w:themeColor="text1"/>
          <w:spacing w:val="-6"/>
          <w:szCs w:val="32"/>
        </w:rPr>
        <w:t>《</w:t>
      </w:r>
      <w:r w:rsidRPr="0033740E">
        <w:rPr>
          <w:rFonts w:eastAsia="仿宋_GB2312"/>
          <w:color w:val="000000" w:themeColor="text1"/>
          <w:spacing w:val="-6"/>
          <w:szCs w:val="32"/>
        </w:rPr>
        <w:t>医疗器械注册申报临床评价报告技术指导原则</w:t>
      </w:r>
      <w:r w:rsidRPr="0033740E">
        <w:rPr>
          <w:rFonts w:eastAsia="仿宋_GB2312" w:hint="eastAsia"/>
          <w:color w:val="000000" w:themeColor="text1"/>
          <w:spacing w:val="-6"/>
          <w:szCs w:val="32"/>
        </w:rPr>
        <w:t>》（</w:t>
      </w:r>
      <w:r w:rsidRPr="0033740E">
        <w:rPr>
          <w:rFonts w:eastAsia="仿宋_GB2312" w:hint="eastAsia"/>
          <w:color w:val="000000" w:themeColor="text1"/>
          <w:spacing w:val="-6"/>
          <w:szCs w:val="32"/>
        </w:rPr>
        <w:t>20</w:t>
      </w:r>
      <w:r w:rsidRPr="0033740E">
        <w:rPr>
          <w:rFonts w:eastAsia="仿宋_GB2312"/>
          <w:color w:val="000000" w:themeColor="text1"/>
          <w:spacing w:val="-6"/>
          <w:szCs w:val="32"/>
        </w:rPr>
        <w:t>21</w:t>
      </w:r>
      <w:r w:rsidRPr="0033740E">
        <w:rPr>
          <w:rFonts w:eastAsia="仿宋_GB2312" w:hint="eastAsia"/>
          <w:color w:val="000000" w:themeColor="text1"/>
          <w:spacing w:val="-6"/>
          <w:szCs w:val="32"/>
        </w:rPr>
        <w:t>年第</w:t>
      </w:r>
      <w:r w:rsidRPr="0033740E">
        <w:rPr>
          <w:rFonts w:eastAsia="仿宋_GB2312"/>
          <w:color w:val="000000" w:themeColor="text1"/>
          <w:spacing w:val="-6"/>
          <w:szCs w:val="32"/>
        </w:rPr>
        <w:t>73</w:t>
      </w:r>
      <w:r w:rsidRPr="0033740E">
        <w:rPr>
          <w:rFonts w:eastAsia="仿宋_GB2312" w:hint="eastAsia"/>
          <w:color w:val="000000" w:themeColor="text1"/>
          <w:spacing w:val="-6"/>
          <w:szCs w:val="32"/>
        </w:rPr>
        <w:t>号通告）</w:t>
      </w:r>
    </w:p>
    <w:p w:rsidR="0033740E" w:rsidRPr="0033740E" w:rsidRDefault="0033740E" w:rsidP="0033740E">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t>[</w:t>
      </w:r>
      <w:r>
        <w:rPr>
          <w:rFonts w:eastAsia="仿宋_GB2312" w:hint="eastAsia"/>
          <w:color w:val="000000" w:themeColor="text1"/>
          <w:spacing w:val="-6"/>
          <w:szCs w:val="32"/>
        </w:rPr>
        <w:t>9</w:t>
      </w:r>
      <w:r w:rsidRPr="00F02CD8">
        <w:rPr>
          <w:rFonts w:eastAsia="仿宋_GB2312"/>
          <w:color w:val="000000" w:themeColor="text1"/>
          <w:spacing w:val="-6"/>
          <w:szCs w:val="32"/>
        </w:rPr>
        <w:t>]</w:t>
      </w:r>
      <w:r w:rsidRPr="0033740E">
        <w:rPr>
          <w:rFonts w:eastAsia="仿宋_GB2312" w:hint="eastAsia"/>
          <w:color w:val="000000" w:themeColor="text1"/>
          <w:spacing w:val="-6"/>
          <w:szCs w:val="32"/>
        </w:rPr>
        <w:t>《近视</w:t>
      </w:r>
      <w:r w:rsidRPr="0033740E">
        <w:rPr>
          <w:rFonts w:eastAsia="仿宋_GB2312"/>
          <w:color w:val="000000" w:themeColor="text1"/>
          <w:spacing w:val="-6"/>
          <w:szCs w:val="32"/>
        </w:rPr>
        <w:t>防治指南</w:t>
      </w:r>
      <w:r w:rsidRPr="0033740E">
        <w:rPr>
          <w:rFonts w:eastAsia="仿宋_GB2312" w:hint="eastAsia"/>
          <w:color w:val="000000" w:themeColor="text1"/>
          <w:spacing w:val="-6"/>
          <w:szCs w:val="32"/>
        </w:rPr>
        <w:t>》</w:t>
      </w:r>
    </w:p>
    <w:p w:rsidR="0033740E" w:rsidRPr="0033740E" w:rsidRDefault="0033740E" w:rsidP="0033740E">
      <w:pPr>
        <w:spacing w:line="520" w:lineRule="exact"/>
        <w:ind w:firstLine="641"/>
        <w:rPr>
          <w:rFonts w:eastAsia="仿宋_GB2312"/>
          <w:color w:val="000000" w:themeColor="text1"/>
          <w:spacing w:val="-6"/>
          <w:szCs w:val="32"/>
        </w:rPr>
      </w:pPr>
      <w:r w:rsidRPr="00F02CD8">
        <w:rPr>
          <w:rFonts w:eastAsia="仿宋_GB2312"/>
          <w:color w:val="000000" w:themeColor="text1"/>
          <w:spacing w:val="-6"/>
          <w:szCs w:val="32"/>
        </w:rPr>
        <w:t>[</w:t>
      </w:r>
      <w:r>
        <w:rPr>
          <w:rFonts w:eastAsia="仿宋_GB2312" w:hint="eastAsia"/>
          <w:color w:val="000000" w:themeColor="text1"/>
          <w:spacing w:val="-6"/>
          <w:szCs w:val="32"/>
        </w:rPr>
        <w:t>10</w:t>
      </w:r>
      <w:r w:rsidRPr="00F02CD8">
        <w:rPr>
          <w:rFonts w:eastAsia="仿宋_GB2312"/>
          <w:color w:val="000000" w:themeColor="text1"/>
          <w:spacing w:val="-6"/>
          <w:szCs w:val="32"/>
        </w:rPr>
        <w:t>]</w:t>
      </w:r>
      <w:r w:rsidRPr="0033740E">
        <w:rPr>
          <w:rFonts w:eastAsia="仿宋_GB2312" w:hint="eastAsia"/>
          <w:color w:val="000000" w:themeColor="text1"/>
          <w:spacing w:val="-6"/>
          <w:szCs w:val="32"/>
        </w:rPr>
        <w:t>《弱视诊治</w:t>
      </w:r>
      <w:r w:rsidRPr="0033740E">
        <w:rPr>
          <w:rFonts w:eastAsia="仿宋_GB2312"/>
          <w:color w:val="000000" w:themeColor="text1"/>
          <w:spacing w:val="-6"/>
          <w:szCs w:val="32"/>
        </w:rPr>
        <w:t>指南</w:t>
      </w:r>
      <w:r w:rsidRPr="0033740E">
        <w:rPr>
          <w:rFonts w:eastAsia="仿宋_GB2312" w:hint="eastAsia"/>
          <w:color w:val="000000" w:themeColor="text1"/>
          <w:spacing w:val="-6"/>
          <w:szCs w:val="32"/>
        </w:rPr>
        <w:t>》</w:t>
      </w:r>
    </w:p>
    <w:p w:rsidR="003B1BD6" w:rsidRPr="00F02CD8" w:rsidRDefault="003B1BD6" w:rsidP="00F02CD8">
      <w:pPr>
        <w:spacing w:line="520" w:lineRule="exact"/>
        <w:ind w:firstLine="641"/>
        <w:rPr>
          <w:rFonts w:eastAsia="仿宋_GB2312"/>
          <w:color w:val="000000" w:themeColor="text1"/>
          <w:spacing w:val="-6"/>
          <w:szCs w:val="32"/>
        </w:rPr>
      </w:pPr>
    </w:p>
    <w:p w:rsidR="007C73EF" w:rsidRPr="00F02CD8" w:rsidRDefault="007C73EF" w:rsidP="00F02CD8">
      <w:pPr>
        <w:spacing w:line="520" w:lineRule="exact"/>
        <w:ind w:firstLine="641"/>
        <w:rPr>
          <w:rFonts w:eastAsia="仿宋_GB2312"/>
          <w:color w:val="000000" w:themeColor="text1"/>
          <w:spacing w:val="-6"/>
          <w:szCs w:val="32"/>
        </w:rPr>
      </w:pPr>
    </w:p>
    <w:sectPr w:rsidR="007C73EF" w:rsidRPr="00F02CD8" w:rsidSect="007C73EF">
      <w:footerReference w:type="default" r:id="rId9"/>
      <w:type w:val="continuous"/>
      <w:pgSz w:w="11906" w:h="16838"/>
      <w:pgMar w:top="2098" w:right="1588" w:bottom="2098" w:left="1588" w:header="851" w:footer="992" w:gutter="0"/>
      <w:cols w:space="425"/>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4DC" w:rsidRDefault="00A434DC" w:rsidP="007C73EF">
      <w:r>
        <w:separator/>
      </w:r>
    </w:p>
  </w:endnote>
  <w:endnote w:type="continuationSeparator" w:id="1">
    <w:p w:rsidR="00A434DC" w:rsidRDefault="00A434DC" w:rsidP="007C73EF">
      <w:r>
        <w:continuationSeparator/>
      </w:r>
    </w:p>
  </w:endnote>
</w:endnotes>
</file>

<file path=word/fontTable.xml><?xml version="1.0" encoding="utf-8"?>
<w:fonts xmlns:r="http://schemas.openxmlformats.org/officeDocument/2006/relationships" xmlns:w="http://schemas.openxmlformats.org/wordprocessingml/2006/main">
  <w:font w:name="等线">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jaVu Sans">
    <w:altName w:val="Times New Roman"/>
    <w:charset w:val="00"/>
    <w:family w:val="roman"/>
    <w:pitch w:val="default"/>
    <w:sig w:usb0="00000000" w:usb1="80000000" w:usb2="00000008"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方正小标宋简体">
    <w:panose1 w:val="03000509000000000000"/>
    <w:charset w:val="86"/>
    <w:family w:val="script"/>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3EF" w:rsidRDefault="00126A1C">
    <w:pPr>
      <w:pStyle w:val="a9"/>
      <w:jc w:val="center"/>
    </w:pPr>
    <w:r w:rsidRPr="00126A1C">
      <w:fldChar w:fldCharType="begin"/>
    </w:r>
    <w:r w:rsidR="00317F5D">
      <w:instrText>PAGE   \* MERGEFORMAT</w:instrText>
    </w:r>
    <w:r w:rsidRPr="00126A1C">
      <w:fldChar w:fldCharType="separate"/>
    </w:r>
    <w:r w:rsidR="00EF5C08" w:rsidRPr="00EF5C08">
      <w:rPr>
        <w:noProof/>
        <w:lang w:val="zh-CN"/>
      </w:rPr>
      <w:t>1</w:t>
    </w:r>
    <w:r>
      <w:rPr>
        <w:lang w:val="zh-CN"/>
      </w:rPr>
      <w:fldChar w:fldCharType="end"/>
    </w:r>
  </w:p>
  <w:p w:rsidR="007C73EF" w:rsidRDefault="007C73EF">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3EF" w:rsidRDefault="00126A1C">
    <w:pPr>
      <w:pStyle w:val="a9"/>
      <w:jc w:val="center"/>
    </w:pPr>
    <w:r w:rsidRPr="00126A1C">
      <w:fldChar w:fldCharType="begin"/>
    </w:r>
    <w:r w:rsidR="00317F5D">
      <w:instrText>PAGE   \* MERGEFORMAT</w:instrText>
    </w:r>
    <w:r w:rsidRPr="00126A1C">
      <w:fldChar w:fldCharType="separate"/>
    </w:r>
    <w:r w:rsidR="00EF5C08" w:rsidRPr="00EF5C08">
      <w:rPr>
        <w:noProof/>
        <w:lang w:val="zh-CN"/>
      </w:rPr>
      <w:t>19</w:t>
    </w:r>
    <w:r>
      <w:rPr>
        <w:lang w:val="zh-CN"/>
      </w:rPr>
      <w:fldChar w:fldCharType="end"/>
    </w:r>
  </w:p>
  <w:p w:rsidR="007C73EF" w:rsidRDefault="007C73E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4DC" w:rsidRDefault="00A434DC" w:rsidP="007C73EF">
      <w:r>
        <w:separator/>
      </w:r>
    </w:p>
  </w:footnote>
  <w:footnote w:type="continuationSeparator" w:id="1">
    <w:p w:rsidR="00A434DC" w:rsidRDefault="00A434DC" w:rsidP="007C73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A6FB9B5"/>
    <w:multiLevelType w:val="singleLevel"/>
    <w:tmpl w:val="6E9CD05E"/>
    <w:lvl w:ilvl="0">
      <w:start w:val="1"/>
      <w:numFmt w:val="japaneseCounting"/>
      <w:suff w:val="nothing"/>
      <w:lvlText w:val="（%1）"/>
      <w:lvlJc w:val="left"/>
      <w:rPr>
        <w:rFonts w:ascii="等线" w:eastAsia="仿宋_GB2312" w:hAnsi="等线" w:cs="Times New Roman"/>
        <w:lang w:val="en-US"/>
      </w:rPr>
    </w:lvl>
  </w:abstractNum>
  <w:abstractNum w:abstractNumId="1">
    <w:nsid w:val="0C1D5C53"/>
    <w:multiLevelType w:val="singleLevel"/>
    <w:tmpl w:val="0C1D5C53"/>
    <w:lvl w:ilvl="0">
      <w:start w:val="1"/>
      <w:numFmt w:val="decimal"/>
      <w:suff w:val="space"/>
      <w:lvlText w:val="%1."/>
      <w:lvlJc w:val="left"/>
    </w:lvl>
  </w:abstractNum>
  <w:abstractNum w:abstractNumId="2">
    <w:nsid w:val="7CE1EE64"/>
    <w:multiLevelType w:val="singleLevel"/>
    <w:tmpl w:val="7CE1EE64"/>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HorizontalSpacing w:val="160"/>
  <w:drawingGridVerticalSpacing w:val="435"/>
  <w:displayHorizontalDrawingGridEvery w:val="0"/>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YzEzMGY3NWUzNjZiZmU1YTUwODNhNTNjNzVmNGI1ZGUifQ=="/>
  </w:docVars>
  <w:rsids>
    <w:rsidRoot w:val="00787F7E"/>
    <w:rsid w:val="BCDFA305"/>
    <w:rsid w:val="DEF70035"/>
    <w:rsid w:val="DFFFE17D"/>
    <w:rsid w:val="ED776AC6"/>
    <w:rsid w:val="EF9F915E"/>
    <w:rsid w:val="FBB7C68F"/>
    <w:rsid w:val="FDF752B8"/>
    <w:rsid w:val="FE9A5B58"/>
    <w:rsid w:val="FF7F9E8F"/>
    <w:rsid w:val="000031A9"/>
    <w:rsid w:val="00003451"/>
    <w:rsid w:val="00017E5B"/>
    <w:rsid w:val="00020162"/>
    <w:rsid w:val="00021955"/>
    <w:rsid w:val="00022FC3"/>
    <w:rsid w:val="0002396E"/>
    <w:rsid w:val="00023D63"/>
    <w:rsid w:val="00032176"/>
    <w:rsid w:val="0004020C"/>
    <w:rsid w:val="00046691"/>
    <w:rsid w:val="000468EC"/>
    <w:rsid w:val="00051BBB"/>
    <w:rsid w:val="00053BFB"/>
    <w:rsid w:val="00056A28"/>
    <w:rsid w:val="00060C10"/>
    <w:rsid w:val="00066D66"/>
    <w:rsid w:val="00070006"/>
    <w:rsid w:val="0007686E"/>
    <w:rsid w:val="000778E3"/>
    <w:rsid w:val="00080163"/>
    <w:rsid w:val="00084A9D"/>
    <w:rsid w:val="00094847"/>
    <w:rsid w:val="00095450"/>
    <w:rsid w:val="000A5102"/>
    <w:rsid w:val="000A6E52"/>
    <w:rsid w:val="000B4C9B"/>
    <w:rsid w:val="000B5D87"/>
    <w:rsid w:val="000C48A1"/>
    <w:rsid w:val="000D0043"/>
    <w:rsid w:val="000D5165"/>
    <w:rsid w:val="000E1A90"/>
    <w:rsid w:val="000E5335"/>
    <w:rsid w:val="000E5965"/>
    <w:rsid w:val="001024AC"/>
    <w:rsid w:val="0010320F"/>
    <w:rsid w:val="001050C3"/>
    <w:rsid w:val="0011418A"/>
    <w:rsid w:val="00115821"/>
    <w:rsid w:val="00117CF3"/>
    <w:rsid w:val="001237D3"/>
    <w:rsid w:val="00126A1C"/>
    <w:rsid w:val="00133E15"/>
    <w:rsid w:val="00145167"/>
    <w:rsid w:val="001501A2"/>
    <w:rsid w:val="001515C8"/>
    <w:rsid w:val="00153266"/>
    <w:rsid w:val="0015622E"/>
    <w:rsid w:val="00161B66"/>
    <w:rsid w:val="00167F24"/>
    <w:rsid w:val="001832C0"/>
    <w:rsid w:val="00193094"/>
    <w:rsid w:val="0019695E"/>
    <w:rsid w:val="001A20A5"/>
    <w:rsid w:val="001C3A87"/>
    <w:rsid w:val="001C3F8D"/>
    <w:rsid w:val="001C7E38"/>
    <w:rsid w:val="001D2D8D"/>
    <w:rsid w:val="001D4580"/>
    <w:rsid w:val="001E0961"/>
    <w:rsid w:val="001E4E81"/>
    <w:rsid w:val="001F108A"/>
    <w:rsid w:val="001F41DE"/>
    <w:rsid w:val="001F6F69"/>
    <w:rsid w:val="00201593"/>
    <w:rsid w:val="00201B5D"/>
    <w:rsid w:val="0021307C"/>
    <w:rsid w:val="0022585F"/>
    <w:rsid w:val="00240370"/>
    <w:rsid w:val="00241E57"/>
    <w:rsid w:val="00242375"/>
    <w:rsid w:val="00244DF7"/>
    <w:rsid w:val="00246390"/>
    <w:rsid w:val="002514C7"/>
    <w:rsid w:val="00254DE0"/>
    <w:rsid w:val="002553CC"/>
    <w:rsid w:val="002733B8"/>
    <w:rsid w:val="00275A48"/>
    <w:rsid w:val="00277473"/>
    <w:rsid w:val="0028019F"/>
    <w:rsid w:val="00281F9F"/>
    <w:rsid w:val="00291759"/>
    <w:rsid w:val="00291A8D"/>
    <w:rsid w:val="002925B7"/>
    <w:rsid w:val="00294D2B"/>
    <w:rsid w:val="00295369"/>
    <w:rsid w:val="002A2174"/>
    <w:rsid w:val="002A530A"/>
    <w:rsid w:val="002B2048"/>
    <w:rsid w:val="002B24A0"/>
    <w:rsid w:val="002B4A6F"/>
    <w:rsid w:val="002C0F25"/>
    <w:rsid w:val="002C1064"/>
    <w:rsid w:val="002C43D4"/>
    <w:rsid w:val="002D1430"/>
    <w:rsid w:val="002D3B6C"/>
    <w:rsid w:val="002D6917"/>
    <w:rsid w:val="002D7424"/>
    <w:rsid w:val="002E2F1D"/>
    <w:rsid w:val="002F2978"/>
    <w:rsid w:val="002F309D"/>
    <w:rsid w:val="002F7B6F"/>
    <w:rsid w:val="0030368E"/>
    <w:rsid w:val="003047D2"/>
    <w:rsid w:val="0030743C"/>
    <w:rsid w:val="00310ED7"/>
    <w:rsid w:val="0031186D"/>
    <w:rsid w:val="003137C1"/>
    <w:rsid w:val="0031603D"/>
    <w:rsid w:val="00317F5D"/>
    <w:rsid w:val="00317F96"/>
    <w:rsid w:val="00320334"/>
    <w:rsid w:val="00322E16"/>
    <w:rsid w:val="00332DE8"/>
    <w:rsid w:val="0033740E"/>
    <w:rsid w:val="00341E01"/>
    <w:rsid w:val="003450A4"/>
    <w:rsid w:val="003462C3"/>
    <w:rsid w:val="00347979"/>
    <w:rsid w:val="00347B6B"/>
    <w:rsid w:val="003549E8"/>
    <w:rsid w:val="00355421"/>
    <w:rsid w:val="00356134"/>
    <w:rsid w:val="00362272"/>
    <w:rsid w:val="00365AB2"/>
    <w:rsid w:val="003661AC"/>
    <w:rsid w:val="00370609"/>
    <w:rsid w:val="0038595D"/>
    <w:rsid w:val="003948E9"/>
    <w:rsid w:val="003B1BD6"/>
    <w:rsid w:val="003B691D"/>
    <w:rsid w:val="003C337D"/>
    <w:rsid w:val="003C4D64"/>
    <w:rsid w:val="003C731D"/>
    <w:rsid w:val="003D6BC2"/>
    <w:rsid w:val="003E045E"/>
    <w:rsid w:val="003E1AED"/>
    <w:rsid w:val="00410598"/>
    <w:rsid w:val="0041581E"/>
    <w:rsid w:val="00417579"/>
    <w:rsid w:val="004320CD"/>
    <w:rsid w:val="00435189"/>
    <w:rsid w:val="004356CF"/>
    <w:rsid w:val="00435AC6"/>
    <w:rsid w:val="0043733D"/>
    <w:rsid w:val="00440708"/>
    <w:rsid w:val="00440AA4"/>
    <w:rsid w:val="004410B9"/>
    <w:rsid w:val="00441F8D"/>
    <w:rsid w:val="0045151A"/>
    <w:rsid w:val="00455458"/>
    <w:rsid w:val="004568C3"/>
    <w:rsid w:val="0046669C"/>
    <w:rsid w:val="00475A6E"/>
    <w:rsid w:val="0048177B"/>
    <w:rsid w:val="00482ABB"/>
    <w:rsid w:val="00483A3B"/>
    <w:rsid w:val="00483A83"/>
    <w:rsid w:val="0048534F"/>
    <w:rsid w:val="00493D2A"/>
    <w:rsid w:val="004942C7"/>
    <w:rsid w:val="004A528D"/>
    <w:rsid w:val="004B03E6"/>
    <w:rsid w:val="004B2D87"/>
    <w:rsid w:val="004B2F13"/>
    <w:rsid w:val="004C4DBC"/>
    <w:rsid w:val="004C7137"/>
    <w:rsid w:val="004D6150"/>
    <w:rsid w:val="004E3031"/>
    <w:rsid w:val="004E39ED"/>
    <w:rsid w:val="004E3D4B"/>
    <w:rsid w:val="004E5856"/>
    <w:rsid w:val="004F0151"/>
    <w:rsid w:val="005041BA"/>
    <w:rsid w:val="005108E9"/>
    <w:rsid w:val="00514572"/>
    <w:rsid w:val="0052590E"/>
    <w:rsid w:val="005277E2"/>
    <w:rsid w:val="00530384"/>
    <w:rsid w:val="005329DB"/>
    <w:rsid w:val="00533DB1"/>
    <w:rsid w:val="00534F4C"/>
    <w:rsid w:val="0053592E"/>
    <w:rsid w:val="00545B8B"/>
    <w:rsid w:val="00553994"/>
    <w:rsid w:val="005609D1"/>
    <w:rsid w:val="00572B26"/>
    <w:rsid w:val="005735DA"/>
    <w:rsid w:val="005869F0"/>
    <w:rsid w:val="00587082"/>
    <w:rsid w:val="005A1410"/>
    <w:rsid w:val="005A204F"/>
    <w:rsid w:val="005A614E"/>
    <w:rsid w:val="005B570A"/>
    <w:rsid w:val="005B63B1"/>
    <w:rsid w:val="005C42A4"/>
    <w:rsid w:val="005D1959"/>
    <w:rsid w:val="005D2E36"/>
    <w:rsid w:val="005D560B"/>
    <w:rsid w:val="005E430E"/>
    <w:rsid w:val="005E57C1"/>
    <w:rsid w:val="005F1B85"/>
    <w:rsid w:val="005F2C4D"/>
    <w:rsid w:val="006014D4"/>
    <w:rsid w:val="00602D5D"/>
    <w:rsid w:val="006115A2"/>
    <w:rsid w:val="006126F6"/>
    <w:rsid w:val="0061504E"/>
    <w:rsid w:val="00615D66"/>
    <w:rsid w:val="00620A77"/>
    <w:rsid w:val="0062419A"/>
    <w:rsid w:val="006302BE"/>
    <w:rsid w:val="0063785B"/>
    <w:rsid w:val="00642DF1"/>
    <w:rsid w:val="00645899"/>
    <w:rsid w:val="00653A96"/>
    <w:rsid w:val="00654011"/>
    <w:rsid w:val="0065418E"/>
    <w:rsid w:val="006654F2"/>
    <w:rsid w:val="00666CBD"/>
    <w:rsid w:val="00670933"/>
    <w:rsid w:val="006715CC"/>
    <w:rsid w:val="00685DCE"/>
    <w:rsid w:val="00696FBD"/>
    <w:rsid w:val="006A1165"/>
    <w:rsid w:val="006A1A01"/>
    <w:rsid w:val="006A52C7"/>
    <w:rsid w:val="006B01D9"/>
    <w:rsid w:val="006C00CB"/>
    <w:rsid w:val="006C0AFE"/>
    <w:rsid w:val="006C6375"/>
    <w:rsid w:val="006D03F0"/>
    <w:rsid w:val="006D67E6"/>
    <w:rsid w:val="006E19AC"/>
    <w:rsid w:val="006E6469"/>
    <w:rsid w:val="006E68A9"/>
    <w:rsid w:val="006E7148"/>
    <w:rsid w:val="006E71BA"/>
    <w:rsid w:val="006F36E6"/>
    <w:rsid w:val="00701D58"/>
    <w:rsid w:val="00701F30"/>
    <w:rsid w:val="007108DF"/>
    <w:rsid w:val="00716619"/>
    <w:rsid w:val="007168D7"/>
    <w:rsid w:val="00717C2B"/>
    <w:rsid w:val="007206A1"/>
    <w:rsid w:val="007239DC"/>
    <w:rsid w:val="00725E46"/>
    <w:rsid w:val="00741B1D"/>
    <w:rsid w:val="0074227F"/>
    <w:rsid w:val="00745098"/>
    <w:rsid w:val="0074657D"/>
    <w:rsid w:val="00746798"/>
    <w:rsid w:val="0075050A"/>
    <w:rsid w:val="00753D08"/>
    <w:rsid w:val="007617AF"/>
    <w:rsid w:val="00762799"/>
    <w:rsid w:val="007646FC"/>
    <w:rsid w:val="00774000"/>
    <w:rsid w:val="00781865"/>
    <w:rsid w:val="00787F7E"/>
    <w:rsid w:val="007904F6"/>
    <w:rsid w:val="00793357"/>
    <w:rsid w:val="007939AA"/>
    <w:rsid w:val="007A1917"/>
    <w:rsid w:val="007A5517"/>
    <w:rsid w:val="007B398B"/>
    <w:rsid w:val="007B4B78"/>
    <w:rsid w:val="007B5591"/>
    <w:rsid w:val="007C73EF"/>
    <w:rsid w:val="007D0D0B"/>
    <w:rsid w:val="007D178E"/>
    <w:rsid w:val="007D341A"/>
    <w:rsid w:val="007D62D8"/>
    <w:rsid w:val="007E1307"/>
    <w:rsid w:val="007F0634"/>
    <w:rsid w:val="007F2AC5"/>
    <w:rsid w:val="00800209"/>
    <w:rsid w:val="0080709F"/>
    <w:rsid w:val="00812719"/>
    <w:rsid w:val="00815364"/>
    <w:rsid w:val="00821079"/>
    <w:rsid w:val="00825070"/>
    <w:rsid w:val="008256C4"/>
    <w:rsid w:val="0083192A"/>
    <w:rsid w:val="00833C6D"/>
    <w:rsid w:val="00845C30"/>
    <w:rsid w:val="00847EBD"/>
    <w:rsid w:val="008504FF"/>
    <w:rsid w:val="00857361"/>
    <w:rsid w:val="00870395"/>
    <w:rsid w:val="0087100E"/>
    <w:rsid w:val="00872134"/>
    <w:rsid w:val="00885025"/>
    <w:rsid w:val="008939CD"/>
    <w:rsid w:val="008961B3"/>
    <w:rsid w:val="008A4F25"/>
    <w:rsid w:val="008C088E"/>
    <w:rsid w:val="008D386D"/>
    <w:rsid w:val="008F5D20"/>
    <w:rsid w:val="00914B16"/>
    <w:rsid w:val="00920A47"/>
    <w:rsid w:val="00922C17"/>
    <w:rsid w:val="009241FD"/>
    <w:rsid w:val="00924323"/>
    <w:rsid w:val="00936D0B"/>
    <w:rsid w:val="00937F0E"/>
    <w:rsid w:val="009437A5"/>
    <w:rsid w:val="00947CF1"/>
    <w:rsid w:val="009548E3"/>
    <w:rsid w:val="0095790E"/>
    <w:rsid w:val="009601AF"/>
    <w:rsid w:val="00961703"/>
    <w:rsid w:val="00970C99"/>
    <w:rsid w:val="0098100B"/>
    <w:rsid w:val="009811BD"/>
    <w:rsid w:val="009A2126"/>
    <w:rsid w:val="009A50E0"/>
    <w:rsid w:val="009A7FCC"/>
    <w:rsid w:val="009C07F6"/>
    <w:rsid w:val="009C2BF6"/>
    <w:rsid w:val="009C41FF"/>
    <w:rsid w:val="009D4699"/>
    <w:rsid w:val="009D5F24"/>
    <w:rsid w:val="009E2377"/>
    <w:rsid w:val="009E2514"/>
    <w:rsid w:val="009E4148"/>
    <w:rsid w:val="009E458B"/>
    <w:rsid w:val="009F209D"/>
    <w:rsid w:val="009F4A19"/>
    <w:rsid w:val="00A1161F"/>
    <w:rsid w:val="00A130F8"/>
    <w:rsid w:val="00A2115A"/>
    <w:rsid w:val="00A23EC2"/>
    <w:rsid w:val="00A25C1A"/>
    <w:rsid w:val="00A2761C"/>
    <w:rsid w:val="00A373EF"/>
    <w:rsid w:val="00A4295D"/>
    <w:rsid w:val="00A434DC"/>
    <w:rsid w:val="00A572C9"/>
    <w:rsid w:val="00A73BFE"/>
    <w:rsid w:val="00A7566A"/>
    <w:rsid w:val="00A84306"/>
    <w:rsid w:val="00A85131"/>
    <w:rsid w:val="00A87785"/>
    <w:rsid w:val="00A87804"/>
    <w:rsid w:val="00A94053"/>
    <w:rsid w:val="00A96011"/>
    <w:rsid w:val="00AA17C1"/>
    <w:rsid w:val="00AA26A2"/>
    <w:rsid w:val="00AA4FCB"/>
    <w:rsid w:val="00AB04E9"/>
    <w:rsid w:val="00AB660B"/>
    <w:rsid w:val="00AB7E5C"/>
    <w:rsid w:val="00AC55D8"/>
    <w:rsid w:val="00AD08D9"/>
    <w:rsid w:val="00AD4289"/>
    <w:rsid w:val="00AD43CB"/>
    <w:rsid w:val="00AF26B9"/>
    <w:rsid w:val="00AF3558"/>
    <w:rsid w:val="00AF5D76"/>
    <w:rsid w:val="00B0444D"/>
    <w:rsid w:val="00B10832"/>
    <w:rsid w:val="00B155C4"/>
    <w:rsid w:val="00B27DA2"/>
    <w:rsid w:val="00B32C6C"/>
    <w:rsid w:val="00B34042"/>
    <w:rsid w:val="00B34869"/>
    <w:rsid w:val="00B41578"/>
    <w:rsid w:val="00B47461"/>
    <w:rsid w:val="00B572C5"/>
    <w:rsid w:val="00B57B48"/>
    <w:rsid w:val="00B628FB"/>
    <w:rsid w:val="00B63009"/>
    <w:rsid w:val="00B66355"/>
    <w:rsid w:val="00B740DC"/>
    <w:rsid w:val="00B76CFD"/>
    <w:rsid w:val="00B85063"/>
    <w:rsid w:val="00B9118A"/>
    <w:rsid w:val="00B97007"/>
    <w:rsid w:val="00BA1183"/>
    <w:rsid w:val="00BA34A9"/>
    <w:rsid w:val="00BA3A9C"/>
    <w:rsid w:val="00BA60F7"/>
    <w:rsid w:val="00BB1D3B"/>
    <w:rsid w:val="00BB2596"/>
    <w:rsid w:val="00BB7A36"/>
    <w:rsid w:val="00BC285C"/>
    <w:rsid w:val="00BC2983"/>
    <w:rsid w:val="00BC7C84"/>
    <w:rsid w:val="00BD300F"/>
    <w:rsid w:val="00BD5E3D"/>
    <w:rsid w:val="00BD5E69"/>
    <w:rsid w:val="00BE0434"/>
    <w:rsid w:val="00BE2402"/>
    <w:rsid w:val="00BE669C"/>
    <w:rsid w:val="00BE66D9"/>
    <w:rsid w:val="00C0562D"/>
    <w:rsid w:val="00C12E1E"/>
    <w:rsid w:val="00C151FE"/>
    <w:rsid w:val="00C25F69"/>
    <w:rsid w:val="00C37210"/>
    <w:rsid w:val="00C40950"/>
    <w:rsid w:val="00C5010B"/>
    <w:rsid w:val="00C55908"/>
    <w:rsid w:val="00C55A07"/>
    <w:rsid w:val="00C55C2E"/>
    <w:rsid w:val="00C6613C"/>
    <w:rsid w:val="00C85030"/>
    <w:rsid w:val="00C86C9F"/>
    <w:rsid w:val="00C87E9A"/>
    <w:rsid w:val="00CA0BE6"/>
    <w:rsid w:val="00CB3279"/>
    <w:rsid w:val="00CB4CCD"/>
    <w:rsid w:val="00CB56D1"/>
    <w:rsid w:val="00CD1907"/>
    <w:rsid w:val="00CE24E2"/>
    <w:rsid w:val="00CE2A90"/>
    <w:rsid w:val="00CE48F6"/>
    <w:rsid w:val="00CF53BB"/>
    <w:rsid w:val="00CF5508"/>
    <w:rsid w:val="00D00727"/>
    <w:rsid w:val="00D017D3"/>
    <w:rsid w:val="00D05A19"/>
    <w:rsid w:val="00D076F0"/>
    <w:rsid w:val="00D1754C"/>
    <w:rsid w:val="00D20C52"/>
    <w:rsid w:val="00D256A9"/>
    <w:rsid w:val="00D277BD"/>
    <w:rsid w:val="00D32614"/>
    <w:rsid w:val="00D36F91"/>
    <w:rsid w:val="00D4450D"/>
    <w:rsid w:val="00D5040B"/>
    <w:rsid w:val="00D73732"/>
    <w:rsid w:val="00D74EA7"/>
    <w:rsid w:val="00D75C49"/>
    <w:rsid w:val="00D776D5"/>
    <w:rsid w:val="00D82796"/>
    <w:rsid w:val="00D83EB4"/>
    <w:rsid w:val="00D850AE"/>
    <w:rsid w:val="00D865D6"/>
    <w:rsid w:val="00D93E3E"/>
    <w:rsid w:val="00D957D6"/>
    <w:rsid w:val="00DA1793"/>
    <w:rsid w:val="00DA1AC8"/>
    <w:rsid w:val="00DA3DDA"/>
    <w:rsid w:val="00DA5DC6"/>
    <w:rsid w:val="00DA771D"/>
    <w:rsid w:val="00DB1CED"/>
    <w:rsid w:val="00DB7EB7"/>
    <w:rsid w:val="00DC1BF3"/>
    <w:rsid w:val="00DC3951"/>
    <w:rsid w:val="00DC44AE"/>
    <w:rsid w:val="00DC5430"/>
    <w:rsid w:val="00DC5E28"/>
    <w:rsid w:val="00DD1FF6"/>
    <w:rsid w:val="00DD6FC8"/>
    <w:rsid w:val="00DD740E"/>
    <w:rsid w:val="00DE5DEB"/>
    <w:rsid w:val="00E03D16"/>
    <w:rsid w:val="00E04BA4"/>
    <w:rsid w:val="00E07E6A"/>
    <w:rsid w:val="00E113E4"/>
    <w:rsid w:val="00E11D78"/>
    <w:rsid w:val="00E13A1E"/>
    <w:rsid w:val="00E30471"/>
    <w:rsid w:val="00E37D62"/>
    <w:rsid w:val="00E42C2C"/>
    <w:rsid w:val="00E43A7A"/>
    <w:rsid w:val="00E461BC"/>
    <w:rsid w:val="00E53BB3"/>
    <w:rsid w:val="00E56C44"/>
    <w:rsid w:val="00E60FA7"/>
    <w:rsid w:val="00E6227A"/>
    <w:rsid w:val="00E72EF4"/>
    <w:rsid w:val="00E7330F"/>
    <w:rsid w:val="00E771F1"/>
    <w:rsid w:val="00E83841"/>
    <w:rsid w:val="00E84397"/>
    <w:rsid w:val="00E92B43"/>
    <w:rsid w:val="00EA09ED"/>
    <w:rsid w:val="00EB19B3"/>
    <w:rsid w:val="00EB1A04"/>
    <w:rsid w:val="00EB296D"/>
    <w:rsid w:val="00EB3CD4"/>
    <w:rsid w:val="00EC1FDD"/>
    <w:rsid w:val="00EC515F"/>
    <w:rsid w:val="00EC523A"/>
    <w:rsid w:val="00ED0226"/>
    <w:rsid w:val="00ED1CDD"/>
    <w:rsid w:val="00ED5136"/>
    <w:rsid w:val="00EE261B"/>
    <w:rsid w:val="00EE3620"/>
    <w:rsid w:val="00EE3F92"/>
    <w:rsid w:val="00EE4EBB"/>
    <w:rsid w:val="00EE556B"/>
    <w:rsid w:val="00EE6D79"/>
    <w:rsid w:val="00EE7488"/>
    <w:rsid w:val="00EF5C08"/>
    <w:rsid w:val="00F02CD8"/>
    <w:rsid w:val="00F06200"/>
    <w:rsid w:val="00F1065F"/>
    <w:rsid w:val="00F13537"/>
    <w:rsid w:val="00F15EDC"/>
    <w:rsid w:val="00F25847"/>
    <w:rsid w:val="00F31CB3"/>
    <w:rsid w:val="00F335FB"/>
    <w:rsid w:val="00F45E55"/>
    <w:rsid w:val="00F4680C"/>
    <w:rsid w:val="00F53BBD"/>
    <w:rsid w:val="00F54E26"/>
    <w:rsid w:val="00F57B33"/>
    <w:rsid w:val="00F635C8"/>
    <w:rsid w:val="00F661ED"/>
    <w:rsid w:val="00F741A3"/>
    <w:rsid w:val="00F766B2"/>
    <w:rsid w:val="00F801A1"/>
    <w:rsid w:val="00F81D1A"/>
    <w:rsid w:val="00F943E3"/>
    <w:rsid w:val="00F9534E"/>
    <w:rsid w:val="00FA0030"/>
    <w:rsid w:val="00FA151E"/>
    <w:rsid w:val="00FA36EA"/>
    <w:rsid w:val="00FB1BB7"/>
    <w:rsid w:val="00FB46B2"/>
    <w:rsid w:val="00FC6BE6"/>
    <w:rsid w:val="00FD21F6"/>
    <w:rsid w:val="00FD621A"/>
    <w:rsid w:val="00FE1243"/>
    <w:rsid w:val="00FE35D0"/>
    <w:rsid w:val="00FF0F38"/>
    <w:rsid w:val="00FF502E"/>
    <w:rsid w:val="050446B0"/>
    <w:rsid w:val="05862F44"/>
    <w:rsid w:val="05A63067"/>
    <w:rsid w:val="0C5924A9"/>
    <w:rsid w:val="24251AC7"/>
    <w:rsid w:val="283F674D"/>
    <w:rsid w:val="301601A6"/>
    <w:rsid w:val="339A4CB7"/>
    <w:rsid w:val="36C57250"/>
    <w:rsid w:val="3D8F2F1B"/>
    <w:rsid w:val="5E46632F"/>
    <w:rsid w:val="6B737129"/>
    <w:rsid w:val="779F00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qFormat="1"/>
    <w:lsdException w:name="annotation text" w:semiHidden="0" w:uiPriority="0" w:qFormat="1"/>
    <w:lsdException w:name="header" w:semiHidden="0" w:qFormat="1"/>
    <w:lsdException w:name="footer" w:semiHidden="0" w:qFormat="1"/>
    <w:lsdException w:name="caption" w:semiHidden="0" w:uiPriority="35" w:qFormat="1"/>
    <w:lsdException w:name="footnote reference" w:semiHidden="0" w:uiPriority="0" w:qFormat="1"/>
    <w:lsdException w:name="annotation reference" w:semiHidden="0" w:uiPriority="0" w:qFormat="1"/>
    <w:lsdException w:name="line number" w:uiPriority="0"/>
    <w:lsdException w:name="page number" w:semiHidden="0" w:uiPriority="0" w:unhideWhenUsed="0" w:qFormat="1"/>
    <w:lsdException w:name="endnote reference" w:uiPriority="0"/>
    <w:lsdException w:name="endnote text" w:uiPriority="0"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0" w:unhideWhenUsed="0" w:qFormat="1"/>
    <w:lsdException w:name="Emphasis" w:semiHidden="0" w:uiPriority="0" w:unhideWhenUsed="0" w:qFormat="1"/>
    <w:lsdException w:name="Plain Text" w:semiHidden="0" w:uiPriority="0" w:unhideWhenUsed="0" w:qFormat="1"/>
    <w:lsdException w:name="HTML Preformatted" w:uiPriority="0" w:qFormat="1"/>
    <w:lsdException w:name="Normal Table" w:qFormat="1"/>
    <w:lsdException w:name="annotation subject" w:semiHidden="0" w:qFormat="1"/>
    <w:lsdException w:name="Balloon Text" w:semiHidden="0" w:uiPriority="0" w:qFormat="1"/>
    <w:lsdException w:name="Table Grid" w:semiHidden="0" w:uiPriority="5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3EF"/>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Char"/>
    <w:qFormat/>
    <w:rsid w:val="007C73EF"/>
    <w:pPr>
      <w:spacing w:beforeLines="50" w:afterLines="50"/>
      <w:ind w:left="1429"/>
      <w:outlineLvl w:val="0"/>
    </w:pPr>
    <w:rPr>
      <w:rFonts w:ascii="Calibri" w:eastAsia="黑体" w:hAnsi="Calibri"/>
      <w:szCs w:val="22"/>
    </w:rPr>
  </w:style>
  <w:style w:type="paragraph" w:styleId="2">
    <w:name w:val="heading 2"/>
    <w:basedOn w:val="a"/>
    <w:next w:val="a"/>
    <w:link w:val="2Char"/>
    <w:uiPriority w:val="9"/>
    <w:qFormat/>
    <w:rsid w:val="007C73EF"/>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Char"/>
    <w:unhideWhenUsed/>
    <w:qFormat/>
    <w:rsid w:val="007C73EF"/>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Char"/>
    <w:uiPriority w:val="9"/>
    <w:unhideWhenUsed/>
    <w:qFormat/>
    <w:rsid w:val="007C73EF"/>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Char"/>
    <w:uiPriority w:val="9"/>
    <w:unhideWhenUsed/>
    <w:qFormat/>
    <w:rsid w:val="007C73EF"/>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C73EF"/>
    <w:rPr>
      <w:rFonts w:ascii="Cambria" w:eastAsia="黑体" w:hAnsi="Cambria"/>
      <w:sz w:val="20"/>
      <w:szCs w:val="20"/>
    </w:rPr>
  </w:style>
  <w:style w:type="paragraph" w:styleId="a4">
    <w:name w:val="annotation text"/>
    <w:basedOn w:val="a"/>
    <w:link w:val="Char1"/>
    <w:unhideWhenUsed/>
    <w:qFormat/>
    <w:rsid w:val="007C73EF"/>
    <w:pPr>
      <w:jc w:val="left"/>
    </w:pPr>
  </w:style>
  <w:style w:type="paragraph" w:styleId="a5">
    <w:name w:val="Body Text"/>
    <w:basedOn w:val="a"/>
    <w:link w:val="Char"/>
    <w:qFormat/>
    <w:rsid w:val="007C73EF"/>
    <w:pPr>
      <w:spacing w:after="120" w:line="300" w:lineRule="auto"/>
      <w:ind w:firstLineChars="200" w:firstLine="200"/>
    </w:pPr>
    <w:rPr>
      <w:rFonts w:eastAsia="仿宋_GB2312"/>
      <w:snapToGrid w:val="0"/>
      <w:kern w:val="0"/>
      <w:szCs w:val="32"/>
    </w:rPr>
  </w:style>
  <w:style w:type="paragraph" w:styleId="a6">
    <w:name w:val="Plain Text"/>
    <w:basedOn w:val="a"/>
    <w:link w:val="Char0"/>
    <w:qFormat/>
    <w:rsid w:val="007C73EF"/>
    <w:pPr>
      <w:spacing w:line="300" w:lineRule="auto"/>
      <w:ind w:firstLineChars="200" w:firstLine="200"/>
    </w:pPr>
    <w:rPr>
      <w:rFonts w:asciiTheme="minorEastAsia" w:eastAsiaTheme="minorEastAsia" w:hAnsi="Courier New" w:cs="Courier New"/>
      <w:snapToGrid w:val="0"/>
      <w:kern w:val="0"/>
      <w:szCs w:val="32"/>
    </w:rPr>
  </w:style>
  <w:style w:type="paragraph" w:styleId="a7">
    <w:name w:val="endnote text"/>
    <w:basedOn w:val="a"/>
    <w:link w:val="Char2"/>
    <w:semiHidden/>
    <w:unhideWhenUsed/>
    <w:qFormat/>
    <w:rsid w:val="007C73EF"/>
    <w:pPr>
      <w:snapToGrid w:val="0"/>
      <w:spacing w:line="300" w:lineRule="auto"/>
      <w:ind w:firstLineChars="200" w:firstLine="200"/>
      <w:jc w:val="left"/>
    </w:pPr>
    <w:rPr>
      <w:rFonts w:eastAsia="仿宋_GB2312"/>
      <w:snapToGrid w:val="0"/>
      <w:kern w:val="0"/>
      <w:szCs w:val="32"/>
    </w:rPr>
  </w:style>
  <w:style w:type="paragraph" w:styleId="a8">
    <w:name w:val="Balloon Text"/>
    <w:basedOn w:val="a"/>
    <w:link w:val="Char10"/>
    <w:unhideWhenUsed/>
    <w:qFormat/>
    <w:rsid w:val="007C73EF"/>
    <w:rPr>
      <w:sz w:val="18"/>
      <w:szCs w:val="18"/>
    </w:rPr>
  </w:style>
  <w:style w:type="paragraph" w:styleId="a9">
    <w:name w:val="footer"/>
    <w:basedOn w:val="a"/>
    <w:link w:val="Char3"/>
    <w:uiPriority w:val="99"/>
    <w:unhideWhenUsed/>
    <w:qFormat/>
    <w:rsid w:val="007C73EF"/>
    <w:pPr>
      <w:tabs>
        <w:tab w:val="center" w:pos="4153"/>
        <w:tab w:val="right" w:pos="8306"/>
      </w:tabs>
      <w:snapToGrid w:val="0"/>
      <w:jc w:val="left"/>
    </w:pPr>
    <w:rPr>
      <w:sz w:val="18"/>
    </w:rPr>
  </w:style>
  <w:style w:type="paragraph" w:styleId="aa">
    <w:name w:val="header"/>
    <w:basedOn w:val="a"/>
    <w:link w:val="Char4"/>
    <w:uiPriority w:val="99"/>
    <w:unhideWhenUsed/>
    <w:qFormat/>
    <w:rsid w:val="007C73EF"/>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b">
    <w:name w:val="Subtitle"/>
    <w:basedOn w:val="a"/>
    <w:next w:val="a"/>
    <w:link w:val="Char5"/>
    <w:uiPriority w:val="11"/>
    <w:qFormat/>
    <w:rsid w:val="007C73EF"/>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paragraph" w:styleId="ac">
    <w:name w:val="footnote text"/>
    <w:basedOn w:val="a"/>
    <w:link w:val="Char6"/>
    <w:unhideWhenUsed/>
    <w:qFormat/>
    <w:rsid w:val="007C73EF"/>
    <w:pPr>
      <w:adjustRightInd w:val="0"/>
      <w:snapToGrid w:val="0"/>
      <w:spacing w:line="264" w:lineRule="auto"/>
      <w:jc w:val="left"/>
    </w:pPr>
    <w:rPr>
      <w:rFonts w:eastAsia="仿宋_GB2312"/>
      <w:snapToGrid w:val="0"/>
      <w:kern w:val="0"/>
      <w:sz w:val="18"/>
      <w:szCs w:val="18"/>
    </w:rPr>
  </w:style>
  <w:style w:type="paragraph" w:styleId="ad">
    <w:name w:val="annotation subject"/>
    <w:basedOn w:val="a4"/>
    <w:next w:val="a4"/>
    <w:link w:val="Char7"/>
    <w:uiPriority w:val="99"/>
    <w:unhideWhenUsed/>
    <w:qFormat/>
    <w:rsid w:val="007C73EF"/>
    <w:rPr>
      <w:b/>
      <w:bCs/>
    </w:rPr>
  </w:style>
  <w:style w:type="table" w:styleId="ae">
    <w:name w:val="Table Grid"/>
    <w:basedOn w:val="a1"/>
    <w:uiPriority w:val="59"/>
    <w:qFormat/>
    <w:rsid w:val="007C73EF"/>
    <w:rPr>
      <w:rFonts w:ascii="Times New Roman" w:eastAsia="仿宋_GB2312"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Strong"/>
    <w:qFormat/>
    <w:rsid w:val="007C73EF"/>
    <w:rPr>
      <w:b/>
    </w:rPr>
  </w:style>
  <w:style w:type="character" w:styleId="af0">
    <w:name w:val="page number"/>
    <w:basedOn w:val="a0"/>
    <w:qFormat/>
    <w:rsid w:val="007C73EF"/>
  </w:style>
  <w:style w:type="character" w:styleId="af1">
    <w:name w:val="Emphasis"/>
    <w:basedOn w:val="a0"/>
    <w:qFormat/>
    <w:rsid w:val="007C73EF"/>
    <w:rPr>
      <w:i/>
      <w:iCs/>
    </w:rPr>
  </w:style>
  <w:style w:type="character" w:styleId="af2">
    <w:name w:val="annotation reference"/>
    <w:basedOn w:val="a0"/>
    <w:unhideWhenUsed/>
    <w:qFormat/>
    <w:rsid w:val="007C73EF"/>
    <w:rPr>
      <w:sz w:val="21"/>
      <w:szCs w:val="21"/>
    </w:rPr>
  </w:style>
  <w:style w:type="character" w:styleId="af3">
    <w:name w:val="footnote reference"/>
    <w:basedOn w:val="a0"/>
    <w:unhideWhenUsed/>
    <w:qFormat/>
    <w:rsid w:val="007C73EF"/>
    <w:rPr>
      <w:vertAlign w:val="superscript"/>
    </w:rPr>
  </w:style>
  <w:style w:type="character" w:customStyle="1" w:styleId="1Char">
    <w:name w:val="标题 1 Char"/>
    <w:basedOn w:val="a0"/>
    <w:link w:val="1"/>
    <w:uiPriority w:val="9"/>
    <w:qFormat/>
    <w:rsid w:val="007C73EF"/>
    <w:rPr>
      <w:rFonts w:ascii="Calibri" w:eastAsia="黑体" w:hAnsi="Calibri" w:cs="Times New Roman"/>
      <w:kern w:val="2"/>
      <w:sz w:val="32"/>
      <w:szCs w:val="22"/>
    </w:rPr>
  </w:style>
  <w:style w:type="character" w:customStyle="1" w:styleId="2Char">
    <w:name w:val="标题 2 Char"/>
    <w:basedOn w:val="a0"/>
    <w:link w:val="2"/>
    <w:uiPriority w:val="9"/>
    <w:qFormat/>
    <w:rsid w:val="007C73EF"/>
    <w:rPr>
      <w:rFonts w:ascii="Cambria" w:eastAsia="黑体" w:hAnsi="Cambria" w:cs="Times New Roman"/>
      <w:b/>
      <w:bCs/>
      <w:snapToGrid w:val="0"/>
      <w:sz w:val="32"/>
      <w:szCs w:val="32"/>
      <w:lang w:val="zh-CN"/>
    </w:rPr>
  </w:style>
  <w:style w:type="character" w:customStyle="1" w:styleId="3Char">
    <w:name w:val="标题 3 Char"/>
    <w:basedOn w:val="a0"/>
    <w:link w:val="3"/>
    <w:uiPriority w:val="9"/>
    <w:qFormat/>
    <w:rsid w:val="007C73EF"/>
    <w:rPr>
      <w:rFonts w:ascii="Times New Roman" w:eastAsia="仿宋_GB2312" w:hAnsi="Times New Roman" w:cs="Times New Roman"/>
      <w:bCs/>
      <w:snapToGrid w:val="0"/>
      <w:sz w:val="32"/>
      <w:szCs w:val="32"/>
    </w:rPr>
  </w:style>
  <w:style w:type="character" w:customStyle="1" w:styleId="4Char">
    <w:name w:val="标题 4 Char"/>
    <w:basedOn w:val="a0"/>
    <w:link w:val="4"/>
    <w:uiPriority w:val="9"/>
    <w:qFormat/>
    <w:rsid w:val="007C73EF"/>
    <w:rPr>
      <w:rFonts w:asciiTheme="majorHAnsi" w:eastAsiaTheme="majorEastAsia" w:hAnsiTheme="majorHAnsi" w:cstheme="majorBidi"/>
      <w:b/>
      <w:bCs/>
      <w:snapToGrid w:val="0"/>
      <w:sz w:val="28"/>
      <w:szCs w:val="28"/>
    </w:rPr>
  </w:style>
  <w:style w:type="character" w:customStyle="1" w:styleId="5Char">
    <w:name w:val="标题 5 Char"/>
    <w:basedOn w:val="a0"/>
    <w:link w:val="5"/>
    <w:uiPriority w:val="9"/>
    <w:qFormat/>
    <w:rsid w:val="007C73EF"/>
    <w:rPr>
      <w:rFonts w:ascii="Times New Roman" w:eastAsia="仿宋_GB2312" w:hAnsi="Times New Roman" w:cs="Times New Roman"/>
      <w:b/>
      <w:bCs/>
      <w:snapToGrid w:val="0"/>
      <w:sz w:val="28"/>
      <w:szCs w:val="28"/>
    </w:rPr>
  </w:style>
  <w:style w:type="character" w:customStyle="1" w:styleId="Char3">
    <w:name w:val="页脚 Char"/>
    <w:basedOn w:val="a0"/>
    <w:link w:val="a9"/>
    <w:uiPriority w:val="99"/>
    <w:qFormat/>
    <w:rsid w:val="007C73EF"/>
    <w:rPr>
      <w:rFonts w:ascii="Times New Roman" w:eastAsia="Adobe 仿宋 Std R" w:hAnsi="Times New Roman" w:cs="Times New Roman"/>
      <w:kern w:val="2"/>
      <w:sz w:val="18"/>
      <w:szCs w:val="24"/>
    </w:rPr>
  </w:style>
  <w:style w:type="character" w:customStyle="1" w:styleId="Char4">
    <w:name w:val="页眉 Char"/>
    <w:basedOn w:val="a0"/>
    <w:link w:val="aa"/>
    <w:uiPriority w:val="99"/>
    <w:qFormat/>
    <w:rsid w:val="007C73EF"/>
    <w:rPr>
      <w:rFonts w:ascii="DejaVu Sans" w:eastAsia="Adobe 仿宋 Std R" w:hAnsi="DejaVu Sans" w:cs="Times New Roman"/>
      <w:kern w:val="2"/>
      <w:sz w:val="18"/>
      <w:szCs w:val="24"/>
    </w:rPr>
  </w:style>
  <w:style w:type="paragraph" w:customStyle="1" w:styleId="10">
    <w:name w:val="列出段落1"/>
    <w:basedOn w:val="a"/>
    <w:link w:val="Char8"/>
    <w:uiPriority w:val="34"/>
    <w:qFormat/>
    <w:rsid w:val="007C73EF"/>
    <w:pPr>
      <w:ind w:firstLineChars="200" w:firstLine="420"/>
    </w:pPr>
    <w:rPr>
      <w:rFonts w:eastAsia="仿宋_GB2312"/>
      <w:szCs w:val="32"/>
    </w:rPr>
  </w:style>
  <w:style w:type="character" w:customStyle="1" w:styleId="Char8">
    <w:name w:val="列出段落 Char"/>
    <w:basedOn w:val="a0"/>
    <w:link w:val="10"/>
    <w:uiPriority w:val="34"/>
    <w:qFormat/>
    <w:rsid w:val="007C73EF"/>
    <w:rPr>
      <w:rFonts w:ascii="Times New Roman" w:eastAsia="仿宋_GB2312" w:hAnsi="Times New Roman" w:cs="Times New Roman"/>
      <w:sz w:val="32"/>
      <w:szCs w:val="32"/>
    </w:rPr>
  </w:style>
  <w:style w:type="character" w:customStyle="1" w:styleId="Char10">
    <w:name w:val="批注框文本 Char1"/>
    <w:basedOn w:val="a0"/>
    <w:link w:val="a8"/>
    <w:qFormat/>
    <w:rsid w:val="007C73EF"/>
    <w:rPr>
      <w:rFonts w:ascii="Times New Roman" w:eastAsia="Adobe 仿宋 Std R" w:hAnsi="Times New Roman" w:cs="Times New Roman"/>
      <w:kern w:val="2"/>
      <w:sz w:val="18"/>
      <w:szCs w:val="18"/>
    </w:rPr>
  </w:style>
  <w:style w:type="paragraph" w:styleId="af4">
    <w:name w:val="List Paragraph"/>
    <w:basedOn w:val="a"/>
    <w:link w:val="Char11"/>
    <w:uiPriority w:val="34"/>
    <w:unhideWhenUsed/>
    <w:qFormat/>
    <w:rsid w:val="007C73EF"/>
    <w:pPr>
      <w:ind w:firstLineChars="200" w:firstLine="420"/>
    </w:pPr>
  </w:style>
  <w:style w:type="character" w:customStyle="1" w:styleId="Char11">
    <w:name w:val="列出段落 Char1"/>
    <w:link w:val="af4"/>
    <w:uiPriority w:val="34"/>
    <w:qFormat/>
    <w:rsid w:val="007C73EF"/>
    <w:rPr>
      <w:rFonts w:ascii="Times New Roman" w:eastAsia="Adobe 仿宋 Std R" w:hAnsi="Times New Roman" w:cs="Times New Roman"/>
      <w:kern w:val="2"/>
      <w:sz w:val="32"/>
      <w:szCs w:val="24"/>
    </w:rPr>
  </w:style>
  <w:style w:type="character" w:customStyle="1" w:styleId="Char1">
    <w:name w:val="批注文字 Char1"/>
    <w:basedOn w:val="a0"/>
    <w:link w:val="a4"/>
    <w:qFormat/>
    <w:rsid w:val="007C73EF"/>
    <w:rPr>
      <w:rFonts w:ascii="Times New Roman" w:eastAsia="Adobe 仿宋 Std R" w:hAnsi="Times New Roman" w:cs="Times New Roman"/>
      <w:kern w:val="2"/>
      <w:sz w:val="32"/>
      <w:szCs w:val="24"/>
    </w:rPr>
  </w:style>
  <w:style w:type="character" w:customStyle="1" w:styleId="Char7">
    <w:name w:val="批注主题 Char"/>
    <w:basedOn w:val="Char1"/>
    <w:link w:val="ad"/>
    <w:uiPriority w:val="99"/>
    <w:qFormat/>
    <w:rsid w:val="007C73EF"/>
    <w:rPr>
      <w:rFonts w:ascii="Times New Roman" w:eastAsia="Adobe 仿宋 Std R" w:hAnsi="Times New Roman" w:cs="Times New Roman"/>
      <w:b/>
      <w:bCs/>
      <w:kern w:val="2"/>
      <w:sz w:val="32"/>
      <w:szCs w:val="24"/>
    </w:rPr>
  </w:style>
  <w:style w:type="paragraph" w:customStyle="1" w:styleId="Style28">
    <w:name w:val="_Style 28"/>
    <w:basedOn w:val="a"/>
    <w:next w:val="af4"/>
    <w:uiPriority w:val="34"/>
    <w:qFormat/>
    <w:rsid w:val="007C73EF"/>
    <w:pPr>
      <w:ind w:firstLineChars="200" w:firstLine="420"/>
    </w:pPr>
    <w:rPr>
      <w:rFonts w:eastAsia="宋体"/>
      <w:sz w:val="21"/>
    </w:rPr>
  </w:style>
  <w:style w:type="character" w:customStyle="1" w:styleId="Char">
    <w:name w:val="正文文本 Char"/>
    <w:basedOn w:val="a0"/>
    <w:link w:val="a5"/>
    <w:qFormat/>
    <w:rsid w:val="007C73EF"/>
    <w:rPr>
      <w:rFonts w:ascii="Times New Roman" w:eastAsia="仿宋_GB2312" w:hAnsi="Times New Roman" w:cs="Times New Roman"/>
      <w:snapToGrid w:val="0"/>
      <w:sz w:val="32"/>
      <w:szCs w:val="32"/>
    </w:rPr>
  </w:style>
  <w:style w:type="character" w:customStyle="1" w:styleId="Char5">
    <w:name w:val="副标题 Char"/>
    <w:basedOn w:val="a0"/>
    <w:link w:val="ab"/>
    <w:uiPriority w:val="11"/>
    <w:qFormat/>
    <w:rsid w:val="007C73EF"/>
    <w:rPr>
      <w:rFonts w:ascii="Cambria" w:eastAsia="仿宋_GB2312" w:hAnsi="Cambria" w:cs="Times New Roman"/>
      <w:b/>
      <w:bCs/>
      <w:snapToGrid w:val="0"/>
      <w:kern w:val="28"/>
      <w:sz w:val="32"/>
      <w:szCs w:val="32"/>
      <w:lang w:val="zh-CN"/>
    </w:rPr>
  </w:style>
  <w:style w:type="paragraph" w:customStyle="1" w:styleId="11">
    <w:name w:val="修订1"/>
    <w:hidden/>
    <w:uiPriority w:val="99"/>
    <w:semiHidden/>
    <w:qFormat/>
    <w:rsid w:val="007C73EF"/>
    <w:rPr>
      <w:rFonts w:ascii="Times New Roman" w:eastAsia="仿宋_GB2312" w:hAnsi="Times New Roman" w:cs="Times New Roman"/>
      <w:snapToGrid w:val="0"/>
      <w:kern w:val="2"/>
      <w:sz w:val="21"/>
      <w:szCs w:val="32"/>
    </w:rPr>
  </w:style>
  <w:style w:type="character" w:customStyle="1" w:styleId="Char0">
    <w:name w:val="纯文本 Char"/>
    <w:basedOn w:val="a0"/>
    <w:link w:val="a6"/>
    <w:qFormat/>
    <w:rsid w:val="007C73EF"/>
    <w:rPr>
      <w:rFonts w:asciiTheme="minorEastAsia" w:hAnsi="Courier New" w:cs="Courier New"/>
      <w:snapToGrid w:val="0"/>
      <w:sz w:val="32"/>
      <w:szCs w:val="32"/>
    </w:rPr>
  </w:style>
  <w:style w:type="character" w:styleId="af5">
    <w:name w:val="Placeholder Text"/>
    <w:basedOn w:val="a0"/>
    <w:uiPriority w:val="99"/>
    <w:semiHidden/>
    <w:qFormat/>
    <w:rsid w:val="007C73EF"/>
    <w:rPr>
      <w:color w:val="808080"/>
    </w:rPr>
  </w:style>
  <w:style w:type="table" w:customStyle="1" w:styleId="TableNormal1">
    <w:name w:val="Table Normal1"/>
    <w:uiPriority w:val="2"/>
    <w:semiHidden/>
    <w:unhideWhenUsed/>
    <w:qFormat/>
    <w:rsid w:val="007C73EF"/>
    <w:pPr>
      <w:widowControl w:val="0"/>
      <w:autoSpaceDE w:val="0"/>
      <w:autoSpaceDN w:val="0"/>
    </w:pPr>
    <w:rPr>
      <w:rFonts w:ascii="Calibri" w:eastAsia="宋体" w:hAnsi="Calibri" w:cs="Times New Roman"/>
      <w:sz w:val="22"/>
      <w:szCs w:val="22"/>
      <w:lang w:eastAsia="en-US"/>
    </w:rPr>
    <w:tblPr>
      <w:tblCellMar>
        <w:top w:w="0" w:type="dxa"/>
        <w:left w:w="0" w:type="dxa"/>
        <w:bottom w:w="0" w:type="dxa"/>
        <w:right w:w="0" w:type="dxa"/>
      </w:tblCellMar>
    </w:tblPr>
  </w:style>
  <w:style w:type="table" w:customStyle="1" w:styleId="12">
    <w:name w:val="网格型1"/>
    <w:basedOn w:val="a1"/>
    <w:qFormat/>
    <w:rsid w:val="007C73EF"/>
    <w:pPr>
      <w:widowControl w:val="0"/>
      <w:jc w:val="both"/>
    </w:pPr>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uiPriority w:val="39"/>
    <w:qFormat/>
    <w:rsid w:val="007C73EF"/>
    <w:rPr>
      <w:rFonts w:ascii="Times New Roman" w:eastAsia="宋体" w:hAnsi="Times New Roman" w:cs="Times New Roman"/>
      <w:color w:val="00000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4">
    <w:name w:val="Table Normal14"/>
    <w:uiPriority w:val="2"/>
    <w:semiHidden/>
    <w:unhideWhenUsed/>
    <w:qFormat/>
    <w:rsid w:val="007C73EF"/>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30">
    <w:name w:val="网格型3"/>
    <w:basedOn w:val="a1"/>
    <w:uiPriority w:val="39"/>
    <w:qFormat/>
    <w:rsid w:val="007C73EF"/>
    <w:rPr>
      <w:rFonts w:ascii="Times New Roman" w:eastAsia="宋体" w:hAnsi="Times New Roman" w:cs="Times New Roman"/>
      <w:color w:val="00000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
    <w:name w:val="Table Normal11"/>
    <w:uiPriority w:val="2"/>
    <w:semiHidden/>
    <w:unhideWhenUsed/>
    <w:qFormat/>
    <w:rsid w:val="007C73EF"/>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TableNormal12">
    <w:name w:val="Table Normal12"/>
    <w:uiPriority w:val="2"/>
    <w:semiHidden/>
    <w:unhideWhenUsed/>
    <w:qFormat/>
    <w:rsid w:val="007C73EF"/>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character" w:customStyle="1" w:styleId="Char6">
    <w:name w:val="脚注文本 Char"/>
    <w:basedOn w:val="a0"/>
    <w:link w:val="ac"/>
    <w:qFormat/>
    <w:rsid w:val="007C73EF"/>
    <w:rPr>
      <w:rFonts w:ascii="Times New Roman" w:eastAsia="仿宋_GB2312" w:hAnsi="Times New Roman" w:cs="Times New Roman"/>
      <w:snapToGrid w:val="0"/>
      <w:sz w:val="18"/>
      <w:szCs w:val="18"/>
    </w:rPr>
  </w:style>
  <w:style w:type="character" w:customStyle="1" w:styleId="Char2">
    <w:name w:val="尾注文本 Char"/>
    <w:basedOn w:val="a0"/>
    <w:link w:val="a7"/>
    <w:semiHidden/>
    <w:qFormat/>
    <w:rsid w:val="007C73EF"/>
    <w:rPr>
      <w:rFonts w:ascii="Times New Roman" w:eastAsia="仿宋_GB2312" w:hAnsi="Times New Roman" w:cs="Times New Roman"/>
      <w:snapToGrid w:val="0"/>
      <w:sz w:val="32"/>
      <w:szCs w:val="32"/>
    </w:rPr>
  </w:style>
  <w:style w:type="paragraph" w:customStyle="1" w:styleId="Af6">
    <w:name w:val="正文A"/>
    <w:qFormat/>
    <w:rsid w:val="007C73EF"/>
    <w:pPr>
      <w:widowControl w:val="0"/>
      <w:spacing w:line="600" w:lineRule="exact"/>
      <w:ind w:firstLine="720"/>
      <w:jc w:val="both"/>
    </w:pPr>
    <w:rPr>
      <w:rFonts w:ascii="仿宋_GB2312" w:eastAsia="仿宋_GB2312" w:hAnsi="黑体" w:cs="Times New Roman"/>
      <w:kern w:val="2"/>
      <w:sz w:val="32"/>
      <w:szCs w:val="32"/>
    </w:rPr>
  </w:style>
  <w:style w:type="paragraph" w:customStyle="1" w:styleId="21">
    <w:name w:val="修订2"/>
    <w:hidden/>
    <w:uiPriority w:val="99"/>
    <w:semiHidden/>
    <w:qFormat/>
    <w:rsid w:val="007C73EF"/>
    <w:rPr>
      <w:rFonts w:ascii="Times New Roman" w:eastAsia="仿宋_GB2312" w:hAnsi="Times New Roman" w:cs="Times New Roman"/>
      <w:snapToGrid w:val="0"/>
      <w:sz w:val="32"/>
      <w:szCs w:val="32"/>
    </w:rPr>
  </w:style>
  <w:style w:type="character" w:customStyle="1" w:styleId="Char9">
    <w:name w:val="批注框文本 Char"/>
    <w:uiPriority w:val="99"/>
    <w:semiHidden/>
    <w:qFormat/>
    <w:rsid w:val="007C73EF"/>
    <w:rPr>
      <w:rFonts w:ascii="Times New Roman" w:hAnsi="Times New Roman"/>
      <w:kern w:val="2"/>
      <w:sz w:val="18"/>
      <w:szCs w:val="18"/>
    </w:rPr>
  </w:style>
  <w:style w:type="character" w:customStyle="1" w:styleId="Chara">
    <w:name w:val="批注文字 Char"/>
    <w:qFormat/>
    <w:rsid w:val="007C73EF"/>
    <w:rPr>
      <w:rFonts w:ascii="Times New Roman" w:hAnsi="Times New Roman"/>
      <w:kern w:val="2"/>
      <w:sz w:val="21"/>
      <w:szCs w:val="24"/>
    </w:rPr>
  </w:style>
  <w:style w:type="character" w:customStyle="1" w:styleId="af7">
    <w:name w:val="无"/>
    <w:qFormat/>
    <w:rsid w:val="007C73EF"/>
  </w:style>
  <w:style w:type="character" w:customStyle="1" w:styleId="FontStyle47">
    <w:name w:val="Font Style47"/>
    <w:qFormat/>
    <w:rsid w:val="007C73EF"/>
    <w:rPr>
      <w:rFonts w:ascii="Times New Roman" w:hAnsi="Times New Roman" w:cs="Times New Roman"/>
      <w:sz w:val="22"/>
      <w:szCs w:val="22"/>
    </w:rPr>
  </w:style>
  <w:style w:type="character" w:customStyle="1" w:styleId="shorttext">
    <w:name w:val="short_text"/>
    <w:qFormat/>
    <w:rsid w:val="007C73EF"/>
  </w:style>
  <w:style w:type="paragraph" w:customStyle="1" w:styleId="af8">
    <w:name w:val="调查项目"/>
    <w:basedOn w:val="a"/>
    <w:qFormat/>
    <w:rsid w:val="007C73EF"/>
    <w:pPr>
      <w:widowControl/>
      <w:jc w:val="left"/>
      <w:outlineLvl w:val="1"/>
    </w:pPr>
    <w:rPr>
      <w:rFonts w:ascii="Tahoma" w:eastAsia="黑体" w:hAnsi="Tahoma"/>
      <w:bCs/>
      <w:color w:val="333399"/>
      <w:kern w:val="0"/>
      <w:sz w:val="18"/>
      <w:szCs w:val="18"/>
    </w:rPr>
  </w:style>
  <w:style w:type="paragraph" w:customStyle="1" w:styleId="Af9">
    <w:name w:val="正文 A"/>
    <w:qFormat/>
    <w:rsid w:val="007C73EF"/>
    <w:pPr>
      <w:widowControl w:val="0"/>
      <w:pBdr>
        <w:top w:val="none" w:sz="0" w:space="31" w:color="FFFFFF"/>
        <w:left w:val="none" w:sz="0" w:space="31" w:color="FFFFFF"/>
        <w:bottom w:val="none" w:sz="0" w:space="31" w:color="FFFFFF"/>
        <w:right w:val="none" w:sz="0" w:space="31" w:color="FFFFFF"/>
      </w:pBdr>
      <w:jc w:val="both"/>
    </w:pPr>
    <w:rPr>
      <w:rFonts w:ascii="Times New Roman" w:eastAsia="Times New Roman" w:hAnsi="Times New Roman" w:cs="Arial Unicode MS"/>
      <w:color w:val="000000"/>
      <w:kern w:val="2"/>
      <w:sz w:val="21"/>
      <w:szCs w:val="21"/>
      <w:u w:color="000000"/>
    </w:rPr>
  </w:style>
  <w:style w:type="paragraph" w:customStyle="1" w:styleId="afa">
    <w:name w:val="列标题"/>
    <w:basedOn w:val="2"/>
    <w:qFormat/>
    <w:rsid w:val="007C73EF"/>
    <w:pPr>
      <w:keepNext w:val="0"/>
      <w:keepLines w:val="0"/>
      <w:widowControl/>
      <w:spacing w:before="0" w:after="0" w:line="240" w:lineRule="auto"/>
      <w:ind w:firstLineChars="0" w:firstLine="0"/>
      <w:jc w:val="center"/>
    </w:pPr>
    <w:rPr>
      <w:rFonts w:ascii="Tahoma" w:hAnsi="Tahoma"/>
      <w:b w:val="0"/>
      <w:snapToGrid/>
      <w:color w:val="333399"/>
      <w:sz w:val="18"/>
      <w:szCs w:val="18"/>
      <w:lang w:val="en-US"/>
    </w:rPr>
  </w:style>
  <w:style w:type="paragraph" w:customStyle="1" w:styleId="Default">
    <w:name w:val="Default"/>
    <w:qFormat/>
    <w:rsid w:val="007C73EF"/>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afb">
    <w:name w:val="表格正文文本"/>
    <w:basedOn w:val="a"/>
    <w:qFormat/>
    <w:rsid w:val="007C73EF"/>
    <w:pPr>
      <w:widowControl/>
      <w:jc w:val="center"/>
    </w:pPr>
    <w:rPr>
      <w:rFonts w:ascii="Tahoma" w:eastAsia="宋体" w:hAnsi="Tahoma"/>
      <w:kern w:val="0"/>
      <w:sz w:val="18"/>
      <w:szCs w:val="20"/>
    </w:rPr>
  </w:style>
  <w:style w:type="paragraph" w:customStyle="1" w:styleId="31">
    <w:name w:val="修订3"/>
    <w:hidden/>
    <w:uiPriority w:val="99"/>
    <w:semiHidden/>
    <w:rsid w:val="007C73EF"/>
    <w:rPr>
      <w:rFonts w:ascii="Times New Roman" w:eastAsia="Adobe 仿宋 Std R" w:hAnsi="Times New Roman" w:cs="Times New Roman"/>
      <w:kern w:val="2"/>
      <w:sz w:val="32"/>
      <w:szCs w:val="24"/>
    </w:rPr>
  </w:style>
  <w:style w:type="paragraph" w:styleId="afc">
    <w:name w:val="Revision"/>
    <w:hidden/>
    <w:uiPriority w:val="99"/>
    <w:unhideWhenUsed/>
    <w:rsid w:val="006D67E6"/>
    <w:rPr>
      <w:rFonts w:ascii="Times New Roman" w:eastAsia="Adobe 仿宋 Std R" w:hAnsi="Times New Roman" w:cs="Times New Roman"/>
      <w:kern w:val="2"/>
      <w:sz w:val="32"/>
      <w:szCs w:val="24"/>
    </w:rPr>
  </w:style>
  <w:style w:type="character" w:styleId="afd">
    <w:name w:val="line number"/>
    <w:basedOn w:val="a0"/>
    <w:semiHidden/>
    <w:unhideWhenUsed/>
    <w:rsid w:val="00B97007"/>
  </w:style>
  <w:style w:type="paragraph" w:styleId="HTML">
    <w:name w:val="HTML Preformatted"/>
    <w:basedOn w:val="a"/>
    <w:next w:val="a6"/>
    <w:link w:val="HTMLChar"/>
    <w:unhideWhenUsed/>
    <w:qFormat/>
    <w:rsid w:val="006A52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rsid w:val="006A52C7"/>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16A18-F36E-4C9B-BE85-D7806F6B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19</Pages>
  <Words>1630</Words>
  <Characters>9292</Characters>
  <Application>Microsoft Office Word</Application>
  <DocSecurity>0</DocSecurity>
  <Lines>77</Lines>
  <Paragraphs>21</Paragraphs>
  <ScaleCrop>false</ScaleCrop>
  <Company>Microsoft</Company>
  <LinksUpToDate>false</LinksUpToDate>
  <CharactersWithSpaces>10901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刘柏东</cp:lastModifiedBy>
  <cp:revision>17</cp:revision>
  <cp:lastPrinted>2022-07-18T13:28:00Z</cp:lastPrinted>
  <dcterms:created xsi:type="dcterms:W3CDTF">2023-09-25T02:27:00Z</dcterms:created>
  <dcterms:modified xsi:type="dcterms:W3CDTF">2023-09-26T06:45:00Z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91F56C0AE9954E1DAC9A05EDE3994D5A_12</vt:lpwstr>
  </property>
</Properties>
</file>