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eastAsia="方正小标宋简体"/>
          <w:sz w:val="44"/>
          <w:szCs w:val="44"/>
        </w:rPr>
      </w:pPr>
      <w:r>
        <w:rPr>
          <w:rFonts w:hint="eastAsia" w:eastAsia="方正小标宋简体"/>
          <w:sz w:val="44"/>
          <w:szCs w:val="44"/>
        </w:rPr>
        <w:t>个体化用药基因检测试剂临床评价指导原则</w:t>
      </w:r>
    </w:p>
    <w:p>
      <w:pPr>
        <w:spacing w:line="360" w:lineRule="auto"/>
        <w:ind w:firstLine="880" w:firstLineChars="200"/>
        <w:contextualSpacing/>
        <w:jc w:val="center"/>
        <w:rPr>
          <w:rFonts w:hint="eastAsia" w:eastAsia="方正小标宋简体"/>
          <w:sz w:val="44"/>
          <w:szCs w:val="44"/>
        </w:rPr>
      </w:pPr>
      <w:r>
        <w:rPr>
          <w:rFonts w:eastAsia="方正小标宋简体"/>
          <w:sz w:val="44"/>
          <w:szCs w:val="44"/>
        </w:rPr>
        <w:t>(</w:t>
      </w:r>
      <w:r>
        <w:rPr>
          <w:rFonts w:hint="eastAsia" w:eastAsia="方正小标宋简体"/>
          <w:sz w:val="44"/>
          <w:szCs w:val="44"/>
        </w:rPr>
        <w:t>征求</w:t>
      </w:r>
      <w:r>
        <w:rPr>
          <w:rFonts w:eastAsia="方正小标宋简体"/>
          <w:sz w:val="44"/>
          <w:szCs w:val="44"/>
        </w:rPr>
        <w:t>意见稿</w:t>
      </w:r>
      <w:r>
        <w:rPr>
          <w:rFonts w:hint="eastAsia" w:eastAsia="方正小标宋简体"/>
          <w:sz w:val="44"/>
          <w:szCs w:val="44"/>
        </w:rPr>
        <w:t>)</w:t>
      </w:r>
    </w:p>
    <w:p>
      <w:pPr>
        <w:spacing w:line="360" w:lineRule="auto"/>
        <w:ind w:firstLine="640" w:firstLineChars="200"/>
        <w:contextualSpacing/>
        <w:rPr>
          <w:rFonts w:eastAsia="仿宋_GB2312"/>
          <w:sz w:val="32"/>
          <w:szCs w:val="32"/>
        </w:rPr>
      </w:pPr>
      <w:r>
        <w:rPr>
          <w:rFonts w:eastAsia="仿宋_GB2312"/>
          <w:sz w:val="32"/>
          <w:szCs w:val="32"/>
        </w:rPr>
        <w:t>本指导原则旨在指导注册申请人对</w:t>
      </w:r>
      <w:r>
        <w:rPr>
          <w:rFonts w:hint="eastAsia" w:eastAsia="仿宋_GB2312"/>
          <w:sz w:val="32"/>
          <w:szCs w:val="32"/>
        </w:rPr>
        <w:t>个体化用药基因</w:t>
      </w:r>
      <w:r>
        <w:rPr>
          <w:rFonts w:eastAsia="仿宋_GB2312"/>
          <w:sz w:val="32"/>
          <w:szCs w:val="32"/>
        </w:rPr>
        <w:t>检测试剂</w:t>
      </w:r>
      <w:r>
        <w:rPr>
          <w:rFonts w:hint="eastAsia" w:eastAsia="仿宋_GB2312"/>
          <w:sz w:val="32"/>
          <w:szCs w:val="32"/>
        </w:rPr>
        <w:t>临床评价资料</w:t>
      </w:r>
      <w:r>
        <w:rPr>
          <w:rFonts w:eastAsia="仿宋_GB2312"/>
          <w:sz w:val="32"/>
          <w:szCs w:val="32"/>
        </w:rPr>
        <w:t>的准备及撰写，同时也为技术审评部门提供参考。</w:t>
      </w:r>
    </w:p>
    <w:p>
      <w:pPr>
        <w:spacing w:line="360" w:lineRule="auto"/>
        <w:ind w:firstLine="640" w:firstLineChars="200"/>
        <w:contextualSpacing/>
        <w:rPr>
          <w:rFonts w:eastAsia="仿宋_GB2312"/>
          <w:sz w:val="32"/>
          <w:szCs w:val="32"/>
        </w:rPr>
      </w:pPr>
      <w:r>
        <w:rPr>
          <w:rFonts w:eastAsia="仿宋_GB2312"/>
          <w:sz w:val="32"/>
          <w:szCs w:val="32"/>
        </w:rPr>
        <w:t>本指导原则是对</w:t>
      </w:r>
      <w:r>
        <w:rPr>
          <w:rFonts w:hint="eastAsia" w:eastAsia="仿宋_GB2312"/>
          <w:sz w:val="32"/>
          <w:szCs w:val="32"/>
        </w:rPr>
        <w:t>个体化用药基因</w:t>
      </w:r>
      <w:r>
        <w:rPr>
          <w:rFonts w:eastAsia="仿宋_GB2312"/>
          <w:sz w:val="32"/>
          <w:szCs w:val="32"/>
        </w:rPr>
        <w:t>检测试剂</w:t>
      </w:r>
      <w:r>
        <w:rPr>
          <w:rFonts w:hint="eastAsia" w:eastAsia="仿宋_GB2312"/>
          <w:sz w:val="32"/>
          <w:szCs w:val="32"/>
        </w:rPr>
        <w:t>临床评价</w:t>
      </w:r>
      <w:r>
        <w:rPr>
          <w:rFonts w:eastAsia="仿宋_GB2312"/>
          <w:sz w:val="32"/>
          <w:szCs w:val="32"/>
        </w:rPr>
        <w:t>的一般要求，申请人应依据产品的具体特性确定其中内容是否适用，若不适用，需具体阐述理由及相应的科学依据，并依据产品的具体特性对注册申报资料的内容进行充实和细化。</w:t>
      </w:r>
    </w:p>
    <w:p>
      <w:pPr>
        <w:spacing w:line="360" w:lineRule="auto"/>
        <w:ind w:firstLine="640" w:firstLineChars="200"/>
        <w:contextualSpacing/>
        <w:rPr>
          <w:rFonts w:eastAsia="仿宋_GB2312"/>
          <w:sz w:val="32"/>
          <w:szCs w:val="32"/>
        </w:rPr>
      </w:pPr>
      <w:r>
        <w:rPr>
          <w:rFonts w:eastAsia="仿宋_GB2312"/>
          <w:sz w:val="32"/>
          <w:szCs w:val="32"/>
        </w:rPr>
        <w:t>本指导原则是供注册申请人和技术审查人员的指导性文件，但不包括审评审批所涉及的行政事项，亦不作为法规强制执行，应在遵循相关法规的前提下使用本指导原则。如果有能够满足相关法规要求的其他方法，也可以采用，但需要提供详细的研究资料和验证资料。</w:t>
      </w:r>
    </w:p>
    <w:p>
      <w:pPr>
        <w:spacing w:line="360" w:lineRule="auto"/>
        <w:ind w:firstLine="640" w:firstLineChars="200"/>
        <w:contextualSpacing/>
        <w:rPr>
          <w:rFonts w:eastAsia="仿宋_GB2312"/>
          <w:sz w:val="32"/>
          <w:szCs w:val="32"/>
        </w:rPr>
      </w:pPr>
      <w:r>
        <w:rPr>
          <w:rFonts w:eastAsia="仿宋_GB2312"/>
          <w:sz w:val="32"/>
          <w:szCs w:val="32"/>
        </w:rPr>
        <w:t>本指导原则是在现行法规和标准体系以及当前认知水平下制定的，随着法规和标准的不断完善，以及科学技术的不断发展，相关内容也将适时进行调整。</w:t>
      </w:r>
    </w:p>
    <w:p>
      <w:pPr>
        <w:pStyle w:val="25"/>
        <w:numPr>
          <w:ilvl w:val="0"/>
          <w:numId w:val="1"/>
        </w:numPr>
        <w:spacing w:line="360" w:lineRule="auto"/>
        <w:ind w:firstLineChars="0"/>
        <w:contextualSpacing/>
        <w:rPr>
          <w:rFonts w:eastAsia="黑体"/>
          <w:sz w:val="32"/>
          <w:szCs w:val="32"/>
        </w:rPr>
      </w:pPr>
      <w:r>
        <w:rPr>
          <w:rFonts w:eastAsia="黑体"/>
          <w:sz w:val="32"/>
          <w:szCs w:val="32"/>
        </w:rPr>
        <w:t>适用范围</w:t>
      </w:r>
    </w:p>
    <w:p>
      <w:pPr>
        <w:spacing w:line="360" w:lineRule="auto"/>
        <w:ind w:firstLine="640" w:firstLineChars="200"/>
        <w:contextualSpacing/>
        <w:rPr>
          <w:rFonts w:eastAsia="仿宋_GB2312"/>
          <w:sz w:val="32"/>
          <w:szCs w:val="32"/>
        </w:rPr>
      </w:pPr>
      <w:r>
        <w:rPr>
          <w:rFonts w:hint="eastAsia" w:eastAsia="仿宋_GB2312"/>
          <w:sz w:val="32"/>
          <w:szCs w:val="32"/>
        </w:rPr>
        <w:t>近年来，药物基因组学得到了迅猛发展，越来越多的药物基因组生物标记物相继涌现，比较典型的标志物如：药物代谢酶、和药物作用靶点的基因变异。</w:t>
      </w:r>
    </w:p>
    <w:p>
      <w:pPr>
        <w:spacing w:line="360" w:lineRule="auto"/>
        <w:ind w:firstLine="640" w:firstLineChars="200"/>
        <w:contextualSpacing/>
        <w:rPr>
          <w:rFonts w:eastAsia="仿宋_GB2312"/>
          <w:sz w:val="32"/>
          <w:szCs w:val="32"/>
        </w:rPr>
      </w:pPr>
      <w:r>
        <w:rPr>
          <w:rFonts w:hint="eastAsia" w:eastAsia="仿宋_GB2312"/>
          <w:sz w:val="32"/>
          <w:szCs w:val="32"/>
        </w:rPr>
        <w:t>药物代谢酶和药物作用靶点的基因变异可通过影响药物的体内浓度和靶组织对药物的敏感性，导致药物反应（如药物疗效和药品不良反应）的个体差异。药物基因组生物标志物的检测，即个体化用药基因检测，是临床实施个体化药物治疗的前提。</w:t>
      </w:r>
    </w:p>
    <w:p>
      <w:pPr>
        <w:spacing w:line="360" w:lineRule="auto"/>
        <w:ind w:firstLine="640" w:firstLineChars="200"/>
        <w:contextualSpacing/>
        <w:rPr>
          <w:rFonts w:eastAsia="仿宋_GB2312"/>
          <w:sz w:val="32"/>
          <w:szCs w:val="32"/>
        </w:rPr>
      </w:pPr>
      <w:r>
        <w:rPr>
          <w:rFonts w:hint="eastAsia" w:eastAsia="仿宋_GB2312"/>
          <w:sz w:val="32"/>
          <w:szCs w:val="32"/>
        </w:rPr>
        <w:t>个体化用药基因检测目的主要有以下两方面：</w:t>
      </w:r>
    </w:p>
    <w:p>
      <w:pPr>
        <w:spacing w:line="360" w:lineRule="auto"/>
        <w:ind w:firstLine="640" w:firstLineChars="200"/>
        <w:contextualSpacing/>
        <w:rPr>
          <w:rFonts w:eastAsia="仿宋_GB2312"/>
          <w:sz w:val="32"/>
          <w:szCs w:val="32"/>
        </w:rPr>
      </w:pPr>
      <w:r>
        <w:rPr>
          <w:rFonts w:hint="eastAsia" w:eastAsia="仿宋_GB2312"/>
          <w:sz w:val="32"/>
          <w:szCs w:val="32"/>
        </w:rPr>
        <w:t>1.</w:t>
      </w:r>
      <w:r>
        <w:rPr>
          <w:rFonts w:eastAsia="仿宋_GB2312"/>
          <w:sz w:val="32"/>
          <w:szCs w:val="32"/>
        </w:rPr>
        <w:t xml:space="preserve"> </w:t>
      </w:r>
      <w:r>
        <w:rPr>
          <w:rFonts w:hint="eastAsia" w:eastAsia="仿宋_GB2312"/>
          <w:sz w:val="32"/>
          <w:szCs w:val="32"/>
        </w:rPr>
        <w:t>根据个体遗传信息预测药物疗效，从而调整用药剂量或更换用药种类，以改善药物疗效。</w:t>
      </w:r>
    </w:p>
    <w:p>
      <w:pPr>
        <w:spacing w:line="360" w:lineRule="auto"/>
        <w:ind w:firstLine="640" w:firstLineChars="200"/>
        <w:contextualSpacing/>
        <w:rPr>
          <w:rFonts w:eastAsia="仿宋_GB2312"/>
          <w:sz w:val="32"/>
          <w:szCs w:val="32"/>
        </w:rPr>
      </w:pPr>
      <w:r>
        <w:rPr>
          <w:rFonts w:hint="eastAsia" w:eastAsia="仿宋_GB2312"/>
          <w:sz w:val="32"/>
          <w:szCs w:val="32"/>
        </w:rPr>
        <w:t>2.</w:t>
      </w:r>
      <w:r>
        <w:rPr>
          <w:rFonts w:eastAsia="仿宋_GB2312"/>
          <w:sz w:val="32"/>
          <w:szCs w:val="32"/>
        </w:rPr>
        <w:t xml:space="preserve"> </w:t>
      </w:r>
      <w:r>
        <w:rPr>
          <w:rFonts w:hint="eastAsia" w:eastAsia="仿宋_GB2312"/>
          <w:sz w:val="32"/>
          <w:szCs w:val="32"/>
        </w:rPr>
        <w:t>根据个体遗传信息预测药物不良反应，从而调整用药剂量或更换用药种类，以避免或减少药品不良反应。</w:t>
      </w:r>
    </w:p>
    <w:p>
      <w:pPr>
        <w:spacing w:line="360" w:lineRule="auto"/>
        <w:ind w:firstLine="640" w:firstLineChars="200"/>
        <w:contextualSpacing/>
        <w:rPr>
          <w:rFonts w:eastAsia="仿宋_GB2312"/>
          <w:sz w:val="32"/>
          <w:szCs w:val="32"/>
        </w:rPr>
      </w:pPr>
      <w:r>
        <w:rPr>
          <w:rFonts w:eastAsia="仿宋_GB2312"/>
          <w:sz w:val="32"/>
          <w:szCs w:val="32"/>
        </w:rPr>
        <w:t>本指导原则</w:t>
      </w:r>
      <w:r>
        <w:rPr>
          <w:rFonts w:hint="eastAsia" w:eastAsia="仿宋_GB2312"/>
          <w:sz w:val="32"/>
          <w:szCs w:val="32"/>
        </w:rPr>
        <w:t>所述个体化用药基因检测试剂即指药物代谢酶和药物作用靶点基因变异检测试剂，</w:t>
      </w:r>
      <w:r>
        <w:rPr>
          <w:rFonts w:eastAsia="仿宋_GB2312"/>
          <w:sz w:val="32"/>
          <w:szCs w:val="32"/>
        </w:rPr>
        <w:t>适用于</w:t>
      </w:r>
      <w:r>
        <w:rPr>
          <w:rFonts w:hint="eastAsia" w:eastAsia="仿宋_GB2312"/>
          <w:sz w:val="32"/>
          <w:szCs w:val="32"/>
        </w:rPr>
        <w:t>采用基因检测方法检测人体样本中基因组特定变异，从而指导特定药物使用的检测试剂。</w:t>
      </w:r>
    </w:p>
    <w:p>
      <w:pPr>
        <w:spacing w:line="360" w:lineRule="auto"/>
        <w:ind w:firstLine="640" w:firstLineChars="200"/>
        <w:contextualSpacing/>
        <w:rPr>
          <w:rFonts w:eastAsia="仿宋_GB2312"/>
          <w:sz w:val="32"/>
          <w:szCs w:val="32"/>
        </w:rPr>
      </w:pPr>
      <w:r>
        <w:rPr>
          <w:rFonts w:hint="eastAsia" w:eastAsia="仿宋_GB2312"/>
          <w:sz w:val="32"/>
          <w:szCs w:val="32"/>
        </w:rPr>
        <w:t>本指导原则不适用于伴随诊断试剂。</w:t>
      </w:r>
    </w:p>
    <w:p>
      <w:pPr>
        <w:spacing w:line="360" w:lineRule="auto"/>
        <w:ind w:firstLine="640" w:firstLineChars="200"/>
        <w:contextualSpacing/>
        <w:rPr>
          <w:rFonts w:eastAsia="仿宋_GB2312"/>
          <w:sz w:val="32"/>
          <w:szCs w:val="32"/>
        </w:rPr>
      </w:pPr>
      <w:r>
        <w:rPr>
          <w:rFonts w:eastAsia="仿宋_GB2312"/>
          <w:sz w:val="32"/>
          <w:szCs w:val="32"/>
        </w:rPr>
        <w:t>本指导原则适用于进行体外诊断试剂产品注册申请和变更注册申请的产品，重点针对</w:t>
      </w:r>
      <w:r>
        <w:rPr>
          <w:rFonts w:hint="eastAsia" w:eastAsia="仿宋_GB2312"/>
          <w:sz w:val="32"/>
          <w:szCs w:val="32"/>
        </w:rPr>
        <w:t>个体化用药基因</w:t>
      </w:r>
      <w:r>
        <w:rPr>
          <w:rFonts w:eastAsia="仿宋_GB2312"/>
          <w:sz w:val="32"/>
          <w:szCs w:val="32"/>
        </w:rPr>
        <w:t>检测试剂</w:t>
      </w:r>
      <w:r>
        <w:rPr>
          <w:rFonts w:hint="eastAsia" w:eastAsia="仿宋_GB2312"/>
          <w:sz w:val="32"/>
          <w:szCs w:val="32"/>
        </w:rPr>
        <w:t>临床评价资料</w:t>
      </w:r>
      <w:r>
        <w:rPr>
          <w:rFonts w:eastAsia="仿宋_GB2312"/>
          <w:sz w:val="32"/>
          <w:szCs w:val="32"/>
        </w:rPr>
        <w:t>的准备及撰写明确要求。</w:t>
      </w:r>
    </w:p>
    <w:p>
      <w:pPr>
        <w:spacing w:line="360" w:lineRule="auto"/>
        <w:ind w:firstLine="640" w:firstLineChars="200"/>
        <w:contextualSpacing/>
        <w:rPr>
          <w:rFonts w:eastAsia="黑体"/>
          <w:sz w:val="32"/>
          <w:szCs w:val="32"/>
        </w:rPr>
      </w:pPr>
      <w:r>
        <w:rPr>
          <w:rFonts w:eastAsia="黑体"/>
          <w:sz w:val="32"/>
          <w:szCs w:val="32"/>
        </w:rPr>
        <w:t>二、注册审查要点</w:t>
      </w:r>
    </w:p>
    <w:p>
      <w:pPr>
        <w:spacing w:line="360" w:lineRule="auto"/>
        <w:ind w:firstLine="320" w:firstLineChars="100"/>
        <w:rPr>
          <w:rFonts w:eastAsia="仿宋_GB2312"/>
          <w:sz w:val="32"/>
          <w:szCs w:val="32"/>
        </w:rPr>
      </w:pPr>
      <w:r>
        <w:rPr>
          <w:rFonts w:hint="eastAsia" w:eastAsia="仿宋_GB2312"/>
          <w:sz w:val="32"/>
          <w:szCs w:val="32"/>
        </w:rPr>
        <w:t>（一）</w:t>
      </w:r>
      <w:r>
        <w:rPr>
          <w:rFonts w:eastAsia="仿宋_GB2312"/>
          <w:sz w:val="32"/>
          <w:szCs w:val="32"/>
        </w:rPr>
        <w:t xml:space="preserve"> </w:t>
      </w:r>
      <w:r>
        <w:rPr>
          <w:rFonts w:hint="eastAsia" w:eastAsia="仿宋_GB2312"/>
          <w:sz w:val="32"/>
          <w:szCs w:val="32"/>
        </w:rPr>
        <w:t>个体化用药基因检测试剂基因变异及配对药物的选择</w:t>
      </w:r>
    </w:p>
    <w:p>
      <w:pPr>
        <w:spacing w:line="360" w:lineRule="auto"/>
        <w:ind w:firstLine="640" w:firstLineChars="200"/>
        <w:contextualSpacing/>
        <w:rPr>
          <w:rFonts w:eastAsia="仿宋_GB2312"/>
          <w:sz w:val="32"/>
          <w:szCs w:val="32"/>
        </w:rPr>
      </w:pPr>
      <w:r>
        <w:rPr>
          <w:rFonts w:hint="eastAsia" w:eastAsia="仿宋_GB2312"/>
          <w:sz w:val="32"/>
          <w:szCs w:val="32"/>
        </w:rPr>
        <w:t>个体化用药基因</w:t>
      </w:r>
      <w:r>
        <w:rPr>
          <w:rFonts w:eastAsia="仿宋_GB2312"/>
          <w:sz w:val="32"/>
          <w:szCs w:val="32"/>
        </w:rPr>
        <w:t>检测试剂在产品设计中最关键的问题在于</w:t>
      </w:r>
      <w:r>
        <w:rPr>
          <w:rFonts w:hint="eastAsia" w:eastAsia="仿宋_GB2312"/>
          <w:sz w:val="32"/>
          <w:szCs w:val="32"/>
        </w:rPr>
        <w:t>特定基因变异及其指导的特定药物</w:t>
      </w:r>
      <w:r>
        <w:rPr>
          <w:rFonts w:eastAsia="仿宋_GB2312"/>
          <w:sz w:val="32"/>
          <w:szCs w:val="32"/>
        </w:rPr>
        <w:t>的选择。</w:t>
      </w:r>
    </w:p>
    <w:p>
      <w:pPr>
        <w:spacing w:line="360" w:lineRule="auto"/>
        <w:ind w:firstLine="640" w:firstLineChars="200"/>
        <w:contextualSpacing/>
        <w:rPr>
          <w:rFonts w:eastAsia="仿宋_GB2312"/>
          <w:sz w:val="32"/>
          <w:szCs w:val="32"/>
        </w:rPr>
      </w:pPr>
      <w:r>
        <w:rPr>
          <w:rFonts w:eastAsia="仿宋_GB2312"/>
          <w:sz w:val="32"/>
          <w:szCs w:val="32"/>
        </w:rPr>
        <w:t>在</w:t>
      </w:r>
      <w:r>
        <w:rPr>
          <w:rFonts w:hint="eastAsia" w:eastAsia="仿宋_GB2312"/>
          <w:sz w:val="32"/>
          <w:szCs w:val="32"/>
        </w:rPr>
        <w:t>该类</w:t>
      </w:r>
      <w:r>
        <w:rPr>
          <w:rFonts w:eastAsia="仿宋_GB2312"/>
          <w:sz w:val="32"/>
          <w:szCs w:val="32"/>
        </w:rPr>
        <w:t>试剂的设计</w:t>
      </w:r>
      <w:r>
        <w:rPr>
          <w:rFonts w:hint="eastAsia" w:eastAsia="仿宋_GB2312"/>
          <w:sz w:val="32"/>
          <w:szCs w:val="32"/>
        </w:rPr>
        <w:t>开发过程</w:t>
      </w:r>
      <w:r>
        <w:rPr>
          <w:rFonts w:eastAsia="仿宋_GB2312"/>
          <w:sz w:val="32"/>
          <w:szCs w:val="32"/>
        </w:rPr>
        <w:t>中，申请人</w:t>
      </w:r>
      <w:r>
        <w:rPr>
          <w:rFonts w:hint="eastAsia" w:eastAsia="仿宋_GB2312"/>
          <w:sz w:val="32"/>
          <w:szCs w:val="32"/>
        </w:rPr>
        <w:t>应充分考虑备选基因变异和药物的临床需求和临床认可度、以及备选基因变异各基因型在中国人群的发生频率等，充分调研国内外药品说明书、权威数据库（如：P</w:t>
      </w:r>
      <w:r>
        <w:rPr>
          <w:rFonts w:eastAsia="仿宋_GB2312"/>
          <w:sz w:val="32"/>
          <w:szCs w:val="32"/>
        </w:rPr>
        <w:t>harmGKB</w:t>
      </w:r>
      <w:r>
        <w:rPr>
          <w:rFonts w:hint="eastAsia" w:eastAsia="仿宋_GB2312"/>
          <w:sz w:val="32"/>
          <w:szCs w:val="32"/>
        </w:rPr>
        <w:t>数据库、C</w:t>
      </w:r>
      <w:r>
        <w:rPr>
          <w:rFonts w:eastAsia="仿宋_GB2312"/>
          <w:sz w:val="32"/>
          <w:szCs w:val="32"/>
        </w:rPr>
        <w:t>PIC</w:t>
      </w:r>
      <w:r>
        <w:rPr>
          <w:rFonts w:hint="eastAsia" w:eastAsia="仿宋_GB2312"/>
          <w:sz w:val="32"/>
          <w:szCs w:val="32"/>
        </w:rPr>
        <w:t>数据库和D</w:t>
      </w:r>
      <w:r>
        <w:rPr>
          <w:rFonts w:eastAsia="仿宋_GB2312"/>
          <w:sz w:val="32"/>
          <w:szCs w:val="32"/>
        </w:rPr>
        <w:t>PWG</w:t>
      </w:r>
      <w:r>
        <w:rPr>
          <w:rFonts w:hint="eastAsia" w:eastAsia="仿宋_GB2312"/>
          <w:sz w:val="32"/>
          <w:szCs w:val="32"/>
        </w:rPr>
        <w:t>数据库）和相关指南，</w:t>
      </w:r>
      <w:r>
        <w:rPr>
          <w:rFonts w:eastAsia="仿宋_GB2312"/>
          <w:sz w:val="32"/>
          <w:szCs w:val="32"/>
        </w:rPr>
        <w:t>选择适当的</w:t>
      </w:r>
      <w:r>
        <w:rPr>
          <w:rFonts w:hint="eastAsia" w:eastAsia="仿宋_GB2312"/>
          <w:sz w:val="32"/>
          <w:szCs w:val="32"/>
        </w:rPr>
        <w:t>基因变异和药物</w:t>
      </w:r>
      <w:r>
        <w:rPr>
          <w:rFonts w:eastAsia="仿宋_GB2312"/>
          <w:sz w:val="32"/>
          <w:szCs w:val="32"/>
        </w:rPr>
        <w:t>组合。</w:t>
      </w:r>
    </w:p>
    <w:p>
      <w:pPr>
        <w:spacing w:line="360" w:lineRule="auto"/>
        <w:ind w:firstLine="640" w:firstLineChars="200"/>
        <w:contextualSpacing/>
        <w:rPr>
          <w:rFonts w:eastAsia="仿宋_GB2312"/>
          <w:sz w:val="32"/>
          <w:szCs w:val="32"/>
        </w:rPr>
      </w:pPr>
      <w:r>
        <w:rPr>
          <w:rFonts w:hint="eastAsia" w:eastAsia="仿宋_GB2312"/>
          <w:sz w:val="32"/>
          <w:szCs w:val="32"/>
        </w:rPr>
        <w:t>应特别提醒的是：</w:t>
      </w:r>
    </w:p>
    <w:p>
      <w:pPr>
        <w:spacing w:line="360" w:lineRule="auto"/>
        <w:ind w:firstLine="640" w:firstLineChars="200"/>
        <w:contextualSpacing/>
        <w:rPr>
          <w:rFonts w:eastAsia="仿宋_GB2312"/>
          <w:sz w:val="32"/>
          <w:szCs w:val="32"/>
        </w:rPr>
      </w:pPr>
      <w:r>
        <w:rPr>
          <w:rFonts w:hint="eastAsia" w:eastAsia="仿宋_GB2312"/>
          <w:sz w:val="32"/>
          <w:szCs w:val="32"/>
        </w:rPr>
        <w:t>1.</w:t>
      </w:r>
      <w:r>
        <w:rPr>
          <w:rFonts w:eastAsia="仿宋_GB2312"/>
          <w:sz w:val="32"/>
          <w:szCs w:val="32"/>
        </w:rPr>
        <w:t xml:space="preserve"> 申请人应特别关注针对中国人群的研究数据，</w:t>
      </w:r>
      <w:r>
        <w:rPr>
          <w:rFonts w:hint="eastAsia" w:eastAsia="仿宋_GB2312"/>
          <w:sz w:val="32"/>
          <w:szCs w:val="32"/>
        </w:rPr>
        <w:t>基因变异和药物</w:t>
      </w:r>
      <w:r>
        <w:rPr>
          <w:rFonts w:eastAsia="仿宋_GB2312"/>
          <w:sz w:val="32"/>
          <w:szCs w:val="32"/>
        </w:rPr>
        <w:t>组合应适合中国人群</w:t>
      </w:r>
      <w:r>
        <w:rPr>
          <w:rFonts w:hint="eastAsia" w:eastAsia="仿宋_GB2312"/>
          <w:sz w:val="32"/>
          <w:szCs w:val="32"/>
        </w:rPr>
        <w:t>的</w:t>
      </w:r>
      <w:r>
        <w:rPr>
          <w:rFonts w:eastAsia="仿宋_GB2312"/>
          <w:sz w:val="32"/>
          <w:szCs w:val="32"/>
        </w:rPr>
        <w:t>特点，满足中国人群的临床</w:t>
      </w:r>
      <w:r>
        <w:rPr>
          <w:rFonts w:hint="eastAsia" w:eastAsia="仿宋_GB2312"/>
          <w:sz w:val="32"/>
          <w:szCs w:val="32"/>
        </w:rPr>
        <w:t>使用</w:t>
      </w:r>
      <w:r>
        <w:rPr>
          <w:rFonts w:eastAsia="仿宋_GB2312"/>
          <w:sz w:val="32"/>
          <w:szCs w:val="32"/>
        </w:rPr>
        <w:t>需要。</w:t>
      </w:r>
      <w:r>
        <w:rPr>
          <w:rFonts w:hint="eastAsia" w:eastAsia="仿宋_GB2312"/>
          <w:sz w:val="32"/>
          <w:szCs w:val="32"/>
        </w:rPr>
        <w:t xml:space="preserve"> </w:t>
      </w:r>
      <w:r>
        <w:rPr>
          <w:rFonts w:eastAsia="仿宋_GB2312"/>
          <w:sz w:val="32"/>
          <w:szCs w:val="32"/>
        </w:rPr>
        <w:t xml:space="preserve">   </w:t>
      </w:r>
    </w:p>
    <w:p>
      <w:pPr>
        <w:spacing w:line="360" w:lineRule="auto"/>
        <w:ind w:firstLine="640" w:firstLineChars="200"/>
        <w:contextualSpacing/>
        <w:rPr>
          <w:rFonts w:eastAsia="仿宋_GB2312"/>
          <w:sz w:val="32"/>
          <w:szCs w:val="32"/>
        </w:rPr>
      </w:pPr>
      <w:r>
        <w:rPr>
          <w:rFonts w:hint="eastAsia" w:eastAsia="仿宋_GB2312"/>
          <w:sz w:val="32"/>
          <w:szCs w:val="32"/>
        </w:rPr>
        <w:t>2.</w:t>
      </w:r>
      <w:r>
        <w:rPr>
          <w:rFonts w:eastAsia="仿宋_GB2312"/>
          <w:sz w:val="32"/>
          <w:szCs w:val="32"/>
        </w:rPr>
        <w:t xml:space="preserve"> </w:t>
      </w:r>
      <w:r>
        <w:rPr>
          <w:rFonts w:hint="eastAsia" w:eastAsia="仿宋_GB2312"/>
          <w:sz w:val="32"/>
          <w:szCs w:val="32"/>
        </w:rPr>
        <w:t>针对与药品不良反应相关的个体化基因检测试剂，其临床意义的确认，主要依赖诊疗指南、权威数据库、药品说明书或临床研究证据等。在开发该类试剂时，建议申请人进行充分调研后，选择基因变异与药品不良反应关系明确的基因和药物组合进行产品研发。</w:t>
      </w:r>
    </w:p>
    <w:p>
      <w:pPr>
        <w:spacing w:line="360" w:lineRule="auto"/>
        <w:ind w:firstLine="640" w:firstLineChars="200"/>
        <w:contextualSpacing/>
        <w:rPr>
          <w:rFonts w:eastAsia="仿宋_GB2312"/>
          <w:sz w:val="32"/>
          <w:szCs w:val="32"/>
        </w:rPr>
      </w:pPr>
      <w:r>
        <w:rPr>
          <w:rFonts w:hint="eastAsia" w:eastAsia="仿宋_GB2312"/>
          <w:sz w:val="32"/>
          <w:szCs w:val="32"/>
        </w:rPr>
        <w:t>3.</w:t>
      </w:r>
      <w:r>
        <w:rPr>
          <w:rFonts w:eastAsia="仿宋_GB2312"/>
          <w:sz w:val="32"/>
          <w:szCs w:val="32"/>
        </w:rPr>
        <w:t xml:space="preserve"> </w:t>
      </w:r>
      <w:r>
        <w:rPr>
          <w:rFonts w:hint="eastAsia" w:eastAsia="仿宋_GB2312"/>
          <w:sz w:val="32"/>
          <w:szCs w:val="32"/>
        </w:rPr>
        <w:t>针对个体化多基因联合检测试剂，在产品设计开发时，应充分考虑多基因联检时，所指导的单个或多重用药仅在具有适用人群时，方可考虑联检组合。</w:t>
      </w:r>
    </w:p>
    <w:p>
      <w:pPr>
        <w:spacing w:line="360" w:lineRule="auto"/>
        <w:ind w:firstLine="640" w:firstLineChars="200"/>
        <w:rPr>
          <w:rFonts w:eastAsia="仿宋_GB2312"/>
          <w:sz w:val="32"/>
          <w:szCs w:val="32"/>
        </w:rPr>
      </w:pPr>
      <w:r>
        <w:rPr>
          <w:rFonts w:hint="eastAsia" w:eastAsia="仿宋_GB2312"/>
          <w:sz w:val="32"/>
          <w:szCs w:val="32"/>
        </w:rPr>
        <w:t>（二）个体化用药基因检测试剂临床评价要求</w:t>
      </w:r>
    </w:p>
    <w:p>
      <w:pPr>
        <w:spacing w:line="520" w:lineRule="exact"/>
        <w:ind w:firstLine="640" w:firstLineChars="200"/>
        <w:rPr>
          <w:rFonts w:eastAsia="仿宋_GB2312"/>
          <w:sz w:val="32"/>
          <w:szCs w:val="32"/>
        </w:rPr>
      </w:pPr>
      <w:r>
        <w:rPr>
          <w:rFonts w:hint="eastAsia" w:eastAsia="仿宋_GB2312"/>
          <w:sz w:val="32"/>
          <w:szCs w:val="32"/>
        </w:rPr>
        <w:t>1.</w:t>
      </w:r>
      <w:r>
        <w:rPr>
          <w:rFonts w:eastAsia="仿宋_GB2312"/>
          <w:sz w:val="32"/>
          <w:szCs w:val="32"/>
        </w:rPr>
        <w:t xml:space="preserve"> </w:t>
      </w:r>
      <w:r>
        <w:rPr>
          <w:rFonts w:hint="eastAsia" w:eastAsia="仿宋_GB2312"/>
          <w:sz w:val="32"/>
          <w:szCs w:val="32"/>
        </w:rPr>
        <w:t>临床评价内容</w:t>
      </w:r>
    </w:p>
    <w:p>
      <w:pPr>
        <w:spacing w:line="520" w:lineRule="exact"/>
        <w:ind w:firstLine="640" w:firstLineChars="200"/>
        <w:rPr>
          <w:rFonts w:eastAsia="仿宋_GB2312"/>
          <w:sz w:val="32"/>
          <w:szCs w:val="32"/>
        </w:rPr>
      </w:pPr>
      <w:r>
        <w:rPr>
          <w:rFonts w:eastAsia="仿宋_GB2312"/>
          <w:sz w:val="32"/>
          <w:szCs w:val="32"/>
        </w:rPr>
        <w:t>该类试剂</w:t>
      </w:r>
      <w:r>
        <w:rPr>
          <w:rFonts w:hint="eastAsia" w:eastAsia="仿宋_GB2312"/>
          <w:sz w:val="32"/>
          <w:szCs w:val="32"/>
        </w:rPr>
        <w:t>的临床评价包括如下两大部分内容：</w:t>
      </w:r>
    </w:p>
    <w:p>
      <w:pPr>
        <w:spacing w:line="520" w:lineRule="exact"/>
        <w:ind w:firstLine="640" w:firstLineChars="200"/>
        <w:rPr>
          <w:rFonts w:eastAsia="仿宋_GB2312"/>
          <w:sz w:val="32"/>
          <w:szCs w:val="32"/>
        </w:rPr>
      </w:pPr>
      <w:r>
        <w:rPr>
          <w:rFonts w:hint="eastAsia" w:eastAsia="仿宋_GB2312"/>
          <w:sz w:val="32"/>
          <w:szCs w:val="32"/>
        </w:rPr>
        <w:t>1.1产品临床意义的确认，即基因变异与药物反应的确认，可通过诊疗指南、权威数据库、药品说明书或高水平临床研究证据等提供临床证据。产品临床意义确认的证据，可为多种证据类型的组合。</w:t>
      </w:r>
    </w:p>
    <w:p>
      <w:pPr>
        <w:spacing w:line="520" w:lineRule="exact"/>
        <w:ind w:firstLine="640" w:firstLineChars="200"/>
        <w:rPr>
          <w:rFonts w:eastAsia="仿宋_GB2312"/>
          <w:sz w:val="32"/>
          <w:szCs w:val="32"/>
        </w:rPr>
      </w:pPr>
      <w:r>
        <w:rPr>
          <w:rFonts w:hint="eastAsia" w:eastAsia="仿宋_GB2312"/>
          <w:sz w:val="32"/>
          <w:szCs w:val="32"/>
        </w:rPr>
        <w:t>1.2产品临床检测性能的确认，</w:t>
      </w:r>
      <w:r>
        <w:rPr>
          <w:rFonts w:eastAsia="仿宋_GB2312"/>
          <w:sz w:val="32"/>
          <w:szCs w:val="32"/>
        </w:rPr>
        <w:t>应通过临床试验</w:t>
      </w:r>
      <w:r>
        <w:rPr>
          <w:rFonts w:hint="eastAsia" w:eastAsia="仿宋_GB2312"/>
          <w:sz w:val="32"/>
          <w:szCs w:val="32"/>
        </w:rPr>
        <w:t>提供临床证据。</w:t>
      </w:r>
    </w:p>
    <w:p>
      <w:pPr>
        <w:spacing w:line="360" w:lineRule="auto"/>
        <w:ind w:firstLine="640" w:firstLineChars="200"/>
        <w:rPr>
          <w:rFonts w:eastAsia="仿宋_GB2312"/>
          <w:sz w:val="32"/>
          <w:szCs w:val="32"/>
        </w:rPr>
      </w:pPr>
      <w:r>
        <w:rPr>
          <w:rFonts w:hint="eastAsia" w:eastAsia="仿宋_GB2312"/>
          <w:sz w:val="32"/>
          <w:szCs w:val="32"/>
        </w:rPr>
        <w:t>1.3</w:t>
      </w:r>
      <w:r>
        <w:rPr>
          <w:rFonts w:eastAsia="仿宋_GB2312"/>
          <w:sz w:val="32"/>
          <w:szCs w:val="32"/>
        </w:rPr>
        <w:t xml:space="preserve"> </w:t>
      </w:r>
      <w:r>
        <w:rPr>
          <w:rFonts w:hint="eastAsia" w:eastAsia="仿宋_GB2312"/>
          <w:sz w:val="32"/>
          <w:szCs w:val="32"/>
        </w:rPr>
        <w:t>如通过临床试验提供临床证据，应注意：</w:t>
      </w:r>
    </w:p>
    <w:p>
      <w:pPr>
        <w:spacing w:line="360" w:lineRule="auto"/>
        <w:ind w:firstLine="640" w:firstLineChars="200"/>
        <w:rPr>
          <w:rFonts w:eastAsia="仿宋_GB2312"/>
          <w:sz w:val="32"/>
          <w:szCs w:val="32"/>
        </w:rPr>
      </w:pPr>
      <w:r>
        <w:rPr>
          <w:rFonts w:hint="eastAsia" w:eastAsia="仿宋_GB2312"/>
          <w:sz w:val="32"/>
          <w:szCs w:val="32"/>
        </w:rPr>
        <w:t>1.3.1境内</w:t>
      </w:r>
      <w:r>
        <w:rPr>
          <w:rFonts w:eastAsia="仿宋_GB2312"/>
          <w:sz w:val="32"/>
          <w:szCs w:val="32"/>
        </w:rPr>
        <w:t>临床试验应符合《体外诊断试剂注册与备案管理办法》、《医疗器械临床试验质量管理规范》</w:t>
      </w:r>
      <w:r>
        <w:rPr>
          <w:rFonts w:hint="eastAsia" w:eastAsia="仿宋_GB2312"/>
          <w:sz w:val="32"/>
          <w:szCs w:val="32"/>
        </w:rPr>
        <w:t>及</w:t>
      </w:r>
      <w:r>
        <w:rPr>
          <w:rFonts w:eastAsia="仿宋_GB2312"/>
          <w:sz w:val="32"/>
          <w:szCs w:val="32"/>
        </w:rPr>
        <w:t>《体外诊断试剂临床试验技术指导原则》</w:t>
      </w:r>
      <w:r>
        <w:rPr>
          <w:rFonts w:hint="eastAsia" w:eastAsia="仿宋_GB2312"/>
          <w:sz w:val="32"/>
          <w:szCs w:val="32"/>
        </w:rPr>
        <w:t>等现行法规</w:t>
      </w:r>
      <w:r>
        <w:rPr>
          <w:rFonts w:eastAsia="仿宋_GB2312"/>
          <w:sz w:val="32"/>
          <w:szCs w:val="32"/>
        </w:rPr>
        <w:t>的要求。</w:t>
      </w:r>
    </w:p>
    <w:p>
      <w:pPr>
        <w:overflowPunct w:val="0"/>
        <w:spacing w:line="360" w:lineRule="auto"/>
        <w:ind w:firstLine="640" w:firstLineChars="200"/>
        <w:rPr>
          <w:rFonts w:eastAsia="仿宋_GB2312"/>
          <w:sz w:val="32"/>
          <w:szCs w:val="32"/>
        </w:rPr>
      </w:pPr>
      <w:r>
        <w:rPr>
          <w:rFonts w:hint="eastAsia" w:eastAsia="仿宋_GB2312"/>
          <w:sz w:val="32"/>
          <w:szCs w:val="32"/>
        </w:rPr>
        <w:t>1.3.2如为境外临床试验数据，还应评估境内外人种差异对临床试验结果的影响，如有必要，应根据《使用体外诊断试剂境外临床试验数据的注册审查指导原则》补充相关临床证据。</w:t>
      </w:r>
    </w:p>
    <w:p>
      <w:pPr>
        <w:spacing w:line="360" w:lineRule="auto"/>
        <w:ind w:firstLine="640" w:firstLineChars="200"/>
        <w:rPr>
          <w:rFonts w:eastAsia="仿宋_GB2312"/>
          <w:sz w:val="32"/>
          <w:szCs w:val="32"/>
        </w:rPr>
      </w:pPr>
      <w:r>
        <w:rPr>
          <w:rFonts w:hint="eastAsia" w:eastAsia="仿宋_GB2312"/>
          <w:sz w:val="32"/>
          <w:szCs w:val="32"/>
        </w:rPr>
        <w:t>2.</w:t>
      </w:r>
      <w:r>
        <w:rPr>
          <w:rFonts w:eastAsia="仿宋_GB2312"/>
          <w:sz w:val="32"/>
          <w:szCs w:val="32"/>
        </w:rPr>
        <w:t xml:space="preserve"> </w:t>
      </w:r>
      <w:r>
        <w:rPr>
          <w:rFonts w:hint="eastAsia" w:eastAsia="仿宋_GB2312"/>
          <w:sz w:val="32"/>
          <w:szCs w:val="32"/>
        </w:rPr>
        <w:t>针对产品临床检测性能进行的临床试验</w:t>
      </w:r>
    </w:p>
    <w:p>
      <w:pPr>
        <w:spacing w:line="360" w:lineRule="auto"/>
        <w:ind w:firstLine="640" w:firstLineChars="200"/>
        <w:rPr>
          <w:rFonts w:eastAsia="仿宋_GB2312"/>
          <w:sz w:val="32"/>
          <w:szCs w:val="32"/>
        </w:rPr>
      </w:pPr>
      <w:r>
        <w:rPr>
          <w:rFonts w:eastAsia="仿宋_GB2312"/>
          <w:sz w:val="32"/>
          <w:szCs w:val="32"/>
        </w:rPr>
        <w:t>下面仅说明该类</w:t>
      </w:r>
      <w:r>
        <w:rPr>
          <w:rFonts w:hint="eastAsia" w:eastAsia="仿宋_GB2312"/>
          <w:sz w:val="32"/>
          <w:szCs w:val="32"/>
        </w:rPr>
        <w:t>试剂</w:t>
      </w:r>
      <w:r>
        <w:rPr>
          <w:rFonts w:eastAsia="仿宋_GB2312"/>
          <w:sz w:val="32"/>
          <w:szCs w:val="32"/>
        </w:rPr>
        <w:t>临床试验中应关注的重点问题。</w:t>
      </w:r>
    </w:p>
    <w:p>
      <w:pPr>
        <w:spacing w:line="360" w:lineRule="auto"/>
        <w:ind w:firstLine="640" w:firstLineChars="200"/>
        <w:rPr>
          <w:rFonts w:eastAsia="仿宋_GB2312"/>
          <w:sz w:val="32"/>
          <w:szCs w:val="32"/>
        </w:rPr>
      </w:pPr>
      <w:r>
        <w:rPr>
          <w:rFonts w:hint="eastAsia" w:eastAsia="仿宋_GB2312"/>
          <w:sz w:val="32"/>
          <w:szCs w:val="32"/>
        </w:rPr>
        <w:t>2.1</w:t>
      </w:r>
      <w:r>
        <w:rPr>
          <w:rFonts w:eastAsia="仿宋_GB2312"/>
          <w:sz w:val="32"/>
          <w:szCs w:val="32"/>
        </w:rPr>
        <w:t xml:space="preserve"> 临床试验机构</w:t>
      </w:r>
    </w:p>
    <w:p>
      <w:pPr>
        <w:spacing w:line="360" w:lineRule="auto"/>
        <w:ind w:firstLine="640" w:firstLineChars="200"/>
        <w:rPr>
          <w:rFonts w:eastAsia="仿宋_GB2312"/>
          <w:sz w:val="32"/>
          <w:szCs w:val="32"/>
        </w:rPr>
      </w:pPr>
      <w:r>
        <w:rPr>
          <w:rFonts w:eastAsia="仿宋_GB2312"/>
          <w:sz w:val="32"/>
          <w:szCs w:val="32"/>
        </w:rPr>
        <w:t>临床试验应在不少于3家（含3家）、具备相应条件且按规定备案的</w:t>
      </w:r>
      <w:r>
        <w:rPr>
          <w:rFonts w:hint="eastAsia" w:eastAsia="仿宋_GB2312"/>
          <w:sz w:val="32"/>
          <w:szCs w:val="32"/>
        </w:rPr>
        <w:t>医疗器械临床试验机构</w:t>
      </w:r>
      <w:r>
        <w:rPr>
          <w:rFonts w:eastAsia="仿宋_GB2312"/>
          <w:sz w:val="32"/>
          <w:szCs w:val="32"/>
        </w:rPr>
        <w:t>开展。</w:t>
      </w:r>
    </w:p>
    <w:p>
      <w:pPr>
        <w:spacing w:line="360" w:lineRule="auto"/>
        <w:ind w:firstLine="640" w:firstLineChars="200"/>
        <w:rPr>
          <w:rFonts w:eastAsia="仿宋_GB2312"/>
          <w:sz w:val="32"/>
          <w:szCs w:val="32"/>
        </w:rPr>
      </w:pPr>
      <w:r>
        <w:rPr>
          <w:rFonts w:hint="eastAsia" w:eastAsia="仿宋_GB2312"/>
          <w:sz w:val="32"/>
          <w:szCs w:val="32"/>
        </w:rPr>
        <w:t>2.2</w:t>
      </w:r>
      <w:r>
        <w:rPr>
          <w:rFonts w:eastAsia="仿宋_GB2312"/>
          <w:sz w:val="32"/>
          <w:szCs w:val="32"/>
        </w:rPr>
        <w:t xml:space="preserve"> </w:t>
      </w:r>
      <w:r>
        <w:rPr>
          <w:rFonts w:hint="eastAsia" w:eastAsia="仿宋_GB2312"/>
          <w:sz w:val="32"/>
          <w:szCs w:val="32"/>
        </w:rPr>
        <w:t>对比方法</w:t>
      </w:r>
    </w:p>
    <w:p>
      <w:pPr>
        <w:spacing w:line="360" w:lineRule="auto"/>
        <w:ind w:firstLine="640" w:firstLineChars="200"/>
        <w:rPr>
          <w:rFonts w:eastAsia="仿宋_GB2312"/>
          <w:sz w:val="32"/>
          <w:szCs w:val="32"/>
        </w:rPr>
      </w:pPr>
      <w:r>
        <w:rPr>
          <w:rFonts w:hint="eastAsia" w:eastAsia="仿宋_GB2312"/>
          <w:sz w:val="32"/>
          <w:szCs w:val="32"/>
        </w:rPr>
        <w:t>对于中国境内已有同类产品上市的试剂，可选择中国境内已上市的、具有可比性的同类产品作为对方法，或采用具有可比性的临床参考方法（如：一代测序等）作为对比方法进行比对研究对于已在中国有同类产品上市的试剂，建议优选选择同类产品作为对比方法。</w:t>
      </w:r>
    </w:p>
    <w:p>
      <w:pPr>
        <w:spacing w:line="360" w:lineRule="auto"/>
        <w:ind w:firstLine="640" w:firstLineChars="200"/>
        <w:rPr>
          <w:rFonts w:eastAsia="仿宋_GB2312"/>
          <w:sz w:val="32"/>
          <w:szCs w:val="32"/>
        </w:rPr>
      </w:pPr>
      <w:r>
        <w:rPr>
          <w:rFonts w:hint="eastAsia" w:eastAsia="仿宋_GB2312"/>
          <w:sz w:val="32"/>
          <w:szCs w:val="32"/>
        </w:rPr>
        <w:t>对于中国境内尚无同类产品上市的试剂，采用申报产品与具有可比性的临床参考方法（如：一代测序等）作为对比方法。</w:t>
      </w:r>
    </w:p>
    <w:p>
      <w:pPr>
        <w:spacing w:line="360" w:lineRule="auto"/>
        <w:ind w:firstLine="640" w:firstLineChars="200"/>
        <w:rPr>
          <w:rFonts w:eastAsia="仿宋_GB2312"/>
          <w:sz w:val="32"/>
          <w:szCs w:val="32"/>
        </w:rPr>
      </w:pPr>
      <w:r>
        <w:rPr>
          <w:rFonts w:hint="eastAsia" w:eastAsia="仿宋_GB2312"/>
          <w:sz w:val="32"/>
          <w:szCs w:val="32"/>
        </w:rPr>
        <w:t>对比方法的可比性应关注：适用样本类型的可行性、预期用途（适用人群、所检基因变异及指导药物）的可比性以及产品性能指标的可比性等。</w:t>
      </w:r>
    </w:p>
    <w:p>
      <w:pPr>
        <w:spacing w:line="360" w:lineRule="auto"/>
        <w:ind w:firstLine="640" w:firstLineChars="200"/>
        <w:rPr>
          <w:rFonts w:eastAsia="仿宋_GB2312"/>
          <w:sz w:val="32"/>
          <w:szCs w:val="32"/>
        </w:rPr>
      </w:pPr>
      <w:r>
        <w:rPr>
          <w:rFonts w:hint="eastAsia" w:eastAsia="仿宋_GB2312"/>
          <w:sz w:val="32"/>
          <w:szCs w:val="32"/>
        </w:rPr>
        <w:t>2.3</w:t>
      </w:r>
      <w:r>
        <w:rPr>
          <w:rFonts w:eastAsia="仿宋_GB2312"/>
          <w:sz w:val="32"/>
          <w:szCs w:val="32"/>
        </w:rPr>
        <w:t xml:space="preserve"> 受试者选择</w:t>
      </w:r>
    </w:p>
    <w:p>
      <w:pPr>
        <w:spacing w:line="360" w:lineRule="auto"/>
        <w:ind w:firstLine="640" w:firstLineChars="200"/>
        <w:rPr>
          <w:rFonts w:eastAsia="仿宋_GB2312"/>
          <w:sz w:val="32"/>
          <w:szCs w:val="32"/>
        </w:rPr>
      </w:pPr>
      <w:r>
        <w:rPr>
          <w:rFonts w:eastAsia="仿宋_GB2312"/>
          <w:sz w:val="32"/>
          <w:szCs w:val="32"/>
        </w:rPr>
        <w:t>临床试验的入组人群应来自</w:t>
      </w:r>
      <w:r>
        <w:rPr>
          <w:rFonts w:hint="eastAsia" w:eastAsia="仿宋_GB2312"/>
          <w:sz w:val="32"/>
          <w:szCs w:val="32"/>
        </w:rPr>
        <w:t>申报</w:t>
      </w:r>
      <w:r>
        <w:rPr>
          <w:rFonts w:eastAsia="仿宋_GB2312"/>
          <w:sz w:val="32"/>
          <w:szCs w:val="32"/>
        </w:rPr>
        <w:t>产品的预期适用人群</w:t>
      </w:r>
      <w:r>
        <w:rPr>
          <w:rFonts w:hint="eastAsia" w:eastAsia="仿宋_GB2312"/>
          <w:sz w:val="32"/>
          <w:szCs w:val="32"/>
        </w:rPr>
        <w:t>，应为所指导药物的预期使用人群，并根据申报产品的预期用途，纳入相关人群进行临床试验</w:t>
      </w:r>
      <w:r>
        <w:rPr>
          <w:rFonts w:eastAsia="仿宋_GB2312"/>
          <w:sz w:val="32"/>
          <w:szCs w:val="32"/>
        </w:rPr>
        <w:t>。临床试验方案应明确受试者入</w:t>
      </w:r>
      <w:r>
        <w:rPr>
          <w:rFonts w:hint="eastAsia" w:eastAsia="仿宋_GB2312"/>
          <w:sz w:val="32"/>
          <w:szCs w:val="32"/>
        </w:rPr>
        <w:t>排</w:t>
      </w:r>
      <w:r>
        <w:rPr>
          <w:rFonts w:eastAsia="仿宋_GB2312"/>
          <w:sz w:val="32"/>
          <w:szCs w:val="32"/>
        </w:rPr>
        <w:t>标准，并说明依据。入组受试者应能够代表产品适用人群的各种情形，例如：应包括不同年龄、性别受试者；</w:t>
      </w:r>
      <w:r>
        <w:rPr>
          <w:rFonts w:hint="eastAsia" w:eastAsia="仿宋_GB2312"/>
          <w:sz w:val="32"/>
          <w:szCs w:val="32"/>
        </w:rPr>
        <w:t>如涉及多个适应证，每种适应证患者均应纳入一定数量。</w:t>
      </w:r>
    </w:p>
    <w:p>
      <w:pPr>
        <w:spacing w:line="360" w:lineRule="auto"/>
        <w:ind w:firstLine="640" w:firstLineChars="200"/>
        <w:rPr>
          <w:rFonts w:eastAsia="仿宋_GB2312"/>
          <w:sz w:val="32"/>
          <w:szCs w:val="32"/>
        </w:rPr>
      </w:pPr>
      <w:r>
        <w:rPr>
          <w:rFonts w:hint="eastAsia" w:eastAsia="仿宋_GB2312"/>
          <w:sz w:val="32"/>
          <w:szCs w:val="32"/>
        </w:rPr>
        <w:t>2</w:t>
      </w:r>
      <w:r>
        <w:rPr>
          <w:rFonts w:eastAsia="仿宋_GB2312"/>
          <w:sz w:val="32"/>
          <w:szCs w:val="32"/>
        </w:rPr>
        <w:t>.</w:t>
      </w:r>
      <w:r>
        <w:rPr>
          <w:rFonts w:hint="eastAsia" w:eastAsia="仿宋_GB2312"/>
          <w:sz w:val="32"/>
          <w:szCs w:val="32"/>
        </w:rPr>
        <w:t>4</w:t>
      </w:r>
      <w:r>
        <w:rPr>
          <w:rFonts w:eastAsia="仿宋_GB2312"/>
          <w:sz w:val="32"/>
          <w:szCs w:val="32"/>
        </w:rPr>
        <w:t>样本量</w:t>
      </w:r>
    </w:p>
    <w:p>
      <w:pPr>
        <w:spacing w:line="360" w:lineRule="auto"/>
        <w:ind w:firstLine="640" w:firstLineChars="200"/>
        <w:rPr>
          <w:rFonts w:eastAsia="仿宋_GB2312"/>
          <w:sz w:val="32"/>
          <w:szCs w:val="32"/>
        </w:rPr>
      </w:pPr>
      <w:r>
        <w:rPr>
          <w:rFonts w:eastAsia="仿宋_GB2312"/>
          <w:sz w:val="32"/>
          <w:szCs w:val="32"/>
        </w:rPr>
        <w:t>临床试验样本量应采用适当的统计学方法进行估算，并详细描述所使用统计方法及各参数的确定依据。此部分临床试验目的为评估两种检测方法之间的一致性，建议采用单组目标值法进行最低样本量的估算。通过阳性符合率和阴性符合率来分别计算所需阳性样本和阴性样本的例数，应针对</w:t>
      </w:r>
      <w:r>
        <w:rPr>
          <w:rFonts w:hint="eastAsia" w:eastAsia="仿宋_GB2312"/>
          <w:sz w:val="32"/>
          <w:szCs w:val="32"/>
        </w:rPr>
        <w:t>各</w:t>
      </w:r>
      <w:r>
        <w:rPr>
          <w:rFonts w:eastAsia="仿宋_GB2312"/>
          <w:sz w:val="32"/>
          <w:szCs w:val="32"/>
        </w:rPr>
        <w:t>基因</w:t>
      </w:r>
      <w:r>
        <w:rPr>
          <w:rFonts w:hint="eastAsia" w:eastAsia="仿宋_GB2312"/>
          <w:sz w:val="32"/>
          <w:szCs w:val="32"/>
        </w:rPr>
        <w:t>每个变异位点</w:t>
      </w:r>
      <w:r>
        <w:rPr>
          <w:rFonts w:eastAsia="仿宋_GB2312"/>
          <w:sz w:val="32"/>
          <w:szCs w:val="32"/>
        </w:rPr>
        <w:t>分别进行样本量的估算。</w:t>
      </w:r>
    </w:p>
    <w:p>
      <w:pPr>
        <w:spacing w:line="360" w:lineRule="auto"/>
        <w:ind w:firstLine="640" w:firstLineChars="200"/>
        <w:rPr>
          <w:rFonts w:eastAsia="仿宋_GB2312"/>
          <w:sz w:val="32"/>
          <w:szCs w:val="32"/>
        </w:rPr>
      </w:pPr>
      <w:r>
        <w:rPr>
          <w:rFonts w:hint="eastAsia" w:eastAsia="仿宋_GB2312"/>
          <w:sz w:val="32"/>
          <w:szCs w:val="32"/>
        </w:rPr>
        <w:t>针对每个变异位点，阴、阳性符合率的临床可接受标准（</w:t>
      </w:r>
      <w:r>
        <w:rPr>
          <w:rFonts w:eastAsia="仿宋_GB2312"/>
          <w:sz w:val="32"/>
          <w:szCs w:val="32"/>
        </w:rPr>
        <w:t>P0</w:t>
      </w:r>
      <w:r>
        <w:rPr>
          <w:rFonts w:hint="eastAsia" w:eastAsia="仿宋_GB2312"/>
          <w:sz w:val="32"/>
          <w:szCs w:val="32"/>
        </w:rPr>
        <w:t>）一般不低于</w:t>
      </w:r>
      <w:r>
        <w:rPr>
          <w:rFonts w:eastAsia="仿宋_GB2312"/>
          <w:sz w:val="32"/>
          <w:szCs w:val="32"/>
        </w:rPr>
        <w:t>9</w:t>
      </w:r>
      <w:r>
        <w:rPr>
          <w:rFonts w:hint="eastAsia" w:eastAsia="仿宋_GB2312"/>
          <w:sz w:val="32"/>
          <w:szCs w:val="32"/>
        </w:rPr>
        <w:t>5</w:t>
      </w:r>
      <w:r>
        <w:rPr>
          <w:rFonts w:eastAsia="仿宋_GB2312"/>
          <w:sz w:val="32"/>
          <w:szCs w:val="32"/>
        </w:rPr>
        <w:t>%</w:t>
      </w:r>
      <w:r>
        <w:rPr>
          <w:rFonts w:hint="eastAsia" w:eastAsia="仿宋_GB2312"/>
          <w:sz w:val="32"/>
          <w:szCs w:val="32"/>
        </w:rPr>
        <w:t>。</w:t>
      </w:r>
      <w:r>
        <w:rPr>
          <w:rFonts w:eastAsia="仿宋_GB2312"/>
          <w:sz w:val="32"/>
          <w:szCs w:val="32"/>
        </w:rPr>
        <w:t>当评价指标PT接近100%时，该样本量估算方法可能不适用，应考虑选择更加适宜的方法进行样本量估算和统计学分析，如精确概率法等。</w:t>
      </w:r>
    </w:p>
    <w:p>
      <w:pPr>
        <w:spacing w:line="360" w:lineRule="auto"/>
        <w:ind w:firstLine="640" w:firstLineChars="200"/>
        <w:rPr>
          <w:rFonts w:eastAsia="仿宋_GB2312"/>
          <w:sz w:val="32"/>
          <w:szCs w:val="32"/>
        </w:rPr>
      </w:pPr>
    </w:p>
    <w:p>
      <w:pPr>
        <w:spacing w:line="360" w:lineRule="auto"/>
        <w:ind w:firstLine="640" w:firstLineChars="200"/>
        <w:rPr>
          <w:rFonts w:eastAsia="仿宋_GB2312"/>
          <w:sz w:val="32"/>
          <w:szCs w:val="32"/>
        </w:rPr>
      </w:pPr>
    </w:p>
    <w:p>
      <w:pPr>
        <w:spacing w:line="360" w:lineRule="auto"/>
        <w:ind w:firstLine="640" w:firstLineChars="200"/>
        <w:rPr>
          <w:rFonts w:eastAsia="仿宋_GB2312"/>
          <w:sz w:val="32"/>
          <w:szCs w:val="32"/>
        </w:rPr>
      </w:pPr>
      <w:r>
        <w:rPr>
          <w:rFonts w:eastAsia="仿宋_GB2312"/>
          <w:sz w:val="32"/>
          <w:szCs w:val="32"/>
        </w:rPr>
        <w:drawing>
          <wp:anchor distT="0" distB="0" distL="114300" distR="114300" simplePos="0" relativeHeight="251659264" behindDoc="0" locked="0" layoutInCell="1" allowOverlap="1">
            <wp:simplePos x="0" y="0"/>
            <wp:positionH relativeFrom="column">
              <wp:posOffset>266700</wp:posOffset>
            </wp:positionH>
            <wp:positionV relativeFrom="paragraph">
              <wp:posOffset>-508000</wp:posOffset>
            </wp:positionV>
            <wp:extent cx="3486150" cy="790575"/>
            <wp:effectExtent l="0" t="0" r="0" b="0"/>
            <wp:wrapSquare wrapText="bothSides"/>
            <wp:docPr id="7" name="图片 8"/>
            <wp:cNvGraphicFramePr/>
            <a:graphic xmlns:a="http://schemas.openxmlformats.org/drawingml/2006/main">
              <a:graphicData uri="http://schemas.openxmlformats.org/drawingml/2006/picture">
                <pic:pic xmlns:pic="http://schemas.openxmlformats.org/drawingml/2006/picture">
                  <pic:nvPicPr>
                    <pic:cNvPr id="7" name="图片 8"/>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486150" cy="790575"/>
                    </a:xfrm>
                    <a:prstGeom prst="rect">
                      <a:avLst/>
                    </a:prstGeom>
                    <a:noFill/>
                    <a:ln>
                      <a:noFill/>
                    </a:ln>
                  </pic:spPr>
                </pic:pic>
              </a:graphicData>
            </a:graphic>
          </wp:anchor>
        </w:drawing>
      </w:r>
    </w:p>
    <w:p>
      <w:pPr>
        <w:spacing w:line="360" w:lineRule="auto"/>
        <w:ind w:firstLine="640" w:firstLineChars="200"/>
        <w:rPr>
          <w:rFonts w:eastAsia="仿宋_GB2312"/>
          <w:color w:val="FF0000"/>
          <w:sz w:val="44"/>
          <w:szCs w:val="44"/>
        </w:rPr>
      </w:pPr>
      <w:r>
        <w:rPr>
          <w:rFonts w:eastAsia="仿宋_GB2312"/>
          <w:sz w:val="32"/>
          <w:szCs w:val="32"/>
        </w:rPr>
        <w:t>公式中，n为样本量；Z1-α/2、Z1-β为显著性水平和把握度的标准正态分布的分数位，P0</w:t>
      </w:r>
      <w:r>
        <w:rPr>
          <w:rFonts w:hint="eastAsia" w:eastAsia="仿宋_GB2312"/>
          <w:sz w:val="32"/>
          <w:szCs w:val="32"/>
        </w:rPr>
        <w:t>为评价指标的临床可接受标准，</w:t>
      </w:r>
      <w:r>
        <w:rPr>
          <w:rFonts w:eastAsia="仿宋_GB2312"/>
          <w:sz w:val="32"/>
          <w:szCs w:val="32"/>
        </w:rPr>
        <w:t>PT</w:t>
      </w:r>
      <w:r>
        <w:rPr>
          <w:rFonts w:hint="eastAsia" w:eastAsia="仿宋_GB2312"/>
          <w:sz w:val="32"/>
          <w:szCs w:val="32"/>
        </w:rPr>
        <w:t>为申报产品评价指标预期值。</w:t>
      </w:r>
    </w:p>
    <w:p>
      <w:pPr>
        <w:spacing w:line="360" w:lineRule="auto"/>
        <w:ind w:firstLine="640" w:firstLineChars="200"/>
        <w:rPr>
          <w:rFonts w:eastAsia="仿宋_GB2312"/>
          <w:sz w:val="32"/>
          <w:szCs w:val="32"/>
        </w:rPr>
      </w:pPr>
      <w:r>
        <w:rPr>
          <w:rFonts w:hint="eastAsia" w:eastAsia="仿宋_GB2312"/>
          <w:sz w:val="32"/>
          <w:szCs w:val="32"/>
        </w:rPr>
        <w:t>针对每个变异位点，所估算的阳性样本量应为纯合突变型和杂合型的总和，要求纯合突变型和杂合型均应具有一定的例数。如纯合突变型或杂合型样本由于临床发生频率低较难获得，可回顾性临床原始样本进行富集。对于具有明确临床意义的变异位点，如确属罕见突变型（应提供证据），在该变异位点总体阳性样本量满足要求的前提下，可酌情减少纯合突变型或杂合型的例数。对于临床意义尚未明确的新的变异位点，可采用回顾性临床原始样本进行临床研究，保证纯合突变型或杂合突变型评价的充分性。</w:t>
      </w:r>
    </w:p>
    <w:p>
      <w:pPr>
        <w:spacing w:line="360" w:lineRule="auto"/>
        <w:ind w:firstLine="640" w:firstLineChars="200"/>
        <w:rPr>
          <w:rFonts w:eastAsia="仿宋_GB2312"/>
          <w:sz w:val="32"/>
          <w:szCs w:val="32"/>
        </w:rPr>
      </w:pPr>
      <w:r>
        <w:rPr>
          <w:rFonts w:eastAsia="仿宋_GB2312"/>
          <w:sz w:val="32"/>
          <w:szCs w:val="32"/>
        </w:rPr>
        <w:t>临床试验总样本量确定时应在上述阴、阳性样本最低样本量估算的基础上，同时考虑其他可能造成受试者脱落的情况，根据实际情况适当增加入组样本量。</w:t>
      </w:r>
    </w:p>
    <w:p>
      <w:pPr>
        <w:spacing w:line="360" w:lineRule="auto"/>
        <w:ind w:firstLine="640" w:firstLineChars="200"/>
        <w:rPr>
          <w:rFonts w:eastAsia="仿宋_GB2312"/>
          <w:sz w:val="32"/>
          <w:szCs w:val="32"/>
        </w:rPr>
      </w:pPr>
      <w:r>
        <w:rPr>
          <w:rFonts w:hint="eastAsia" w:eastAsia="仿宋_GB2312"/>
          <w:sz w:val="32"/>
          <w:szCs w:val="32"/>
        </w:rPr>
        <w:t>2</w:t>
      </w:r>
      <w:r>
        <w:rPr>
          <w:rFonts w:eastAsia="仿宋_GB2312"/>
          <w:sz w:val="32"/>
          <w:szCs w:val="32"/>
        </w:rPr>
        <w:t>.5 统计分析</w:t>
      </w:r>
    </w:p>
    <w:p>
      <w:pPr>
        <w:spacing w:line="360" w:lineRule="auto"/>
        <w:ind w:firstLine="640" w:firstLineChars="200"/>
        <w:rPr>
          <w:rFonts w:eastAsia="仿宋_GB2312"/>
          <w:sz w:val="32"/>
          <w:szCs w:val="32"/>
        </w:rPr>
      </w:pPr>
      <w:r>
        <w:rPr>
          <w:rFonts w:eastAsia="仿宋_GB2312"/>
          <w:sz w:val="32"/>
          <w:szCs w:val="32"/>
        </w:rPr>
        <w:t>应对所入组人群进行人口学分析，包括性别、年龄、</w:t>
      </w:r>
      <w:r>
        <w:rPr>
          <w:rFonts w:hint="eastAsia" w:eastAsia="仿宋_GB2312"/>
          <w:sz w:val="32"/>
          <w:szCs w:val="32"/>
        </w:rPr>
        <w:t>疾病类型和基因型例数总结等</w:t>
      </w:r>
      <w:r>
        <w:rPr>
          <w:rFonts w:eastAsia="仿宋_GB2312"/>
          <w:sz w:val="32"/>
          <w:szCs w:val="32"/>
        </w:rPr>
        <w:t>。</w:t>
      </w:r>
    </w:p>
    <w:p>
      <w:pPr>
        <w:spacing w:line="360" w:lineRule="auto"/>
        <w:ind w:firstLine="640" w:firstLineChars="200"/>
        <w:rPr>
          <w:rFonts w:eastAsia="仿宋_GB2312"/>
          <w:sz w:val="32"/>
          <w:szCs w:val="32"/>
        </w:rPr>
      </w:pPr>
      <w:r>
        <w:rPr>
          <w:rFonts w:hint="eastAsia" w:eastAsia="仿宋_GB2312"/>
          <w:sz w:val="32"/>
          <w:szCs w:val="32"/>
        </w:rPr>
        <w:t>针对每个变异位点，一般</w:t>
      </w:r>
      <w:r>
        <w:rPr>
          <w:rFonts w:eastAsia="仿宋_GB2312"/>
          <w:sz w:val="32"/>
          <w:szCs w:val="32"/>
        </w:rPr>
        <w:t>以</w:t>
      </w:r>
      <w:r>
        <w:rPr>
          <w:rFonts w:hint="eastAsia" w:eastAsia="仿宋_GB2312"/>
          <w:sz w:val="32"/>
          <w:szCs w:val="32"/>
        </w:rPr>
        <w:t>3</w:t>
      </w:r>
      <w:r>
        <w:rPr>
          <w:rFonts w:eastAsia="仿宋_GB2312"/>
          <w:sz w:val="32"/>
          <w:szCs w:val="32"/>
        </w:rPr>
        <w:t>x3</w:t>
      </w:r>
      <w:r>
        <w:rPr>
          <w:rFonts w:hint="eastAsia" w:eastAsia="仿宋_GB2312"/>
          <w:sz w:val="32"/>
          <w:szCs w:val="32"/>
        </w:rPr>
        <w:t>格</w:t>
      </w:r>
      <w:r>
        <w:rPr>
          <w:rFonts w:eastAsia="仿宋_GB2312"/>
          <w:sz w:val="32"/>
          <w:szCs w:val="32"/>
        </w:rPr>
        <w:t>表分别总结申报产品与对比方法的定性检测结果，</w:t>
      </w:r>
      <w:r>
        <w:rPr>
          <w:rFonts w:hint="eastAsia" w:eastAsia="仿宋_GB2312"/>
          <w:sz w:val="32"/>
          <w:szCs w:val="32"/>
        </w:rPr>
        <w:t>计算两种方法的阳性符合率（包括纯合突变型和杂合型总体）、阴性符合率（野生型）、纯合突变型的</w:t>
      </w:r>
      <w:r>
        <w:rPr>
          <w:rFonts w:eastAsia="仿宋_GB2312"/>
          <w:sz w:val="32"/>
          <w:szCs w:val="32"/>
        </w:rPr>
        <w:t>符合率、</w:t>
      </w:r>
      <w:r>
        <w:rPr>
          <w:rFonts w:hint="eastAsia" w:eastAsia="仿宋_GB2312"/>
          <w:sz w:val="32"/>
          <w:szCs w:val="32"/>
        </w:rPr>
        <w:t>杂合型符合率、野生型符合率、总和符合率</w:t>
      </w:r>
      <w:r>
        <w:rPr>
          <w:rFonts w:eastAsia="仿宋_GB2312"/>
          <w:sz w:val="32"/>
          <w:szCs w:val="32"/>
        </w:rPr>
        <w:t>及相应的95%置信区间。</w:t>
      </w:r>
    </w:p>
    <w:p>
      <w:pPr>
        <w:spacing w:line="360" w:lineRule="auto"/>
        <w:ind w:firstLine="640" w:firstLineChars="200"/>
        <w:rPr>
          <w:rFonts w:eastAsia="仿宋_GB2312"/>
          <w:sz w:val="32"/>
          <w:szCs w:val="32"/>
        </w:rPr>
      </w:pPr>
      <w:r>
        <w:rPr>
          <w:rFonts w:eastAsia="仿宋_GB2312"/>
          <w:sz w:val="32"/>
          <w:szCs w:val="32"/>
        </w:rPr>
        <w:t>针对不一致样本，应采用合理的方法进行确认，对不一致的原因综合进行分析。</w:t>
      </w:r>
    </w:p>
    <w:p>
      <w:pPr>
        <w:spacing w:line="360" w:lineRule="auto"/>
        <w:ind w:firstLine="640" w:firstLineChars="200"/>
        <w:rPr>
          <w:rFonts w:eastAsia="仿宋_GB2312"/>
          <w:sz w:val="32"/>
          <w:szCs w:val="32"/>
        </w:rPr>
      </w:pPr>
      <w:r>
        <w:rPr>
          <w:rFonts w:eastAsia="仿宋_GB2312"/>
          <w:sz w:val="32"/>
          <w:szCs w:val="32"/>
        </w:rPr>
        <w:t xml:space="preserve">3. </w:t>
      </w:r>
      <w:r>
        <w:rPr>
          <w:rFonts w:hint="eastAsia" w:eastAsia="仿宋_GB2312"/>
          <w:sz w:val="32"/>
          <w:szCs w:val="32"/>
        </w:rPr>
        <w:t>针对产品临床意义（临床有效性）确认的临床证据</w:t>
      </w:r>
    </w:p>
    <w:p>
      <w:pPr>
        <w:spacing w:line="360" w:lineRule="auto"/>
        <w:ind w:firstLine="640" w:firstLineChars="200"/>
        <w:contextualSpacing/>
        <w:rPr>
          <w:rFonts w:eastAsia="仿宋_GB2312"/>
          <w:sz w:val="32"/>
          <w:szCs w:val="32"/>
        </w:rPr>
      </w:pPr>
      <w:r>
        <w:rPr>
          <w:rFonts w:hint="eastAsia" w:eastAsia="仿宋_GB2312"/>
          <w:sz w:val="32"/>
          <w:szCs w:val="32"/>
        </w:rPr>
        <w:t>3.1</w:t>
      </w:r>
      <w:r>
        <w:rPr>
          <w:rFonts w:eastAsia="仿宋_GB2312"/>
          <w:sz w:val="32"/>
          <w:szCs w:val="32"/>
        </w:rPr>
        <w:t xml:space="preserve"> 已有同类产品上市的申报产品</w:t>
      </w:r>
    </w:p>
    <w:p>
      <w:pPr>
        <w:spacing w:line="360" w:lineRule="auto"/>
        <w:ind w:firstLine="640" w:firstLineChars="200"/>
        <w:contextualSpacing/>
        <w:rPr>
          <w:rFonts w:eastAsia="仿宋_GB2312"/>
          <w:sz w:val="32"/>
          <w:szCs w:val="32"/>
        </w:rPr>
      </w:pPr>
      <w:r>
        <w:rPr>
          <w:rFonts w:hint="eastAsia" w:eastAsia="仿宋_GB2312"/>
          <w:sz w:val="32"/>
          <w:szCs w:val="32"/>
        </w:rPr>
        <w:t>对于在中国已有同类产品上市的申报产品</w:t>
      </w:r>
      <w:r>
        <w:rPr>
          <w:rFonts w:eastAsia="仿宋_GB2312"/>
          <w:sz w:val="32"/>
          <w:szCs w:val="32"/>
        </w:rPr>
        <w:t>，</w:t>
      </w:r>
      <w:r>
        <w:rPr>
          <w:rFonts w:hint="eastAsia" w:eastAsia="仿宋_GB2312"/>
          <w:sz w:val="32"/>
          <w:szCs w:val="32"/>
        </w:rPr>
        <w:t>可认为其临床意义已得到认可，</w:t>
      </w:r>
      <w:r>
        <w:rPr>
          <w:rFonts w:eastAsia="仿宋_GB2312"/>
          <w:sz w:val="32"/>
          <w:szCs w:val="32"/>
        </w:rPr>
        <w:t>无需</w:t>
      </w:r>
      <w:r>
        <w:rPr>
          <w:rFonts w:hint="eastAsia" w:eastAsia="仿宋_GB2312"/>
          <w:sz w:val="32"/>
          <w:szCs w:val="32"/>
        </w:rPr>
        <w:t>再进行临床有效性的确认</w:t>
      </w:r>
      <w:r>
        <w:rPr>
          <w:rFonts w:eastAsia="仿宋_GB2312"/>
          <w:sz w:val="32"/>
          <w:szCs w:val="32"/>
        </w:rPr>
        <w:t>。</w:t>
      </w:r>
    </w:p>
    <w:p>
      <w:pPr>
        <w:spacing w:line="360" w:lineRule="auto"/>
        <w:ind w:firstLine="640" w:firstLineChars="200"/>
        <w:contextualSpacing/>
        <w:rPr>
          <w:rFonts w:eastAsia="仿宋_GB2312"/>
          <w:sz w:val="32"/>
          <w:szCs w:val="32"/>
        </w:rPr>
      </w:pPr>
      <w:r>
        <w:rPr>
          <w:rFonts w:hint="eastAsia" w:eastAsia="仿宋_GB2312"/>
          <w:sz w:val="32"/>
          <w:szCs w:val="32"/>
        </w:rPr>
        <w:t>3.2</w:t>
      </w:r>
      <w:r>
        <w:rPr>
          <w:rFonts w:eastAsia="仿宋_GB2312"/>
          <w:sz w:val="32"/>
          <w:szCs w:val="32"/>
        </w:rPr>
        <w:t>无同类产品上市的申报产品</w:t>
      </w:r>
    </w:p>
    <w:p>
      <w:pPr>
        <w:spacing w:line="360" w:lineRule="auto"/>
        <w:ind w:firstLine="640" w:firstLineChars="200"/>
        <w:contextualSpacing/>
        <w:rPr>
          <w:rFonts w:eastAsia="仿宋_GB2312"/>
          <w:sz w:val="32"/>
          <w:szCs w:val="32"/>
        </w:rPr>
      </w:pPr>
      <w:r>
        <w:rPr>
          <w:rFonts w:hint="eastAsia" w:eastAsia="仿宋_GB2312"/>
          <w:sz w:val="32"/>
          <w:szCs w:val="32"/>
        </w:rPr>
        <w:t>3.2.1</w:t>
      </w:r>
      <w:r>
        <w:rPr>
          <w:rFonts w:eastAsia="仿宋_GB2312"/>
          <w:sz w:val="32"/>
          <w:szCs w:val="32"/>
        </w:rPr>
        <w:t xml:space="preserve"> 如新</w:t>
      </w:r>
      <w:r>
        <w:rPr>
          <w:rFonts w:hint="eastAsia" w:eastAsia="仿宋_GB2312"/>
          <w:sz w:val="32"/>
          <w:szCs w:val="32"/>
        </w:rPr>
        <w:t>变异</w:t>
      </w:r>
      <w:r>
        <w:rPr>
          <w:rFonts w:eastAsia="仿宋_GB2312"/>
          <w:sz w:val="32"/>
          <w:szCs w:val="32"/>
        </w:rPr>
        <w:t>位点</w:t>
      </w:r>
      <w:r>
        <w:rPr>
          <w:rFonts w:hint="eastAsia" w:eastAsia="仿宋_GB2312"/>
          <w:sz w:val="32"/>
          <w:szCs w:val="32"/>
        </w:rPr>
        <w:t>与药物反应的关系已在国内</w:t>
      </w:r>
      <w:r>
        <w:rPr>
          <w:rFonts w:eastAsia="仿宋_GB2312"/>
          <w:sz w:val="32"/>
          <w:szCs w:val="32"/>
        </w:rPr>
        <w:t>相关</w:t>
      </w:r>
      <w:r>
        <w:rPr>
          <w:rFonts w:hint="eastAsia" w:eastAsia="仿宋_GB2312"/>
          <w:sz w:val="32"/>
          <w:szCs w:val="32"/>
        </w:rPr>
        <w:t>诊疗</w:t>
      </w:r>
      <w:r>
        <w:rPr>
          <w:rFonts w:eastAsia="仿宋_GB2312"/>
          <w:sz w:val="32"/>
          <w:szCs w:val="32"/>
        </w:rPr>
        <w:t>指南</w:t>
      </w:r>
      <w:r>
        <w:rPr>
          <w:rFonts w:hint="eastAsia" w:eastAsia="仿宋_GB2312"/>
          <w:sz w:val="32"/>
          <w:szCs w:val="32"/>
        </w:rPr>
        <w:t>、或国内药品说明书中被明确说明，并且具有较高的证据级别（如涉及证据级别），可认为其临床意义已得到认可，</w:t>
      </w:r>
      <w:r>
        <w:rPr>
          <w:rFonts w:eastAsia="仿宋_GB2312"/>
          <w:sz w:val="32"/>
          <w:szCs w:val="32"/>
        </w:rPr>
        <w:t>无需</w:t>
      </w:r>
      <w:r>
        <w:rPr>
          <w:rFonts w:hint="eastAsia" w:eastAsia="仿宋_GB2312"/>
          <w:sz w:val="32"/>
          <w:szCs w:val="32"/>
        </w:rPr>
        <w:t>再进行临床有效性的确认</w:t>
      </w:r>
      <w:r>
        <w:rPr>
          <w:rFonts w:eastAsia="仿宋_GB2312"/>
          <w:sz w:val="32"/>
          <w:szCs w:val="32"/>
        </w:rPr>
        <w:t>。</w:t>
      </w:r>
    </w:p>
    <w:p>
      <w:pPr>
        <w:spacing w:line="360" w:lineRule="auto"/>
        <w:ind w:firstLine="640" w:firstLineChars="200"/>
        <w:contextualSpacing/>
        <w:rPr>
          <w:rFonts w:eastAsia="仿宋_GB2312"/>
          <w:sz w:val="32"/>
          <w:szCs w:val="32"/>
        </w:rPr>
      </w:pPr>
      <w:r>
        <w:rPr>
          <w:rFonts w:hint="eastAsia" w:eastAsia="仿宋_GB2312"/>
          <w:sz w:val="32"/>
          <w:szCs w:val="32"/>
        </w:rPr>
        <w:t>3</w:t>
      </w:r>
      <w:r>
        <w:rPr>
          <w:rFonts w:eastAsia="仿宋_GB2312"/>
          <w:sz w:val="32"/>
          <w:szCs w:val="32"/>
        </w:rPr>
        <w:t>.2.</w:t>
      </w:r>
      <w:r>
        <w:rPr>
          <w:rFonts w:hint="eastAsia" w:eastAsia="仿宋_GB2312"/>
          <w:sz w:val="32"/>
          <w:szCs w:val="32"/>
        </w:rPr>
        <w:t>2</w:t>
      </w:r>
      <w:r>
        <w:rPr>
          <w:rFonts w:eastAsia="仿宋_GB2312"/>
          <w:sz w:val="32"/>
          <w:szCs w:val="32"/>
        </w:rPr>
        <w:t xml:space="preserve"> 如新</w:t>
      </w:r>
      <w:r>
        <w:rPr>
          <w:rFonts w:hint="eastAsia" w:eastAsia="仿宋_GB2312"/>
          <w:sz w:val="32"/>
          <w:szCs w:val="32"/>
        </w:rPr>
        <w:t>变异</w:t>
      </w:r>
      <w:r>
        <w:rPr>
          <w:rFonts w:eastAsia="仿宋_GB2312"/>
          <w:sz w:val="32"/>
          <w:szCs w:val="32"/>
        </w:rPr>
        <w:t>位点</w:t>
      </w:r>
      <w:r>
        <w:rPr>
          <w:rFonts w:hint="eastAsia" w:eastAsia="仿宋_GB2312"/>
          <w:sz w:val="32"/>
          <w:szCs w:val="32"/>
        </w:rPr>
        <w:t>与药物反应的关系已在国外</w:t>
      </w:r>
      <w:r>
        <w:rPr>
          <w:rFonts w:eastAsia="仿宋_GB2312"/>
          <w:sz w:val="32"/>
          <w:szCs w:val="32"/>
        </w:rPr>
        <w:t>相关指南</w:t>
      </w:r>
      <w:r>
        <w:rPr>
          <w:rFonts w:hint="eastAsia" w:eastAsia="仿宋_GB2312"/>
          <w:sz w:val="32"/>
          <w:szCs w:val="32"/>
        </w:rPr>
        <w:t>、权威数据库或国外药物说明书中被明确说明，具有较高的证据级别（如涉及证据级别）</w:t>
      </w:r>
      <w:r>
        <w:rPr>
          <w:rFonts w:eastAsia="仿宋_GB2312"/>
          <w:sz w:val="32"/>
          <w:szCs w:val="32"/>
        </w:rPr>
        <w:t>，</w:t>
      </w:r>
      <w:r>
        <w:rPr>
          <w:rFonts w:hint="eastAsia" w:eastAsia="仿宋_GB2312"/>
          <w:sz w:val="32"/>
          <w:szCs w:val="32"/>
        </w:rPr>
        <w:t>且包含充分的中国人群的临床数据</w:t>
      </w:r>
      <w:r>
        <w:rPr>
          <w:rFonts w:eastAsia="仿宋_GB2312"/>
          <w:sz w:val="32"/>
          <w:szCs w:val="32"/>
        </w:rPr>
        <w:t>，</w:t>
      </w:r>
      <w:r>
        <w:rPr>
          <w:rFonts w:hint="eastAsia" w:eastAsia="仿宋_GB2312"/>
          <w:sz w:val="32"/>
          <w:szCs w:val="32"/>
        </w:rPr>
        <w:t>可认为其临床意义已得到认可，</w:t>
      </w:r>
      <w:r>
        <w:rPr>
          <w:rFonts w:eastAsia="仿宋_GB2312"/>
          <w:sz w:val="32"/>
          <w:szCs w:val="32"/>
        </w:rPr>
        <w:t>无需</w:t>
      </w:r>
      <w:r>
        <w:rPr>
          <w:rFonts w:hint="eastAsia" w:eastAsia="仿宋_GB2312"/>
          <w:sz w:val="32"/>
          <w:szCs w:val="32"/>
        </w:rPr>
        <w:t>再进行临床有效性的确认</w:t>
      </w:r>
      <w:r>
        <w:rPr>
          <w:rFonts w:eastAsia="仿宋_GB2312"/>
          <w:sz w:val="32"/>
          <w:szCs w:val="32"/>
        </w:rPr>
        <w:t>。</w:t>
      </w:r>
    </w:p>
    <w:p>
      <w:pPr>
        <w:spacing w:line="360" w:lineRule="auto"/>
        <w:ind w:firstLine="640" w:firstLineChars="200"/>
        <w:contextualSpacing/>
        <w:rPr>
          <w:rFonts w:eastAsia="仿宋_GB2312"/>
          <w:sz w:val="32"/>
          <w:szCs w:val="32"/>
        </w:rPr>
      </w:pPr>
      <w:r>
        <w:rPr>
          <w:rFonts w:hint="eastAsia" w:eastAsia="仿宋_GB2312"/>
          <w:sz w:val="32"/>
          <w:szCs w:val="32"/>
        </w:rPr>
        <w:t>3.2.3</w:t>
      </w:r>
      <w:r>
        <w:rPr>
          <w:rFonts w:eastAsia="仿宋_GB2312"/>
          <w:sz w:val="32"/>
          <w:szCs w:val="32"/>
        </w:rPr>
        <w:t xml:space="preserve"> 如新</w:t>
      </w:r>
      <w:r>
        <w:rPr>
          <w:rFonts w:hint="eastAsia" w:eastAsia="仿宋_GB2312"/>
          <w:sz w:val="32"/>
          <w:szCs w:val="32"/>
        </w:rPr>
        <w:t>变异</w:t>
      </w:r>
      <w:r>
        <w:rPr>
          <w:rFonts w:eastAsia="仿宋_GB2312"/>
          <w:sz w:val="32"/>
          <w:szCs w:val="32"/>
        </w:rPr>
        <w:t>位点</w:t>
      </w:r>
      <w:r>
        <w:rPr>
          <w:rFonts w:hint="eastAsia" w:eastAsia="仿宋_GB2312"/>
          <w:sz w:val="32"/>
          <w:szCs w:val="32"/>
        </w:rPr>
        <w:t>与药物反应的关系已在国外相关指南、权威数据库或国外药物说明书被明确，并且具有较高的证据级别（如涉及证据级别），但上述认可并未包含中国人群的临床数据，申请人应充分评价国内外人种的差异对变异位点与药物反应关系的影响，如有必要，应提交基于中国人群的临床证据。</w:t>
      </w:r>
    </w:p>
    <w:p>
      <w:pPr>
        <w:spacing w:line="360" w:lineRule="auto"/>
        <w:ind w:firstLine="640" w:firstLineChars="200"/>
        <w:contextualSpacing/>
        <w:rPr>
          <w:rFonts w:eastAsia="仿宋_GB2312"/>
          <w:sz w:val="32"/>
          <w:szCs w:val="32"/>
        </w:rPr>
      </w:pPr>
      <w:r>
        <w:rPr>
          <w:rFonts w:hint="eastAsia" w:eastAsia="仿宋_GB2312"/>
          <w:sz w:val="32"/>
          <w:szCs w:val="32"/>
        </w:rPr>
        <w:t>3</w:t>
      </w:r>
      <w:r>
        <w:rPr>
          <w:rFonts w:eastAsia="仿宋_GB2312"/>
          <w:sz w:val="32"/>
          <w:szCs w:val="32"/>
        </w:rPr>
        <w:t>.2.</w:t>
      </w:r>
      <w:r>
        <w:rPr>
          <w:rFonts w:hint="eastAsia" w:eastAsia="仿宋_GB2312"/>
          <w:sz w:val="32"/>
          <w:szCs w:val="32"/>
        </w:rPr>
        <w:t>4</w:t>
      </w:r>
      <w:r>
        <w:rPr>
          <w:rFonts w:eastAsia="仿宋_GB2312"/>
          <w:sz w:val="32"/>
          <w:szCs w:val="32"/>
        </w:rPr>
        <w:t>如新</w:t>
      </w:r>
      <w:r>
        <w:rPr>
          <w:rFonts w:hint="eastAsia" w:eastAsia="仿宋_GB2312"/>
          <w:sz w:val="32"/>
          <w:szCs w:val="32"/>
        </w:rPr>
        <w:t>变异</w:t>
      </w:r>
      <w:r>
        <w:rPr>
          <w:rFonts w:eastAsia="仿宋_GB2312"/>
          <w:sz w:val="32"/>
          <w:szCs w:val="32"/>
        </w:rPr>
        <w:t>位点</w:t>
      </w:r>
      <w:r>
        <w:rPr>
          <w:rFonts w:hint="eastAsia" w:eastAsia="仿宋_GB2312"/>
          <w:sz w:val="32"/>
          <w:szCs w:val="32"/>
        </w:rPr>
        <w:t>与药物反应的关系尚未在境内外诊疗指南、药品说明书和权威数据库等方面获得认可</w:t>
      </w:r>
      <w:r>
        <w:rPr>
          <w:rFonts w:eastAsia="仿宋_GB2312"/>
          <w:sz w:val="32"/>
          <w:szCs w:val="32"/>
        </w:rPr>
        <w:t>，</w:t>
      </w:r>
      <w:r>
        <w:rPr>
          <w:rFonts w:hint="eastAsia" w:eastAsia="仿宋_GB2312"/>
          <w:sz w:val="32"/>
          <w:szCs w:val="32"/>
        </w:rPr>
        <w:t>申请人可通过以下方式证明变异位点与药物的关系。</w:t>
      </w:r>
      <w:r>
        <w:rPr>
          <w:rFonts w:eastAsia="仿宋_GB2312"/>
          <w:sz w:val="32"/>
          <w:szCs w:val="32"/>
        </w:rPr>
        <w:t xml:space="preserve"> </w:t>
      </w:r>
    </w:p>
    <w:p>
      <w:pPr>
        <w:spacing w:line="360" w:lineRule="auto"/>
        <w:ind w:firstLine="640" w:firstLineChars="200"/>
        <w:contextualSpacing/>
        <w:rPr>
          <w:rFonts w:eastAsia="仿宋_GB2312"/>
          <w:sz w:val="32"/>
          <w:szCs w:val="32"/>
        </w:rPr>
      </w:pPr>
      <w:r>
        <w:rPr>
          <w:rFonts w:eastAsia="仿宋_GB2312"/>
          <w:sz w:val="32"/>
          <w:szCs w:val="32"/>
        </w:rPr>
        <w:t>3.2.</w:t>
      </w:r>
      <w:r>
        <w:rPr>
          <w:rFonts w:hint="eastAsia" w:eastAsia="仿宋_GB2312"/>
          <w:sz w:val="32"/>
          <w:szCs w:val="32"/>
        </w:rPr>
        <w:t>4</w:t>
      </w:r>
      <w:r>
        <w:rPr>
          <w:rFonts w:eastAsia="仿宋_GB2312"/>
          <w:sz w:val="32"/>
          <w:szCs w:val="32"/>
        </w:rPr>
        <w:t xml:space="preserve">.1 </w:t>
      </w:r>
      <w:r>
        <w:rPr>
          <w:rFonts w:hint="eastAsia" w:eastAsia="仿宋_GB2312"/>
          <w:sz w:val="32"/>
          <w:szCs w:val="32"/>
        </w:rPr>
        <w:t>通过国内循证医学证据。申请人应采用系统评价的方法，确定合理的临床问题，并制定科学的检索路径和关键词、进行有效的文献筛选和数据处理等，对高水平临床研究数据进行完整的系统评价，并提供系统评价报告。应提醒注意的是，该部分结论的获得应是基于高水平研究数据获得得。</w:t>
      </w:r>
    </w:p>
    <w:p>
      <w:pPr>
        <w:spacing w:line="360" w:lineRule="auto"/>
        <w:ind w:firstLine="640" w:firstLineChars="200"/>
        <w:contextualSpacing/>
        <w:rPr>
          <w:rFonts w:eastAsia="仿宋_GB2312"/>
          <w:sz w:val="32"/>
          <w:szCs w:val="32"/>
        </w:rPr>
      </w:pPr>
      <w:r>
        <w:rPr>
          <w:rFonts w:hint="eastAsia" w:eastAsia="仿宋_GB2312"/>
          <w:sz w:val="32"/>
          <w:szCs w:val="32"/>
        </w:rPr>
        <w:t>3.2.4.2</w:t>
      </w:r>
      <w:r>
        <w:rPr>
          <w:rFonts w:eastAsia="仿宋_GB2312"/>
          <w:sz w:val="32"/>
          <w:szCs w:val="32"/>
        </w:rPr>
        <w:t xml:space="preserve"> </w:t>
      </w:r>
      <w:r>
        <w:rPr>
          <w:rFonts w:hint="eastAsia" w:eastAsia="仿宋_GB2312"/>
          <w:sz w:val="32"/>
          <w:szCs w:val="32"/>
        </w:rPr>
        <w:t>通过国内临床试验</w:t>
      </w:r>
    </w:p>
    <w:p>
      <w:pPr>
        <w:spacing w:line="360" w:lineRule="auto"/>
        <w:ind w:firstLine="640" w:firstLineChars="200"/>
        <w:rPr>
          <w:rFonts w:eastAsia="仿宋_GB2312"/>
          <w:sz w:val="32"/>
          <w:szCs w:val="32"/>
        </w:rPr>
      </w:pPr>
      <w:r>
        <w:rPr>
          <w:rFonts w:hint="eastAsia" w:eastAsia="仿宋_GB2312"/>
          <w:sz w:val="32"/>
          <w:szCs w:val="32"/>
        </w:rPr>
        <w:t>3.2.4.2.1</w:t>
      </w:r>
      <w:r>
        <w:rPr>
          <w:rFonts w:eastAsia="仿宋_GB2312"/>
          <w:sz w:val="32"/>
          <w:szCs w:val="32"/>
        </w:rPr>
        <w:t xml:space="preserve"> 临床试验机构</w:t>
      </w:r>
    </w:p>
    <w:p>
      <w:pPr>
        <w:spacing w:line="360" w:lineRule="auto"/>
        <w:ind w:firstLine="640" w:firstLineChars="200"/>
        <w:rPr>
          <w:rFonts w:eastAsia="仿宋_GB2312"/>
          <w:sz w:val="32"/>
          <w:szCs w:val="32"/>
        </w:rPr>
      </w:pPr>
      <w:r>
        <w:rPr>
          <w:rFonts w:hint="eastAsia" w:eastAsia="仿宋_GB2312"/>
          <w:sz w:val="32"/>
          <w:szCs w:val="32"/>
        </w:rPr>
        <w:t>临床试验应在不少于2家、具备相应条件且按照规定备案的医疗器械临床试验机构开展</w:t>
      </w:r>
    </w:p>
    <w:p>
      <w:pPr>
        <w:spacing w:line="360" w:lineRule="auto"/>
        <w:ind w:firstLine="640" w:firstLineChars="200"/>
        <w:rPr>
          <w:rFonts w:eastAsia="仿宋_GB2312"/>
          <w:sz w:val="32"/>
          <w:szCs w:val="32"/>
        </w:rPr>
      </w:pPr>
      <w:r>
        <w:rPr>
          <w:rFonts w:hint="eastAsia" w:eastAsia="仿宋_GB2312"/>
          <w:sz w:val="32"/>
          <w:szCs w:val="32"/>
        </w:rPr>
        <w:t>3.2.4.2.2</w:t>
      </w:r>
      <w:r>
        <w:rPr>
          <w:rFonts w:eastAsia="仿宋_GB2312"/>
          <w:sz w:val="32"/>
          <w:szCs w:val="32"/>
        </w:rPr>
        <w:t xml:space="preserve"> </w:t>
      </w:r>
      <w:r>
        <w:rPr>
          <w:rFonts w:hint="eastAsia" w:eastAsia="仿宋_GB2312"/>
          <w:sz w:val="32"/>
          <w:szCs w:val="32"/>
        </w:rPr>
        <w:t>临床试验设计</w:t>
      </w:r>
    </w:p>
    <w:p>
      <w:pPr>
        <w:spacing w:line="360" w:lineRule="auto"/>
        <w:ind w:firstLine="640" w:firstLineChars="200"/>
        <w:rPr>
          <w:rFonts w:eastAsia="仿宋_GB2312"/>
          <w:sz w:val="32"/>
          <w:szCs w:val="32"/>
        </w:rPr>
      </w:pPr>
      <w:r>
        <w:rPr>
          <w:rFonts w:hint="eastAsia" w:eastAsia="仿宋_GB2312"/>
          <w:sz w:val="32"/>
          <w:szCs w:val="32"/>
        </w:rPr>
        <w:t>应采用临床原始样本进行申报产品的检测，并前瞻性或回顾性收集临床病例使用配对药物的临床结局（如：疗效或不良反应等），分析特定变异位点不同基因型与临床结局的关系，最终给出特定变异位点不同基因型可指导药物使用的结论。如采用回顾性方式，应连续纳入一段时间内的相关患者，不得进行病例挑选。</w:t>
      </w:r>
    </w:p>
    <w:p>
      <w:pPr>
        <w:spacing w:line="360" w:lineRule="auto"/>
        <w:ind w:firstLine="640" w:firstLineChars="200"/>
        <w:rPr>
          <w:rFonts w:eastAsia="仿宋_GB2312"/>
          <w:sz w:val="32"/>
          <w:szCs w:val="32"/>
        </w:rPr>
      </w:pPr>
      <w:r>
        <w:rPr>
          <w:rFonts w:hint="eastAsia" w:eastAsia="仿宋_GB2312"/>
          <w:sz w:val="32"/>
          <w:szCs w:val="32"/>
        </w:rPr>
        <w:t xml:space="preserve">临床结局表征指标的设定应有充分的依据，应在临床试验资料中明确设定的依据，并提供充分的支持资料。与药品不良反应相关的产品，临床结局表征指标可以为是否发生某种不良反应，或能够代表病例是否发生不良反应的检测指标。与药物疗效相关的产品，临床结局表征指标可以为是否有效，或能够代表病例是否有效的检测指标。 </w:t>
      </w:r>
    </w:p>
    <w:p>
      <w:pPr>
        <w:spacing w:line="360" w:lineRule="auto"/>
        <w:ind w:firstLine="640" w:firstLineChars="200"/>
        <w:rPr>
          <w:rFonts w:eastAsia="仿宋_GB2312"/>
          <w:sz w:val="32"/>
          <w:szCs w:val="32"/>
        </w:rPr>
      </w:pPr>
      <w:r>
        <w:rPr>
          <w:rFonts w:hint="eastAsia" w:eastAsia="仿宋_GB2312"/>
          <w:sz w:val="32"/>
          <w:szCs w:val="32"/>
        </w:rPr>
        <w:t>该部分临床试验申报产品的检测结果，可采用申报产品临床检测性能确认时的检测结果。</w:t>
      </w:r>
    </w:p>
    <w:p>
      <w:pPr>
        <w:spacing w:line="360" w:lineRule="auto"/>
        <w:ind w:firstLine="640" w:firstLineChars="200"/>
        <w:rPr>
          <w:rFonts w:eastAsia="仿宋_GB2312"/>
          <w:sz w:val="32"/>
          <w:szCs w:val="32"/>
        </w:rPr>
      </w:pPr>
      <w:r>
        <w:rPr>
          <w:rFonts w:hint="eastAsia" w:eastAsia="仿宋_GB2312"/>
          <w:sz w:val="32"/>
          <w:szCs w:val="32"/>
        </w:rPr>
        <w:t>3.2.4.2.3</w:t>
      </w:r>
      <w:r>
        <w:rPr>
          <w:rFonts w:eastAsia="仿宋_GB2312"/>
          <w:sz w:val="32"/>
          <w:szCs w:val="32"/>
        </w:rPr>
        <w:t xml:space="preserve"> 受试者选择</w:t>
      </w:r>
    </w:p>
    <w:p>
      <w:pPr>
        <w:spacing w:line="360" w:lineRule="auto"/>
        <w:ind w:firstLine="640" w:firstLineChars="200"/>
        <w:rPr>
          <w:rFonts w:eastAsia="仿宋_GB2312"/>
          <w:sz w:val="32"/>
          <w:szCs w:val="32"/>
        </w:rPr>
      </w:pPr>
      <w:r>
        <w:rPr>
          <w:rFonts w:eastAsia="仿宋_GB2312"/>
          <w:sz w:val="32"/>
          <w:szCs w:val="32"/>
        </w:rPr>
        <w:t>临床试验的入组人群应来自</w:t>
      </w:r>
      <w:r>
        <w:rPr>
          <w:rFonts w:hint="eastAsia" w:eastAsia="仿宋_GB2312"/>
          <w:sz w:val="32"/>
          <w:szCs w:val="32"/>
        </w:rPr>
        <w:t>申报</w:t>
      </w:r>
      <w:r>
        <w:rPr>
          <w:rFonts w:eastAsia="仿宋_GB2312"/>
          <w:sz w:val="32"/>
          <w:szCs w:val="32"/>
        </w:rPr>
        <w:t>产品的预期适用人群</w:t>
      </w:r>
      <w:r>
        <w:rPr>
          <w:rFonts w:hint="eastAsia" w:eastAsia="仿宋_GB2312"/>
          <w:sz w:val="32"/>
          <w:szCs w:val="32"/>
        </w:rPr>
        <w:t>，应为所指导药物的预期使用人群，应为药物说明书“适应证”部分描述患者</w:t>
      </w:r>
      <w:r>
        <w:rPr>
          <w:rFonts w:eastAsia="仿宋_GB2312"/>
          <w:sz w:val="32"/>
          <w:szCs w:val="32"/>
        </w:rPr>
        <w:t>。临床试验方案应明确受试者入组标准，并说明依据。入组受试者应能够代表产品适用人群的各种情形，例如：应包括不同年龄、性别受试者；</w:t>
      </w:r>
      <w:r>
        <w:rPr>
          <w:rFonts w:hint="eastAsia" w:eastAsia="仿宋_GB2312"/>
          <w:sz w:val="32"/>
          <w:szCs w:val="32"/>
        </w:rPr>
        <w:t>如涉及多个适应证，每种适应证的患者均应纳入一定数量。</w:t>
      </w:r>
    </w:p>
    <w:p>
      <w:pPr>
        <w:spacing w:line="360" w:lineRule="auto"/>
        <w:ind w:firstLine="640" w:firstLineChars="200"/>
        <w:rPr>
          <w:rFonts w:eastAsia="仿宋_GB2312"/>
          <w:sz w:val="32"/>
          <w:szCs w:val="32"/>
        </w:rPr>
      </w:pPr>
      <w:r>
        <w:rPr>
          <w:rFonts w:hint="eastAsia" w:eastAsia="仿宋_GB2312"/>
          <w:sz w:val="32"/>
          <w:szCs w:val="32"/>
        </w:rPr>
        <w:t>3.2.4.2.4</w:t>
      </w:r>
      <w:r>
        <w:rPr>
          <w:rFonts w:eastAsia="仿宋_GB2312"/>
          <w:sz w:val="32"/>
          <w:szCs w:val="32"/>
        </w:rPr>
        <w:t>样本量</w:t>
      </w:r>
    </w:p>
    <w:p>
      <w:pPr>
        <w:spacing w:line="360" w:lineRule="auto"/>
        <w:ind w:firstLine="640" w:firstLineChars="200"/>
        <w:rPr>
          <w:rFonts w:eastAsia="仿宋_GB2312"/>
          <w:sz w:val="32"/>
          <w:szCs w:val="32"/>
        </w:rPr>
      </w:pPr>
      <w:r>
        <w:rPr>
          <w:rFonts w:eastAsia="仿宋_GB2312"/>
          <w:sz w:val="32"/>
          <w:szCs w:val="32"/>
        </w:rPr>
        <w:t>临床试验样本量应采用适当的统计学方法进行估算，并详细描述所使用统计方法及各参数的确定依据。此部分临床试验目的为评估</w:t>
      </w:r>
      <w:r>
        <w:rPr>
          <w:rFonts w:hint="eastAsia" w:eastAsia="仿宋_GB2312"/>
          <w:sz w:val="32"/>
          <w:szCs w:val="32"/>
        </w:rPr>
        <w:t>变异位点与配对药物</w:t>
      </w:r>
      <w:r>
        <w:rPr>
          <w:rFonts w:eastAsia="仿宋_GB2312"/>
          <w:sz w:val="32"/>
          <w:szCs w:val="32"/>
        </w:rPr>
        <w:t>的</w:t>
      </w:r>
      <w:r>
        <w:rPr>
          <w:rFonts w:hint="eastAsia" w:eastAsia="仿宋_GB2312"/>
          <w:sz w:val="32"/>
          <w:szCs w:val="32"/>
        </w:rPr>
        <w:t>相关性</w:t>
      </w:r>
      <w:r>
        <w:rPr>
          <w:rFonts w:eastAsia="仿宋_GB2312"/>
          <w:sz w:val="32"/>
          <w:szCs w:val="32"/>
        </w:rPr>
        <w:t>，</w:t>
      </w:r>
      <w:r>
        <w:rPr>
          <w:rFonts w:hint="eastAsia" w:eastAsia="仿宋_GB2312"/>
          <w:sz w:val="32"/>
          <w:szCs w:val="32"/>
        </w:rPr>
        <w:t>因此，针对每一变异位点，不同基因型的病例（纯合突变型、杂合型和野生型）应均有一定的数量，以便进行有效的统计学分析。</w:t>
      </w:r>
    </w:p>
    <w:p>
      <w:pPr>
        <w:spacing w:line="360" w:lineRule="auto"/>
        <w:ind w:firstLine="640" w:firstLineChars="200"/>
        <w:rPr>
          <w:rFonts w:eastAsia="仿宋_GB2312"/>
          <w:sz w:val="32"/>
          <w:szCs w:val="32"/>
        </w:rPr>
      </w:pPr>
      <w:r>
        <w:rPr>
          <w:rFonts w:hint="eastAsia" w:eastAsia="仿宋_GB2312"/>
          <w:sz w:val="32"/>
          <w:szCs w:val="32"/>
        </w:rPr>
        <w:t>3.2.4.2</w:t>
      </w:r>
      <w:r>
        <w:rPr>
          <w:rFonts w:eastAsia="仿宋_GB2312"/>
          <w:sz w:val="32"/>
          <w:szCs w:val="32"/>
        </w:rPr>
        <w:t>.5 统计分析</w:t>
      </w:r>
    </w:p>
    <w:p>
      <w:pPr>
        <w:spacing w:line="360" w:lineRule="auto"/>
        <w:ind w:firstLine="640" w:firstLineChars="200"/>
        <w:rPr>
          <w:rFonts w:eastAsia="仿宋_GB2312"/>
          <w:sz w:val="32"/>
          <w:szCs w:val="32"/>
        </w:rPr>
      </w:pPr>
      <w:r>
        <w:rPr>
          <w:rFonts w:eastAsia="仿宋_GB2312"/>
          <w:sz w:val="32"/>
          <w:szCs w:val="32"/>
        </w:rPr>
        <w:t>应对所入组人群进行人口学分析，包括性别、年龄、</w:t>
      </w:r>
      <w:r>
        <w:rPr>
          <w:rFonts w:hint="eastAsia" w:eastAsia="仿宋_GB2312"/>
          <w:sz w:val="32"/>
          <w:szCs w:val="32"/>
        </w:rPr>
        <w:t>疾病类型和基因型例数总结等，同一变异位点不同基因型的人群应具有相同的人口基线。</w:t>
      </w:r>
    </w:p>
    <w:p>
      <w:pPr>
        <w:spacing w:line="360" w:lineRule="auto"/>
        <w:ind w:firstLine="640" w:firstLineChars="200"/>
        <w:rPr>
          <w:rFonts w:eastAsia="仿宋_GB2312"/>
          <w:sz w:val="32"/>
          <w:szCs w:val="32"/>
        </w:rPr>
      </w:pPr>
      <w:r>
        <w:rPr>
          <w:rFonts w:hint="eastAsia" w:eastAsia="仿宋_GB2312"/>
          <w:sz w:val="32"/>
          <w:szCs w:val="32"/>
        </w:rPr>
        <w:t>针对每个变异位点，应分别分析不同基因型（纯合突变型、杂合型和野生型）与配对药物的相关性，并进行统计学分析，最终结论应能支持变异位点可有效指导特定药物的使用。</w:t>
      </w:r>
    </w:p>
    <w:p>
      <w:pPr>
        <w:spacing w:line="360" w:lineRule="auto"/>
        <w:ind w:firstLine="640" w:firstLineChars="200"/>
        <w:contextualSpacing/>
        <w:rPr>
          <w:rFonts w:eastAsia="仿宋_GB2312"/>
          <w:sz w:val="32"/>
          <w:szCs w:val="32"/>
        </w:rPr>
      </w:pPr>
      <w:r>
        <w:rPr>
          <w:rFonts w:hint="eastAsia" w:eastAsia="仿宋_GB2312"/>
          <w:sz w:val="32"/>
          <w:szCs w:val="32"/>
        </w:rPr>
        <w:t>3.2.5</w:t>
      </w:r>
      <w:r>
        <w:rPr>
          <w:rFonts w:eastAsia="仿宋_GB2312"/>
          <w:sz w:val="32"/>
          <w:szCs w:val="32"/>
        </w:rPr>
        <w:t xml:space="preserve"> </w:t>
      </w:r>
      <w:r>
        <w:rPr>
          <w:rFonts w:hint="eastAsia" w:eastAsia="仿宋_GB2312"/>
          <w:sz w:val="32"/>
          <w:szCs w:val="32"/>
        </w:rPr>
        <w:t>对于新变异位点临床意义的确认，可为上述多种证据的组合。</w:t>
      </w:r>
    </w:p>
    <w:p>
      <w:pPr>
        <w:spacing w:line="360" w:lineRule="auto"/>
        <w:ind w:firstLine="640" w:firstLineChars="200"/>
        <w:contextualSpacing/>
        <w:rPr>
          <w:rFonts w:eastAsia="仿宋_GB2312"/>
          <w:sz w:val="32"/>
          <w:szCs w:val="32"/>
        </w:rPr>
      </w:pPr>
      <w:r>
        <w:rPr>
          <w:rFonts w:hint="eastAsia" w:eastAsia="仿宋_GB2312"/>
          <w:sz w:val="32"/>
          <w:szCs w:val="32"/>
        </w:rPr>
        <w:t>4.</w:t>
      </w:r>
      <w:r>
        <w:rPr>
          <w:rFonts w:eastAsia="仿宋_GB2312"/>
          <w:sz w:val="32"/>
          <w:szCs w:val="32"/>
        </w:rPr>
        <w:t xml:space="preserve"> </w:t>
      </w:r>
      <w:r>
        <w:rPr>
          <w:rFonts w:hint="eastAsia" w:eastAsia="仿宋_GB2312"/>
          <w:sz w:val="32"/>
          <w:szCs w:val="32"/>
        </w:rPr>
        <w:t>涉及临床试验时的</w:t>
      </w:r>
      <w:r>
        <w:rPr>
          <w:rFonts w:eastAsia="仿宋_GB2312"/>
          <w:sz w:val="32"/>
          <w:szCs w:val="32"/>
        </w:rPr>
        <w:t>临床试验方案、小结和报告</w:t>
      </w:r>
    </w:p>
    <w:p>
      <w:pPr>
        <w:spacing w:line="360" w:lineRule="auto"/>
        <w:ind w:firstLine="640" w:firstLineChars="200"/>
        <w:rPr>
          <w:rFonts w:eastAsia="仿宋_GB2312"/>
          <w:sz w:val="32"/>
          <w:szCs w:val="32"/>
        </w:rPr>
      </w:pPr>
      <w:r>
        <w:rPr>
          <w:rFonts w:eastAsia="仿宋_GB2312"/>
          <w:sz w:val="32"/>
          <w:szCs w:val="32"/>
        </w:rPr>
        <w:t>各临床试验机构应采用同一</w:t>
      </w:r>
      <w:r>
        <w:rPr>
          <w:rFonts w:hint="eastAsia" w:eastAsia="仿宋_GB2312"/>
          <w:sz w:val="32"/>
          <w:szCs w:val="32"/>
        </w:rPr>
        <w:t>临床试验</w:t>
      </w:r>
      <w:r>
        <w:rPr>
          <w:rFonts w:eastAsia="仿宋_GB2312"/>
          <w:sz w:val="32"/>
          <w:szCs w:val="32"/>
        </w:rPr>
        <w:t>方案，并在整个临床试验过程中严格执行，不可随意改动。方案</w:t>
      </w:r>
      <w:r>
        <w:rPr>
          <w:rFonts w:hint="eastAsia" w:eastAsia="仿宋_GB2312"/>
          <w:sz w:val="32"/>
          <w:szCs w:val="32"/>
        </w:rPr>
        <w:t>应</w:t>
      </w:r>
      <w:r>
        <w:rPr>
          <w:rFonts w:eastAsia="仿宋_GB2312"/>
          <w:sz w:val="32"/>
          <w:szCs w:val="32"/>
        </w:rPr>
        <w:t>对试验设计类型、对比方法选择、受试者选择、评价指标、统计分析方法、样本量估算和质量控制要求等做出明确的规定，并根据各临床试验机构情况合理确定样本量分配计划。</w:t>
      </w:r>
    </w:p>
    <w:p>
      <w:pPr>
        <w:spacing w:line="360" w:lineRule="auto"/>
        <w:ind w:firstLine="640" w:firstLineChars="200"/>
        <w:rPr>
          <w:rFonts w:eastAsia="仿宋_GB2312"/>
          <w:sz w:val="32"/>
          <w:szCs w:val="32"/>
        </w:rPr>
      </w:pPr>
      <w:r>
        <w:rPr>
          <w:rFonts w:eastAsia="仿宋_GB2312"/>
          <w:sz w:val="32"/>
          <w:szCs w:val="32"/>
        </w:rPr>
        <w:t>各临床试验机构应对临床试验数据和实施情况进行总结，出具临床试验小结。</w:t>
      </w:r>
    </w:p>
    <w:p>
      <w:pPr>
        <w:spacing w:line="360" w:lineRule="auto"/>
        <w:ind w:firstLine="640" w:firstLineChars="200"/>
        <w:rPr>
          <w:rFonts w:eastAsia="仿宋_GB2312"/>
          <w:sz w:val="32"/>
          <w:szCs w:val="32"/>
        </w:rPr>
      </w:pPr>
      <w:r>
        <w:rPr>
          <w:rFonts w:eastAsia="仿宋_GB2312"/>
          <w:sz w:val="32"/>
          <w:szCs w:val="32"/>
        </w:rPr>
        <w:t>临床试验报告应对整体临床试验实施过程、结果分析、试验结论等进行条理分明的描述，并应包括必要的数据和统计分析方法</w:t>
      </w:r>
      <w:r>
        <w:rPr>
          <w:rFonts w:hint="eastAsia" w:eastAsia="仿宋_GB2312"/>
          <w:sz w:val="32"/>
          <w:szCs w:val="32"/>
        </w:rPr>
        <w:t>，</w:t>
      </w:r>
      <w:r>
        <w:rPr>
          <w:rFonts w:eastAsia="仿宋_GB2312"/>
          <w:sz w:val="32"/>
          <w:szCs w:val="32"/>
        </w:rPr>
        <w:t>最后得出临床试验结论。临床试验报告的撰写参考《体外诊断试剂临床试验技术指导原则》的相关要求。</w:t>
      </w:r>
    </w:p>
    <w:p>
      <w:pPr>
        <w:spacing w:line="360" w:lineRule="auto"/>
        <w:ind w:firstLine="640" w:firstLineChars="200"/>
        <w:rPr>
          <w:rFonts w:eastAsia="仿宋_GB2312"/>
          <w:sz w:val="32"/>
          <w:szCs w:val="32"/>
        </w:rPr>
      </w:pPr>
      <w:r>
        <w:rPr>
          <w:rFonts w:eastAsia="仿宋_GB2312"/>
          <w:sz w:val="32"/>
          <w:szCs w:val="32"/>
        </w:rPr>
        <w:t>数据汇总表</w:t>
      </w:r>
      <w:r>
        <w:rPr>
          <w:rFonts w:hint="eastAsia" w:eastAsia="仿宋_GB2312"/>
          <w:sz w:val="32"/>
          <w:szCs w:val="32"/>
        </w:rPr>
        <w:t>中应提供唯一可溯源的受试者编号、样本编号、基本人口学信息（性别、年龄等）、临床诊断背景信息、疾病类型、申报产品及对比方法的检测结果等信息</w:t>
      </w:r>
      <w:r>
        <w:rPr>
          <w:rFonts w:eastAsia="仿宋_GB2312"/>
          <w:sz w:val="32"/>
          <w:szCs w:val="32"/>
        </w:rPr>
        <w:t>。</w:t>
      </w:r>
    </w:p>
    <w:p>
      <w:pPr>
        <w:spacing w:line="360" w:lineRule="auto"/>
        <w:ind w:firstLine="640" w:firstLineChars="200"/>
        <w:rPr>
          <w:rFonts w:eastAsia="仿宋_GB2312"/>
          <w:sz w:val="32"/>
          <w:szCs w:val="32"/>
        </w:rPr>
      </w:pPr>
      <w:r>
        <w:rPr>
          <w:rFonts w:hint="eastAsia" w:eastAsia="仿宋_GB2312"/>
          <w:sz w:val="32"/>
          <w:szCs w:val="32"/>
        </w:rPr>
        <w:t>如涉及</w:t>
      </w:r>
      <w:r>
        <w:rPr>
          <w:rFonts w:eastAsia="仿宋_GB2312"/>
          <w:sz w:val="32"/>
          <w:szCs w:val="32"/>
        </w:rPr>
        <w:t>委托第三方机构进行参考方法检测的，应提供临床试验机构与第三方机构</w:t>
      </w:r>
      <w:r>
        <w:rPr>
          <w:rFonts w:hint="eastAsia" w:eastAsia="仿宋_GB2312"/>
          <w:sz w:val="32"/>
          <w:szCs w:val="32"/>
        </w:rPr>
        <w:t>签订</w:t>
      </w:r>
      <w:r>
        <w:rPr>
          <w:rFonts w:eastAsia="仿宋_GB2312"/>
          <w:sz w:val="32"/>
          <w:szCs w:val="32"/>
        </w:rPr>
        <w:t>的委托协议。同时应提供参考方法的详细资料，如：方法原理、所需试剂及仪器、参考方法的性能验证、参考方法质控、典型的</w:t>
      </w:r>
      <w:r>
        <w:rPr>
          <w:rFonts w:hint="eastAsia" w:eastAsia="仿宋_GB2312"/>
          <w:sz w:val="32"/>
          <w:szCs w:val="32"/>
        </w:rPr>
        <w:t>试验</w:t>
      </w:r>
      <w:r>
        <w:rPr>
          <w:rFonts w:eastAsia="仿宋_GB2312"/>
          <w:sz w:val="32"/>
          <w:szCs w:val="32"/>
        </w:rPr>
        <w:t>图谱及数据等。上述资料应由临床试验机构签章确认。</w:t>
      </w:r>
      <w:bookmarkStart w:id="0" w:name="_GoBack"/>
      <w:bookmarkEnd w:id="0"/>
    </w:p>
    <w:sectPr>
      <w:footerReference r:id="rId5" w:type="first"/>
      <w:footerReference r:id="rId3" w:type="default"/>
      <w:footerReference r:id="rId4" w:type="even"/>
      <w:pgSz w:w="11906" w:h="16838"/>
      <w:pgMar w:top="1928" w:right="1531" w:bottom="1814" w:left="1531" w:header="851" w:footer="1134" w:gutter="0"/>
      <w:lnNumType w:countBy="1" w:restart="continuous"/>
      <w:pgNumType w:start="1"/>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unga">
    <w:panose1 w:val="020B0502040204020203"/>
    <w:charset w:val="00"/>
    <w:family w:val="swiss"/>
    <w:pitch w:val="default"/>
    <w:sig w:usb0="00400003" w:usb1="00000000" w:usb2="00000000" w:usb3="00000000" w:csb0="00000001"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jc w:val="right"/>
    </w:pPr>
    <w:r>
      <mc:AlternateContent>
        <mc:Choice Requires="wps">
          <w:drawing>
            <wp:anchor distT="0" distB="0" distL="114300" distR="114300" simplePos="0" relativeHeight="251659264" behindDoc="0" locked="0" layoutInCell="1" allowOverlap="1">
              <wp:simplePos x="0" y="0"/>
              <wp:positionH relativeFrom="margin">
                <wp:posOffset>4691380</wp:posOffset>
              </wp:positionH>
              <wp:positionV relativeFrom="paragraph">
                <wp:posOffset>-297815</wp:posOffset>
              </wp:positionV>
              <wp:extent cx="908685" cy="461010"/>
              <wp:effectExtent l="0" t="0" r="0" b="0"/>
              <wp:wrapNone/>
              <wp:docPr id="1" name="文本框 1025"/>
              <wp:cNvGraphicFramePr/>
              <a:graphic xmlns:a="http://schemas.openxmlformats.org/drawingml/2006/main">
                <a:graphicData uri="http://schemas.microsoft.com/office/word/2010/wordprocessingShape">
                  <wps:wsp>
                    <wps:cNvSpPr txBox="1"/>
                    <wps:spPr>
                      <a:xfrm>
                        <a:off x="0" y="0"/>
                        <a:ext cx="908685" cy="461010"/>
                      </a:xfrm>
                      <a:prstGeom prst="rect">
                        <a:avLst/>
                      </a:prstGeom>
                      <a:noFill/>
                      <a:ln>
                        <a:noFill/>
                      </a:ln>
                    </wps:spPr>
                    <wps:txbx>
                      <w:txbxContent>
                        <w:p>
                          <w:pPr>
                            <w:pStyle w:val="6"/>
                            <w:wordWrap w:val="0"/>
                            <w:jc w:val="right"/>
                          </w:pPr>
                          <w:r>
                            <w:rPr>
                              <w:rFonts w:hint="eastAsia"/>
                              <w:sz w:val="28"/>
                              <w:szCs w:val="28"/>
                            </w:rPr>
                            <w:t xml:space="preserve">— </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11</w:t>
                          </w:r>
                          <w:r>
                            <w:rPr>
                              <w:sz w:val="28"/>
                              <w:szCs w:val="28"/>
                            </w:rPr>
                            <w:fldChar w:fldCharType="end"/>
                          </w:r>
                          <w:r>
                            <w:rPr>
                              <w:rFonts w:hint="eastAsia"/>
                              <w:sz w:val="28"/>
                              <w:szCs w:val="28"/>
                            </w:rPr>
                            <w:t xml:space="preserve"> —</w:t>
                          </w:r>
                          <w:r>
                            <w:rPr>
                              <w:rFonts w:hint="eastAsia"/>
                              <w:color w:val="FFFFFF"/>
                              <w:sz w:val="28"/>
                              <w:szCs w:val="28"/>
                            </w:rPr>
                            <w:t>—</w:t>
                          </w:r>
                        </w:p>
                      </w:txbxContent>
                    </wps:txbx>
                    <wps:bodyPr wrap="square" lIns="0" tIns="0" rIns="0" bIns="0"/>
                  </wps:wsp>
                </a:graphicData>
              </a:graphic>
            </wp:anchor>
          </w:drawing>
        </mc:Choice>
        <mc:Fallback>
          <w:pict>
            <v:shape id="文本框 1025" o:spid="_x0000_s1026" o:spt="202" type="#_x0000_t202" style="position:absolute;left:0pt;margin-left:369.4pt;margin-top:-23.45pt;height:36.3pt;width:71.55pt;mso-position-horizontal-relative:margin;z-index:251659264;mso-width-relative:page;mso-height-relative:page;" filled="f" stroked="f" coordsize="21600,21600" o:gfxdata="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DFyD2raAAAACgEAAA8AAAAAAAAAAQAgAAAAIgAAAGRycy9kb3ducmV2Lnht&#10;bFBLAQIUABQAAAAIAIdO4kApHoK6vgEAAHYDAAAOAAAAAAAAAAEAIAAAACkBAABkcnMvZTJvRG9j&#10;LnhtbFBLBQYAAAAABgAGAFkBAABZBQAAAAA=&#10;">
              <v:fill on="f" focussize="0,0"/>
              <v:stroke on="f"/>
              <v:imagedata o:title=""/>
              <o:lock v:ext="edit" aspectratio="f"/>
              <v:textbox inset="0mm,0mm,0mm,0mm">
                <w:txbxContent>
                  <w:p>
                    <w:pPr>
                      <w:pStyle w:val="6"/>
                      <w:wordWrap w:val="0"/>
                      <w:jc w:val="right"/>
                    </w:pPr>
                    <w:r>
                      <w:rPr>
                        <w:rFonts w:hint="eastAsia"/>
                        <w:sz w:val="28"/>
                        <w:szCs w:val="28"/>
                      </w:rPr>
                      <w:t xml:space="preserve">— </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11</w:t>
                    </w:r>
                    <w:r>
                      <w:rPr>
                        <w:sz w:val="28"/>
                        <w:szCs w:val="28"/>
                      </w:rPr>
                      <w:fldChar w:fldCharType="end"/>
                    </w:r>
                    <w:r>
                      <w:rPr>
                        <w:rFonts w:hint="eastAsia"/>
                        <w:sz w:val="28"/>
                        <w:szCs w:val="28"/>
                      </w:rPr>
                      <w:t xml:space="preserve"> —</w:t>
                    </w:r>
                    <w:r>
                      <w:rPr>
                        <w:rFonts w:hint="eastAsia"/>
                        <w:color w:val="FFFFFF"/>
                        <w:sz w:val="28"/>
                        <w:szCs w:val="28"/>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pPr>
    <w:r>
      <mc:AlternateContent>
        <mc:Choice Requires="wps">
          <w:drawing>
            <wp:anchor distT="0" distB="0" distL="114300" distR="114300" simplePos="0" relativeHeight="251660288" behindDoc="0" locked="0" layoutInCell="1" allowOverlap="1">
              <wp:simplePos x="0" y="0"/>
              <wp:positionH relativeFrom="margin">
                <wp:posOffset>0</wp:posOffset>
              </wp:positionH>
              <wp:positionV relativeFrom="paragraph">
                <wp:posOffset>-285750</wp:posOffset>
              </wp:positionV>
              <wp:extent cx="1828800" cy="1828800"/>
              <wp:effectExtent l="0" t="0" r="0" b="0"/>
              <wp:wrapNone/>
              <wp:docPr id="2" name="文本框 10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6"/>
                            <w:rPr>
                              <w:rStyle w:val="15"/>
                              <w:sz w:val="28"/>
                              <w:szCs w:val="28"/>
                            </w:rPr>
                          </w:pPr>
                          <w:r>
                            <w:rPr>
                              <w:rStyle w:val="15"/>
                              <w:rFonts w:hint="eastAsia"/>
                              <w:color w:val="FFFFFF"/>
                              <w:sz w:val="28"/>
                              <w:szCs w:val="28"/>
                            </w:rPr>
                            <w:t>—</w:t>
                          </w:r>
                          <w:r>
                            <w:rPr>
                              <w:rStyle w:val="15"/>
                              <w:rFonts w:hint="eastAsia"/>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rPr>
                            <w:t>10</w:t>
                          </w:r>
                          <w:r>
                            <w:rPr>
                              <w:sz w:val="28"/>
                              <w:szCs w:val="28"/>
                            </w:rPr>
                            <w:fldChar w:fldCharType="end"/>
                          </w:r>
                          <w:r>
                            <w:rPr>
                              <w:rStyle w:val="15"/>
                              <w:rFonts w:hint="eastAsia"/>
                              <w:sz w:val="28"/>
                              <w:szCs w:val="28"/>
                            </w:rPr>
                            <w:t xml:space="preserve"> — </w:t>
                          </w:r>
                        </w:p>
                        <w:p/>
                      </w:txbxContent>
                    </wps:txbx>
                    <wps:bodyPr wrap="none" lIns="0" tIns="0" rIns="0" bIns="0">
                      <a:spAutoFit/>
                    </wps:bodyPr>
                  </wps:wsp>
                </a:graphicData>
              </a:graphic>
            </wp:anchor>
          </w:drawing>
        </mc:Choice>
        <mc:Fallback>
          <w:pict>
            <v:shape id="文本框 1026" o:spid="_x0000_s1026" o:spt="202" type="#_x0000_t202" style="position:absolute;left:0pt;margin-left:0pt;margin-top:-22.5pt;height:144pt;width:144pt;mso-position-horizontal-relative:margin;mso-wrap-style:none;z-index:251660288;mso-width-relative:page;mso-height-relative:page;" filled="f" stroked="f" coordsize="21600,21600" o:gfxdata="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OGsc7PUAAAACAEAAA8AAAAAAAAAAQAgAAAAIgAAAGRycy9kb3ducmV2Lnht&#10;bFBLAQIUABQAAAAIAIdO4kDNcdwaxAEAAJADAAAOAAAAAAAAAAEAIAAAACMBAABkcnMvZTJvRG9j&#10;LnhtbFBLBQYAAAAABgAGAFkBAABZBQAAAAA=&#10;">
              <v:fill on="f" focussize="0,0"/>
              <v:stroke on="f"/>
              <v:imagedata o:title=""/>
              <o:lock v:ext="edit" aspectratio="f"/>
              <v:textbox inset="0mm,0mm,0mm,0mm" style="mso-fit-shape-to-text:t;">
                <w:txbxContent>
                  <w:p>
                    <w:pPr>
                      <w:pStyle w:val="6"/>
                      <w:rPr>
                        <w:rStyle w:val="15"/>
                        <w:sz w:val="28"/>
                        <w:szCs w:val="28"/>
                      </w:rPr>
                    </w:pPr>
                    <w:r>
                      <w:rPr>
                        <w:rStyle w:val="15"/>
                        <w:rFonts w:hint="eastAsia"/>
                        <w:color w:val="FFFFFF"/>
                        <w:sz w:val="28"/>
                        <w:szCs w:val="28"/>
                      </w:rPr>
                      <w:t>—</w:t>
                    </w:r>
                    <w:r>
                      <w:rPr>
                        <w:rStyle w:val="15"/>
                        <w:rFonts w:hint="eastAsia"/>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rPr>
                      <w:t>10</w:t>
                    </w:r>
                    <w:r>
                      <w:rPr>
                        <w:sz w:val="28"/>
                        <w:szCs w:val="28"/>
                      </w:rPr>
                      <w:fldChar w:fldCharType="end"/>
                    </w:r>
                    <w:r>
                      <w:rPr>
                        <w:rStyle w:val="15"/>
                        <w:rFonts w:hint="eastAsia"/>
                        <w:sz w:val="28"/>
                        <w:szCs w:val="28"/>
                      </w:rPr>
                      <w:t xml:space="preserve"> — </w:t>
                    </w:r>
                  </w:p>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61312" behindDoc="0" locked="0" layoutInCell="1" allowOverlap="1">
              <wp:simplePos x="0" y="0"/>
              <wp:positionH relativeFrom="margin">
                <wp:posOffset>4638040</wp:posOffset>
              </wp:positionH>
              <wp:positionV relativeFrom="paragraph">
                <wp:posOffset>-274320</wp:posOffset>
              </wp:positionV>
              <wp:extent cx="1828800" cy="1828800"/>
              <wp:effectExtent l="0" t="0" r="0" b="0"/>
              <wp:wrapNone/>
              <wp:docPr id="3" name="文本框 10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6"/>
                          </w:pPr>
                          <w:r>
                            <w:rPr>
                              <w:rFonts w:hint="eastAsia"/>
                              <w:color w:val="FFFFFF"/>
                              <w:sz w:val="28"/>
                              <w:szCs w:val="28"/>
                            </w:rPr>
                            <w:t>—</w:t>
                          </w:r>
                          <w:r>
                            <w:rPr>
                              <w:rFonts w:hint="eastAsia"/>
                              <w:sz w:val="28"/>
                              <w:szCs w:val="28"/>
                            </w:rPr>
                            <w:t xml:space="preserve">— </w:t>
                          </w:r>
                          <w:r>
                            <w:rPr>
                              <w:rFonts w:hint="eastAsia"/>
                              <w:sz w:val="28"/>
                              <w:szCs w:val="28"/>
                            </w:rPr>
                            <w:fldChar w:fldCharType="begin"/>
                          </w:r>
                          <w:r>
                            <w:rPr>
                              <w:rFonts w:hint="eastAsia"/>
                              <w:sz w:val="28"/>
                              <w:szCs w:val="28"/>
                            </w:rPr>
                            <w:instrText xml:space="preserve"> PAGE  \* MERGEFORMAT </w:instrText>
                          </w:r>
                          <w:r>
                            <w:rPr>
                              <w:rFonts w:hint="eastAsia"/>
                              <w:sz w:val="28"/>
                              <w:szCs w:val="28"/>
                            </w:rPr>
                            <w:fldChar w:fldCharType="separate"/>
                          </w:r>
                          <w:r>
                            <w:rPr>
                              <w:sz w:val="28"/>
                              <w:szCs w:val="28"/>
                            </w:rPr>
                            <w:t>1</w:t>
                          </w:r>
                          <w:r>
                            <w:rPr>
                              <w:rFonts w:hint="eastAsia"/>
                              <w:sz w:val="28"/>
                              <w:szCs w:val="28"/>
                            </w:rPr>
                            <w:fldChar w:fldCharType="end"/>
                          </w:r>
                          <w:r>
                            <w:rPr>
                              <w:rFonts w:hint="eastAsia"/>
                              <w:sz w:val="28"/>
                              <w:szCs w:val="28"/>
                            </w:rPr>
                            <w:t xml:space="preserve"> —</w:t>
                          </w:r>
                          <w:r>
                            <w:rPr>
                              <w:rFonts w:hint="eastAsia"/>
                              <w:color w:val="FFFFFF"/>
                              <w:sz w:val="28"/>
                              <w:szCs w:val="28"/>
                            </w:rPr>
                            <w:t>—</w:t>
                          </w:r>
                        </w:p>
                      </w:txbxContent>
                    </wps:txbx>
                    <wps:bodyPr wrap="none" lIns="0" tIns="0" rIns="0" bIns="0">
                      <a:spAutoFit/>
                    </wps:bodyPr>
                  </wps:wsp>
                </a:graphicData>
              </a:graphic>
            </wp:anchor>
          </w:drawing>
        </mc:Choice>
        <mc:Fallback>
          <w:pict>
            <v:shape id="文本框 1027" o:spid="_x0000_s1026" o:spt="202" type="#_x0000_t202" style="position:absolute;left:0pt;margin-left:365.2pt;margin-top:-21.6pt;height:144pt;width:144pt;mso-position-horizontal-relative:margin;mso-wrap-style:none;z-index:251661312;mso-width-relative:page;mso-height-relative:page;" filled="f" stroked="f" coordsize="21600,21600" o:gfxdata="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P3S4QzXAAAADAEAAA8AAAAAAAAAAQAgAAAAIgAAAGRycy9kb3ducmV2&#10;LnhtbFBLAQIUABQAAAAIAIdO4kD7yK3mxAEAAJADAAAOAAAAAAAAAAEAIAAAACYBAABkcnMvZTJv&#10;RG9jLnhtbFBLBQYAAAAABgAGAFkBAABcBQAAAAA=&#10;">
              <v:fill on="f" focussize="0,0"/>
              <v:stroke on="f"/>
              <v:imagedata o:title=""/>
              <o:lock v:ext="edit" aspectratio="f"/>
              <v:textbox inset="0mm,0mm,0mm,0mm" style="mso-fit-shape-to-text:t;">
                <w:txbxContent>
                  <w:p>
                    <w:pPr>
                      <w:pStyle w:val="6"/>
                    </w:pPr>
                    <w:r>
                      <w:rPr>
                        <w:rFonts w:hint="eastAsia"/>
                        <w:color w:val="FFFFFF"/>
                        <w:sz w:val="28"/>
                        <w:szCs w:val="28"/>
                      </w:rPr>
                      <w:t>—</w:t>
                    </w:r>
                    <w:r>
                      <w:rPr>
                        <w:rFonts w:hint="eastAsia"/>
                        <w:sz w:val="28"/>
                        <w:szCs w:val="28"/>
                      </w:rPr>
                      <w:t xml:space="preserve">— </w:t>
                    </w:r>
                    <w:r>
                      <w:rPr>
                        <w:rFonts w:hint="eastAsia"/>
                        <w:sz w:val="28"/>
                        <w:szCs w:val="28"/>
                      </w:rPr>
                      <w:fldChar w:fldCharType="begin"/>
                    </w:r>
                    <w:r>
                      <w:rPr>
                        <w:rFonts w:hint="eastAsia"/>
                        <w:sz w:val="28"/>
                        <w:szCs w:val="28"/>
                      </w:rPr>
                      <w:instrText xml:space="preserve"> PAGE  \* MERGEFORMAT </w:instrText>
                    </w:r>
                    <w:r>
                      <w:rPr>
                        <w:rFonts w:hint="eastAsia"/>
                        <w:sz w:val="28"/>
                        <w:szCs w:val="28"/>
                      </w:rPr>
                      <w:fldChar w:fldCharType="separate"/>
                    </w:r>
                    <w:r>
                      <w:rPr>
                        <w:sz w:val="28"/>
                        <w:szCs w:val="28"/>
                      </w:rPr>
                      <w:t>1</w:t>
                    </w:r>
                    <w:r>
                      <w:rPr>
                        <w:rFonts w:hint="eastAsia"/>
                        <w:sz w:val="28"/>
                        <w:szCs w:val="28"/>
                      </w:rPr>
                      <w:fldChar w:fldCharType="end"/>
                    </w:r>
                    <w:r>
                      <w:rPr>
                        <w:rFonts w:hint="eastAsia"/>
                        <w:sz w:val="28"/>
                        <w:szCs w:val="28"/>
                      </w:rPr>
                      <w:t xml:space="preserve"> —</w:t>
                    </w:r>
                    <w:r>
                      <w:rPr>
                        <w:rFonts w:hint="eastAsia"/>
                        <w:color w:val="FFFFFF"/>
                        <w:sz w:val="28"/>
                        <w:szCs w:val="28"/>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FB3A72"/>
    <w:multiLevelType w:val="multilevel"/>
    <w:tmpl w:val="08FB3A72"/>
    <w:lvl w:ilvl="0" w:tentative="0">
      <w:start w:val="1"/>
      <w:numFmt w:val="japaneseCounting"/>
      <w:lvlText w:val="%1、"/>
      <w:lvlJc w:val="left"/>
      <w:pPr>
        <w:ind w:left="1360" w:hanging="720"/>
      </w:pPr>
      <w:rPr>
        <w:rFonts w:hint="default"/>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0"/>
  <w:evenAndOddHeaders w:val="1"/>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BiNDNhNGQyZTY2YjQ1ZjA4NTA4MTFkOTkzZmI3ZmUifQ=="/>
  </w:docVars>
  <w:rsids>
    <w:rsidRoot w:val="00172A27"/>
    <w:rsid w:val="000005CF"/>
    <w:rsid w:val="00002791"/>
    <w:rsid w:val="000035AA"/>
    <w:rsid w:val="000164CE"/>
    <w:rsid w:val="00016D27"/>
    <w:rsid w:val="00016E93"/>
    <w:rsid w:val="000207F5"/>
    <w:rsid w:val="00021186"/>
    <w:rsid w:val="000221A0"/>
    <w:rsid w:val="0002341A"/>
    <w:rsid w:val="0002574F"/>
    <w:rsid w:val="000304AB"/>
    <w:rsid w:val="00031876"/>
    <w:rsid w:val="00031DF9"/>
    <w:rsid w:val="000320E2"/>
    <w:rsid w:val="00035514"/>
    <w:rsid w:val="000377F8"/>
    <w:rsid w:val="00044DA2"/>
    <w:rsid w:val="00052CE9"/>
    <w:rsid w:val="00053143"/>
    <w:rsid w:val="00055E51"/>
    <w:rsid w:val="00060BCB"/>
    <w:rsid w:val="000626AA"/>
    <w:rsid w:val="00071507"/>
    <w:rsid w:val="0007458B"/>
    <w:rsid w:val="00081670"/>
    <w:rsid w:val="000869AA"/>
    <w:rsid w:val="00086CC3"/>
    <w:rsid w:val="00093D85"/>
    <w:rsid w:val="0009699F"/>
    <w:rsid w:val="00096CDD"/>
    <w:rsid w:val="000A009F"/>
    <w:rsid w:val="000A2989"/>
    <w:rsid w:val="000B1917"/>
    <w:rsid w:val="000B698D"/>
    <w:rsid w:val="000C1002"/>
    <w:rsid w:val="000C17D5"/>
    <w:rsid w:val="000C5E52"/>
    <w:rsid w:val="000D4718"/>
    <w:rsid w:val="000D6F5D"/>
    <w:rsid w:val="000E0170"/>
    <w:rsid w:val="000E19B7"/>
    <w:rsid w:val="000E2CF2"/>
    <w:rsid w:val="000E53F2"/>
    <w:rsid w:val="000F17A4"/>
    <w:rsid w:val="000F1FAE"/>
    <w:rsid w:val="000F30D7"/>
    <w:rsid w:val="000F7A13"/>
    <w:rsid w:val="00101F08"/>
    <w:rsid w:val="001029D7"/>
    <w:rsid w:val="001041CE"/>
    <w:rsid w:val="001065E9"/>
    <w:rsid w:val="00111C64"/>
    <w:rsid w:val="00113E54"/>
    <w:rsid w:val="00127D58"/>
    <w:rsid w:val="00132BBB"/>
    <w:rsid w:val="00133BA3"/>
    <w:rsid w:val="0013630D"/>
    <w:rsid w:val="00142D8B"/>
    <w:rsid w:val="001449EB"/>
    <w:rsid w:val="001506E0"/>
    <w:rsid w:val="001528B5"/>
    <w:rsid w:val="00152CDB"/>
    <w:rsid w:val="001550D7"/>
    <w:rsid w:val="00155F08"/>
    <w:rsid w:val="00156108"/>
    <w:rsid w:val="00157D65"/>
    <w:rsid w:val="001631CE"/>
    <w:rsid w:val="00167D3C"/>
    <w:rsid w:val="00172A27"/>
    <w:rsid w:val="00174D29"/>
    <w:rsid w:val="00175A66"/>
    <w:rsid w:val="00177BFA"/>
    <w:rsid w:val="00185186"/>
    <w:rsid w:val="00186786"/>
    <w:rsid w:val="00197F05"/>
    <w:rsid w:val="001A27EF"/>
    <w:rsid w:val="001A3A80"/>
    <w:rsid w:val="001A658E"/>
    <w:rsid w:val="001A7178"/>
    <w:rsid w:val="001B03AC"/>
    <w:rsid w:val="001B2EEB"/>
    <w:rsid w:val="001C492C"/>
    <w:rsid w:val="001C5188"/>
    <w:rsid w:val="001C5CDC"/>
    <w:rsid w:val="001D02DD"/>
    <w:rsid w:val="001D18B5"/>
    <w:rsid w:val="001D72E9"/>
    <w:rsid w:val="001E642C"/>
    <w:rsid w:val="001E6AB8"/>
    <w:rsid w:val="001F1104"/>
    <w:rsid w:val="001F3EEA"/>
    <w:rsid w:val="001F3FB0"/>
    <w:rsid w:val="00204B69"/>
    <w:rsid w:val="00214F56"/>
    <w:rsid w:val="00217F21"/>
    <w:rsid w:val="00221D55"/>
    <w:rsid w:val="0022337E"/>
    <w:rsid w:val="0022622B"/>
    <w:rsid w:val="0023276E"/>
    <w:rsid w:val="00240FA1"/>
    <w:rsid w:val="002444DA"/>
    <w:rsid w:val="00247C71"/>
    <w:rsid w:val="00247F9A"/>
    <w:rsid w:val="00251B28"/>
    <w:rsid w:val="00251C0A"/>
    <w:rsid w:val="00253B38"/>
    <w:rsid w:val="0025473D"/>
    <w:rsid w:val="00261106"/>
    <w:rsid w:val="00261348"/>
    <w:rsid w:val="00261393"/>
    <w:rsid w:val="00263A83"/>
    <w:rsid w:val="00263D12"/>
    <w:rsid w:val="0026418E"/>
    <w:rsid w:val="002645BD"/>
    <w:rsid w:val="002667F8"/>
    <w:rsid w:val="00266829"/>
    <w:rsid w:val="00266959"/>
    <w:rsid w:val="0026721C"/>
    <w:rsid w:val="002715EA"/>
    <w:rsid w:val="00276A53"/>
    <w:rsid w:val="00277524"/>
    <w:rsid w:val="00277D15"/>
    <w:rsid w:val="00290D67"/>
    <w:rsid w:val="002945E8"/>
    <w:rsid w:val="00294700"/>
    <w:rsid w:val="00297DE3"/>
    <w:rsid w:val="002A29DE"/>
    <w:rsid w:val="002A510C"/>
    <w:rsid w:val="002A6532"/>
    <w:rsid w:val="002A7F53"/>
    <w:rsid w:val="002B28D3"/>
    <w:rsid w:val="002B298C"/>
    <w:rsid w:val="002B62AF"/>
    <w:rsid w:val="002B6FA2"/>
    <w:rsid w:val="002C0535"/>
    <w:rsid w:val="002C4676"/>
    <w:rsid w:val="002C5C83"/>
    <w:rsid w:val="002C77E4"/>
    <w:rsid w:val="002C7B65"/>
    <w:rsid w:val="002D33AE"/>
    <w:rsid w:val="002D4044"/>
    <w:rsid w:val="002D40C5"/>
    <w:rsid w:val="002D4C8B"/>
    <w:rsid w:val="002E3D22"/>
    <w:rsid w:val="002E5EBA"/>
    <w:rsid w:val="002F2CC3"/>
    <w:rsid w:val="002F3AB3"/>
    <w:rsid w:val="002F480F"/>
    <w:rsid w:val="002F595B"/>
    <w:rsid w:val="002F61DE"/>
    <w:rsid w:val="00300484"/>
    <w:rsid w:val="0030150B"/>
    <w:rsid w:val="003028A3"/>
    <w:rsid w:val="0030569F"/>
    <w:rsid w:val="003178C9"/>
    <w:rsid w:val="003213A1"/>
    <w:rsid w:val="00323E88"/>
    <w:rsid w:val="00325CF1"/>
    <w:rsid w:val="00331091"/>
    <w:rsid w:val="00332E8E"/>
    <w:rsid w:val="003330A7"/>
    <w:rsid w:val="00333591"/>
    <w:rsid w:val="00335EAF"/>
    <w:rsid w:val="003402ED"/>
    <w:rsid w:val="003410E9"/>
    <w:rsid w:val="0035031B"/>
    <w:rsid w:val="00351116"/>
    <w:rsid w:val="00352FFE"/>
    <w:rsid w:val="00353206"/>
    <w:rsid w:val="00354638"/>
    <w:rsid w:val="003546BE"/>
    <w:rsid w:val="0035796D"/>
    <w:rsid w:val="00361284"/>
    <w:rsid w:val="0036134D"/>
    <w:rsid w:val="0036326B"/>
    <w:rsid w:val="00364CEA"/>
    <w:rsid w:val="00365338"/>
    <w:rsid w:val="00365CFD"/>
    <w:rsid w:val="00366307"/>
    <w:rsid w:val="00376724"/>
    <w:rsid w:val="003777DF"/>
    <w:rsid w:val="003823F8"/>
    <w:rsid w:val="00383F83"/>
    <w:rsid w:val="00386EA4"/>
    <w:rsid w:val="00392223"/>
    <w:rsid w:val="00394738"/>
    <w:rsid w:val="0039506B"/>
    <w:rsid w:val="003A18E5"/>
    <w:rsid w:val="003A4898"/>
    <w:rsid w:val="003A5517"/>
    <w:rsid w:val="003A62B7"/>
    <w:rsid w:val="003A641E"/>
    <w:rsid w:val="003A7BF4"/>
    <w:rsid w:val="003B155A"/>
    <w:rsid w:val="003B2EB1"/>
    <w:rsid w:val="003B3D4C"/>
    <w:rsid w:val="003B452F"/>
    <w:rsid w:val="003B6765"/>
    <w:rsid w:val="003B7ED1"/>
    <w:rsid w:val="003B7F20"/>
    <w:rsid w:val="003C0926"/>
    <w:rsid w:val="003C16AE"/>
    <w:rsid w:val="003C27F7"/>
    <w:rsid w:val="003C2D0B"/>
    <w:rsid w:val="003C2FA0"/>
    <w:rsid w:val="003C4A36"/>
    <w:rsid w:val="003C78A8"/>
    <w:rsid w:val="003D08E2"/>
    <w:rsid w:val="003D43D1"/>
    <w:rsid w:val="003D4AD9"/>
    <w:rsid w:val="003D762C"/>
    <w:rsid w:val="003E2977"/>
    <w:rsid w:val="003E7CB8"/>
    <w:rsid w:val="003F2F1B"/>
    <w:rsid w:val="003F5772"/>
    <w:rsid w:val="003F5843"/>
    <w:rsid w:val="00400FD5"/>
    <w:rsid w:val="004022A1"/>
    <w:rsid w:val="00405AE4"/>
    <w:rsid w:val="00411C12"/>
    <w:rsid w:val="0041203A"/>
    <w:rsid w:val="00415D78"/>
    <w:rsid w:val="0042133C"/>
    <w:rsid w:val="004218DC"/>
    <w:rsid w:val="0043370E"/>
    <w:rsid w:val="0043406F"/>
    <w:rsid w:val="00434895"/>
    <w:rsid w:val="0043528C"/>
    <w:rsid w:val="00441E13"/>
    <w:rsid w:val="00447D2A"/>
    <w:rsid w:val="00453B18"/>
    <w:rsid w:val="00455D21"/>
    <w:rsid w:val="0045648C"/>
    <w:rsid w:val="004608F6"/>
    <w:rsid w:val="004740B8"/>
    <w:rsid w:val="004746DB"/>
    <w:rsid w:val="00475EC2"/>
    <w:rsid w:val="00477902"/>
    <w:rsid w:val="0047794E"/>
    <w:rsid w:val="00481E81"/>
    <w:rsid w:val="004850B8"/>
    <w:rsid w:val="00485E3F"/>
    <w:rsid w:val="00490840"/>
    <w:rsid w:val="00492785"/>
    <w:rsid w:val="00492E34"/>
    <w:rsid w:val="00494D47"/>
    <w:rsid w:val="00494FE1"/>
    <w:rsid w:val="00497D44"/>
    <w:rsid w:val="00497DEA"/>
    <w:rsid w:val="004A0C8A"/>
    <w:rsid w:val="004A48F4"/>
    <w:rsid w:val="004A5888"/>
    <w:rsid w:val="004B00F4"/>
    <w:rsid w:val="004B01AB"/>
    <w:rsid w:val="004B2F3E"/>
    <w:rsid w:val="004B321E"/>
    <w:rsid w:val="004B5C07"/>
    <w:rsid w:val="004B5CDA"/>
    <w:rsid w:val="004C0654"/>
    <w:rsid w:val="004C22AF"/>
    <w:rsid w:val="004C48C9"/>
    <w:rsid w:val="004C7B00"/>
    <w:rsid w:val="004D02B9"/>
    <w:rsid w:val="004D105B"/>
    <w:rsid w:val="004D346B"/>
    <w:rsid w:val="004D4C2F"/>
    <w:rsid w:val="004D7576"/>
    <w:rsid w:val="004E2277"/>
    <w:rsid w:val="004E558C"/>
    <w:rsid w:val="004E6FF3"/>
    <w:rsid w:val="004E72F3"/>
    <w:rsid w:val="004F27D3"/>
    <w:rsid w:val="0050056D"/>
    <w:rsid w:val="00504A0D"/>
    <w:rsid w:val="00506308"/>
    <w:rsid w:val="005130C6"/>
    <w:rsid w:val="00523936"/>
    <w:rsid w:val="005245AB"/>
    <w:rsid w:val="005309AF"/>
    <w:rsid w:val="00531FAB"/>
    <w:rsid w:val="0053217F"/>
    <w:rsid w:val="00535837"/>
    <w:rsid w:val="005409B1"/>
    <w:rsid w:val="00540AD7"/>
    <w:rsid w:val="005410CE"/>
    <w:rsid w:val="0054229C"/>
    <w:rsid w:val="00542C28"/>
    <w:rsid w:val="0054693B"/>
    <w:rsid w:val="0056324D"/>
    <w:rsid w:val="00564625"/>
    <w:rsid w:val="00564668"/>
    <w:rsid w:val="0056661D"/>
    <w:rsid w:val="005720FA"/>
    <w:rsid w:val="005723DC"/>
    <w:rsid w:val="00576406"/>
    <w:rsid w:val="005770E2"/>
    <w:rsid w:val="005804ED"/>
    <w:rsid w:val="00583628"/>
    <w:rsid w:val="00585B05"/>
    <w:rsid w:val="00585F44"/>
    <w:rsid w:val="005876C3"/>
    <w:rsid w:val="00591925"/>
    <w:rsid w:val="00593C49"/>
    <w:rsid w:val="005960A2"/>
    <w:rsid w:val="005A21CC"/>
    <w:rsid w:val="005A4160"/>
    <w:rsid w:val="005B404F"/>
    <w:rsid w:val="005B5435"/>
    <w:rsid w:val="005B7736"/>
    <w:rsid w:val="005C2849"/>
    <w:rsid w:val="005C3768"/>
    <w:rsid w:val="005C45AC"/>
    <w:rsid w:val="005C605F"/>
    <w:rsid w:val="005C6085"/>
    <w:rsid w:val="005D20CB"/>
    <w:rsid w:val="005D6B42"/>
    <w:rsid w:val="005D6B51"/>
    <w:rsid w:val="005D7D24"/>
    <w:rsid w:val="005E1506"/>
    <w:rsid w:val="005E23B2"/>
    <w:rsid w:val="005E2849"/>
    <w:rsid w:val="005E7595"/>
    <w:rsid w:val="005F4ADA"/>
    <w:rsid w:val="005F712C"/>
    <w:rsid w:val="00601612"/>
    <w:rsid w:val="0060493C"/>
    <w:rsid w:val="006052CA"/>
    <w:rsid w:val="00610944"/>
    <w:rsid w:val="006116D2"/>
    <w:rsid w:val="00612531"/>
    <w:rsid w:val="006143E0"/>
    <w:rsid w:val="00621F83"/>
    <w:rsid w:val="00623F14"/>
    <w:rsid w:val="0062653A"/>
    <w:rsid w:val="00626CE5"/>
    <w:rsid w:val="006314DA"/>
    <w:rsid w:val="00632518"/>
    <w:rsid w:val="00634035"/>
    <w:rsid w:val="006351EB"/>
    <w:rsid w:val="0064024A"/>
    <w:rsid w:val="006428CA"/>
    <w:rsid w:val="0065007F"/>
    <w:rsid w:val="00650756"/>
    <w:rsid w:val="006519EA"/>
    <w:rsid w:val="00652EBA"/>
    <w:rsid w:val="00653C7E"/>
    <w:rsid w:val="00654545"/>
    <w:rsid w:val="00655C46"/>
    <w:rsid w:val="006638F8"/>
    <w:rsid w:val="006644E6"/>
    <w:rsid w:val="0067038A"/>
    <w:rsid w:val="0067380A"/>
    <w:rsid w:val="00673EAB"/>
    <w:rsid w:val="00686E50"/>
    <w:rsid w:val="00690209"/>
    <w:rsid w:val="00691E47"/>
    <w:rsid w:val="00693D7F"/>
    <w:rsid w:val="00696AB1"/>
    <w:rsid w:val="006A0B78"/>
    <w:rsid w:val="006A2B41"/>
    <w:rsid w:val="006A65C5"/>
    <w:rsid w:val="006C0709"/>
    <w:rsid w:val="006D083F"/>
    <w:rsid w:val="006D3C3B"/>
    <w:rsid w:val="006D3D5E"/>
    <w:rsid w:val="006E0E17"/>
    <w:rsid w:val="006E13C4"/>
    <w:rsid w:val="006E1B31"/>
    <w:rsid w:val="006E5C91"/>
    <w:rsid w:val="006F26BB"/>
    <w:rsid w:val="006F26D2"/>
    <w:rsid w:val="006F34D2"/>
    <w:rsid w:val="006F3D2E"/>
    <w:rsid w:val="006F57ED"/>
    <w:rsid w:val="00702725"/>
    <w:rsid w:val="00707117"/>
    <w:rsid w:val="00712BCA"/>
    <w:rsid w:val="00713ABE"/>
    <w:rsid w:val="007140B7"/>
    <w:rsid w:val="00717762"/>
    <w:rsid w:val="00717ACC"/>
    <w:rsid w:val="007208C3"/>
    <w:rsid w:val="00720C99"/>
    <w:rsid w:val="007231E6"/>
    <w:rsid w:val="00726E4F"/>
    <w:rsid w:val="007272F1"/>
    <w:rsid w:val="00727597"/>
    <w:rsid w:val="00735046"/>
    <w:rsid w:val="007362E5"/>
    <w:rsid w:val="007456EA"/>
    <w:rsid w:val="00750B65"/>
    <w:rsid w:val="007513F4"/>
    <w:rsid w:val="0075293B"/>
    <w:rsid w:val="00752A7E"/>
    <w:rsid w:val="0075529D"/>
    <w:rsid w:val="007614DD"/>
    <w:rsid w:val="00762B78"/>
    <w:rsid w:val="00763398"/>
    <w:rsid w:val="00766F07"/>
    <w:rsid w:val="007706E7"/>
    <w:rsid w:val="00771B39"/>
    <w:rsid w:val="00772FC1"/>
    <w:rsid w:val="00775B36"/>
    <w:rsid w:val="00775F2D"/>
    <w:rsid w:val="0078053F"/>
    <w:rsid w:val="00781568"/>
    <w:rsid w:val="00781665"/>
    <w:rsid w:val="007920C0"/>
    <w:rsid w:val="00792FB8"/>
    <w:rsid w:val="00796390"/>
    <w:rsid w:val="0079745F"/>
    <w:rsid w:val="007A0EEE"/>
    <w:rsid w:val="007A27AD"/>
    <w:rsid w:val="007A2B1A"/>
    <w:rsid w:val="007A3303"/>
    <w:rsid w:val="007B2AFC"/>
    <w:rsid w:val="007B409A"/>
    <w:rsid w:val="007B6E41"/>
    <w:rsid w:val="007C1621"/>
    <w:rsid w:val="007C72C1"/>
    <w:rsid w:val="007D2C52"/>
    <w:rsid w:val="007D3D79"/>
    <w:rsid w:val="007D4AD0"/>
    <w:rsid w:val="007D538A"/>
    <w:rsid w:val="007E0AB9"/>
    <w:rsid w:val="007E0CE7"/>
    <w:rsid w:val="007E451F"/>
    <w:rsid w:val="007F4004"/>
    <w:rsid w:val="007F57E6"/>
    <w:rsid w:val="007F6C62"/>
    <w:rsid w:val="00800FD0"/>
    <w:rsid w:val="00802D32"/>
    <w:rsid w:val="00802FD5"/>
    <w:rsid w:val="0080361B"/>
    <w:rsid w:val="008044C1"/>
    <w:rsid w:val="008047CD"/>
    <w:rsid w:val="0080591C"/>
    <w:rsid w:val="0081297E"/>
    <w:rsid w:val="00813992"/>
    <w:rsid w:val="00816C49"/>
    <w:rsid w:val="008241D2"/>
    <w:rsid w:val="00826849"/>
    <w:rsid w:val="00826AB2"/>
    <w:rsid w:val="00826E96"/>
    <w:rsid w:val="008271A1"/>
    <w:rsid w:val="00830E31"/>
    <w:rsid w:val="0083359E"/>
    <w:rsid w:val="00840DEF"/>
    <w:rsid w:val="00841EE4"/>
    <w:rsid w:val="00844FF4"/>
    <w:rsid w:val="00845649"/>
    <w:rsid w:val="008457F1"/>
    <w:rsid w:val="008529AA"/>
    <w:rsid w:val="00857462"/>
    <w:rsid w:val="00857D7F"/>
    <w:rsid w:val="00860B61"/>
    <w:rsid w:val="00860BDD"/>
    <w:rsid w:val="00861816"/>
    <w:rsid w:val="00862171"/>
    <w:rsid w:val="00863860"/>
    <w:rsid w:val="00863C35"/>
    <w:rsid w:val="008672A2"/>
    <w:rsid w:val="008753B5"/>
    <w:rsid w:val="00876331"/>
    <w:rsid w:val="00876CC6"/>
    <w:rsid w:val="00882294"/>
    <w:rsid w:val="008857B8"/>
    <w:rsid w:val="00885C00"/>
    <w:rsid w:val="00886325"/>
    <w:rsid w:val="008903FD"/>
    <w:rsid w:val="0089514D"/>
    <w:rsid w:val="008952E1"/>
    <w:rsid w:val="008A6418"/>
    <w:rsid w:val="008A6D32"/>
    <w:rsid w:val="008B1C31"/>
    <w:rsid w:val="008B3663"/>
    <w:rsid w:val="008B6B87"/>
    <w:rsid w:val="008C407B"/>
    <w:rsid w:val="008C461A"/>
    <w:rsid w:val="008C5ECE"/>
    <w:rsid w:val="008C74C4"/>
    <w:rsid w:val="008C7805"/>
    <w:rsid w:val="008D1C36"/>
    <w:rsid w:val="008E203E"/>
    <w:rsid w:val="008E4DD2"/>
    <w:rsid w:val="008F0BDA"/>
    <w:rsid w:val="008F2501"/>
    <w:rsid w:val="008F2D50"/>
    <w:rsid w:val="008F6D31"/>
    <w:rsid w:val="0090038A"/>
    <w:rsid w:val="00901594"/>
    <w:rsid w:val="00901AFF"/>
    <w:rsid w:val="0090223C"/>
    <w:rsid w:val="00904AF3"/>
    <w:rsid w:val="009078A4"/>
    <w:rsid w:val="0091038E"/>
    <w:rsid w:val="009155B1"/>
    <w:rsid w:val="00921737"/>
    <w:rsid w:val="00923BF4"/>
    <w:rsid w:val="009243E3"/>
    <w:rsid w:val="009254CF"/>
    <w:rsid w:val="00926229"/>
    <w:rsid w:val="009350D2"/>
    <w:rsid w:val="00935FAF"/>
    <w:rsid w:val="00944679"/>
    <w:rsid w:val="00947266"/>
    <w:rsid w:val="009479A6"/>
    <w:rsid w:val="00952C63"/>
    <w:rsid w:val="009635B6"/>
    <w:rsid w:val="00963E0E"/>
    <w:rsid w:val="00967DE7"/>
    <w:rsid w:val="0097080C"/>
    <w:rsid w:val="009717FE"/>
    <w:rsid w:val="00973FBD"/>
    <w:rsid w:val="0097437D"/>
    <w:rsid w:val="00976AC6"/>
    <w:rsid w:val="00981342"/>
    <w:rsid w:val="00983E2F"/>
    <w:rsid w:val="00985C36"/>
    <w:rsid w:val="009869EE"/>
    <w:rsid w:val="00991BF3"/>
    <w:rsid w:val="009959C0"/>
    <w:rsid w:val="00997999"/>
    <w:rsid w:val="009979A8"/>
    <w:rsid w:val="009A1829"/>
    <w:rsid w:val="009A2DB4"/>
    <w:rsid w:val="009A4E85"/>
    <w:rsid w:val="009A693B"/>
    <w:rsid w:val="009B0901"/>
    <w:rsid w:val="009C66E9"/>
    <w:rsid w:val="009C77A7"/>
    <w:rsid w:val="009D0A74"/>
    <w:rsid w:val="009D0B32"/>
    <w:rsid w:val="009D223A"/>
    <w:rsid w:val="009D4187"/>
    <w:rsid w:val="009D4A05"/>
    <w:rsid w:val="009D6E00"/>
    <w:rsid w:val="009D6E57"/>
    <w:rsid w:val="009D7C65"/>
    <w:rsid w:val="009E59A7"/>
    <w:rsid w:val="009F0603"/>
    <w:rsid w:val="009F319A"/>
    <w:rsid w:val="00A03AD8"/>
    <w:rsid w:val="00A067A2"/>
    <w:rsid w:val="00A117AF"/>
    <w:rsid w:val="00A130A2"/>
    <w:rsid w:val="00A16846"/>
    <w:rsid w:val="00A211E2"/>
    <w:rsid w:val="00A24E9C"/>
    <w:rsid w:val="00A254E3"/>
    <w:rsid w:val="00A30AB5"/>
    <w:rsid w:val="00A30E0E"/>
    <w:rsid w:val="00A351E7"/>
    <w:rsid w:val="00A409E9"/>
    <w:rsid w:val="00A46123"/>
    <w:rsid w:val="00A53196"/>
    <w:rsid w:val="00A54DE3"/>
    <w:rsid w:val="00A5586F"/>
    <w:rsid w:val="00A559C6"/>
    <w:rsid w:val="00A563EC"/>
    <w:rsid w:val="00A61AE3"/>
    <w:rsid w:val="00A62362"/>
    <w:rsid w:val="00A646C6"/>
    <w:rsid w:val="00A65BFC"/>
    <w:rsid w:val="00A74B69"/>
    <w:rsid w:val="00A81D39"/>
    <w:rsid w:val="00A8280B"/>
    <w:rsid w:val="00A82CA2"/>
    <w:rsid w:val="00A83F58"/>
    <w:rsid w:val="00A855D5"/>
    <w:rsid w:val="00A9690F"/>
    <w:rsid w:val="00AA5385"/>
    <w:rsid w:val="00AB51E4"/>
    <w:rsid w:val="00AC20E8"/>
    <w:rsid w:val="00AC2D33"/>
    <w:rsid w:val="00AC3F5E"/>
    <w:rsid w:val="00AC5421"/>
    <w:rsid w:val="00AC6491"/>
    <w:rsid w:val="00AC7C55"/>
    <w:rsid w:val="00AE0CDE"/>
    <w:rsid w:val="00AE4E97"/>
    <w:rsid w:val="00AE6503"/>
    <w:rsid w:val="00AF13D4"/>
    <w:rsid w:val="00AF1786"/>
    <w:rsid w:val="00AF3025"/>
    <w:rsid w:val="00AF3EE7"/>
    <w:rsid w:val="00AF709B"/>
    <w:rsid w:val="00B031D0"/>
    <w:rsid w:val="00B05F72"/>
    <w:rsid w:val="00B071B3"/>
    <w:rsid w:val="00B10065"/>
    <w:rsid w:val="00B11072"/>
    <w:rsid w:val="00B115BE"/>
    <w:rsid w:val="00B15A10"/>
    <w:rsid w:val="00B1695B"/>
    <w:rsid w:val="00B20034"/>
    <w:rsid w:val="00B2424B"/>
    <w:rsid w:val="00B25838"/>
    <w:rsid w:val="00B304F8"/>
    <w:rsid w:val="00B36E17"/>
    <w:rsid w:val="00B41583"/>
    <w:rsid w:val="00B51D02"/>
    <w:rsid w:val="00B53595"/>
    <w:rsid w:val="00B540E1"/>
    <w:rsid w:val="00B540FC"/>
    <w:rsid w:val="00B54BB3"/>
    <w:rsid w:val="00B566FB"/>
    <w:rsid w:val="00B60176"/>
    <w:rsid w:val="00B61DB9"/>
    <w:rsid w:val="00B663B2"/>
    <w:rsid w:val="00B66EC3"/>
    <w:rsid w:val="00B7491E"/>
    <w:rsid w:val="00B84EF7"/>
    <w:rsid w:val="00B85C83"/>
    <w:rsid w:val="00B865EC"/>
    <w:rsid w:val="00B87773"/>
    <w:rsid w:val="00B92755"/>
    <w:rsid w:val="00B93E7B"/>
    <w:rsid w:val="00B95ED7"/>
    <w:rsid w:val="00BA00D5"/>
    <w:rsid w:val="00BA0509"/>
    <w:rsid w:val="00BA0B23"/>
    <w:rsid w:val="00BA1FC7"/>
    <w:rsid w:val="00BA2593"/>
    <w:rsid w:val="00BA32C0"/>
    <w:rsid w:val="00BA45DE"/>
    <w:rsid w:val="00BA53E1"/>
    <w:rsid w:val="00BA6D03"/>
    <w:rsid w:val="00BB0C58"/>
    <w:rsid w:val="00BB2BB2"/>
    <w:rsid w:val="00BB6CBD"/>
    <w:rsid w:val="00BB7149"/>
    <w:rsid w:val="00BC7174"/>
    <w:rsid w:val="00BD0353"/>
    <w:rsid w:val="00BD174D"/>
    <w:rsid w:val="00BD1C62"/>
    <w:rsid w:val="00BD749C"/>
    <w:rsid w:val="00BE0788"/>
    <w:rsid w:val="00BE16F8"/>
    <w:rsid w:val="00BE511E"/>
    <w:rsid w:val="00BE59B4"/>
    <w:rsid w:val="00BF0E1A"/>
    <w:rsid w:val="00BF6AA2"/>
    <w:rsid w:val="00C00F17"/>
    <w:rsid w:val="00C02C43"/>
    <w:rsid w:val="00C0438D"/>
    <w:rsid w:val="00C11F52"/>
    <w:rsid w:val="00C13403"/>
    <w:rsid w:val="00C137E4"/>
    <w:rsid w:val="00C1570A"/>
    <w:rsid w:val="00C2053D"/>
    <w:rsid w:val="00C214F9"/>
    <w:rsid w:val="00C2295A"/>
    <w:rsid w:val="00C24191"/>
    <w:rsid w:val="00C26947"/>
    <w:rsid w:val="00C2746B"/>
    <w:rsid w:val="00C27864"/>
    <w:rsid w:val="00C27AAE"/>
    <w:rsid w:val="00C3449D"/>
    <w:rsid w:val="00C35EEC"/>
    <w:rsid w:val="00C428D2"/>
    <w:rsid w:val="00C444BF"/>
    <w:rsid w:val="00C53E0A"/>
    <w:rsid w:val="00C57201"/>
    <w:rsid w:val="00C578A0"/>
    <w:rsid w:val="00C60F25"/>
    <w:rsid w:val="00C62368"/>
    <w:rsid w:val="00C62559"/>
    <w:rsid w:val="00C64C92"/>
    <w:rsid w:val="00C8395F"/>
    <w:rsid w:val="00C84AA1"/>
    <w:rsid w:val="00C86896"/>
    <w:rsid w:val="00C90DEF"/>
    <w:rsid w:val="00C92BC0"/>
    <w:rsid w:val="00C93606"/>
    <w:rsid w:val="00C94371"/>
    <w:rsid w:val="00C972B6"/>
    <w:rsid w:val="00C973CC"/>
    <w:rsid w:val="00CA2B21"/>
    <w:rsid w:val="00CA2CF3"/>
    <w:rsid w:val="00CA71A9"/>
    <w:rsid w:val="00CB4308"/>
    <w:rsid w:val="00CC0741"/>
    <w:rsid w:val="00CC32B1"/>
    <w:rsid w:val="00CC6505"/>
    <w:rsid w:val="00CC69B8"/>
    <w:rsid w:val="00CD0B6F"/>
    <w:rsid w:val="00CD3826"/>
    <w:rsid w:val="00CE1D67"/>
    <w:rsid w:val="00CE7A0B"/>
    <w:rsid w:val="00CF0FEF"/>
    <w:rsid w:val="00CF19A9"/>
    <w:rsid w:val="00D01E24"/>
    <w:rsid w:val="00D03FFD"/>
    <w:rsid w:val="00D0628A"/>
    <w:rsid w:val="00D07587"/>
    <w:rsid w:val="00D079E7"/>
    <w:rsid w:val="00D1236C"/>
    <w:rsid w:val="00D13BD8"/>
    <w:rsid w:val="00D163BC"/>
    <w:rsid w:val="00D17798"/>
    <w:rsid w:val="00D17F93"/>
    <w:rsid w:val="00D30F1B"/>
    <w:rsid w:val="00D3670B"/>
    <w:rsid w:val="00D45B1F"/>
    <w:rsid w:val="00D5047C"/>
    <w:rsid w:val="00D51283"/>
    <w:rsid w:val="00D524F9"/>
    <w:rsid w:val="00D53A64"/>
    <w:rsid w:val="00D5450E"/>
    <w:rsid w:val="00D54ED4"/>
    <w:rsid w:val="00D56136"/>
    <w:rsid w:val="00D573A5"/>
    <w:rsid w:val="00D57728"/>
    <w:rsid w:val="00D61B72"/>
    <w:rsid w:val="00D63887"/>
    <w:rsid w:val="00D71CE4"/>
    <w:rsid w:val="00D75103"/>
    <w:rsid w:val="00D818AE"/>
    <w:rsid w:val="00D81ABA"/>
    <w:rsid w:val="00D85D4C"/>
    <w:rsid w:val="00D86444"/>
    <w:rsid w:val="00D86A9D"/>
    <w:rsid w:val="00D87579"/>
    <w:rsid w:val="00D96329"/>
    <w:rsid w:val="00D96E3B"/>
    <w:rsid w:val="00DA11A9"/>
    <w:rsid w:val="00DB0182"/>
    <w:rsid w:val="00DB674C"/>
    <w:rsid w:val="00DB6CF2"/>
    <w:rsid w:val="00DB7A79"/>
    <w:rsid w:val="00DC42BB"/>
    <w:rsid w:val="00DC47DD"/>
    <w:rsid w:val="00DC4FE1"/>
    <w:rsid w:val="00DD41B7"/>
    <w:rsid w:val="00DD5C43"/>
    <w:rsid w:val="00DE22C9"/>
    <w:rsid w:val="00DE49A4"/>
    <w:rsid w:val="00DE5AA7"/>
    <w:rsid w:val="00DF01BB"/>
    <w:rsid w:val="00DF1936"/>
    <w:rsid w:val="00E05588"/>
    <w:rsid w:val="00E05928"/>
    <w:rsid w:val="00E05A99"/>
    <w:rsid w:val="00E06002"/>
    <w:rsid w:val="00E11078"/>
    <w:rsid w:val="00E17B3E"/>
    <w:rsid w:val="00E24384"/>
    <w:rsid w:val="00E26DEF"/>
    <w:rsid w:val="00E30E95"/>
    <w:rsid w:val="00E31ADE"/>
    <w:rsid w:val="00E324C3"/>
    <w:rsid w:val="00E3269D"/>
    <w:rsid w:val="00E40F1B"/>
    <w:rsid w:val="00E41A1A"/>
    <w:rsid w:val="00E437F1"/>
    <w:rsid w:val="00E4615C"/>
    <w:rsid w:val="00E53785"/>
    <w:rsid w:val="00E553D6"/>
    <w:rsid w:val="00E56699"/>
    <w:rsid w:val="00E620F2"/>
    <w:rsid w:val="00E623B2"/>
    <w:rsid w:val="00E62960"/>
    <w:rsid w:val="00E64F1E"/>
    <w:rsid w:val="00E73776"/>
    <w:rsid w:val="00E833B6"/>
    <w:rsid w:val="00E84652"/>
    <w:rsid w:val="00E92AC6"/>
    <w:rsid w:val="00EA0F91"/>
    <w:rsid w:val="00EA1201"/>
    <w:rsid w:val="00EA34FE"/>
    <w:rsid w:val="00EA7AB8"/>
    <w:rsid w:val="00EA7E20"/>
    <w:rsid w:val="00EB2DA6"/>
    <w:rsid w:val="00EB38A7"/>
    <w:rsid w:val="00EB53A8"/>
    <w:rsid w:val="00EC1080"/>
    <w:rsid w:val="00EC1E5B"/>
    <w:rsid w:val="00EC3E58"/>
    <w:rsid w:val="00EC4427"/>
    <w:rsid w:val="00EC7D7A"/>
    <w:rsid w:val="00ED1F04"/>
    <w:rsid w:val="00ED2031"/>
    <w:rsid w:val="00ED4CBA"/>
    <w:rsid w:val="00ED6C75"/>
    <w:rsid w:val="00EE0DD2"/>
    <w:rsid w:val="00EE2A67"/>
    <w:rsid w:val="00EE37FE"/>
    <w:rsid w:val="00EF140F"/>
    <w:rsid w:val="00EF1564"/>
    <w:rsid w:val="00EF3750"/>
    <w:rsid w:val="00EF4067"/>
    <w:rsid w:val="00F05FB5"/>
    <w:rsid w:val="00F152FE"/>
    <w:rsid w:val="00F23264"/>
    <w:rsid w:val="00F2398B"/>
    <w:rsid w:val="00F27159"/>
    <w:rsid w:val="00F321A8"/>
    <w:rsid w:val="00F33350"/>
    <w:rsid w:val="00F34AE1"/>
    <w:rsid w:val="00F35EFB"/>
    <w:rsid w:val="00F36E79"/>
    <w:rsid w:val="00F5254A"/>
    <w:rsid w:val="00F53303"/>
    <w:rsid w:val="00F54295"/>
    <w:rsid w:val="00F54546"/>
    <w:rsid w:val="00F56EA1"/>
    <w:rsid w:val="00F605AE"/>
    <w:rsid w:val="00F636E6"/>
    <w:rsid w:val="00F64776"/>
    <w:rsid w:val="00F6624B"/>
    <w:rsid w:val="00F74A55"/>
    <w:rsid w:val="00F752DC"/>
    <w:rsid w:val="00F83A55"/>
    <w:rsid w:val="00F8685B"/>
    <w:rsid w:val="00F868E0"/>
    <w:rsid w:val="00F87C78"/>
    <w:rsid w:val="00F90C9F"/>
    <w:rsid w:val="00F96262"/>
    <w:rsid w:val="00F978A8"/>
    <w:rsid w:val="00FA21AB"/>
    <w:rsid w:val="00FA2AC6"/>
    <w:rsid w:val="00FA54BF"/>
    <w:rsid w:val="00FA60C8"/>
    <w:rsid w:val="00FB23AE"/>
    <w:rsid w:val="00FB463A"/>
    <w:rsid w:val="00FB504E"/>
    <w:rsid w:val="00FC041C"/>
    <w:rsid w:val="00FC3E05"/>
    <w:rsid w:val="00FD22E5"/>
    <w:rsid w:val="00FD443E"/>
    <w:rsid w:val="00FD4FDA"/>
    <w:rsid w:val="00FD5949"/>
    <w:rsid w:val="00FD754D"/>
    <w:rsid w:val="00FE3383"/>
    <w:rsid w:val="00FE5CB1"/>
    <w:rsid w:val="00FF432E"/>
    <w:rsid w:val="00FF6452"/>
    <w:rsid w:val="01395A13"/>
    <w:rsid w:val="01481550"/>
    <w:rsid w:val="01482262"/>
    <w:rsid w:val="01704E6E"/>
    <w:rsid w:val="02526E51"/>
    <w:rsid w:val="0266680C"/>
    <w:rsid w:val="026C6C06"/>
    <w:rsid w:val="02756C66"/>
    <w:rsid w:val="02AE64AF"/>
    <w:rsid w:val="02AE6BB2"/>
    <w:rsid w:val="02C62870"/>
    <w:rsid w:val="031331E4"/>
    <w:rsid w:val="032C47E1"/>
    <w:rsid w:val="03A77D89"/>
    <w:rsid w:val="03D05BD6"/>
    <w:rsid w:val="03ED5620"/>
    <w:rsid w:val="043622D4"/>
    <w:rsid w:val="0440007A"/>
    <w:rsid w:val="04937ECA"/>
    <w:rsid w:val="04F15114"/>
    <w:rsid w:val="050A0494"/>
    <w:rsid w:val="05474C22"/>
    <w:rsid w:val="054B411F"/>
    <w:rsid w:val="05AC0D91"/>
    <w:rsid w:val="05B51F4A"/>
    <w:rsid w:val="05C8086F"/>
    <w:rsid w:val="060F24C5"/>
    <w:rsid w:val="06385B2B"/>
    <w:rsid w:val="0641070F"/>
    <w:rsid w:val="06775D1B"/>
    <w:rsid w:val="070D265E"/>
    <w:rsid w:val="07153BD9"/>
    <w:rsid w:val="07744564"/>
    <w:rsid w:val="079C3094"/>
    <w:rsid w:val="07CF018D"/>
    <w:rsid w:val="082378EF"/>
    <w:rsid w:val="086859BB"/>
    <w:rsid w:val="086D3C75"/>
    <w:rsid w:val="087A2AE7"/>
    <w:rsid w:val="087D1D8A"/>
    <w:rsid w:val="08840342"/>
    <w:rsid w:val="088769A3"/>
    <w:rsid w:val="089A1792"/>
    <w:rsid w:val="08F16343"/>
    <w:rsid w:val="08FA10FE"/>
    <w:rsid w:val="09161C12"/>
    <w:rsid w:val="091D5666"/>
    <w:rsid w:val="09411E04"/>
    <w:rsid w:val="09950F73"/>
    <w:rsid w:val="09A93F1E"/>
    <w:rsid w:val="09B0769E"/>
    <w:rsid w:val="09CE7BF6"/>
    <w:rsid w:val="0A2D40C7"/>
    <w:rsid w:val="0A3713AA"/>
    <w:rsid w:val="0A3F783C"/>
    <w:rsid w:val="0A950826"/>
    <w:rsid w:val="0A952594"/>
    <w:rsid w:val="0AA751F7"/>
    <w:rsid w:val="0AEA1C28"/>
    <w:rsid w:val="0AFF4EBF"/>
    <w:rsid w:val="0B7D7C55"/>
    <w:rsid w:val="0B9726BD"/>
    <w:rsid w:val="0BAC482F"/>
    <w:rsid w:val="0BDA5906"/>
    <w:rsid w:val="0BDB1FDF"/>
    <w:rsid w:val="0C2402E9"/>
    <w:rsid w:val="0C26306E"/>
    <w:rsid w:val="0C494420"/>
    <w:rsid w:val="0C6A212B"/>
    <w:rsid w:val="0C7A51A2"/>
    <w:rsid w:val="0C827721"/>
    <w:rsid w:val="0C8D1F24"/>
    <w:rsid w:val="0C9D5B46"/>
    <w:rsid w:val="0CA1035A"/>
    <w:rsid w:val="0CD90E20"/>
    <w:rsid w:val="0CE84908"/>
    <w:rsid w:val="0D424CBB"/>
    <w:rsid w:val="0D5648D4"/>
    <w:rsid w:val="0D821DB2"/>
    <w:rsid w:val="0E0841EC"/>
    <w:rsid w:val="0E4F55B7"/>
    <w:rsid w:val="0E5C04CB"/>
    <w:rsid w:val="0E7905B1"/>
    <w:rsid w:val="0E7C1F6C"/>
    <w:rsid w:val="0E9F14D8"/>
    <w:rsid w:val="0EAE3A9E"/>
    <w:rsid w:val="0F1B7BCD"/>
    <w:rsid w:val="0F6111DE"/>
    <w:rsid w:val="0FF9352E"/>
    <w:rsid w:val="1062396C"/>
    <w:rsid w:val="108D5AAF"/>
    <w:rsid w:val="10A3362A"/>
    <w:rsid w:val="11190BF4"/>
    <w:rsid w:val="112712B9"/>
    <w:rsid w:val="119121EA"/>
    <w:rsid w:val="11953C12"/>
    <w:rsid w:val="11C035DB"/>
    <w:rsid w:val="11DC67A9"/>
    <w:rsid w:val="12177DA7"/>
    <w:rsid w:val="121A6ADF"/>
    <w:rsid w:val="122024C3"/>
    <w:rsid w:val="124634C6"/>
    <w:rsid w:val="12681CD2"/>
    <w:rsid w:val="12823541"/>
    <w:rsid w:val="12912A1B"/>
    <w:rsid w:val="12D35343"/>
    <w:rsid w:val="12FE5BF9"/>
    <w:rsid w:val="13176DAC"/>
    <w:rsid w:val="131C00F3"/>
    <w:rsid w:val="131D6C68"/>
    <w:rsid w:val="132212C4"/>
    <w:rsid w:val="13680005"/>
    <w:rsid w:val="13A15769"/>
    <w:rsid w:val="13C20FE9"/>
    <w:rsid w:val="13CA6788"/>
    <w:rsid w:val="144E04D3"/>
    <w:rsid w:val="14622308"/>
    <w:rsid w:val="14BE07B7"/>
    <w:rsid w:val="14BE5089"/>
    <w:rsid w:val="14CD7296"/>
    <w:rsid w:val="14F005B0"/>
    <w:rsid w:val="150462E7"/>
    <w:rsid w:val="155820B0"/>
    <w:rsid w:val="15E54C31"/>
    <w:rsid w:val="1616507C"/>
    <w:rsid w:val="162B2776"/>
    <w:rsid w:val="16471830"/>
    <w:rsid w:val="16B46F9D"/>
    <w:rsid w:val="16D76246"/>
    <w:rsid w:val="16E322BF"/>
    <w:rsid w:val="16E52A9F"/>
    <w:rsid w:val="170252B3"/>
    <w:rsid w:val="172E3F13"/>
    <w:rsid w:val="17444313"/>
    <w:rsid w:val="176671F6"/>
    <w:rsid w:val="176A3B89"/>
    <w:rsid w:val="178449C5"/>
    <w:rsid w:val="17D92831"/>
    <w:rsid w:val="187A6632"/>
    <w:rsid w:val="18E6414E"/>
    <w:rsid w:val="19705D80"/>
    <w:rsid w:val="19837950"/>
    <w:rsid w:val="19921D12"/>
    <w:rsid w:val="19AB39F7"/>
    <w:rsid w:val="19FC4C8C"/>
    <w:rsid w:val="1A5652A0"/>
    <w:rsid w:val="1A8A6231"/>
    <w:rsid w:val="1A8C7E52"/>
    <w:rsid w:val="1A960B9F"/>
    <w:rsid w:val="1AA82E54"/>
    <w:rsid w:val="1AB85F3B"/>
    <w:rsid w:val="1ABE4BC7"/>
    <w:rsid w:val="1ACC62AA"/>
    <w:rsid w:val="1B1C5E1C"/>
    <w:rsid w:val="1B391ACA"/>
    <w:rsid w:val="1B9568D9"/>
    <w:rsid w:val="1BB42944"/>
    <w:rsid w:val="1C4F33D3"/>
    <w:rsid w:val="1C5C4B07"/>
    <w:rsid w:val="1C6A3B2C"/>
    <w:rsid w:val="1D396315"/>
    <w:rsid w:val="1D67122D"/>
    <w:rsid w:val="1D6C6EAC"/>
    <w:rsid w:val="1DD1078F"/>
    <w:rsid w:val="1DFE3143"/>
    <w:rsid w:val="1E1E7FBE"/>
    <w:rsid w:val="1E2117FA"/>
    <w:rsid w:val="1E420158"/>
    <w:rsid w:val="1E7B1A78"/>
    <w:rsid w:val="1EAC1B34"/>
    <w:rsid w:val="1EC10E8A"/>
    <w:rsid w:val="1EF93AF3"/>
    <w:rsid w:val="1F3131A2"/>
    <w:rsid w:val="1F825C34"/>
    <w:rsid w:val="1F8412FC"/>
    <w:rsid w:val="1F8B225B"/>
    <w:rsid w:val="1F9C0876"/>
    <w:rsid w:val="1FA032CF"/>
    <w:rsid w:val="1FB14ADB"/>
    <w:rsid w:val="1FBF1C2F"/>
    <w:rsid w:val="1FBF7E8C"/>
    <w:rsid w:val="1FDF57E4"/>
    <w:rsid w:val="20230E49"/>
    <w:rsid w:val="20436E53"/>
    <w:rsid w:val="209A60B8"/>
    <w:rsid w:val="20B35020"/>
    <w:rsid w:val="21083423"/>
    <w:rsid w:val="21165942"/>
    <w:rsid w:val="213853B1"/>
    <w:rsid w:val="214035A6"/>
    <w:rsid w:val="21464A37"/>
    <w:rsid w:val="21A31E57"/>
    <w:rsid w:val="21CB6C1F"/>
    <w:rsid w:val="21E575E7"/>
    <w:rsid w:val="22087CE9"/>
    <w:rsid w:val="221D4AE9"/>
    <w:rsid w:val="222B1F77"/>
    <w:rsid w:val="226A1FBB"/>
    <w:rsid w:val="228C5759"/>
    <w:rsid w:val="22C00CF5"/>
    <w:rsid w:val="22FD0AE8"/>
    <w:rsid w:val="22FF2AFD"/>
    <w:rsid w:val="231B7DC9"/>
    <w:rsid w:val="23BD3EF9"/>
    <w:rsid w:val="24050CB3"/>
    <w:rsid w:val="240C7A43"/>
    <w:rsid w:val="241B68D6"/>
    <w:rsid w:val="24204F5C"/>
    <w:rsid w:val="243778EB"/>
    <w:rsid w:val="24574D9E"/>
    <w:rsid w:val="24635039"/>
    <w:rsid w:val="24643CB4"/>
    <w:rsid w:val="24817A8F"/>
    <w:rsid w:val="2493473D"/>
    <w:rsid w:val="24B349A8"/>
    <w:rsid w:val="251B5B23"/>
    <w:rsid w:val="2566544A"/>
    <w:rsid w:val="256655D2"/>
    <w:rsid w:val="25AD4403"/>
    <w:rsid w:val="25E34250"/>
    <w:rsid w:val="2608323B"/>
    <w:rsid w:val="26107749"/>
    <w:rsid w:val="268D1C99"/>
    <w:rsid w:val="26E435A5"/>
    <w:rsid w:val="26F12F12"/>
    <w:rsid w:val="26F4337D"/>
    <w:rsid w:val="26F80281"/>
    <w:rsid w:val="27AC1848"/>
    <w:rsid w:val="27D14480"/>
    <w:rsid w:val="27E02047"/>
    <w:rsid w:val="280B6E21"/>
    <w:rsid w:val="287E26DF"/>
    <w:rsid w:val="294E79AA"/>
    <w:rsid w:val="295D7973"/>
    <w:rsid w:val="29A359DF"/>
    <w:rsid w:val="2A061D44"/>
    <w:rsid w:val="2A34552B"/>
    <w:rsid w:val="2A3C1600"/>
    <w:rsid w:val="2A727F09"/>
    <w:rsid w:val="2A8E348F"/>
    <w:rsid w:val="2AAA685A"/>
    <w:rsid w:val="2B2C0533"/>
    <w:rsid w:val="2B3B54A5"/>
    <w:rsid w:val="2B3F77F1"/>
    <w:rsid w:val="2B8F63EE"/>
    <w:rsid w:val="2C251627"/>
    <w:rsid w:val="2C3D3057"/>
    <w:rsid w:val="2C467BD5"/>
    <w:rsid w:val="2CA6012B"/>
    <w:rsid w:val="2CCB2703"/>
    <w:rsid w:val="2CD0027D"/>
    <w:rsid w:val="2CF14583"/>
    <w:rsid w:val="2D1D0483"/>
    <w:rsid w:val="2D1E76F3"/>
    <w:rsid w:val="2D794D40"/>
    <w:rsid w:val="2DBE12D8"/>
    <w:rsid w:val="2E0C438C"/>
    <w:rsid w:val="2E2106B1"/>
    <w:rsid w:val="2E334A67"/>
    <w:rsid w:val="2E5D48AD"/>
    <w:rsid w:val="2EFE2184"/>
    <w:rsid w:val="2F4049B3"/>
    <w:rsid w:val="2F782FA4"/>
    <w:rsid w:val="2FF03249"/>
    <w:rsid w:val="30156D50"/>
    <w:rsid w:val="303F2033"/>
    <w:rsid w:val="305C03A7"/>
    <w:rsid w:val="306F6CEC"/>
    <w:rsid w:val="309D7B2C"/>
    <w:rsid w:val="30B00BC4"/>
    <w:rsid w:val="30B17D2D"/>
    <w:rsid w:val="3135540F"/>
    <w:rsid w:val="313E33F0"/>
    <w:rsid w:val="316D7120"/>
    <w:rsid w:val="31C84156"/>
    <w:rsid w:val="31F67F9E"/>
    <w:rsid w:val="323A6E2B"/>
    <w:rsid w:val="3245361E"/>
    <w:rsid w:val="325254E0"/>
    <w:rsid w:val="325B669B"/>
    <w:rsid w:val="32722C78"/>
    <w:rsid w:val="32A75D2C"/>
    <w:rsid w:val="32D0273F"/>
    <w:rsid w:val="32D7264D"/>
    <w:rsid w:val="32E60304"/>
    <w:rsid w:val="33032C35"/>
    <w:rsid w:val="33367CE7"/>
    <w:rsid w:val="335C64FA"/>
    <w:rsid w:val="337717EF"/>
    <w:rsid w:val="33C06B47"/>
    <w:rsid w:val="33C753FB"/>
    <w:rsid w:val="33CF48F6"/>
    <w:rsid w:val="343D563D"/>
    <w:rsid w:val="34B50C77"/>
    <w:rsid w:val="34C612DB"/>
    <w:rsid w:val="353E29FB"/>
    <w:rsid w:val="355F0484"/>
    <w:rsid w:val="35A60E72"/>
    <w:rsid w:val="35D84217"/>
    <w:rsid w:val="362804FE"/>
    <w:rsid w:val="364F19B8"/>
    <w:rsid w:val="367C7997"/>
    <w:rsid w:val="36861020"/>
    <w:rsid w:val="36B9296A"/>
    <w:rsid w:val="36C66CBD"/>
    <w:rsid w:val="36F54C13"/>
    <w:rsid w:val="37374E4A"/>
    <w:rsid w:val="37446605"/>
    <w:rsid w:val="375D0707"/>
    <w:rsid w:val="377A5B3E"/>
    <w:rsid w:val="37AB3F0A"/>
    <w:rsid w:val="37F03CE3"/>
    <w:rsid w:val="37F620AA"/>
    <w:rsid w:val="381D3728"/>
    <w:rsid w:val="382443E4"/>
    <w:rsid w:val="38547B62"/>
    <w:rsid w:val="38613037"/>
    <w:rsid w:val="388B3057"/>
    <w:rsid w:val="38A014EF"/>
    <w:rsid w:val="38DD23A8"/>
    <w:rsid w:val="38E750C0"/>
    <w:rsid w:val="38F7742E"/>
    <w:rsid w:val="39312EAA"/>
    <w:rsid w:val="393F03AE"/>
    <w:rsid w:val="39473693"/>
    <w:rsid w:val="3953352A"/>
    <w:rsid w:val="396E1731"/>
    <w:rsid w:val="39894C2B"/>
    <w:rsid w:val="3990202E"/>
    <w:rsid w:val="39CF58F9"/>
    <w:rsid w:val="39DE2CE5"/>
    <w:rsid w:val="39E70132"/>
    <w:rsid w:val="39F2130B"/>
    <w:rsid w:val="39F82A5A"/>
    <w:rsid w:val="3A152FCE"/>
    <w:rsid w:val="3A48659A"/>
    <w:rsid w:val="3A7470DC"/>
    <w:rsid w:val="3A8C3B47"/>
    <w:rsid w:val="3AB772D4"/>
    <w:rsid w:val="3AD21BE1"/>
    <w:rsid w:val="3AE7557F"/>
    <w:rsid w:val="3B120A5B"/>
    <w:rsid w:val="3B1538D5"/>
    <w:rsid w:val="3B355D50"/>
    <w:rsid w:val="3B83536D"/>
    <w:rsid w:val="3BA27158"/>
    <w:rsid w:val="3BAB08BF"/>
    <w:rsid w:val="3BFF0565"/>
    <w:rsid w:val="3C004952"/>
    <w:rsid w:val="3C3152AC"/>
    <w:rsid w:val="3C4C54E0"/>
    <w:rsid w:val="3C835BD5"/>
    <w:rsid w:val="3CDF42D4"/>
    <w:rsid w:val="3D387351"/>
    <w:rsid w:val="3D533838"/>
    <w:rsid w:val="3D561E51"/>
    <w:rsid w:val="3D9C2DF5"/>
    <w:rsid w:val="3DCC27EB"/>
    <w:rsid w:val="3E152CEC"/>
    <w:rsid w:val="3EB34D14"/>
    <w:rsid w:val="3EB74FAD"/>
    <w:rsid w:val="3EC5427B"/>
    <w:rsid w:val="3EDE4F9F"/>
    <w:rsid w:val="3F137BB9"/>
    <w:rsid w:val="3F335355"/>
    <w:rsid w:val="3F507D51"/>
    <w:rsid w:val="3F761AE2"/>
    <w:rsid w:val="3F9E7B5B"/>
    <w:rsid w:val="3FF31C86"/>
    <w:rsid w:val="3FF35AE9"/>
    <w:rsid w:val="3FF727BC"/>
    <w:rsid w:val="401F077D"/>
    <w:rsid w:val="402E3A8C"/>
    <w:rsid w:val="40CC1EA7"/>
    <w:rsid w:val="40DB5220"/>
    <w:rsid w:val="4170716C"/>
    <w:rsid w:val="41D50C1B"/>
    <w:rsid w:val="42437C94"/>
    <w:rsid w:val="427B5490"/>
    <w:rsid w:val="42C63ED1"/>
    <w:rsid w:val="42E534BB"/>
    <w:rsid w:val="42EF7682"/>
    <w:rsid w:val="42FF667E"/>
    <w:rsid w:val="43412686"/>
    <w:rsid w:val="43506564"/>
    <w:rsid w:val="4371797E"/>
    <w:rsid w:val="43B115C2"/>
    <w:rsid w:val="43ED605D"/>
    <w:rsid w:val="4434695D"/>
    <w:rsid w:val="44672E75"/>
    <w:rsid w:val="449A3EA0"/>
    <w:rsid w:val="44C25B6C"/>
    <w:rsid w:val="44CA6D19"/>
    <w:rsid w:val="45014C4F"/>
    <w:rsid w:val="45081200"/>
    <w:rsid w:val="45386969"/>
    <w:rsid w:val="45492E01"/>
    <w:rsid w:val="455D57AC"/>
    <w:rsid w:val="457C1C76"/>
    <w:rsid w:val="45AF6B50"/>
    <w:rsid w:val="45F2511A"/>
    <w:rsid w:val="45F75CD0"/>
    <w:rsid w:val="46040F87"/>
    <w:rsid w:val="465F5EF9"/>
    <w:rsid w:val="46A9322B"/>
    <w:rsid w:val="46E35E10"/>
    <w:rsid w:val="470A6F28"/>
    <w:rsid w:val="471D0C57"/>
    <w:rsid w:val="47482CE6"/>
    <w:rsid w:val="47646A9C"/>
    <w:rsid w:val="47B96FCB"/>
    <w:rsid w:val="47CB507B"/>
    <w:rsid w:val="47D61951"/>
    <w:rsid w:val="47E7391F"/>
    <w:rsid w:val="4861536D"/>
    <w:rsid w:val="487524B5"/>
    <w:rsid w:val="48957ABB"/>
    <w:rsid w:val="490E03EE"/>
    <w:rsid w:val="491124BA"/>
    <w:rsid w:val="49486652"/>
    <w:rsid w:val="496D10AA"/>
    <w:rsid w:val="496D326A"/>
    <w:rsid w:val="49856E98"/>
    <w:rsid w:val="498D314E"/>
    <w:rsid w:val="49C32581"/>
    <w:rsid w:val="49DD2CCE"/>
    <w:rsid w:val="4A000468"/>
    <w:rsid w:val="4A061D68"/>
    <w:rsid w:val="4A2159F8"/>
    <w:rsid w:val="4A284996"/>
    <w:rsid w:val="4AC14FE7"/>
    <w:rsid w:val="4AE81B4E"/>
    <w:rsid w:val="4B1D2F5E"/>
    <w:rsid w:val="4B1D579F"/>
    <w:rsid w:val="4B5167A4"/>
    <w:rsid w:val="4B8A59C9"/>
    <w:rsid w:val="4B8E576A"/>
    <w:rsid w:val="4BA6470A"/>
    <w:rsid w:val="4BB50595"/>
    <w:rsid w:val="4BC4093F"/>
    <w:rsid w:val="4BE87C2D"/>
    <w:rsid w:val="4C506FD4"/>
    <w:rsid w:val="4C6012CC"/>
    <w:rsid w:val="4C8713F5"/>
    <w:rsid w:val="4C8F1A7E"/>
    <w:rsid w:val="4CF42F2A"/>
    <w:rsid w:val="4D401571"/>
    <w:rsid w:val="4D4B2648"/>
    <w:rsid w:val="4D505917"/>
    <w:rsid w:val="4D59536D"/>
    <w:rsid w:val="4D6F742A"/>
    <w:rsid w:val="4D7403F6"/>
    <w:rsid w:val="4D7746C4"/>
    <w:rsid w:val="4DAF1D03"/>
    <w:rsid w:val="4E096414"/>
    <w:rsid w:val="4E6276B1"/>
    <w:rsid w:val="4EF68DAA"/>
    <w:rsid w:val="4F007553"/>
    <w:rsid w:val="4F0D3758"/>
    <w:rsid w:val="4FC2420B"/>
    <w:rsid w:val="50707EC4"/>
    <w:rsid w:val="50896C17"/>
    <w:rsid w:val="508B02F7"/>
    <w:rsid w:val="50BE27EE"/>
    <w:rsid w:val="51177281"/>
    <w:rsid w:val="51253E21"/>
    <w:rsid w:val="514A6F60"/>
    <w:rsid w:val="5167304A"/>
    <w:rsid w:val="51AE3627"/>
    <w:rsid w:val="51B353C3"/>
    <w:rsid w:val="51B87EDD"/>
    <w:rsid w:val="51D503EE"/>
    <w:rsid w:val="52EA6A20"/>
    <w:rsid w:val="531E61BE"/>
    <w:rsid w:val="533B2C9C"/>
    <w:rsid w:val="538F72F5"/>
    <w:rsid w:val="53DD7FC2"/>
    <w:rsid w:val="5449603D"/>
    <w:rsid w:val="545F2C44"/>
    <w:rsid w:val="54783EF9"/>
    <w:rsid w:val="549720E9"/>
    <w:rsid w:val="54F92E91"/>
    <w:rsid w:val="5557332F"/>
    <w:rsid w:val="555E5F15"/>
    <w:rsid w:val="55753783"/>
    <w:rsid w:val="55A26BA2"/>
    <w:rsid w:val="55A65ED4"/>
    <w:rsid w:val="55CB223F"/>
    <w:rsid w:val="55CB686A"/>
    <w:rsid w:val="55E95962"/>
    <w:rsid w:val="56041D4D"/>
    <w:rsid w:val="56090AD9"/>
    <w:rsid w:val="56754775"/>
    <w:rsid w:val="5695194F"/>
    <w:rsid w:val="576D4942"/>
    <w:rsid w:val="57821FCB"/>
    <w:rsid w:val="57855958"/>
    <w:rsid w:val="57BD47B3"/>
    <w:rsid w:val="57CA720C"/>
    <w:rsid w:val="57F53540"/>
    <w:rsid w:val="583858D0"/>
    <w:rsid w:val="5865517D"/>
    <w:rsid w:val="58AF4E2F"/>
    <w:rsid w:val="58FC6FA8"/>
    <w:rsid w:val="594D1D15"/>
    <w:rsid w:val="59B54DF2"/>
    <w:rsid w:val="59C32B41"/>
    <w:rsid w:val="59D41010"/>
    <w:rsid w:val="59E87DA9"/>
    <w:rsid w:val="5A5C37A7"/>
    <w:rsid w:val="5A7920C7"/>
    <w:rsid w:val="5AB00391"/>
    <w:rsid w:val="5AB54FE2"/>
    <w:rsid w:val="5AF02999"/>
    <w:rsid w:val="5AF13F90"/>
    <w:rsid w:val="5B2C5F72"/>
    <w:rsid w:val="5B4609D7"/>
    <w:rsid w:val="5B8C2E04"/>
    <w:rsid w:val="5B901142"/>
    <w:rsid w:val="5BA134BE"/>
    <w:rsid w:val="5BA27C7A"/>
    <w:rsid w:val="5BFF5545"/>
    <w:rsid w:val="5C196890"/>
    <w:rsid w:val="5C252DE8"/>
    <w:rsid w:val="5C286DC2"/>
    <w:rsid w:val="5C7831E5"/>
    <w:rsid w:val="5C815861"/>
    <w:rsid w:val="5CB32FF0"/>
    <w:rsid w:val="5D0C052C"/>
    <w:rsid w:val="5D0F0E05"/>
    <w:rsid w:val="5D3C1E46"/>
    <w:rsid w:val="5D4E3D26"/>
    <w:rsid w:val="5DA05EA9"/>
    <w:rsid w:val="5DA37CE3"/>
    <w:rsid w:val="5DA50CEB"/>
    <w:rsid w:val="5DDA1C85"/>
    <w:rsid w:val="5DFF067B"/>
    <w:rsid w:val="5E1E704D"/>
    <w:rsid w:val="5E3C6BDB"/>
    <w:rsid w:val="5E6862DD"/>
    <w:rsid w:val="5E7C6A91"/>
    <w:rsid w:val="5E9A56D2"/>
    <w:rsid w:val="5EEE6744"/>
    <w:rsid w:val="5F311296"/>
    <w:rsid w:val="5F83519B"/>
    <w:rsid w:val="5F8C32F3"/>
    <w:rsid w:val="5FBD42B7"/>
    <w:rsid w:val="5FC40D14"/>
    <w:rsid w:val="5FC62CC7"/>
    <w:rsid w:val="6025658A"/>
    <w:rsid w:val="602C6D89"/>
    <w:rsid w:val="602E3A69"/>
    <w:rsid w:val="60402A3A"/>
    <w:rsid w:val="60402CCC"/>
    <w:rsid w:val="60A45FDC"/>
    <w:rsid w:val="60C934AF"/>
    <w:rsid w:val="615F4CFF"/>
    <w:rsid w:val="6175192A"/>
    <w:rsid w:val="617B6B0B"/>
    <w:rsid w:val="61852A07"/>
    <w:rsid w:val="61CE0540"/>
    <w:rsid w:val="620B511D"/>
    <w:rsid w:val="6226462D"/>
    <w:rsid w:val="622C1EFA"/>
    <w:rsid w:val="623D7DDB"/>
    <w:rsid w:val="62601BB5"/>
    <w:rsid w:val="6264202B"/>
    <w:rsid w:val="628B44F8"/>
    <w:rsid w:val="62F25F74"/>
    <w:rsid w:val="62F37D78"/>
    <w:rsid w:val="62FA71AB"/>
    <w:rsid w:val="632223A6"/>
    <w:rsid w:val="633A25C2"/>
    <w:rsid w:val="63593BE4"/>
    <w:rsid w:val="63893D20"/>
    <w:rsid w:val="63947979"/>
    <w:rsid w:val="63AF158D"/>
    <w:rsid w:val="63C624A1"/>
    <w:rsid w:val="63C6796B"/>
    <w:rsid w:val="63E62383"/>
    <w:rsid w:val="6404699E"/>
    <w:rsid w:val="648411F8"/>
    <w:rsid w:val="6499209A"/>
    <w:rsid w:val="64A1332F"/>
    <w:rsid w:val="64A8120E"/>
    <w:rsid w:val="64B17D0B"/>
    <w:rsid w:val="64D61F7E"/>
    <w:rsid w:val="64E52A44"/>
    <w:rsid w:val="64FB7C17"/>
    <w:rsid w:val="65025FA5"/>
    <w:rsid w:val="6538073D"/>
    <w:rsid w:val="65947B38"/>
    <w:rsid w:val="65C87626"/>
    <w:rsid w:val="65CD1339"/>
    <w:rsid w:val="66183920"/>
    <w:rsid w:val="66217249"/>
    <w:rsid w:val="66663792"/>
    <w:rsid w:val="66782C30"/>
    <w:rsid w:val="669D203D"/>
    <w:rsid w:val="66A07185"/>
    <w:rsid w:val="671F7997"/>
    <w:rsid w:val="672E2133"/>
    <w:rsid w:val="67441C95"/>
    <w:rsid w:val="677411D9"/>
    <w:rsid w:val="678474DC"/>
    <w:rsid w:val="679535D5"/>
    <w:rsid w:val="67B34245"/>
    <w:rsid w:val="67FA2263"/>
    <w:rsid w:val="68444B6F"/>
    <w:rsid w:val="686552D9"/>
    <w:rsid w:val="686B660A"/>
    <w:rsid w:val="68826C2A"/>
    <w:rsid w:val="688F3D1F"/>
    <w:rsid w:val="691E06B4"/>
    <w:rsid w:val="693D049E"/>
    <w:rsid w:val="697B7840"/>
    <w:rsid w:val="699921FD"/>
    <w:rsid w:val="6A1A75AB"/>
    <w:rsid w:val="6A672E6D"/>
    <w:rsid w:val="6A7E4015"/>
    <w:rsid w:val="6AAC67D1"/>
    <w:rsid w:val="6AB430FE"/>
    <w:rsid w:val="6AED7599"/>
    <w:rsid w:val="6B0D3E7D"/>
    <w:rsid w:val="6B150804"/>
    <w:rsid w:val="6B197ACE"/>
    <w:rsid w:val="6B2A11A1"/>
    <w:rsid w:val="6B33590B"/>
    <w:rsid w:val="6B7111C2"/>
    <w:rsid w:val="6B8058A9"/>
    <w:rsid w:val="6BB716DE"/>
    <w:rsid w:val="6BBF4A1A"/>
    <w:rsid w:val="6BE04BE9"/>
    <w:rsid w:val="6C7D1B65"/>
    <w:rsid w:val="6C826BC2"/>
    <w:rsid w:val="6CBB7DF2"/>
    <w:rsid w:val="6CFA1428"/>
    <w:rsid w:val="6D61775B"/>
    <w:rsid w:val="6D867913"/>
    <w:rsid w:val="6D9647CC"/>
    <w:rsid w:val="6DB50C23"/>
    <w:rsid w:val="6DC75C2A"/>
    <w:rsid w:val="6DFF0C65"/>
    <w:rsid w:val="6E86654C"/>
    <w:rsid w:val="6E922D07"/>
    <w:rsid w:val="6EA97F87"/>
    <w:rsid w:val="6EBE63EF"/>
    <w:rsid w:val="6F30643B"/>
    <w:rsid w:val="6F367B24"/>
    <w:rsid w:val="6F4042A1"/>
    <w:rsid w:val="708E0A1E"/>
    <w:rsid w:val="709D65CA"/>
    <w:rsid w:val="70D613B9"/>
    <w:rsid w:val="71112948"/>
    <w:rsid w:val="712E7B73"/>
    <w:rsid w:val="7135757B"/>
    <w:rsid w:val="71930FC6"/>
    <w:rsid w:val="72327F19"/>
    <w:rsid w:val="7248629C"/>
    <w:rsid w:val="725141C2"/>
    <w:rsid w:val="72A2792B"/>
    <w:rsid w:val="72B121AC"/>
    <w:rsid w:val="72DE4E0A"/>
    <w:rsid w:val="72F1D708"/>
    <w:rsid w:val="73102D80"/>
    <w:rsid w:val="735D0E9F"/>
    <w:rsid w:val="73724626"/>
    <w:rsid w:val="743B1F71"/>
    <w:rsid w:val="74446086"/>
    <w:rsid w:val="745861F2"/>
    <w:rsid w:val="746F7350"/>
    <w:rsid w:val="74D16B15"/>
    <w:rsid w:val="74F00F3B"/>
    <w:rsid w:val="74F306FC"/>
    <w:rsid w:val="750D1C8B"/>
    <w:rsid w:val="757E3A71"/>
    <w:rsid w:val="75860513"/>
    <w:rsid w:val="7586457C"/>
    <w:rsid w:val="758F27DE"/>
    <w:rsid w:val="75EF43D6"/>
    <w:rsid w:val="761F7042"/>
    <w:rsid w:val="768F062E"/>
    <w:rsid w:val="76F43D7E"/>
    <w:rsid w:val="77055676"/>
    <w:rsid w:val="77A00565"/>
    <w:rsid w:val="77A477EB"/>
    <w:rsid w:val="77A619F4"/>
    <w:rsid w:val="77CF3A97"/>
    <w:rsid w:val="780E15D3"/>
    <w:rsid w:val="78354B2D"/>
    <w:rsid w:val="786428B4"/>
    <w:rsid w:val="787E49B2"/>
    <w:rsid w:val="788C556A"/>
    <w:rsid w:val="7921574D"/>
    <w:rsid w:val="796F2040"/>
    <w:rsid w:val="79BC2BA0"/>
    <w:rsid w:val="79C7642A"/>
    <w:rsid w:val="7A945C2F"/>
    <w:rsid w:val="7ABB5829"/>
    <w:rsid w:val="7AC03E56"/>
    <w:rsid w:val="7ADE4CD8"/>
    <w:rsid w:val="7AE22823"/>
    <w:rsid w:val="7B03269E"/>
    <w:rsid w:val="7C140074"/>
    <w:rsid w:val="7CDC048D"/>
    <w:rsid w:val="7D076964"/>
    <w:rsid w:val="7D2FFA91"/>
    <w:rsid w:val="7D3361FA"/>
    <w:rsid w:val="7D51200F"/>
    <w:rsid w:val="7D7E6D2A"/>
    <w:rsid w:val="7DD33F44"/>
    <w:rsid w:val="7DF90DDB"/>
    <w:rsid w:val="7E3F359E"/>
    <w:rsid w:val="7E4036D9"/>
    <w:rsid w:val="7E4623E7"/>
    <w:rsid w:val="7E984AB2"/>
    <w:rsid w:val="7EC26550"/>
    <w:rsid w:val="7ECE6C76"/>
    <w:rsid w:val="7EDD39EF"/>
    <w:rsid w:val="7EE04F3D"/>
    <w:rsid w:val="7FC6755D"/>
    <w:rsid w:val="7FDC1842"/>
    <w:rsid w:val="7FE65C9A"/>
    <w:rsid w:val="7FEE6A16"/>
    <w:rsid w:val="93BEE247"/>
    <w:rsid w:val="F5E98D0A"/>
  </w:rsids>
  <m:mathPr>
    <m:mathFont m:val="Cambria Math"/>
    <m:brkBin m:val="before"/>
    <m:brkBinSub m:val="--"/>
    <m:smallFrac m:val="0"/>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next w:val="1"/>
    <w:qFormat/>
    <w:uiPriority w:val="0"/>
    <w:pPr>
      <w:jc w:val="both"/>
      <w:outlineLvl w:val="1"/>
    </w:pPr>
    <w:rPr>
      <w:rFonts w:ascii="Calibri" w:hAnsi="Calibri" w:eastAsia="宋体" w:cs="Times New Roman"/>
      <w:sz w:val="21"/>
      <w:szCs w:val="21"/>
      <w:lang w:val="en-US" w:eastAsia="zh-CN" w:bidi="ar-SA"/>
    </w:rPr>
  </w:style>
  <w:style w:type="character" w:default="1" w:styleId="13">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3">
    <w:name w:val="Document Map"/>
    <w:basedOn w:val="1"/>
    <w:semiHidden/>
    <w:qFormat/>
    <w:uiPriority w:val="0"/>
    <w:pPr>
      <w:shd w:val="clear" w:color="auto" w:fill="000080"/>
    </w:pPr>
  </w:style>
  <w:style w:type="paragraph" w:styleId="4">
    <w:name w:val="annotation text"/>
    <w:basedOn w:val="1"/>
    <w:link w:val="20"/>
    <w:qFormat/>
    <w:uiPriority w:val="0"/>
    <w:pPr>
      <w:jc w:val="left"/>
    </w:pPr>
  </w:style>
  <w:style w:type="paragraph" w:styleId="5">
    <w:name w:val="Balloon Text"/>
    <w:basedOn w:val="1"/>
    <w:semiHidden/>
    <w:qFormat/>
    <w:uiPriority w:val="0"/>
    <w:rPr>
      <w:sz w:val="18"/>
      <w:szCs w:val="18"/>
    </w:rPr>
  </w:style>
  <w:style w:type="paragraph" w:styleId="6">
    <w:name w:val="footer"/>
    <w:basedOn w:val="1"/>
    <w:link w:val="21"/>
    <w:qFormat/>
    <w:uiPriority w:val="99"/>
    <w:pPr>
      <w:tabs>
        <w:tab w:val="center" w:pos="4153"/>
        <w:tab w:val="right" w:pos="8306"/>
      </w:tabs>
      <w:snapToGrid w:val="0"/>
      <w:jc w:val="left"/>
    </w:pPr>
    <w:rPr>
      <w:sz w:val="18"/>
      <w:szCs w:val="18"/>
    </w:rPr>
  </w:style>
  <w:style w:type="paragraph" w:styleId="7">
    <w:name w:val="header"/>
    <w:basedOn w:val="1"/>
    <w:link w:val="22"/>
    <w:qFormat/>
    <w:uiPriority w:val="99"/>
    <w:pPr>
      <w:pBdr>
        <w:bottom w:val="single" w:color="auto" w:sz="6" w:space="1"/>
      </w:pBdr>
      <w:tabs>
        <w:tab w:val="center" w:pos="4153"/>
        <w:tab w:val="right" w:pos="8306"/>
      </w:tabs>
      <w:snapToGrid w:val="0"/>
      <w:jc w:val="center"/>
    </w:pPr>
    <w:rPr>
      <w:sz w:val="18"/>
      <w:szCs w:val="18"/>
    </w:rPr>
  </w:style>
  <w:style w:type="paragraph" w:styleId="8">
    <w:name w:val="toc 4"/>
    <w:basedOn w:val="1"/>
    <w:next w:val="1"/>
    <w:qFormat/>
    <w:uiPriority w:val="0"/>
    <w:pPr>
      <w:wordWrap w:val="0"/>
      <w:ind w:left="850"/>
    </w:pPr>
    <w:rPr>
      <w:rFonts w:ascii="Calibri" w:hAnsi="Calibri"/>
    </w:rPr>
  </w:style>
  <w:style w:type="paragraph" w:styleId="9">
    <w:name w:val="Normal (Web)"/>
    <w:basedOn w:val="1"/>
    <w:qFormat/>
    <w:uiPriority w:val="0"/>
    <w:pPr>
      <w:spacing w:before="100" w:beforeAutospacing="1" w:after="100" w:afterAutospacing="1"/>
      <w:jc w:val="left"/>
    </w:pPr>
    <w:rPr>
      <w:rFonts w:cs="Tunga"/>
      <w:kern w:val="0"/>
      <w:sz w:val="24"/>
      <w:lang w:bidi="kn-IN"/>
    </w:rPr>
  </w:style>
  <w:style w:type="paragraph" w:styleId="10">
    <w:name w:val="annotation subject"/>
    <w:basedOn w:val="4"/>
    <w:next w:val="4"/>
    <w:link w:val="23"/>
    <w:qFormat/>
    <w:uiPriority w:val="0"/>
    <w:rPr>
      <w:b/>
      <w:bCs/>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qFormat/>
    <w:uiPriority w:val="0"/>
    <w:rPr>
      <w:b/>
    </w:rPr>
  </w:style>
  <w:style w:type="character" w:styleId="15">
    <w:name w:val="page number"/>
    <w:basedOn w:val="13"/>
    <w:qFormat/>
    <w:uiPriority w:val="0"/>
  </w:style>
  <w:style w:type="character" w:styleId="16">
    <w:name w:val="FollowedHyperlink"/>
    <w:basedOn w:val="13"/>
    <w:qFormat/>
    <w:uiPriority w:val="0"/>
    <w:rPr>
      <w:color w:val="0066CC"/>
      <w:u w:val="none"/>
    </w:rPr>
  </w:style>
  <w:style w:type="character" w:styleId="17">
    <w:name w:val="Emphasis"/>
    <w:basedOn w:val="13"/>
    <w:qFormat/>
    <w:uiPriority w:val="0"/>
    <w:rPr>
      <w:color w:val="D00000"/>
      <w:u w:val="none"/>
    </w:rPr>
  </w:style>
  <w:style w:type="character" w:styleId="18">
    <w:name w:val="Hyperlink"/>
    <w:basedOn w:val="13"/>
    <w:qFormat/>
    <w:uiPriority w:val="0"/>
    <w:rPr>
      <w:color w:val="0066CC"/>
      <w:u w:val="none"/>
    </w:rPr>
  </w:style>
  <w:style w:type="character" w:styleId="19">
    <w:name w:val="annotation reference"/>
    <w:qFormat/>
    <w:uiPriority w:val="99"/>
    <w:rPr>
      <w:sz w:val="21"/>
      <w:szCs w:val="21"/>
    </w:rPr>
  </w:style>
  <w:style w:type="character" w:customStyle="1" w:styleId="20">
    <w:name w:val="批注文字 字符"/>
    <w:link w:val="4"/>
    <w:qFormat/>
    <w:uiPriority w:val="0"/>
    <w:rPr>
      <w:kern w:val="2"/>
      <w:sz w:val="21"/>
      <w:szCs w:val="24"/>
    </w:rPr>
  </w:style>
  <w:style w:type="character" w:customStyle="1" w:styleId="21">
    <w:name w:val="页脚 字符"/>
    <w:link w:val="6"/>
    <w:qFormat/>
    <w:uiPriority w:val="99"/>
    <w:rPr>
      <w:kern w:val="2"/>
      <w:sz w:val="18"/>
      <w:szCs w:val="18"/>
    </w:rPr>
  </w:style>
  <w:style w:type="character" w:customStyle="1" w:styleId="22">
    <w:name w:val="页眉 字符"/>
    <w:link w:val="7"/>
    <w:qFormat/>
    <w:uiPriority w:val="99"/>
    <w:rPr>
      <w:kern w:val="2"/>
      <w:sz w:val="18"/>
      <w:szCs w:val="18"/>
    </w:rPr>
  </w:style>
  <w:style w:type="character" w:customStyle="1" w:styleId="23">
    <w:name w:val="批注主题 字符"/>
    <w:link w:val="10"/>
    <w:qFormat/>
    <w:uiPriority w:val="0"/>
    <w:rPr>
      <w:b/>
      <w:bCs/>
      <w:kern w:val="2"/>
      <w:sz w:val="21"/>
      <w:szCs w:val="24"/>
    </w:rPr>
  </w:style>
  <w:style w:type="character" w:customStyle="1" w:styleId="24">
    <w:name w:val="description"/>
    <w:basedOn w:val="13"/>
    <w:qFormat/>
    <w:uiPriority w:val="0"/>
  </w:style>
  <w:style w:type="paragraph" w:styleId="25">
    <w:name w:val="List Paragraph"/>
    <w:basedOn w:val="1"/>
    <w:qFormat/>
    <w:uiPriority w:val="34"/>
    <w:pPr>
      <w:ind w:firstLine="420" w:firstLineChars="200"/>
    </w:pPr>
  </w:style>
  <w:style w:type="paragraph" w:customStyle="1" w:styleId="26">
    <w:name w:val="_Style 24"/>
    <w:unhideWhenUsed/>
    <w:qFormat/>
    <w:uiPriority w:val="99"/>
    <w:rPr>
      <w:rFonts w:ascii="Times New Roman" w:hAnsi="Times New Roman" w:eastAsia="宋体" w:cs="Times New Roman"/>
      <w:kern w:val="2"/>
      <w:sz w:val="21"/>
      <w:szCs w:val="24"/>
      <w:lang w:val="en-US" w:eastAsia="zh-CN" w:bidi="ar-SA"/>
    </w:rPr>
  </w:style>
  <w:style w:type="paragraph" w:customStyle="1" w:styleId="27">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character" w:customStyle="1" w:styleId="28">
    <w:name w:val="first-child"/>
    <w:basedOn w:val="13"/>
    <w:qFormat/>
    <w:uiPriority w:val="0"/>
  </w:style>
  <w:style w:type="character" w:customStyle="1" w:styleId="29">
    <w:name w:val="done"/>
    <w:basedOn w:val="13"/>
    <w:qFormat/>
    <w:uiPriority w:val="0"/>
    <w:rPr>
      <w:color w:val="DDDDDD"/>
    </w:rPr>
  </w:style>
  <w:style w:type="character" w:customStyle="1" w:styleId="30">
    <w:name w:val="done1"/>
    <w:basedOn w:val="13"/>
    <w:qFormat/>
    <w:uiPriority w:val="0"/>
    <w:rPr>
      <w:color w:val="DDDDDD"/>
    </w:rPr>
  </w:style>
  <w:style w:type="character" w:customStyle="1" w:styleId="31">
    <w:name w:val="hover21"/>
    <w:basedOn w:val="13"/>
    <w:qFormat/>
    <w:uiPriority w:val="0"/>
    <w:rPr>
      <w:color w:val="4F6EF2"/>
    </w:rPr>
  </w:style>
  <w:style w:type="character" w:customStyle="1" w:styleId="32">
    <w:name w:val="hover22"/>
    <w:basedOn w:val="13"/>
    <w:qFormat/>
    <w:uiPriority w:val="0"/>
    <w:rPr>
      <w:color w:val="4F6EF2"/>
    </w:rPr>
  </w:style>
  <w:style w:type="character" w:customStyle="1" w:styleId="33">
    <w:name w:val="footer_close"/>
    <w:basedOn w:val="13"/>
    <w:qFormat/>
    <w:uiPriority w:val="0"/>
    <w:rPr>
      <w:sz w:val="10"/>
      <w:szCs w:val="10"/>
    </w:rPr>
  </w:style>
  <w:style w:type="character" w:customStyle="1" w:styleId="34">
    <w:name w:val="wenku-get-icon"/>
    <w:basedOn w:val="13"/>
    <w:qFormat/>
    <w:uiPriority w:val="0"/>
    <w:rPr>
      <w:vanish/>
      <w:color w:val="0066CC"/>
      <w:spacing w:val="0"/>
      <w:sz w:val="12"/>
      <w:szCs w:val="12"/>
    </w:rPr>
  </w:style>
  <w:style w:type="character" w:customStyle="1" w:styleId="35">
    <w:name w:val="common_page_set_text"/>
    <w:basedOn w:val="13"/>
    <w:qFormat/>
    <w:uiPriority w:val="0"/>
  </w:style>
  <w:style w:type="character" w:customStyle="1" w:styleId="36">
    <w:name w:val="bg"/>
    <w:basedOn w:val="13"/>
    <w:qFormat/>
    <w:uiPriority w:val="0"/>
  </w:style>
  <w:style w:type="character" w:customStyle="1" w:styleId="37">
    <w:name w:val="common_page_set_select"/>
    <w:basedOn w:val="13"/>
    <w:qFormat/>
    <w:uiPriority w:val="0"/>
    <w:rPr>
      <w:bdr w:val="single" w:color="E8E8E8" w:sz="4" w:space="0"/>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Xtzj.Com</Company>
  <Pages>11</Pages>
  <Words>4807</Words>
  <Characters>4950</Characters>
  <Lines>35</Lines>
  <Paragraphs>10</Paragraphs>
  <TotalTime>51</TotalTime>
  <ScaleCrop>false</ScaleCrop>
  <LinksUpToDate>false</LinksUpToDate>
  <CharactersWithSpaces>4982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2023-11-03T05:23:00Z</dcterms:created>
  <dc:creator>Xtzj.User</dc:creator>
  <cp:lastModifiedBy>方丽</cp:lastModifiedBy>
  <cp:lastPrinted>2021-11-24T00:19:00Z</cp:lastPrinted>
  <dcterms:modified xsi:type="dcterms:W3CDTF">2023-12-04T01:53:30Z</dcterms:modified>
  <dc:title>（局发文式样）</dc:title>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056FF545892D48C48213C2F9AE82C448</vt:lpwstr>
  </property>
</Properties>
</file>