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E2A" w:rsidRDefault="00D4578C">
      <w:pPr>
        <w:spacing w:line="520" w:lineRule="exact"/>
        <w:jc w:val="left"/>
        <w:rPr>
          <w:rFonts w:ascii="Times New Roman" w:eastAsia="黑体" w:hAnsi="Times New Roman" w:cs="Times New Roman"/>
          <w:bCs/>
          <w:kern w:val="0"/>
          <w:sz w:val="32"/>
          <w:szCs w:val="32"/>
        </w:rPr>
      </w:pPr>
      <w:r w:rsidRPr="000F26F4">
        <w:rPr>
          <w:rFonts w:ascii="Times New Roman" w:eastAsia="黑体" w:hAnsi="Times New Roman" w:cs="Times New Roman"/>
          <w:bCs/>
          <w:kern w:val="0"/>
          <w:sz w:val="32"/>
          <w:szCs w:val="32"/>
        </w:rPr>
        <w:t>附件</w:t>
      </w:r>
      <w:r w:rsidRPr="000F26F4">
        <w:rPr>
          <w:rFonts w:ascii="Times New Roman" w:eastAsia="黑体" w:hAnsi="Times New Roman" w:cs="Times New Roman"/>
          <w:bCs/>
          <w:kern w:val="0"/>
          <w:sz w:val="32"/>
          <w:szCs w:val="32"/>
        </w:rPr>
        <w:t>1</w:t>
      </w:r>
    </w:p>
    <w:p w:rsidR="00312B94" w:rsidRPr="00CE3852" w:rsidRDefault="00312B94">
      <w:pPr>
        <w:spacing w:line="520" w:lineRule="exact"/>
        <w:jc w:val="left"/>
        <w:rPr>
          <w:rFonts w:ascii="Times New Roman" w:eastAsia="黑体" w:hAnsi="Times New Roman" w:cs="Times New Roman"/>
          <w:bCs/>
          <w:kern w:val="0"/>
          <w:sz w:val="32"/>
          <w:szCs w:val="32"/>
        </w:rPr>
      </w:pPr>
    </w:p>
    <w:p w:rsidR="00145319" w:rsidRPr="00F36A13" w:rsidRDefault="00D4578C" w:rsidP="00F36A13">
      <w:pPr>
        <w:spacing w:line="520" w:lineRule="exact"/>
        <w:jc w:val="center"/>
        <w:rPr>
          <w:rFonts w:ascii="Times New Roman" w:eastAsia="方正小标宋简体" w:hAnsi="Times New Roman" w:cs="Times New Roman"/>
          <w:bCs/>
          <w:spacing w:val="-8"/>
          <w:kern w:val="0"/>
          <w:sz w:val="44"/>
          <w:szCs w:val="44"/>
        </w:rPr>
      </w:pPr>
      <w:r w:rsidRPr="00F36A13">
        <w:rPr>
          <w:rFonts w:ascii="Times New Roman" w:eastAsia="方正小标宋简体" w:hAnsi="Times New Roman" w:cs="Times New Roman"/>
          <w:bCs/>
          <w:spacing w:val="-8"/>
          <w:kern w:val="0"/>
          <w:sz w:val="44"/>
          <w:szCs w:val="44"/>
        </w:rPr>
        <w:t>基于高通量测序技术的非小细胞肺癌相关基因变异检测试剂临床试验注册审查指导原则</w:t>
      </w:r>
    </w:p>
    <w:p w:rsidR="00145319" w:rsidRPr="00F36A13" w:rsidRDefault="00145319">
      <w:pPr>
        <w:spacing w:line="520" w:lineRule="exact"/>
        <w:ind w:firstLineChars="200" w:firstLine="640"/>
        <w:jc w:val="center"/>
        <w:rPr>
          <w:rFonts w:ascii="Times New Roman" w:eastAsia="黑体" w:hAnsi="Times New Roman" w:cs="Times New Roman"/>
          <w:sz w:val="32"/>
          <w:szCs w:val="32"/>
        </w:rPr>
      </w:pP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本指导原则旨在指导注册申请人对基于高通量测序技术的非小细胞肺癌相关基因变异检测试剂临床试验的设计及开展，同时也为技术审评部门对注册申报资料的技术审评提供参考。</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本指导原则是针对基于高通量测序</w:t>
      </w:r>
      <w:r w:rsidRPr="00A71EF5">
        <w:rPr>
          <w:rFonts w:ascii="Times New Roman" w:eastAsia="仿宋_GB2312" w:hAnsi="Times New Roman" w:cs="Times New Roman"/>
          <w:sz w:val="32"/>
          <w:szCs w:val="32"/>
        </w:rPr>
        <w:t>(Next Generation Sequencing, NGS)</w:t>
      </w:r>
      <w:r w:rsidRPr="00A71EF5">
        <w:rPr>
          <w:rFonts w:ascii="Times New Roman" w:eastAsia="仿宋_GB2312" w:hAnsi="Times New Roman" w:cs="Times New Roman"/>
          <w:sz w:val="32"/>
          <w:szCs w:val="32"/>
        </w:rPr>
        <w:t>技术的非小细胞肺癌</w:t>
      </w:r>
      <w:r w:rsidRPr="00A71EF5">
        <w:rPr>
          <w:rFonts w:ascii="Times New Roman" w:eastAsia="仿宋_GB2312" w:hAnsi="Times New Roman" w:cs="Times New Roman"/>
          <w:sz w:val="32"/>
          <w:szCs w:val="32"/>
        </w:rPr>
        <w:t>(non-small cell lung cancer</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相关基因变异检测试剂临床评价的一般要求，申请人应依据产品的具体特性确定其中内容是否适用，若不适用，需具体阐述理由及相应的科学依据，并依据产品的具体特性对注册申报资料的内容进行充实和细化。</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本指导原则是在现行法规和标准体系以及当前认知水平下制定的，随着法规和标准的不断完善，以及科学技术的不断发展，本指导原则相关内容也将适时进行调整。</w:t>
      </w:r>
    </w:p>
    <w:p w:rsidR="00145319" w:rsidRPr="00A71EF5" w:rsidRDefault="00D4578C">
      <w:pPr>
        <w:spacing w:line="520" w:lineRule="exact"/>
        <w:ind w:firstLineChars="200" w:firstLine="640"/>
        <w:contextualSpacing/>
        <w:rPr>
          <w:rFonts w:ascii="Times New Roman" w:eastAsia="黑体" w:hAnsi="Times New Roman" w:cs="Times New Roman"/>
          <w:sz w:val="32"/>
          <w:szCs w:val="32"/>
        </w:rPr>
      </w:pPr>
      <w:r w:rsidRPr="00A71EF5">
        <w:rPr>
          <w:rFonts w:ascii="Times New Roman" w:eastAsia="黑体" w:hAnsi="Times New Roman" w:cs="Times New Roman"/>
          <w:sz w:val="32"/>
          <w:szCs w:val="32"/>
        </w:rPr>
        <w:t>一、适用范围</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本指导原则所阐述的基于</w:t>
      </w:r>
      <w:r w:rsidRPr="00A71EF5">
        <w:rPr>
          <w:rFonts w:ascii="Times New Roman" w:eastAsia="仿宋_GB2312" w:hAnsi="Times New Roman" w:cs="Times New Roman"/>
          <w:sz w:val="32"/>
          <w:szCs w:val="32"/>
        </w:rPr>
        <w:t>NGS</w:t>
      </w:r>
      <w:r w:rsidRPr="00A71EF5">
        <w:rPr>
          <w:rFonts w:ascii="Times New Roman" w:eastAsia="仿宋_GB2312" w:hAnsi="Times New Roman" w:cs="Times New Roman"/>
          <w:sz w:val="32"/>
          <w:szCs w:val="32"/>
        </w:rPr>
        <w:t>技术的</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基因变异检</w:t>
      </w:r>
      <w:r w:rsidRPr="00A71EF5">
        <w:rPr>
          <w:rFonts w:ascii="Times New Roman" w:eastAsia="仿宋_GB2312" w:hAnsi="Times New Roman" w:cs="Times New Roman"/>
          <w:sz w:val="32"/>
          <w:szCs w:val="32"/>
        </w:rPr>
        <w:lastRenderedPageBreak/>
        <w:t>测试剂，是指采用</w:t>
      </w:r>
      <w:r w:rsidRPr="00A71EF5">
        <w:rPr>
          <w:rFonts w:ascii="Times New Roman" w:eastAsia="仿宋_GB2312" w:hAnsi="Times New Roman" w:cs="Times New Roman"/>
          <w:sz w:val="32"/>
          <w:szCs w:val="32"/>
        </w:rPr>
        <w:t>NGS</w:t>
      </w:r>
      <w:r w:rsidRPr="00A71EF5">
        <w:rPr>
          <w:rFonts w:ascii="Times New Roman" w:eastAsia="仿宋_GB2312" w:hAnsi="Times New Roman" w:cs="Times New Roman"/>
          <w:sz w:val="32"/>
          <w:szCs w:val="32"/>
        </w:rPr>
        <w:t>技术检测</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患者</w:t>
      </w:r>
      <w:r w:rsidRPr="00A71EF5">
        <w:rPr>
          <w:rFonts w:ascii="Times New Roman" w:eastAsia="仿宋_GB2312" w:hAnsi="Times New Roman" w:cs="Times New Roman"/>
          <w:sz w:val="32"/>
          <w:szCs w:val="32"/>
        </w:rPr>
        <w:t>10%</w:t>
      </w:r>
      <w:r w:rsidRPr="00A71EF5">
        <w:rPr>
          <w:rFonts w:ascii="Times New Roman" w:eastAsia="仿宋_GB2312" w:hAnsi="Times New Roman" w:cs="Times New Roman"/>
          <w:sz w:val="32"/>
          <w:szCs w:val="32"/>
        </w:rPr>
        <w:t>中性缓冲福尔马林固定石蜡包埋（</w:t>
      </w:r>
      <w:r w:rsidRPr="00A71EF5">
        <w:rPr>
          <w:rFonts w:ascii="Times New Roman" w:eastAsia="仿宋_GB2312" w:hAnsi="Times New Roman" w:cs="Times New Roman"/>
          <w:sz w:val="32"/>
          <w:szCs w:val="32"/>
        </w:rPr>
        <w:t>FFPE</w:t>
      </w:r>
      <w:r w:rsidRPr="00A71EF5">
        <w:rPr>
          <w:rFonts w:ascii="Times New Roman" w:eastAsia="仿宋_GB2312" w:hAnsi="Times New Roman" w:cs="Times New Roman"/>
          <w:sz w:val="32"/>
          <w:szCs w:val="32"/>
        </w:rPr>
        <w:t>）组织样本中的基因变异状态的体外诊断试剂（以下简称</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申报产品</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本指导原则适用于进行首次注册申报和变更注册的产品。</w:t>
      </w:r>
    </w:p>
    <w:p w:rsidR="00145319" w:rsidRPr="00A71EF5" w:rsidRDefault="00D4578C">
      <w:pPr>
        <w:spacing w:line="520" w:lineRule="exact"/>
        <w:ind w:firstLineChars="200" w:firstLine="640"/>
        <w:contextualSpacing/>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有关此类产品的背景信息参见附件。</w:t>
      </w:r>
    </w:p>
    <w:p w:rsidR="00145319" w:rsidRPr="00A71EF5" w:rsidRDefault="00D4578C">
      <w:pPr>
        <w:spacing w:line="520" w:lineRule="exact"/>
        <w:ind w:firstLineChars="200" w:firstLine="640"/>
        <w:contextualSpacing/>
        <w:rPr>
          <w:rFonts w:ascii="Times New Roman" w:eastAsia="黑体" w:hAnsi="Times New Roman" w:cs="Times New Roman"/>
          <w:sz w:val="32"/>
          <w:szCs w:val="32"/>
        </w:rPr>
      </w:pPr>
      <w:r w:rsidRPr="00A71EF5">
        <w:rPr>
          <w:rFonts w:ascii="Times New Roman" w:eastAsia="黑体" w:hAnsi="Times New Roman" w:cs="Times New Roman"/>
          <w:sz w:val="32"/>
          <w:szCs w:val="32"/>
        </w:rPr>
        <w:t>二、临床试验设计</w:t>
      </w:r>
    </w:p>
    <w:p w:rsidR="00145319" w:rsidRPr="0094762A" w:rsidRDefault="00D4578C">
      <w:pPr>
        <w:spacing w:line="520" w:lineRule="exact"/>
        <w:ind w:firstLineChars="200" w:firstLine="640"/>
        <w:rPr>
          <w:rFonts w:ascii="楷体_GB2312" w:eastAsia="楷体_GB2312" w:hAnsi="Times New Roman" w:cs="Times New Roman"/>
          <w:sz w:val="32"/>
          <w:szCs w:val="32"/>
        </w:rPr>
      </w:pPr>
      <w:r w:rsidRPr="0094762A">
        <w:rPr>
          <w:rFonts w:ascii="楷体_GB2312" w:eastAsia="楷体_GB2312" w:hAnsi="Times New Roman" w:cs="Times New Roman" w:hint="eastAsia"/>
          <w:sz w:val="32"/>
          <w:szCs w:val="32"/>
        </w:rPr>
        <w:t>（一）临床性能研究</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1.</w:t>
      </w:r>
      <w:r w:rsidRPr="00A71EF5">
        <w:rPr>
          <w:rFonts w:ascii="Times New Roman" w:eastAsia="仿宋_GB2312" w:hAnsi="Times New Roman" w:cs="Times New Roman"/>
          <w:sz w:val="32"/>
          <w:szCs w:val="32"/>
        </w:rPr>
        <w:t>临床试验机构及人员</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申请人应选择不少于</w:t>
      </w:r>
      <w:r w:rsidRPr="00A71EF5">
        <w:rPr>
          <w:rFonts w:ascii="Times New Roman" w:eastAsia="仿宋_GB2312" w:hAnsi="Times New Roman" w:cs="Times New Roman"/>
          <w:sz w:val="32"/>
          <w:szCs w:val="32"/>
        </w:rPr>
        <w:t>3</w:t>
      </w:r>
      <w:r w:rsidRPr="00A71EF5">
        <w:rPr>
          <w:rFonts w:ascii="Times New Roman" w:eastAsia="仿宋_GB2312" w:hAnsi="Times New Roman" w:cs="Times New Roman"/>
          <w:sz w:val="32"/>
          <w:szCs w:val="32"/>
        </w:rPr>
        <w:t>家按要求备案的临床试验机构开展临床试验。临床试验机构应常规开展</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分子病理检测，具有病理诊断、分子生物学等检测的优势，试验操作人员应有足够的时间熟悉检测系统的各环节（仪器、试剂、质控及操作程序等），熟悉评价方案。临床试验整个过程均应处于有效的质量控制下，最大限度保证试验数据的准确性及可重复性。</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2.</w:t>
      </w:r>
      <w:r w:rsidRPr="00A71EF5">
        <w:rPr>
          <w:rFonts w:ascii="Times New Roman" w:eastAsia="仿宋_GB2312" w:hAnsi="Times New Roman" w:cs="Times New Roman"/>
          <w:sz w:val="32"/>
          <w:szCs w:val="32"/>
        </w:rPr>
        <w:t>临床试验适用人群和样本类型</w:t>
      </w:r>
    </w:p>
    <w:p w:rsidR="00145319" w:rsidRPr="00A71EF5" w:rsidRDefault="00D4578C">
      <w:pPr>
        <w:spacing w:line="520" w:lineRule="exact"/>
        <w:ind w:firstLineChars="200" w:firstLine="640"/>
        <w:rPr>
          <w:rFonts w:ascii="Times New Roman" w:eastAsia="仿宋_GB2312" w:hAnsi="Times New Roman" w:cs="Times New Roman"/>
          <w:strike/>
          <w:sz w:val="32"/>
          <w:szCs w:val="32"/>
        </w:rPr>
      </w:pPr>
      <w:r w:rsidRPr="00A71EF5">
        <w:rPr>
          <w:rFonts w:ascii="Times New Roman" w:eastAsia="仿宋_GB2312" w:hAnsi="Times New Roman" w:cs="Times New Roman"/>
          <w:sz w:val="32"/>
          <w:szCs w:val="32"/>
        </w:rPr>
        <w:t>适用人群为经病理诊断为</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的人群。应注意纳入</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不同分期的病例，同时应纳入不同的组织分型（包括腺癌、鳞癌、腺鳞癌以及大细胞癌等）。阳性样本应包括不同突变率的样本。</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临床试验所用的样本类型应为</w:t>
      </w:r>
      <w:r w:rsidRPr="00A71EF5">
        <w:rPr>
          <w:rFonts w:ascii="Times New Roman" w:eastAsia="仿宋_GB2312" w:hAnsi="Times New Roman" w:cs="Times New Roman"/>
          <w:sz w:val="32"/>
          <w:szCs w:val="32"/>
        </w:rPr>
        <w:t>FFPE</w:t>
      </w:r>
      <w:r w:rsidRPr="00A71EF5">
        <w:rPr>
          <w:rFonts w:ascii="Times New Roman" w:eastAsia="仿宋_GB2312" w:hAnsi="Times New Roman" w:cs="Times New Roman"/>
          <w:sz w:val="32"/>
          <w:szCs w:val="32"/>
        </w:rPr>
        <w:t>样本。如对于穿刺标本及手术标本均适用，则临床试验中对于两种标本均应纳入。临床样本的处理、保存和核酸提取等应分别满足申报产品说明书及对比试剂说明书的相关要求。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3.</w:t>
      </w:r>
      <w:r w:rsidRPr="00A71EF5">
        <w:rPr>
          <w:rFonts w:ascii="Times New Roman" w:eastAsia="仿宋_GB2312" w:hAnsi="Times New Roman" w:cs="Times New Roman"/>
          <w:sz w:val="32"/>
          <w:szCs w:val="32"/>
        </w:rPr>
        <w:t>对比方法的选择</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可选择实验室参考方法或已上市同类产品作为对比方法。</w:t>
      </w:r>
      <w:r w:rsidRPr="00A71EF5">
        <w:rPr>
          <w:rFonts w:ascii="Times New Roman" w:eastAsia="仿宋_GB2312" w:hAnsi="Times New Roman" w:cs="Times New Roman"/>
          <w:sz w:val="32"/>
          <w:szCs w:val="32"/>
        </w:rPr>
        <w:lastRenderedPageBreak/>
        <w:t>参考方法的检测可在临床试验机构完成也可委托具有资质的第三方机构完成。对比方法的选择应从预期用途、样本要求、检测性能、检测范围、所检突变是否可以分型等方面，确认其与申报产品具有较好的可比性。也可以采用多种对比方法来分别进行对比。</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4.</w:t>
      </w:r>
      <w:r w:rsidRPr="00A71EF5">
        <w:rPr>
          <w:rFonts w:ascii="Times New Roman" w:eastAsia="仿宋_GB2312" w:hAnsi="Times New Roman" w:cs="Times New Roman"/>
          <w:sz w:val="32"/>
          <w:szCs w:val="32"/>
        </w:rPr>
        <w:t>最低样本量</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临床试验样本量应采用适当的统计学方法进行估算，并详细描述所使用统计方法及各参数的确定依据。此部分临床试验目的为评估两种检测方法之间的一致性，因此建议采用单组目标值法进行最低样本量的估算。通过阳性符合率和阴性符合率来分别计算所需阳性样本和阴性样本的例数，应针对每个基因分别进行样本量的估算。</w:t>
      </w:r>
    </w:p>
    <w:p w:rsidR="00145319" w:rsidRPr="00A71EF5" w:rsidRDefault="00D4578C">
      <w:pPr>
        <w:pStyle w:val="4"/>
        <w:wordWrap/>
        <w:spacing w:line="520" w:lineRule="exact"/>
        <w:ind w:left="0" w:firstLineChars="200" w:firstLine="640"/>
        <w:rPr>
          <w:rFonts w:ascii="Times New Roman" w:eastAsia="仿宋_GB2312" w:hAnsi="Times New Roman"/>
          <w:sz w:val="32"/>
          <w:szCs w:val="32"/>
        </w:rPr>
      </w:pPr>
      <w:r w:rsidRPr="00A71EF5">
        <w:rPr>
          <w:rFonts w:ascii="Times New Roman" w:eastAsia="仿宋_GB2312" w:hAnsi="Times New Roman"/>
          <w:sz w:val="32"/>
          <w:szCs w:val="32"/>
        </w:rPr>
        <w:t>阴、阳性符合率的临床可接受标准（</w:t>
      </w:r>
      <w:r w:rsidRPr="00A71EF5">
        <w:rPr>
          <w:rFonts w:ascii="Times New Roman" w:eastAsia="仿宋_GB2312" w:hAnsi="Times New Roman"/>
          <w:sz w:val="32"/>
          <w:szCs w:val="32"/>
        </w:rPr>
        <w:t>P</w:t>
      </w:r>
      <w:r w:rsidRPr="00A71EF5">
        <w:rPr>
          <w:rFonts w:ascii="Times New Roman" w:eastAsia="仿宋_GB2312" w:hAnsi="Times New Roman"/>
          <w:sz w:val="32"/>
          <w:szCs w:val="32"/>
          <w:vertAlign w:val="subscript"/>
        </w:rPr>
        <w:t>0</w:t>
      </w:r>
      <w:r w:rsidRPr="00A71EF5">
        <w:rPr>
          <w:rFonts w:ascii="Times New Roman" w:eastAsia="仿宋_GB2312" w:hAnsi="Times New Roman"/>
          <w:sz w:val="32"/>
          <w:szCs w:val="32"/>
        </w:rPr>
        <w:t>）建议不低于</w:t>
      </w:r>
      <w:r w:rsidRPr="00A71EF5">
        <w:rPr>
          <w:rFonts w:ascii="Times New Roman" w:eastAsia="仿宋_GB2312" w:hAnsi="Times New Roman"/>
          <w:sz w:val="32"/>
          <w:szCs w:val="32"/>
        </w:rPr>
        <w:t>90%</w:t>
      </w:r>
      <w:r w:rsidRPr="00A71EF5">
        <w:rPr>
          <w:rFonts w:ascii="Times New Roman" w:eastAsia="仿宋_GB2312" w:hAnsi="Times New Roman"/>
          <w:sz w:val="32"/>
          <w:szCs w:val="32"/>
        </w:rPr>
        <w:t>。</w:t>
      </w:r>
    </w:p>
    <w:p w:rsidR="00145319" w:rsidRPr="00A71EF5" w:rsidRDefault="00145319">
      <w:pPr>
        <w:spacing w:line="520" w:lineRule="exact"/>
        <w:ind w:firstLineChars="200" w:firstLine="640"/>
        <w:jc w:val="right"/>
        <w:rPr>
          <w:rFonts w:ascii="Times New Roman" w:eastAsia="仿宋_GB2312" w:hAnsi="Times New Roman" w:cs="Times New Roman"/>
          <w:sz w:val="32"/>
          <w:szCs w:val="32"/>
        </w:rPr>
      </w:pPr>
    </w:p>
    <w:p w:rsidR="00145319" w:rsidRPr="00A71EF5" w:rsidRDefault="00145319">
      <w:pPr>
        <w:spacing w:line="520" w:lineRule="exact"/>
        <w:ind w:right="640"/>
        <w:rPr>
          <w:rFonts w:ascii="Times New Roman" w:eastAsia="仿宋_GB2312" w:hAnsi="Times New Roman" w:cs="Times New Roman"/>
          <w:sz w:val="32"/>
          <w:szCs w:val="32"/>
        </w:rPr>
      </w:pPr>
    </w:p>
    <w:p w:rsidR="00145319" w:rsidRPr="00A71EF5" w:rsidRDefault="00D4578C">
      <w:pPr>
        <w:spacing w:line="520" w:lineRule="exact"/>
        <w:ind w:firstLineChars="200" w:firstLine="420"/>
        <w:rPr>
          <w:rFonts w:ascii="Times New Roman" w:eastAsia="仿宋_GB2312" w:hAnsi="Times New Roman" w:cs="Times New Roman"/>
          <w:sz w:val="32"/>
          <w:szCs w:val="32"/>
        </w:rPr>
      </w:pPr>
      <w:r w:rsidRPr="00A71EF5">
        <w:rPr>
          <w:rFonts w:ascii="Times New Roman" w:eastAsia="仿宋_GB2312" w:hAnsi="Times New Roman" w:cs="Times New Roman"/>
          <w:noProof/>
        </w:rPr>
        <w:drawing>
          <wp:anchor distT="0" distB="0" distL="114300" distR="114300" simplePos="0" relativeHeight="251660288" behindDoc="0" locked="0" layoutInCell="1" allowOverlap="1">
            <wp:simplePos x="0" y="0"/>
            <wp:positionH relativeFrom="column">
              <wp:posOffset>266700</wp:posOffset>
            </wp:positionH>
            <wp:positionV relativeFrom="paragraph">
              <wp:posOffset>-508000</wp:posOffset>
            </wp:positionV>
            <wp:extent cx="3486150" cy="790575"/>
            <wp:effectExtent l="0" t="0" r="0" b="0"/>
            <wp:wrapSquare wrapText="bothSides"/>
            <wp:docPr id="7" name="图片 8"/>
            <wp:cNvGraphicFramePr/>
            <a:graphic xmlns:a="http://schemas.openxmlformats.org/drawingml/2006/main">
              <a:graphicData uri="http://schemas.openxmlformats.org/drawingml/2006/picture">
                <pic:pic xmlns:pic="http://schemas.openxmlformats.org/drawingml/2006/picture">
                  <pic:nvPicPr>
                    <pic:cNvPr id="7" name="图片 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公式中，</w:t>
      </w:r>
      <w:r w:rsidRPr="00A71EF5">
        <w:rPr>
          <w:rFonts w:ascii="Times New Roman" w:eastAsia="仿宋_GB2312" w:hAnsi="Times New Roman" w:cs="Times New Roman"/>
          <w:sz w:val="32"/>
          <w:szCs w:val="32"/>
        </w:rPr>
        <w:t>n</w:t>
      </w:r>
      <w:r w:rsidRPr="00A71EF5">
        <w:rPr>
          <w:rFonts w:ascii="Times New Roman" w:eastAsia="仿宋_GB2312" w:hAnsi="Times New Roman" w:cs="Times New Roman"/>
          <w:sz w:val="32"/>
          <w:szCs w:val="32"/>
        </w:rPr>
        <w:t>为样本量；</w:t>
      </w:r>
      <w:r w:rsidRPr="00A71EF5">
        <w:rPr>
          <w:rFonts w:ascii="Times New Roman" w:eastAsia="仿宋_GB2312" w:hAnsi="Times New Roman" w:cs="Times New Roman"/>
          <w:sz w:val="32"/>
          <w:szCs w:val="32"/>
        </w:rPr>
        <w:t>Z</w:t>
      </w:r>
      <w:r w:rsidRPr="00A71EF5">
        <w:rPr>
          <w:rFonts w:ascii="Times New Roman" w:eastAsia="仿宋_GB2312" w:hAnsi="Times New Roman" w:cs="Times New Roman"/>
          <w:sz w:val="32"/>
          <w:szCs w:val="32"/>
          <w:vertAlign w:val="subscript"/>
        </w:rPr>
        <w:t>1-α/2</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Z</w:t>
      </w:r>
      <w:r w:rsidRPr="00A71EF5">
        <w:rPr>
          <w:rFonts w:ascii="Times New Roman" w:eastAsia="仿宋_GB2312" w:hAnsi="Times New Roman" w:cs="Times New Roman"/>
          <w:sz w:val="32"/>
          <w:szCs w:val="32"/>
          <w:vertAlign w:val="subscript"/>
        </w:rPr>
        <w:t>1-β</w:t>
      </w:r>
      <w:r w:rsidRPr="00A71EF5">
        <w:rPr>
          <w:rFonts w:ascii="Times New Roman" w:eastAsia="仿宋_GB2312" w:hAnsi="Times New Roman" w:cs="Times New Roman"/>
          <w:sz w:val="32"/>
          <w:szCs w:val="32"/>
        </w:rPr>
        <w:t>为显著性水平和把握度的标准正态分布的分数位，</w:t>
      </w:r>
      <w:r w:rsidRPr="00A71EF5">
        <w:rPr>
          <w:rFonts w:ascii="Times New Roman" w:eastAsia="仿宋_GB2312" w:hAnsi="Times New Roman" w:cs="Times New Roman"/>
          <w:sz w:val="32"/>
          <w:szCs w:val="32"/>
        </w:rPr>
        <w:t>P</w:t>
      </w:r>
      <w:r w:rsidRPr="00A71EF5">
        <w:rPr>
          <w:rFonts w:ascii="Times New Roman" w:eastAsia="仿宋_GB2312" w:hAnsi="Times New Roman" w:cs="Times New Roman"/>
          <w:sz w:val="32"/>
          <w:szCs w:val="32"/>
          <w:vertAlign w:val="subscript"/>
        </w:rPr>
        <w:t>0</w:t>
      </w:r>
      <w:r w:rsidRPr="00A71EF5">
        <w:rPr>
          <w:rFonts w:ascii="Times New Roman" w:eastAsia="仿宋_GB2312" w:hAnsi="Times New Roman" w:cs="Times New Roman"/>
          <w:sz w:val="32"/>
          <w:szCs w:val="32"/>
        </w:rPr>
        <w:t>为评价指标的临床可接受标准，</w:t>
      </w:r>
      <w:r w:rsidRPr="00A71EF5">
        <w:rPr>
          <w:rFonts w:ascii="Times New Roman" w:eastAsia="仿宋_GB2312" w:hAnsi="Times New Roman" w:cs="Times New Roman"/>
          <w:sz w:val="32"/>
          <w:szCs w:val="32"/>
        </w:rPr>
        <w:t>P</w:t>
      </w:r>
      <w:r w:rsidRPr="00A71EF5">
        <w:rPr>
          <w:rFonts w:ascii="Times New Roman" w:eastAsia="仿宋_GB2312" w:hAnsi="Times New Roman" w:cs="Times New Roman"/>
          <w:sz w:val="32"/>
          <w:szCs w:val="32"/>
          <w:vertAlign w:val="subscript"/>
        </w:rPr>
        <w:t>T</w:t>
      </w:r>
      <w:r w:rsidRPr="00A71EF5">
        <w:rPr>
          <w:rFonts w:ascii="Times New Roman" w:eastAsia="仿宋_GB2312" w:hAnsi="Times New Roman" w:cs="Times New Roman"/>
          <w:sz w:val="32"/>
          <w:szCs w:val="32"/>
        </w:rPr>
        <w:t>为申报产品评价指标预期值。</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应对申报产品所声称的每个基因的各种突变均进行验证，且每种突变类型均应具有一定例数。对于临床发生率较低的突变，可结合申报产品的检测原理（如是否共用相同的引物及捕获探针等）及申报产品的整体检测性能等综合考虑。对于融合和插入</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缺失，应覆盖常见的变异亚型。</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临床试验总样本量确定时应在上述阴、阳性样本最低样本</w:t>
      </w:r>
      <w:r w:rsidRPr="00A71EF5">
        <w:rPr>
          <w:rFonts w:ascii="Times New Roman" w:eastAsia="仿宋_GB2312" w:hAnsi="Times New Roman" w:cs="Times New Roman"/>
          <w:sz w:val="32"/>
          <w:szCs w:val="32"/>
        </w:rPr>
        <w:lastRenderedPageBreak/>
        <w:t>量估算的基础上，同时考虑其他可能造成受试者脱落的情况以及申报产品所覆盖的突变位点，根据实际情况适当增加入组样本量。</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5.</w:t>
      </w:r>
      <w:r w:rsidRPr="00A71EF5">
        <w:rPr>
          <w:rFonts w:ascii="Times New Roman" w:eastAsia="仿宋_GB2312" w:hAnsi="Times New Roman" w:cs="Times New Roman"/>
          <w:sz w:val="32"/>
          <w:szCs w:val="32"/>
        </w:rPr>
        <w:t>统计分析</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首先应针对所入组人群进行人口学分析，包括性别、年龄、治疗状态、组织分型、分期、样本类型（穿刺标本或手术标本）、肿瘤细胞含量、覆盖所有基因亚组等方面进行分析，还应分析临床试验中所纳入的阳性判断值附近的样本情况。</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以四格表分别总结申报产品与对比方法的定性检测结果，计算阳性符合率、阴性符合率及相应的</w:t>
      </w:r>
      <w:r w:rsidRPr="00A71EF5">
        <w:rPr>
          <w:rFonts w:ascii="Times New Roman" w:eastAsia="仿宋_GB2312" w:hAnsi="Times New Roman" w:cs="Times New Roman"/>
          <w:sz w:val="32"/>
          <w:szCs w:val="32"/>
        </w:rPr>
        <w:t>95%</w:t>
      </w:r>
      <w:r w:rsidRPr="00A71EF5">
        <w:rPr>
          <w:rFonts w:ascii="Times New Roman" w:eastAsia="仿宋_GB2312" w:hAnsi="Times New Roman" w:cs="Times New Roman"/>
          <w:sz w:val="32"/>
          <w:szCs w:val="32"/>
        </w:rPr>
        <w:t>置信区间。除总体统计外，还要针对每个基因、每种突变进行统计分析，以验证申报产品与对比方法检测结果的一致性。</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对于融合和插入</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缺失，应分别统计每种融合或插入</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缺失亚型的例数，常见的变异亚型应有一定例数。</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同时应针对存在混合突变的样本单独进行统计分析。</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针对两种方法检测不一致样本，应采用合理的方法进行确认，对不一致的原因综合进行分析。</w:t>
      </w:r>
    </w:p>
    <w:p w:rsidR="00145319" w:rsidRPr="0094762A" w:rsidRDefault="00D4578C">
      <w:pPr>
        <w:spacing w:line="520" w:lineRule="exact"/>
        <w:ind w:firstLineChars="200" w:firstLine="640"/>
        <w:rPr>
          <w:rFonts w:ascii="楷体_GB2312" w:eastAsia="楷体_GB2312" w:hAnsi="Times New Roman" w:cs="Times New Roman"/>
          <w:sz w:val="32"/>
          <w:szCs w:val="32"/>
        </w:rPr>
      </w:pPr>
      <w:r w:rsidRPr="0094762A">
        <w:rPr>
          <w:rFonts w:ascii="楷体_GB2312" w:eastAsia="楷体_GB2312" w:hAnsi="Times New Roman" w:cs="Times New Roman" w:hint="eastAsia"/>
          <w:sz w:val="32"/>
          <w:szCs w:val="32"/>
        </w:rPr>
        <w:t>（二）临床意义的确认</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1.</w:t>
      </w:r>
      <w:r w:rsidRPr="00A71EF5">
        <w:rPr>
          <w:rFonts w:ascii="Times New Roman" w:eastAsia="仿宋_GB2312" w:hAnsi="Times New Roman" w:cs="Times New Roman"/>
          <w:sz w:val="32"/>
          <w:szCs w:val="32"/>
        </w:rPr>
        <w:t>具有明确伴随诊断意义的基因变异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针对具有明确伴随诊断意义的基因变异，如</w:t>
      </w:r>
      <w:r w:rsidRPr="00A71EF5">
        <w:rPr>
          <w:rFonts w:ascii="Times New Roman" w:eastAsia="仿宋_GB2312" w:hAnsi="Times New Roman" w:cs="Times New Roman"/>
          <w:sz w:val="32"/>
          <w:szCs w:val="32"/>
        </w:rPr>
        <w:t xml:space="preserve">EGFR </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19del</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L858R</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T790M</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ALK</w:t>
      </w:r>
      <w:r w:rsidRPr="00A71EF5">
        <w:rPr>
          <w:rFonts w:ascii="Times New Roman" w:eastAsia="仿宋_GB2312" w:hAnsi="Times New Roman" w:cs="Times New Roman"/>
          <w:sz w:val="32"/>
          <w:szCs w:val="32"/>
        </w:rPr>
        <w:t>融合、</w:t>
      </w:r>
      <w:r w:rsidRPr="00A71EF5">
        <w:rPr>
          <w:rFonts w:ascii="Times New Roman" w:eastAsia="仿宋_GB2312" w:hAnsi="Times New Roman" w:cs="Times New Roman"/>
          <w:sz w:val="32"/>
          <w:szCs w:val="32"/>
        </w:rPr>
        <w:t>ROS1</w:t>
      </w:r>
      <w:r w:rsidRPr="00A71EF5">
        <w:rPr>
          <w:rFonts w:ascii="Times New Roman" w:eastAsia="仿宋_GB2312" w:hAnsi="Times New Roman" w:cs="Times New Roman"/>
          <w:sz w:val="32"/>
          <w:szCs w:val="32"/>
        </w:rPr>
        <w:t>融合、</w:t>
      </w:r>
      <w:r w:rsidRPr="00A71EF5">
        <w:rPr>
          <w:rFonts w:ascii="Times New Roman" w:eastAsia="仿宋_GB2312" w:hAnsi="Times New Roman" w:cs="Times New Roman"/>
          <w:sz w:val="32"/>
          <w:szCs w:val="32"/>
        </w:rPr>
        <w:t>MET 14</w:t>
      </w:r>
      <w:r w:rsidRPr="00A71EF5">
        <w:rPr>
          <w:rFonts w:ascii="Times New Roman" w:eastAsia="仿宋_GB2312" w:hAnsi="Times New Roman" w:cs="Times New Roman"/>
          <w:sz w:val="32"/>
          <w:szCs w:val="32"/>
        </w:rPr>
        <w:t>外显子跳跃突变、</w:t>
      </w:r>
      <w:r w:rsidRPr="00A71EF5">
        <w:rPr>
          <w:rFonts w:ascii="Times New Roman" w:eastAsia="仿宋_GB2312" w:hAnsi="Times New Roman" w:cs="Times New Roman"/>
          <w:sz w:val="32"/>
          <w:szCs w:val="32"/>
        </w:rPr>
        <w:t>RET</w:t>
      </w:r>
      <w:r w:rsidRPr="00A71EF5">
        <w:rPr>
          <w:rFonts w:ascii="Times New Roman" w:eastAsia="仿宋_GB2312" w:hAnsi="Times New Roman" w:cs="Times New Roman"/>
          <w:sz w:val="32"/>
          <w:szCs w:val="32"/>
        </w:rPr>
        <w:t>融合、</w:t>
      </w:r>
      <w:r w:rsidRPr="00A71EF5">
        <w:rPr>
          <w:rFonts w:ascii="Times New Roman" w:eastAsia="仿宋_GB2312" w:hAnsi="Times New Roman" w:cs="Times New Roman"/>
          <w:sz w:val="32"/>
          <w:szCs w:val="32"/>
        </w:rPr>
        <w:t>BRAF V600E</w:t>
      </w:r>
      <w:r w:rsidRPr="00A71EF5">
        <w:rPr>
          <w:rFonts w:ascii="Times New Roman" w:eastAsia="仿宋_GB2312" w:hAnsi="Times New Roman" w:cs="Times New Roman"/>
          <w:sz w:val="32"/>
          <w:szCs w:val="32"/>
        </w:rPr>
        <w:t>等，应参考伴随诊断相关指导原则提供伴随诊断临床证据。申请人应关注国内相关靶点的抗肿瘤药物的批准情况，针对国内已有相关抗肿瘤药物上市的基因变异靶点，应提供伴随诊断临床证据。</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lastRenderedPageBreak/>
        <w:t xml:space="preserve">1.1 </w:t>
      </w:r>
      <w:r w:rsidRPr="00A71EF5">
        <w:rPr>
          <w:rFonts w:ascii="Times New Roman" w:eastAsia="仿宋_GB2312" w:hAnsi="Times New Roman" w:cs="Times New Roman"/>
          <w:sz w:val="32"/>
          <w:szCs w:val="32"/>
        </w:rPr>
        <w:t>一致性比对</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针对</w:t>
      </w:r>
      <w:r w:rsidRPr="00A71EF5">
        <w:rPr>
          <w:rFonts w:ascii="Times New Roman" w:eastAsia="仿宋_GB2312" w:hAnsi="Times New Roman" w:cs="Times New Roman"/>
          <w:sz w:val="32"/>
          <w:szCs w:val="32"/>
        </w:rPr>
        <w:t>EGFR</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ALK</w:t>
      </w:r>
      <w:r w:rsidRPr="00A71EF5">
        <w:rPr>
          <w:rFonts w:ascii="Times New Roman" w:eastAsia="仿宋_GB2312" w:hAnsi="Times New Roman" w:cs="Times New Roman"/>
          <w:sz w:val="32"/>
          <w:szCs w:val="32"/>
        </w:rPr>
        <w:t>融合、</w:t>
      </w:r>
      <w:r w:rsidRPr="00A71EF5">
        <w:rPr>
          <w:rFonts w:ascii="Times New Roman" w:eastAsia="仿宋_GB2312" w:hAnsi="Times New Roman" w:cs="Times New Roman"/>
          <w:sz w:val="32"/>
          <w:szCs w:val="32"/>
        </w:rPr>
        <w:t>ROS1</w:t>
      </w:r>
      <w:r w:rsidRPr="00A71EF5">
        <w:rPr>
          <w:rFonts w:ascii="Times New Roman" w:eastAsia="仿宋_GB2312" w:hAnsi="Times New Roman" w:cs="Times New Roman"/>
          <w:sz w:val="32"/>
          <w:szCs w:val="32"/>
        </w:rPr>
        <w:t>融合、</w:t>
      </w:r>
      <w:r w:rsidRPr="00A71EF5">
        <w:rPr>
          <w:rFonts w:ascii="Times New Roman" w:eastAsia="仿宋_GB2312" w:hAnsi="Times New Roman" w:cs="Times New Roman"/>
          <w:sz w:val="32"/>
          <w:szCs w:val="32"/>
        </w:rPr>
        <w:t>BRAF V600E</w:t>
      </w:r>
      <w:r w:rsidRPr="00A71EF5">
        <w:rPr>
          <w:rFonts w:ascii="Times New Roman" w:eastAsia="仿宋_GB2312" w:hAnsi="Times New Roman" w:cs="Times New Roman"/>
          <w:sz w:val="32"/>
          <w:szCs w:val="32"/>
        </w:rPr>
        <w:t>，如申报产品为针对已上市的抗肿瘤药物所开发的非原研伴随诊断试剂，则可按照相关指导原则的要求，采用与原研伴随诊断试剂进行一致性比对的方式开展临床试验，也可采用指导原则中的其他评价路径。</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1.1.1</w:t>
      </w:r>
      <w:r w:rsidRPr="00A71EF5">
        <w:rPr>
          <w:rFonts w:ascii="Times New Roman" w:eastAsia="仿宋_GB2312" w:hAnsi="Times New Roman" w:cs="Times New Roman"/>
          <w:sz w:val="32"/>
          <w:szCs w:val="32"/>
        </w:rPr>
        <w:t>临床试验机构的数量</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针对此部分临床研究，申请人应选择不少于</w:t>
      </w:r>
      <w:r w:rsidRPr="00A71EF5">
        <w:rPr>
          <w:rFonts w:ascii="Times New Roman" w:eastAsia="仿宋_GB2312" w:hAnsi="Times New Roman" w:cs="Times New Roman"/>
          <w:sz w:val="32"/>
          <w:szCs w:val="32"/>
        </w:rPr>
        <w:t>3</w:t>
      </w:r>
      <w:r w:rsidRPr="00A71EF5">
        <w:rPr>
          <w:rFonts w:ascii="Times New Roman" w:eastAsia="仿宋_GB2312" w:hAnsi="Times New Roman" w:cs="Times New Roman"/>
          <w:sz w:val="32"/>
          <w:szCs w:val="32"/>
        </w:rPr>
        <w:t>家按要求备案的临床试验机构开展临床试验。</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1.1.2</w:t>
      </w:r>
      <w:r w:rsidRPr="00A71EF5">
        <w:rPr>
          <w:rFonts w:ascii="Times New Roman" w:eastAsia="仿宋_GB2312" w:hAnsi="Times New Roman" w:cs="Times New Roman"/>
          <w:sz w:val="32"/>
          <w:szCs w:val="32"/>
        </w:rPr>
        <w:t>对比方法的选择</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应选用申报产品所声称伴随的抗肿瘤药物的原研伴随诊断试剂作为对比试剂。应注意，申报产品所声称的基因变异位点应与原研伴随诊断试剂具有一致性，超出原研伴随诊断试剂检测范围的突变位点不可作为指导用药的依据或提供伴随诊断意义的临床证据。</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申报产品用于指导用药的灵敏度应与原研伴随诊断试剂相当，根据原研伴随诊断试剂的灵敏度水平设置相应的阳性判断值，以保证两者具有较好的一致性。</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1.1.3</w:t>
      </w:r>
      <w:r w:rsidRPr="00A71EF5">
        <w:rPr>
          <w:rFonts w:ascii="Times New Roman" w:eastAsia="仿宋_GB2312" w:hAnsi="Times New Roman" w:cs="Times New Roman"/>
          <w:sz w:val="32"/>
          <w:szCs w:val="32"/>
        </w:rPr>
        <w:t>入组人群</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此部分临床研究的目的在于评价申报产品的伴随诊断的预期用途，因此所入组人群应以申报产品所声称的伴随的抗肿瘤药物的适应证人群为主。如药物的适应证人群临床上较少，客观上无法实现，则临床试验中也应包含一部分药物的适应证人群。</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 xml:space="preserve">1.1.4 </w:t>
      </w:r>
      <w:r w:rsidRPr="00A71EF5">
        <w:rPr>
          <w:rFonts w:ascii="Times New Roman" w:eastAsia="仿宋_GB2312" w:hAnsi="Times New Roman" w:cs="Times New Roman"/>
          <w:sz w:val="32"/>
          <w:szCs w:val="32"/>
        </w:rPr>
        <w:t>样本量要求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lastRenderedPageBreak/>
        <w:t>样本量的估算方法与上述临床性能评价中的样本量估算方法相同，根据与原研伴随诊断试剂的一致性水平设置合理的最低可接受标准。如原研伴随诊断试剂同时能够满足对申报产品临床性能的评价，则此部分研究可与第一部分临床性能的评价进行合并，但应注意入组人群的差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如采用与原研伴随诊断试剂的外部等效性研究进行伴随诊断用途的验证，应采用合理的统计学模型进行样本量的估算，样本量应能够满足申报产品和原研伴随诊断试剂检测结果之间的符合率非劣效于两次原研伴随诊断试剂检测结果之间的符合率的要求。应注意在统计分析过程中非劣效性界值的确定应能够满足临床需求，并提供非劣效界值的确定依据。</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此部分研究中应根据适应证人群中的基因突变率纳入临床常见的变异类型。</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 xml:space="preserve">1.1.5 </w:t>
      </w:r>
      <w:r w:rsidRPr="00A71EF5">
        <w:rPr>
          <w:rFonts w:ascii="Times New Roman" w:eastAsia="仿宋_GB2312" w:hAnsi="Times New Roman" w:cs="Times New Roman"/>
          <w:sz w:val="32"/>
          <w:szCs w:val="32"/>
        </w:rPr>
        <w:t>统计分析</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此部分研究的目的在于评价申报产品与原研伴随诊断试剂在适应证人群中筛选人群的一致性，因此除了应按照不同突变（如</w:t>
      </w:r>
      <w:r w:rsidRPr="00A71EF5">
        <w:rPr>
          <w:rFonts w:ascii="Times New Roman" w:eastAsia="仿宋_GB2312" w:hAnsi="Times New Roman" w:cs="Times New Roman"/>
          <w:sz w:val="32"/>
          <w:szCs w:val="32"/>
        </w:rPr>
        <w:t>EGFR 19del</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L858R</w:t>
      </w:r>
      <w:r w:rsidRPr="00A71EF5">
        <w:rPr>
          <w:rFonts w:ascii="Times New Roman" w:eastAsia="仿宋_GB2312" w:hAnsi="Times New Roman" w:cs="Times New Roman"/>
          <w:sz w:val="32"/>
          <w:szCs w:val="32"/>
        </w:rPr>
        <w:t>）进行统计分析外，还应对申报产品与原研伴随诊断试剂对用于筛选人群的生物标志物的不同突变汇总统计（</w:t>
      </w:r>
      <w:r w:rsidRPr="00A71EF5">
        <w:rPr>
          <w:rFonts w:ascii="Times New Roman" w:eastAsia="仿宋_GB2312" w:hAnsi="Times New Roman" w:cs="Times New Roman"/>
          <w:sz w:val="32"/>
          <w:szCs w:val="32"/>
        </w:rPr>
        <w:t>EGFR 19del+L858R</w:t>
      </w:r>
      <w:r w:rsidRPr="00A71EF5">
        <w:rPr>
          <w:rFonts w:ascii="Times New Roman" w:eastAsia="仿宋_GB2312" w:hAnsi="Times New Roman" w:cs="Times New Roman"/>
          <w:sz w:val="32"/>
          <w:szCs w:val="32"/>
        </w:rPr>
        <w:t>）。</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如伴随诊断用途的验证采用与原研伴随诊断试剂进行比较的外部等效性研究的评价方法，应采用特定的统计学方法进行统计分析，即：评价同时与原研伴随诊断试剂的第一次检测结果相比，申报产品和原研伴随诊断试剂的第二次检测结果的阳性符合率的差值和阴性符合率的差值的</w:t>
      </w:r>
      <w:r w:rsidRPr="00A71EF5">
        <w:rPr>
          <w:rFonts w:ascii="Times New Roman" w:eastAsia="仿宋_GB2312" w:hAnsi="Times New Roman" w:cs="Times New Roman"/>
          <w:sz w:val="32"/>
          <w:szCs w:val="32"/>
        </w:rPr>
        <w:t>95%</w:t>
      </w:r>
      <w:r w:rsidRPr="00A71EF5">
        <w:rPr>
          <w:rFonts w:ascii="Times New Roman" w:eastAsia="仿宋_GB2312" w:hAnsi="Times New Roman" w:cs="Times New Roman"/>
          <w:sz w:val="32"/>
          <w:szCs w:val="32"/>
        </w:rPr>
        <w:t>置信区间上限是否小于预先设定的非劣效界值。</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lastRenderedPageBreak/>
        <w:t xml:space="preserve">1.2 </w:t>
      </w:r>
      <w:r w:rsidRPr="00A71EF5">
        <w:rPr>
          <w:rFonts w:ascii="Times New Roman" w:eastAsia="仿宋_GB2312" w:hAnsi="Times New Roman" w:cs="Times New Roman"/>
          <w:sz w:val="32"/>
          <w:szCs w:val="32"/>
        </w:rPr>
        <w:t>桥接试验及药物疗效观察性研究</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对于</w:t>
      </w:r>
      <w:r w:rsidRPr="00A71EF5">
        <w:rPr>
          <w:rFonts w:ascii="Times New Roman" w:eastAsia="仿宋_GB2312" w:hAnsi="Times New Roman" w:cs="Times New Roman"/>
          <w:sz w:val="32"/>
          <w:szCs w:val="32"/>
        </w:rPr>
        <w:t>MET 14</w:t>
      </w:r>
      <w:r w:rsidRPr="00A71EF5">
        <w:rPr>
          <w:rFonts w:ascii="Times New Roman" w:eastAsia="仿宋_GB2312" w:hAnsi="Times New Roman" w:cs="Times New Roman"/>
          <w:sz w:val="32"/>
          <w:szCs w:val="32"/>
        </w:rPr>
        <w:t>外显子跳跃突变、</w:t>
      </w:r>
      <w:r w:rsidRPr="00A71EF5">
        <w:rPr>
          <w:rFonts w:ascii="Times New Roman" w:eastAsia="仿宋_GB2312" w:hAnsi="Times New Roman" w:cs="Times New Roman"/>
          <w:sz w:val="32"/>
          <w:szCs w:val="32"/>
        </w:rPr>
        <w:t>RET</w:t>
      </w:r>
      <w:r w:rsidRPr="00A71EF5">
        <w:rPr>
          <w:rFonts w:ascii="Times New Roman" w:eastAsia="仿宋_GB2312" w:hAnsi="Times New Roman" w:cs="Times New Roman"/>
          <w:sz w:val="32"/>
          <w:szCs w:val="32"/>
        </w:rPr>
        <w:t>融合等目前国内已有相应的抗肿瘤药物上市的基因变异，按照伴随诊断相关指导原则的要求，目前尚不能进行一致性比对的路径提供伴随证据，可选择桥接试验或药物疗效观察性研究的路径进行伴随诊断意义的验证。</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 xml:space="preserve">1.3 </w:t>
      </w:r>
      <w:r w:rsidRPr="00A71EF5">
        <w:rPr>
          <w:rFonts w:ascii="Times New Roman" w:eastAsia="仿宋_GB2312" w:hAnsi="Times New Roman" w:cs="Times New Roman"/>
          <w:sz w:val="32"/>
          <w:szCs w:val="32"/>
        </w:rPr>
        <w:t>与抗肿瘤药物同步研发的伴随诊断试剂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如申报产品为与新开发的抗肿瘤药物同步研发的伴随诊断试剂，则可提供与药物同步开发的药物临床试验资料作为其伴随诊断证据。药物临床试验报告中应明确所使用的伴随诊断试剂为申报产品，并明确申报产品在药物临床试验中所起的作用以及与药物疗效的关系。</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2.</w:t>
      </w:r>
      <w:r w:rsidRPr="00A71EF5">
        <w:rPr>
          <w:rFonts w:ascii="Times New Roman" w:hAnsi="Times New Roman" w:cs="Times New Roman"/>
        </w:rPr>
        <w:t xml:space="preserve"> </w:t>
      </w:r>
      <w:r w:rsidRPr="00A71EF5">
        <w:rPr>
          <w:rFonts w:ascii="Times New Roman" w:eastAsia="仿宋_GB2312" w:hAnsi="Times New Roman" w:cs="Times New Roman"/>
          <w:sz w:val="32"/>
          <w:szCs w:val="32"/>
        </w:rPr>
        <w:t>具有临床意义的基因变异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基于</w:t>
      </w:r>
      <w:r w:rsidRPr="00A71EF5">
        <w:rPr>
          <w:rFonts w:ascii="Times New Roman" w:eastAsia="仿宋_GB2312" w:hAnsi="Times New Roman" w:cs="Times New Roman"/>
          <w:sz w:val="32"/>
          <w:szCs w:val="32"/>
        </w:rPr>
        <w:t>NGS</w:t>
      </w:r>
      <w:r w:rsidRPr="00A71EF5">
        <w:rPr>
          <w:rFonts w:ascii="Times New Roman" w:eastAsia="仿宋_GB2312" w:hAnsi="Times New Roman" w:cs="Times New Roman"/>
          <w:sz w:val="32"/>
          <w:szCs w:val="32"/>
        </w:rPr>
        <w:t>方法的检测能力及技术特点，对于尚不是伴随诊断的基因变异位点，但经临床诊疗指南公认为具有临床意义的基因变异亦可以纳入其检测范围。</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针对此类基因变异，对于有已上市同类产品的，无需提供其临床意义的证据。如尚无已上市同类产品的，申请人应提供针对</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患者的临床诊疗指南等临床公认的相关资料作为该类基因变异位点临床意义的支持性资料。</w:t>
      </w:r>
    </w:p>
    <w:p w:rsidR="00145319" w:rsidRPr="0094762A" w:rsidRDefault="00D4578C">
      <w:pPr>
        <w:spacing w:line="520" w:lineRule="exact"/>
        <w:ind w:firstLineChars="200" w:firstLine="640"/>
        <w:rPr>
          <w:rFonts w:ascii="楷体_GB2312" w:eastAsia="楷体_GB2312" w:hAnsi="Times New Roman" w:cs="Times New Roman"/>
          <w:sz w:val="32"/>
          <w:szCs w:val="32"/>
        </w:rPr>
      </w:pPr>
      <w:r w:rsidRPr="0094762A">
        <w:rPr>
          <w:rFonts w:ascii="楷体_GB2312" w:eastAsia="楷体_GB2312" w:hAnsi="Times New Roman" w:cs="Times New Roman" w:hint="eastAsia"/>
          <w:sz w:val="32"/>
          <w:szCs w:val="32"/>
        </w:rPr>
        <w:t>（三）通用要求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1.</w:t>
      </w:r>
      <w:r w:rsidRPr="00A71EF5">
        <w:rPr>
          <w:rFonts w:ascii="Times New Roman" w:eastAsia="仿宋_GB2312" w:hAnsi="Times New Roman" w:cs="Times New Roman"/>
          <w:sz w:val="32"/>
          <w:szCs w:val="32"/>
        </w:rPr>
        <w:t>临床试验方案</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临床试验实施前，研究人员应从流行病学、统计学、临床医学、检验医学等多方面考虑，设计科学合理的临床试验方案。各临床试验机构应执行同一临床试验方案，且保证在整个临床试</w:t>
      </w:r>
      <w:r w:rsidRPr="00A71EF5">
        <w:rPr>
          <w:rFonts w:ascii="Times New Roman" w:eastAsia="仿宋_GB2312" w:hAnsi="Times New Roman" w:cs="Times New Roman"/>
          <w:sz w:val="32"/>
          <w:szCs w:val="32"/>
        </w:rPr>
        <w:lastRenderedPageBreak/>
        <w:t>验过程中遵循预定的方案实施，不可随意改动。整个试验过程应在临床试验机构的实验室内并由本实验室的技术人员操作完成，申请人的技术人员除进行必要的技术指导外，不得随意干涉实验进程，尤其是数据收集过程。</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试验方案中应确定严格的病例纳入</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排除标准，任何已经入选的病例再被剔除出临床试验都应记录在案并明确说明原因。在试验操作过程中和判定试验结果时应采用盲法以保证试验结果的客观性。</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2.</w:t>
      </w:r>
      <w:r w:rsidRPr="00A71EF5">
        <w:rPr>
          <w:rFonts w:ascii="Times New Roman" w:eastAsia="仿宋_GB2312" w:hAnsi="Times New Roman" w:cs="Times New Roman"/>
          <w:sz w:val="32"/>
          <w:szCs w:val="32"/>
        </w:rPr>
        <w:t>质量控制</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临床试验开始前，建议进行临床试验方案的培训，以熟悉并掌握相关试验方法的操作、仪器、技术性能等，最大限度控制试验误差。整个试验过程都应处于有效的质量控制下，最大限度保证试验数据的准确性及可重复性。</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3.</w:t>
      </w:r>
      <w:r w:rsidRPr="00A71EF5">
        <w:rPr>
          <w:rFonts w:ascii="Times New Roman" w:eastAsia="仿宋_GB2312" w:hAnsi="Times New Roman" w:cs="Times New Roman"/>
          <w:sz w:val="32"/>
          <w:szCs w:val="32"/>
        </w:rPr>
        <w:t>临床试验报告</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应参考相关法规的要求。</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报告中应明确所配套使用的测序仪、生物信息数据分析软件、测序试剂等具体信息。</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数据汇总表中应提供唯一可溯源的样本编号、基本人口学信息（性别、年龄等）、临床诊断背景信息、肿瘤的组织分型、分期、组织样本肿瘤细胞占比、突变类型、突变频率、测序深度、覆盖该位点的整个测序深度的测序数据（</w:t>
      </w:r>
      <w:r w:rsidRPr="00A71EF5">
        <w:rPr>
          <w:rFonts w:ascii="Times New Roman" w:eastAsia="仿宋_GB2312" w:hAnsi="Times New Roman" w:cs="Times New Roman"/>
          <w:sz w:val="32"/>
          <w:szCs w:val="32"/>
        </w:rPr>
        <w:t>reads</w:t>
      </w:r>
      <w:r w:rsidRPr="00A71EF5">
        <w:rPr>
          <w:rFonts w:ascii="Times New Roman" w:eastAsia="仿宋_GB2312" w:hAnsi="Times New Roman" w:cs="Times New Roman"/>
          <w:sz w:val="32"/>
          <w:szCs w:val="32"/>
        </w:rPr>
        <w:t>数）、申报产品及</w:t>
      </w:r>
      <w:r w:rsidRPr="00A71EF5">
        <w:rPr>
          <w:rFonts w:ascii="Times New Roman" w:eastAsia="仿宋_GB2312" w:hAnsi="Times New Roman" w:cs="Times New Roman"/>
          <w:sz w:val="32"/>
          <w:szCs w:val="32"/>
        </w:rPr>
        <w:lastRenderedPageBreak/>
        <w:t>对比方法的检测结果等信息。</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委托第三方机构进行参考方法检测的，应提供临床试验机构委托第三方机构的委托协议。同时应提供参考方法的详细资料，如：方法原理、所需试剂及仪器、参考方法的性能验证、参考方法质控、典型的实验图谱及数据等。上述资料应由临床试验机构签章确认。</w:t>
      </w:r>
    </w:p>
    <w:p w:rsidR="00145319" w:rsidRPr="00A71EF5" w:rsidRDefault="00D4578C">
      <w:pPr>
        <w:spacing w:line="520" w:lineRule="exact"/>
        <w:ind w:firstLineChars="200" w:firstLine="640"/>
        <w:rPr>
          <w:rFonts w:ascii="Times New Roman" w:eastAsia="黑体" w:hAnsi="Times New Roman" w:cs="Times New Roman"/>
          <w:sz w:val="32"/>
          <w:szCs w:val="32"/>
        </w:rPr>
      </w:pPr>
      <w:r w:rsidRPr="00A71EF5">
        <w:rPr>
          <w:rFonts w:ascii="Times New Roman" w:eastAsia="黑体" w:hAnsi="Times New Roman" w:cs="Times New Roman"/>
          <w:sz w:val="32"/>
          <w:szCs w:val="32"/>
        </w:rPr>
        <w:t>三、参考文献</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[1] NCCN Clinical Practice Guidelines in Oncology (NCCN Guidelines®) Non-Small Cell Lung Cancer, Version 3.2023.</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[2]</w:t>
      </w:r>
      <w:r w:rsidRPr="00A71EF5">
        <w:rPr>
          <w:rFonts w:ascii="Times New Roman" w:eastAsia="仿宋_GB2312" w:hAnsi="Times New Roman" w:cs="Times New Roman"/>
          <w:sz w:val="32"/>
          <w:szCs w:val="32"/>
        </w:rPr>
        <w:t>中国临床肿瘤学会（</w:t>
      </w:r>
      <w:r w:rsidRPr="00A71EF5">
        <w:rPr>
          <w:rFonts w:ascii="Times New Roman" w:eastAsia="仿宋_GB2312" w:hAnsi="Times New Roman" w:cs="Times New Roman"/>
          <w:sz w:val="32"/>
          <w:szCs w:val="32"/>
        </w:rPr>
        <w:t>CSCO</w:t>
      </w:r>
      <w:r w:rsidRPr="00A71EF5">
        <w:rPr>
          <w:rFonts w:ascii="Times New Roman" w:eastAsia="仿宋_GB2312" w:hAnsi="Times New Roman" w:cs="Times New Roman"/>
          <w:sz w:val="32"/>
          <w:szCs w:val="32"/>
        </w:rPr>
        <w:t>）非小细胞肺癌诊疗指南</w:t>
      </w:r>
      <w:r w:rsidRPr="00A71EF5">
        <w:rPr>
          <w:rFonts w:ascii="Times New Roman" w:eastAsia="仿宋_GB2312" w:hAnsi="Times New Roman" w:cs="Times New Roman"/>
          <w:sz w:val="32"/>
          <w:szCs w:val="32"/>
        </w:rPr>
        <w:t xml:space="preserve"> 2023.</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[3]</w:t>
      </w:r>
      <w:r w:rsidRPr="00A71EF5">
        <w:rPr>
          <w:rFonts w:ascii="Times New Roman" w:eastAsia="仿宋_GB2312" w:hAnsi="Times New Roman" w:cs="Times New Roman"/>
          <w:sz w:val="32"/>
          <w:szCs w:val="32"/>
        </w:rPr>
        <w:t>中国临床肿瘤学会非小细胞肺癌专家委员会，二代测序技术在</w:t>
      </w:r>
      <w:r w:rsidRPr="00A71EF5">
        <w:rPr>
          <w:rFonts w:ascii="Times New Roman" w:eastAsia="仿宋_GB2312" w:hAnsi="Times New Roman" w:cs="Times New Roman"/>
          <w:sz w:val="32"/>
          <w:szCs w:val="32"/>
        </w:rPr>
        <w:t>NSCLC</w:t>
      </w:r>
      <w:r w:rsidRPr="00A71EF5">
        <w:rPr>
          <w:rFonts w:ascii="Times New Roman" w:eastAsia="仿宋_GB2312" w:hAnsi="Times New Roman" w:cs="Times New Roman"/>
          <w:sz w:val="32"/>
          <w:szCs w:val="32"/>
        </w:rPr>
        <w:t>中的临床应用中国专家共识（</w:t>
      </w:r>
      <w:r w:rsidRPr="00A71EF5">
        <w:rPr>
          <w:rFonts w:ascii="Times New Roman" w:eastAsia="仿宋_GB2312" w:hAnsi="Times New Roman" w:cs="Times New Roman"/>
          <w:sz w:val="32"/>
          <w:szCs w:val="32"/>
        </w:rPr>
        <w:t>2020</w:t>
      </w:r>
      <w:r w:rsidRPr="00A71EF5">
        <w:rPr>
          <w:rFonts w:ascii="Times New Roman" w:eastAsia="仿宋_GB2312" w:hAnsi="Times New Roman" w:cs="Times New Roman"/>
          <w:sz w:val="32"/>
          <w:szCs w:val="32"/>
        </w:rPr>
        <w:t>版）</w:t>
      </w:r>
      <w:r w:rsidRPr="00A71EF5">
        <w:rPr>
          <w:rFonts w:ascii="Times New Roman" w:eastAsia="仿宋_GB2312" w:hAnsi="Times New Roman" w:cs="Times New Roman"/>
          <w:sz w:val="32"/>
          <w:szCs w:val="32"/>
        </w:rPr>
        <w:t>[J].</w:t>
      </w:r>
      <w:r w:rsidRPr="00A71EF5">
        <w:rPr>
          <w:rFonts w:ascii="Times New Roman" w:eastAsia="仿宋_GB2312" w:hAnsi="Times New Roman" w:cs="Times New Roman"/>
          <w:sz w:val="32"/>
          <w:szCs w:val="32"/>
        </w:rPr>
        <w:t>中国肺癌杂志</w:t>
      </w:r>
      <w:r w:rsidRPr="00A71EF5">
        <w:rPr>
          <w:rFonts w:ascii="Times New Roman" w:eastAsia="仿宋_GB2312" w:hAnsi="Times New Roman" w:cs="Times New Roman"/>
          <w:sz w:val="32"/>
          <w:szCs w:val="32"/>
        </w:rPr>
        <w:t>,2020,23(9):741-761.</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[4]</w:t>
      </w:r>
      <w:r w:rsidRPr="00A71EF5">
        <w:rPr>
          <w:rFonts w:ascii="Times New Roman" w:eastAsia="仿宋_GB2312" w:hAnsi="Times New Roman" w:cs="Times New Roman"/>
          <w:sz w:val="32"/>
          <w:szCs w:val="32"/>
        </w:rPr>
        <w:t>中华医学会病理学分会等，非小细胞肺癌分子病理检测临床实践指南（</w:t>
      </w:r>
      <w:r w:rsidRPr="00A71EF5">
        <w:rPr>
          <w:rFonts w:ascii="Times New Roman" w:eastAsia="仿宋_GB2312" w:hAnsi="Times New Roman" w:cs="Times New Roman"/>
          <w:sz w:val="32"/>
          <w:szCs w:val="32"/>
        </w:rPr>
        <w:t>2021</w:t>
      </w:r>
      <w:r w:rsidRPr="00A71EF5">
        <w:rPr>
          <w:rFonts w:ascii="Times New Roman" w:eastAsia="仿宋_GB2312" w:hAnsi="Times New Roman" w:cs="Times New Roman"/>
          <w:sz w:val="32"/>
          <w:szCs w:val="32"/>
        </w:rPr>
        <w:t>版）</w:t>
      </w:r>
      <w:r w:rsidRPr="00A71EF5">
        <w:rPr>
          <w:rFonts w:ascii="Times New Roman" w:eastAsia="仿宋_GB2312" w:hAnsi="Times New Roman" w:cs="Times New Roman"/>
          <w:sz w:val="32"/>
          <w:szCs w:val="32"/>
        </w:rPr>
        <w:t>[J].</w:t>
      </w:r>
      <w:r w:rsidRPr="00A71EF5">
        <w:rPr>
          <w:rFonts w:ascii="Times New Roman" w:eastAsia="仿宋_GB2312" w:hAnsi="Times New Roman" w:cs="Times New Roman"/>
          <w:sz w:val="32"/>
          <w:szCs w:val="32"/>
        </w:rPr>
        <w:t>中华病理学杂志</w:t>
      </w:r>
      <w:r w:rsidRPr="00A71EF5">
        <w:rPr>
          <w:rFonts w:ascii="Times New Roman" w:eastAsia="仿宋_GB2312" w:hAnsi="Times New Roman" w:cs="Times New Roman"/>
          <w:sz w:val="32"/>
          <w:szCs w:val="32"/>
        </w:rPr>
        <w:t>,2021,50(4):323-332.</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[5]</w:t>
      </w:r>
      <w:r w:rsidRPr="00A71EF5">
        <w:rPr>
          <w:rFonts w:ascii="Times New Roman" w:eastAsia="仿宋_GB2312" w:hAnsi="Times New Roman" w:cs="Times New Roman"/>
          <w:sz w:val="32"/>
          <w:szCs w:val="32"/>
        </w:rPr>
        <w:t>国家药品监督管理局</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抗肿瘤药物的非原研伴随诊断试剂临床试验注册审查指导原则</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国家药监局通告</w:t>
      </w:r>
      <w:r w:rsidRPr="00A71EF5">
        <w:rPr>
          <w:rFonts w:ascii="Times New Roman" w:eastAsia="仿宋_GB2312" w:hAnsi="Times New Roman" w:cs="Times New Roman"/>
          <w:sz w:val="32"/>
          <w:szCs w:val="32"/>
        </w:rPr>
        <w:t>2021</w:t>
      </w:r>
      <w:r w:rsidRPr="00A71EF5">
        <w:rPr>
          <w:rFonts w:ascii="Times New Roman" w:eastAsia="仿宋_GB2312" w:hAnsi="Times New Roman" w:cs="Times New Roman"/>
          <w:sz w:val="32"/>
          <w:szCs w:val="32"/>
        </w:rPr>
        <w:t>年第</w:t>
      </w:r>
      <w:r w:rsidRPr="00A71EF5">
        <w:rPr>
          <w:rFonts w:ascii="Times New Roman" w:eastAsia="仿宋_GB2312" w:hAnsi="Times New Roman" w:cs="Times New Roman"/>
          <w:sz w:val="32"/>
          <w:szCs w:val="32"/>
        </w:rPr>
        <w:t>95</w:t>
      </w:r>
      <w:r w:rsidRPr="00A71EF5">
        <w:rPr>
          <w:rFonts w:ascii="Times New Roman" w:eastAsia="仿宋_GB2312" w:hAnsi="Times New Roman" w:cs="Times New Roman"/>
          <w:sz w:val="32"/>
          <w:szCs w:val="32"/>
        </w:rPr>
        <w:t>号</w:t>
      </w:r>
      <w:r w:rsidRPr="00A71EF5">
        <w:rPr>
          <w:rFonts w:ascii="Times New Roman" w:eastAsia="仿宋_GB2312" w:hAnsi="Times New Roman" w:cs="Times New Roman"/>
          <w:sz w:val="32"/>
          <w:szCs w:val="32"/>
        </w:rPr>
        <w:t>[Z].</w:t>
      </w:r>
    </w:p>
    <w:p w:rsidR="00145319" w:rsidRPr="00A71EF5" w:rsidRDefault="00D4578C">
      <w:pPr>
        <w:spacing w:line="520" w:lineRule="exact"/>
        <w:ind w:firstLineChars="200"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t>[6]</w:t>
      </w:r>
      <w:r w:rsidRPr="00A71EF5">
        <w:rPr>
          <w:rFonts w:ascii="Times New Roman" w:eastAsia="仿宋_GB2312" w:hAnsi="Times New Roman" w:cs="Times New Roman"/>
          <w:sz w:val="32"/>
          <w:szCs w:val="32"/>
        </w:rPr>
        <w:t>国家药品监督管理局医疗器械技术审评中心</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与抗肿瘤药物同步研发的原研伴随诊断试剂临床试验注册审查指导原则</w:t>
      </w:r>
      <w:r w:rsidRPr="00A71EF5">
        <w:rPr>
          <w:rFonts w:ascii="Times New Roman" w:eastAsia="仿宋_GB2312" w:hAnsi="Times New Roman" w:cs="Times New Roman"/>
          <w:sz w:val="32"/>
          <w:szCs w:val="32"/>
        </w:rPr>
        <w:t>:</w:t>
      </w:r>
      <w:r w:rsidRPr="00A71EF5">
        <w:rPr>
          <w:rFonts w:ascii="Times New Roman" w:eastAsia="仿宋_GB2312" w:hAnsi="Times New Roman" w:cs="Times New Roman"/>
          <w:sz w:val="32"/>
          <w:szCs w:val="32"/>
        </w:rPr>
        <w:t>国家药品监督管理局医疗器械技术审评中心</w:t>
      </w:r>
      <w:r w:rsidRPr="00A71EF5">
        <w:rPr>
          <w:rFonts w:ascii="Times New Roman" w:eastAsia="仿宋_GB2312" w:hAnsi="Times New Roman" w:cs="Times New Roman"/>
          <w:sz w:val="32"/>
          <w:szCs w:val="32"/>
        </w:rPr>
        <w:t>2022</w:t>
      </w:r>
      <w:r w:rsidRPr="00A71EF5">
        <w:rPr>
          <w:rFonts w:ascii="Times New Roman" w:eastAsia="仿宋_GB2312" w:hAnsi="Times New Roman" w:cs="Times New Roman"/>
          <w:sz w:val="32"/>
          <w:szCs w:val="32"/>
        </w:rPr>
        <w:t>年第</w:t>
      </w:r>
      <w:r w:rsidRPr="00A71EF5">
        <w:rPr>
          <w:rFonts w:ascii="Times New Roman" w:eastAsia="仿宋_GB2312" w:hAnsi="Times New Roman" w:cs="Times New Roman"/>
          <w:sz w:val="32"/>
          <w:szCs w:val="32"/>
        </w:rPr>
        <w:t>28</w:t>
      </w:r>
      <w:r w:rsidRPr="00A71EF5">
        <w:rPr>
          <w:rFonts w:ascii="Times New Roman" w:eastAsia="仿宋_GB2312" w:hAnsi="Times New Roman" w:cs="Times New Roman"/>
          <w:sz w:val="32"/>
          <w:szCs w:val="32"/>
        </w:rPr>
        <w:t>号</w:t>
      </w:r>
      <w:r w:rsidRPr="00A71EF5">
        <w:rPr>
          <w:rFonts w:ascii="Times New Roman" w:eastAsia="仿宋_GB2312" w:hAnsi="Times New Roman" w:cs="Times New Roman"/>
          <w:sz w:val="32"/>
          <w:szCs w:val="32"/>
        </w:rPr>
        <w:t>[Z].</w:t>
      </w:r>
    </w:p>
    <w:p w:rsidR="00145319" w:rsidRPr="00A71EF5" w:rsidRDefault="00D4578C">
      <w:pPr>
        <w:spacing w:line="520" w:lineRule="exact"/>
        <w:ind w:firstLine="640"/>
        <w:rPr>
          <w:rFonts w:ascii="Times New Roman" w:eastAsia="仿宋_GB2312" w:hAnsi="Times New Roman" w:cs="Times New Roman"/>
          <w:sz w:val="32"/>
          <w:szCs w:val="32"/>
        </w:rPr>
      </w:pPr>
      <w:r w:rsidRPr="00A71EF5">
        <w:rPr>
          <w:rFonts w:ascii="Times New Roman" w:eastAsia="仿宋_GB2312" w:hAnsi="Times New Roman" w:cs="Times New Roman"/>
          <w:sz w:val="32"/>
          <w:szCs w:val="32"/>
        </w:rPr>
        <w:br w:type="page"/>
      </w:r>
    </w:p>
    <w:p w:rsidR="00145319" w:rsidRDefault="00D4578C">
      <w:pPr>
        <w:spacing w:line="520" w:lineRule="exact"/>
        <w:contextualSpacing/>
        <w:rPr>
          <w:rFonts w:ascii="黑体" w:eastAsia="黑体" w:hAnsi="黑体" w:cs="Times New Roman"/>
          <w:sz w:val="32"/>
          <w:szCs w:val="32"/>
        </w:rPr>
      </w:pPr>
      <w:r w:rsidRPr="004929F5">
        <w:rPr>
          <w:rFonts w:ascii="黑体" w:eastAsia="黑体" w:hAnsi="黑体" w:cs="Times New Roman"/>
          <w:sz w:val="32"/>
          <w:szCs w:val="32"/>
        </w:rPr>
        <w:lastRenderedPageBreak/>
        <w:t>附件</w:t>
      </w:r>
    </w:p>
    <w:p w:rsidR="001D6120" w:rsidRPr="001D6120" w:rsidRDefault="001D6120">
      <w:pPr>
        <w:spacing w:line="520" w:lineRule="exact"/>
        <w:contextualSpacing/>
        <w:rPr>
          <w:rFonts w:ascii="黑体" w:eastAsia="黑体" w:hAnsi="黑体" w:cs="Times New Roman"/>
          <w:sz w:val="32"/>
          <w:szCs w:val="32"/>
        </w:rPr>
      </w:pPr>
    </w:p>
    <w:p w:rsidR="00D63708" w:rsidRDefault="00D4578C" w:rsidP="00A80E2A">
      <w:pPr>
        <w:spacing w:line="520" w:lineRule="exact"/>
        <w:contextualSpacing/>
        <w:jc w:val="center"/>
        <w:rPr>
          <w:rFonts w:ascii="Times New Roman" w:eastAsia="方正小标宋简体" w:hAnsi="Times New Roman" w:cs="Times New Roman"/>
          <w:sz w:val="44"/>
          <w:szCs w:val="44"/>
        </w:rPr>
      </w:pPr>
      <w:r w:rsidRPr="00A71EF5">
        <w:rPr>
          <w:rFonts w:ascii="Times New Roman" w:eastAsia="方正小标宋简体" w:hAnsi="Times New Roman" w:cs="Times New Roman"/>
          <w:sz w:val="44"/>
          <w:szCs w:val="44"/>
        </w:rPr>
        <w:t>关于基于高通量测序技术的非小细胞肺癌</w:t>
      </w:r>
    </w:p>
    <w:p w:rsidR="00145319" w:rsidRPr="00A71EF5" w:rsidRDefault="00D4578C" w:rsidP="00A80E2A">
      <w:pPr>
        <w:spacing w:line="520" w:lineRule="exact"/>
        <w:contextualSpacing/>
        <w:jc w:val="center"/>
        <w:rPr>
          <w:rFonts w:ascii="Times New Roman" w:eastAsia="方正小标宋简体" w:hAnsi="Times New Roman" w:cs="Times New Roman"/>
          <w:sz w:val="44"/>
          <w:szCs w:val="44"/>
        </w:rPr>
      </w:pPr>
      <w:r w:rsidRPr="00A71EF5">
        <w:rPr>
          <w:rFonts w:ascii="Times New Roman" w:eastAsia="方正小标宋简体" w:hAnsi="Times New Roman" w:cs="Times New Roman"/>
          <w:sz w:val="44"/>
          <w:szCs w:val="44"/>
        </w:rPr>
        <w:t>相关基因变异检测试剂的背景介绍</w:t>
      </w:r>
    </w:p>
    <w:p w:rsidR="00145319" w:rsidRPr="00A71EF5" w:rsidRDefault="00145319">
      <w:pPr>
        <w:spacing w:line="520" w:lineRule="exact"/>
        <w:contextualSpacing/>
        <w:jc w:val="center"/>
        <w:rPr>
          <w:rFonts w:ascii="Times New Roman" w:eastAsia="方正小标宋简体" w:hAnsi="Times New Roman" w:cs="Times New Roman"/>
          <w:sz w:val="44"/>
          <w:szCs w:val="44"/>
        </w:rPr>
      </w:pP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基于高通量测序（</w:t>
      </w:r>
      <w:r w:rsidRPr="0094762A">
        <w:rPr>
          <w:rFonts w:ascii="Times New Roman" w:eastAsia="仿宋_GB2312" w:hAnsi="Times New Roman" w:cs="Times New Roman"/>
          <w:sz w:val="32"/>
          <w:szCs w:val="32"/>
        </w:rPr>
        <w:t>high-throughput sequencing</w:t>
      </w:r>
      <w:r w:rsidRPr="0094762A">
        <w:rPr>
          <w:rFonts w:ascii="Times New Roman" w:eastAsia="仿宋_GB2312" w:hAnsi="Times New Roman" w:cs="Times New Roman"/>
          <w:sz w:val="32"/>
          <w:szCs w:val="32"/>
        </w:rPr>
        <w:t>）即下一代测序（</w:t>
      </w:r>
      <w:r w:rsidRPr="0094762A">
        <w:rPr>
          <w:rFonts w:ascii="Times New Roman" w:eastAsia="仿宋_GB2312" w:hAnsi="Times New Roman" w:cs="Times New Roman"/>
          <w:sz w:val="32"/>
          <w:szCs w:val="32"/>
        </w:rPr>
        <w:t>next generation sequencing</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NGS</w:t>
      </w:r>
      <w:r w:rsidRPr="0094762A">
        <w:rPr>
          <w:rFonts w:ascii="Times New Roman" w:eastAsia="仿宋_GB2312" w:hAnsi="Times New Roman" w:cs="Times New Roman"/>
          <w:sz w:val="32"/>
          <w:szCs w:val="32"/>
        </w:rPr>
        <w:t>）的技术，检测肿瘤组织中的基因变异，正在广泛用于肿瘤诊疗相关领域。肿瘤基因变异类型包括点突变、插入、缺失、基因重排、拷贝数异常等。尤其精准医疗的蓬勃发展，在抗肿瘤药物的伴随诊断领域也起到了至关重要的作用。</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肺癌是我国发病率和死亡率最高的恶性肿瘤，按照病理学分类，可分为非小细胞肺癌（</w:t>
      </w:r>
      <w:r w:rsidRPr="0094762A">
        <w:rPr>
          <w:rFonts w:ascii="Times New Roman" w:eastAsia="仿宋_GB2312" w:hAnsi="Times New Roman" w:cs="Times New Roman"/>
          <w:sz w:val="32"/>
          <w:szCs w:val="32"/>
        </w:rPr>
        <w:t>non-small cell lung cancer, NSCLC</w:t>
      </w:r>
      <w:r w:rsidRPr="0094762A">
        <w:rPr>
          <w:rFonts w:ascii="Times New Roman" w:eastAsia="仿宋_GB2312" w:hAnsi="Times New Roman" w:cs="Times New Roman"/>
          <w:sz w:val="32"/>
          <w:szCs w:val="32"/>
        </w:rPr>
        <w:t>）和小细胞肺癌（</w:t>
      </w:r>
      <w:r w:rsidRPr="0094762A">
        <w:rPr>
          <w:rFonts w:ascii="Times New Roman" w:eastAsia="仿宋_GB2312" w:hAnsi="Times New Roman" w:cs="Times New Roman"/>
          <w:sz w:val="32"/>
          <w:szCs w:val="32"/>
        </w:rPr>
        <w:t>small cell lung cancer, SCLC</w:t>
      </w:r>
      <w:r w:rsidRPr="0094762A">
        <w:rPr>
          <w:rFonts w:ascii="Times New Roman" w:eastAsia="仿宋_GB2312" w:hAnsi="Times New Roman" w:cs="Times New Roman"/>
          <w:sz w:val="32"/>
          <w:szCs w:val="32"/>
        </w:rPr>
        <w:t>）两种类型，其中</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是最为常见的组织学类型，约占</w:t>
      </w:r>
      <w:r w:rsidRPr="0094762A">
        <w:rPr>
          <w:rFonts w:ascii="Times New Roman" w:eastAsia="仿宋_GB2312" w:hAnsi="Times New Roman" w:cs="Times New Roman"/>
          <w:sz w:val="32"/>
          <w:szCs w:val="32"/>
        </w:rPr>
        <w:t>85%</w:t>
      </w:r>
      <w:r w:rsidRPr="0094762A">
        <w:rPr>
          <w:rFonts w:ascii="Times New Roman" w:eastAsia="仿宋_GB2312" w:hAnsi="Times New Roman" w:cs="Times New Roman"/>
          <w:sz w:val="32"/>
          <w:szCs w:val="32"/>
        </w:rPr>
        <w:t>。随着分子生物学技术的发展，对于</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的认识已经从组织水平发展到了分子水平，越来越多的肿瘤相关基因变异被发现，基于基因变异的靶向治疗在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的抗肿瘤治疗中起到了显著的临床效果。目前在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中的肿瘤相关突变基因主要有以下基因：</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EGFR</w:t>
      </w:r>
      <w:r w:rsidRPr="0094762A">
        <w:rPr>
          <w:rFonts w:ascii="Times New Roman" w:eastAsia="仿宋_GB2312" w:hAnsi="Times New Roman" w:cs="Times New Roman"/>
          <w:sz w:val="32"/>
          <w:szCs w:val="32"/>
        </w:rPr>
        <w:t>：人表皮生长因子受体（</w:t>
      </w:r>
      <w:r w:rsidRPr="0094762A">
        <w:rPr>
          <w:rFonts w:ascii="Times New Roman" w:eastAsia="仿宋_GB2312" w:hAnsi="Times New Roman" w:cs="Times New Roman"/>
          <w:sz w:val="32"/>
          <w:szCs w:val="32"/>
        </w:rPr>
        <w:t>Epidermal Growth Factor Receptor</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EGFR</w:t>
      </w:r>
      <w:r w:rsidRPr="0094762A">
        <w:rPr>
          <w:rFonts w:ascii="Times New Roman" w:eastAsia="仿宋_GB2312" w:hAnsi="Times New Roman" w:cs="Times New Roman"/>
          <w:sz w:val="32"/>
          <w:szCs w:val="32"/>
        </w:rPr>
        <w:t>）突变是</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驱动基因研究中最早发现的基因变异，也是</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中最常见的驱动基因变异。</w:t>
      </w:r>
      <w:r w:rsidRPr="0094762A">
        <w:rPr>
          <w:rFonts w:ascii="Times New Roman" w:eastAsia="仿宋_GB2312" w:hAnsi="Times New Roman" w:cs="Times New Roman"/>
          <w:sz w:val="32"/>
          <w:szCs w:val="32"/>
        </w:rPr>
        <w:t>EGFR</w:t>
      </w:r>
      <w:r w:rsidRPr="0094762A">
        <w:rPr>
          <w:rFonts w:ascii="Times New Roman" w:eastAsia="仿宋_GB2312" w:hAnsi="Times New Roman" w:cs="Times New Roman"/>
          <w:sz w:val="32"/>
          <w:szCs w:val="32"/>
        </w:rPr>
        <w:t>是一种跨膜酪氨酸激酶受体，该受体激酶域激活与癌细胞增殖、转移和凋亡等多种信号传导通路有关。</w:t>
      </w:r>
      <w:r w:rsidRPr="0094762A">
        <w:rPr>
          <w:rFonts w:ascii="Times New Roman" w:eastAsia="仿宋_GB2312" w:hAnsi="Times New Roman" w:cs="Times New Roman"/>
          <w:sz w:val="32"/>
          <w:szCs w:val="32"/>
        </w:rPr>
        <w:t>EGFR</w:t>
      </w:r>
      <w:r w:rsidRPr="0094762A">
        <w:rPr>
          <w:rFonts w:ascii="Times New Roman" w:eastAsia="仿宋_GB2312" w:hAnsi="Times New Roman" w:cs="Times New Roman"/>
          <w:sz w:val="32"/>
          <w:szCs w:val="32"/>
        </w:rPr>
        <w:t>突变率在亚洲人群晚期肺腺癌患者中的发生率高达</w:t>
      </w:r>
      <w:r w:rsidRPr="0094762A">
        <w:rPr>
          <w:rFonts w:ascii="Times New Roman" w:eastAsia="仿宋_GB2312" w:hAnsi="Times New Roman" w:cs="Times New Roman"/>
          <w:sz w:val="32"/>
          <w:szCs w:val="32"/>
        </w:rPr>
        <w:t>50%</w:t>
      </w:r>
      <w:r w:rsidRPr="0094762A">
        <w:rPr>
          <w:rFonts w:ascii="Times New Roman" w:eastAsia="仿宋_GB2312" w:hAnsi="Times New Roman" w:cs="Times New Roman"/>
          <w:sz w:val="32"/>
          <w:szCs w:val="32"/>
        </w:rPr>
        <w:t>，该基因的常见突变位点发</w:t>
      </w:r>
      <w:r w:rsidRPr="0094762A">
        <w:rPr>
          <w:rFonts w:ascii="Times New Roman" w:eastAsia="仿宋_GB2312" w:hAnsi="Times New Roman" w:cs="Times New Roman"/>
          <w:sz w:val="32"/>
          <w:szCs w:val="32"/>
        </w:rPr>
        <w:lastRenderedPageBreak/>
        <w:t>生在</w:t>
      </w:r>
      <w:r w:rsidRPr="0094762A">
        <w:rPr>
          <w:rFonts w:ascii="Times New Roman" w:eastAsia="仿宋_GB2312" w:hAnsi="Times New Roman" w:cs="Times New Roman"/>
          <w:sz w:val="32"/>
          <w:szCs w:val="32"/>
        </w:rPr>
        <w:t>18</w:t>
      </w:r>
      <w:r w:rsidRPr="0094762A">
        <w:rPr>
          <w:rFonts w:ascii="Times New Roman" w:eastAsia="仿宋_GB2312" w:hAnsi="Times New Roman" w:cs="Times New Roman"/>
          <w:sz w:val="32"/>
          <w:szCs w:val="32"/>
        </w:rPr>
        <w:t>号</w:t>
      </w:r>
      <w:r w:rsidRPr="0094762A">
        <w:rPr>
          <w:rFonts w:ascii="Times New Roman" w:eastAsia="仿宋_GB2312" w:hAnsi="Times New Roman" w:cs="Times New Roman"/>
          <w:color w:val="000000"/>
          <w:kern w:val="0"/>
          <w:sz w:val="32"/>
          <w:szCs w:val="32"/>
        </w:rPr>
        <w:t>～</w:t>
      </w:r>
      <w:r w:rsidRPr="0094762A">
        <w:rPr>
          <w:rFonts w:ascii="Times New Roman" w:eastAsia="仿宋_GB2312" w:hAnsi="Times New Roman" w:cs="Times New Roman"/>
          <w:sz w:val="32"/>
          <w:szCs w:val="32"/>
        </w:rPr>
        <w:t>21</w:t>
      </w:r>
      <w:r w:rsidRPr="0094762A">
        <w:rPr>
          <w:rFonts w:ascii="Times New Roman" w:eastAsia="仿宋_GB2312" w:hAnsi="Times New Roman" w:cs="Times New Roman"/>
          <w:sz w:val="32"/>
          <w:szCs w:val="32"/>
        </w:rPr>
        <w:t>号外显子上，其中最常见的是</w:t>
      </w:r>
      <w:r w:rsidRPr="0094762A">
        <w:rPr>
          <w:rFonts w:ascii="Times New Roman" w:eastAsia="仿宋_GB2312" w:hAnsi="Times New Roman" w:cs="Times New Roman"/>
          <w:sz w:val="32"/>
          <w:szCs w:val="32"/>
        </w:rPr>
        <w:t>19</w:t>
      </w:r>
      <w:r w:rsidRPr="0094762A">
        <w:rPr>
          <w:rFonts w:ascii="Times New Roman" w:eastAsia="仿宋_GB2312" w:hAnsi="Times New Roman" w:cs="Times New Roman"/>
          <w:sz w:val="32"/>
          <w:szCs w:val="32"/>
        </w:rPr>
        <w:t>号外显子缺失突变（</w:t>
      </w:r>
      <w:r w:rsidRPr="0094762A">
        <w:rPr>
          <w:rFonts w:ascii="Times New Roman" w:eastAsia="仿宋_GB2312" w:hAnsi="Times New Roman" w:cs="Times New Roman"/>
          <w:sz w:val="32"/>
          <w:szCs w:val="32"/>
        </w:rPr>
        <w:t>19del</w:t>
      </w:r>
      <w:r w:rsidRPr="0094762A">
        <w:rPr>
          <w:rFonts w:ascii="Times New Roman" w:eastAsia="仿宋_GB2312" w:hAnsi="Times New Roman" w:cs="Times New Roman"/>
          <w:sz w:val="32"/>
          <w:szCs w:val="32"/>
        </w:rPr>
        <w:t>）以及</w:t>
      </w:r>
      <w:r w:rsidRPr="0094762A">
        <w:rPr>
          <w:rFonts w:ascii="Times New Roman" w:eastAsia="仿宋_GB2312" w:hAnsi="Times New Roman" w:cs="Times New Roman"/>
          <w:sz w:val="32"/>
          <w:szCs w:val="32"/>
        </w:rPr>
        <w:t>21</w:t>
      </w:r>
      <w:r w:rsidRPr="0094762A">
        <w:rPr>
          <w:rFonts w:ascii="Times New Roman" w:eastAsia="仿宋_GB2312" w:hAnsi="Times New Roman" w:cs="Times New Roman"/>
          <w:sz w:val="32"/>
          <w:szCs w:val="32"/>
        </w:rPr>
        <w:t>号外显子</w:t>
      </w:r>
      <w:r w:rsidRPr="0094762A">
        <w:rPr>
          <w:rFonts w:ascii="Times New Roman" w:eastAsia="仿宋_GB2312" w:hAnsi="Times New Roman" w:cs="Times New Roman"/>
          <w:sz w:val="32"/>
          <w:szCs w:val="32"/>
        </w:rPr>
        <w:t>L858</w:t>
      </w:r>
      <w:r w:rsidRPr="0094762A">
        <w:rPr>
          <w:rFonts w:ascii="Times New Roman" w:eastAsia="仿宋_GB2312" w:hAnsi="Times New Roman" w:cs="Times New Roman"/>
          <w:sz w:val="32"/>
          <w:szCs w:val="32"/>
        </w:rPr>
        <w:t>点突变（</w:t>
      </w:r>
      <w:r w:rsidRPr="0094762A">
        <w:rPr>
          <w:rFonts w:ascii="Times New Roman" w:eastAsia="仿宋_GB2312" w:hAnsi="Times New Roman" w:cs="Times New Roman"/>
          <w:sz w:val="32"/>
          <w:szCs w:val="32"/>
        </w:rPr>
        <w:t>L858R</w:t>
      </w:r>
      <w:r w:rsidRPr="0094762A">
        <w:rPr>
          <w:rFonts w:ascii="Times New Roman" w:eastAsia="仿宋_GB2312" w:hAnsi="Times New Roman" w:cs="Times New Roman"/>
          <w:sz w:val="32"/>
          <w:szCs w:val="32"/>
        </w:rPr>
        <w:t>），这两种突变占比约为</w:t>
      </w:r>
      <w:r w:rsidRPr="0094762A">
        <w:rPr>
          <w:rFonts w:ascii="Times New Roman" w:eastAsia="仿宋_GB2312" w:hAnsi="Times New Roman" w:cs="Times New Roman"/>
          <w:sz w:val="32"/>
          <w:szCs w:val="32"/>
        </w:rPr>
        <w:t>90%</w:t>
      </w:r>
      <w:r w:rsidRPr="0094762A">
        <w:rPr>
          <w:rFonts w:ascii="Times New Roman" w:eastAsia="仿宋_GB2312" w:hAnsi="Times New Roman" w:cs="Times New Roman"/>
          <w:sz w:val="32"/>
          <w:szCs w:val="32"/>
        </w:rPr>
        <w:t>，均为</w:t>
      </w:r>
      <w:r w:rsidRPr="0094762A">
        <w:rPr>
          <w:rFonts w:ascii="Times New Roman" w:eastAsia="仿宋_GB2312" w:hAnsi="Times New Roman" w:cs="Times New Roman"/>
          <w:sz w:val="32"/>
          <w:szCs w:val="32"/>
        </w:rPr>
        <w:t>EGFR</w:t>
      </w:r>
      <w:r w:rsidRPr="0094762A">
        <w:rPr>
          <w:rFonts w:ascii="Times New Roman" w:eastAsia="仿宋_GB2312" w:hAnsi="Times New Roman" w:cs="Times New Roman"/>
          <w:sz w:val="32"/>
          <w:szCs w:val="32"/>
        </w:rPr>
        <w:t>酪氨酸激酶抑制剂（</w:t>
      </w:r>
      <w:r w:rsidRPr="0094762A">
        <w:rPr>
          <w:rFonts w:ascii="Times New Roman" w:eastAsia="仿宋_GB2312" w:hAnsi="Times New Roman" w:cs="Times New Roman"/>
          <w:sz w:val="32"/>
          <w:szCs w:val="32"/>
        </w:rPr>
        <w:t>Tyrosine Kinase Inhibitor</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TKI</w:t>
      </w:r>
      <w:r w:rsidRPr="0094762A">
        <w:rPr>
          <w:rFonts w:ascii="Times New Roman" w:eastAsia="仿宋_GB2312" w:hAnsi="Times New Roman" w:cs="Times New Roman"/>
          <w:sz w:val="32"/>
          <w:szCs w:val="32"/>
        </w:rPr>
        <w:t>）敏感型突变。</w:t>
      </w:r>
      <w:r w:rsidRPr="0094762A">
        <w:rPr>
          <w:rFonts w:ascii="Times New Roman" w:eastAsia="仿宋_GB2312" w:hAnsi="Times New Roman" w:cs="Times New Roman"/>
          <w:sz w:val="32"/>
          <w:szCs w:val="32"/>
        </w:rPr>
        <w:t>20</w:t>
      </w:r>
      <w:r w:rsidRPr="0094762A">
        <w:rPr>
          <w:rFonts w:ascii="Times New Roman" w:eastAsia="仿宋_GB2312" w:hAnsi="Times New Roman" w:cs="Times New Roman"/>
          <w:sz w:val="32"/>
          <w:szCs w:val="32"/>
        </w:rPr>
        <w:t>号外显子上的</w:t>
      </w:r>
      <w:r w:rsidRPr="0094762A">
        <w:rPr>
          <w:rFonts w:ascii="Times New Roman" w:eastAsia="仿宋_GB2312" w:hAnsi="Times New Roman" w:cs="Times New Roman"/>
          <w:sz w:val="32"/>
          <w:szCs w:val="32"/>
        </w:rPr>
        <w:t>T790M</w:t>
      </w:r>
      <w:r w:rsidRPr="0094762A">
        <w:rPr>
          <w:rFonts w:ascii="Times New Roman" w:eastAsia="仿宋_GB2312" w:hAnsi="Times New Roman" w:cs="Times New Roman"/>
          <w:sz w:val="32"/>
          <w:szCs w:val="32"/>
        </w:rPr>
        <w:t>替代突变为一代</w:t>
      </w:r>
      <w:r w:rsidRPr="0094762A">
        <w:rPr>
          <w:rFonts w:ascii="Times New Roman" w:eastAsia="仿宋_GB2312" w:hAnsi="Times New Roman" w:cs="Times New Roman"/>
          <w:sz w:val="32"/>
          <w:szCs w:val="32"/>
        </w:rPr>
        <w:t>TKI</w:t>
      </w:r>
      <w:r w:rsidRPr="0094762A">
        <w:rPr>
          <w:rFonts w:ascii="Times New Roman" w:eastAsia="仿宋_GB2312" w:hAnsi="Times New Roman" w:cs="Times New Roman"/>
          <w:sz w:val="32"/>
          <w:szCs w:val="32"/>
        </w:rPr>
        <w:t>的耐药突变。此外，还有许多类型的突变临床意义尚不明确。</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ALK</w:t>
      </w:r>
      <w:r w:rsidRPr="0094762A">
        <w:rPr>
          <w:rFonts w:ascii="Times New Roman" w:eastAsia="仿宋_GB2312" w:hAnsi="Times New Roman" w:cs="Times New Roman"/>
          <w:sz w:val="32"/>
          <w:szCs w:val="32"/>
        </w:rPr>
        <w:t>：间变性淋巴瘤激酶（</w:t>
      </w:r>
      <w:r w:rsidRPr="0094762A">
        <w:rPr>
          <w:rFonts w:ascii="Times New Roman" w:eastAsia="仿宋_GB2312" w:hAnsi="Times New Roman" w:cs="Times New Roman"/>
          <w:sz w:val="32"/>
          <w:szCs w:val="32"/>
        </w:rPr>
        <w:t>Anaplastic Lymphoma Kinase, ALK</w:t>
      </w:r>
      <w:r w:rsidRPr="0094762A">
        <w:rPr>
          <w:rFonts w:ascii="Times New Roman" w:eastAsia="仿宋_GB2312" w:hAnsi="Times New Roman" w:cs="Times New Roman"/>
          <w:sz w:val="32"/>
          <w:szCs w:val="32"/>
        </w:rPr>
        <w:t>）基因融合在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中的发生率约为</w:t>
      </w:r>
      <w:r w:rsidRPr="0094762A">
        <w:rPr>
          <w:rFonts w:ascii="Times New Roman" w:eastAsia="仿宋_GB2312" w:hAnsi="Times New Roman" w:cs="Times New Roman"/>
          <w:sz w:val="32"/>
          <w:szCs w:val="32"/>
        </w:rPr>
        <w:t>5%~10%</w:t>
      </w:r>
      <w:r w:rsidRPr="0094762A">
        <w:rPr>
          <w:rFonts w:ascii="Times New Roman" w:eastAsia="仿宋_GB2312" w:hAnsi="Times New Roman" w:cs="Times New Roman"/>
          <w:sz w:val="32"/>
          <w:szCs w:val="32"/>
        </w:rPr>
        <w:t>，其中</w:t>
      </w:r>
      <w:r w:rsidRPr="0094762A">
        <w:rPr>
          <w:rFonts w:ascii="Times New Roman" w:eastAsia="仿宋_GB2312" w:hAnsi="Times New Roman" w:cs="Times New Roman"/>
          <w:sz w:val="32"/>
          <w:szCs w:val="32"/>
        </w:rPr>
        <w:t>EML4</w:t>
      </w:r>
      <w:r w:rsidRPr="0094762A">
        <w:rPr>
          <w:rFonts w:ascii="Times New Roman" w:eastAsia="仿宋_GB2312" w:hAnsi="Times New Roman" w:cs="Times New Roman"/>
          <w:sz w:val="32"/>
          <w:szCs w:val="32"/>
        </w:rPr>
        <w:t>是最常见的</w:t>
      </w:r>
      <w:r w:rsidRPr="0094762A">
        <w:rPr>
          <w:rFonts w:ascii="Times New Roman" w:eastAsia="仿宋_GB2312" w:hAnsi="Times New Roman" w:cs="Times New Roman"/>
          <w:sz w:val="32"/>
          <w:szCs w:val="32"/>
        </w:rPr>
        <w:t>ALK</w:t>
      </w:r>
      <w:r w:rsidRPr="0094762A">
        <w:rPr>
          <w:rFonts w:ascii="Times New Roman" w:eastAsia="仿宋_GB2312" w:hAnsi="Times New Roman" w:cs="Times New Roman"/>
          <w:sz w:val="32"/>
          <w:szCs w:val="32"/>
        </w:rPr>
        <w:t>融合伴侣，占</w:t>
      </w:r>
      <w:r w:rsidRPr="0094762A">
        <w:rPr>
          <w:rFonts w:ascii="Times New Roman" w:eastAsia="仿宋_GB2312" w:hAnsi="Times New Roman" w:cs="Times New Roman"/>
          <w:sz w:val="32"/>
          <w:szCs w:val="32"/>
        </w:rPr>
        <w:t xml:space="preserve">ALK </w:t>
      </w:r>
      <w:r w:rsidRPr="0094762A">
        <w:rPr>
          <w:rFonts w:ascii="Times New Roman" w:eastAsia="仿宋_GB2312" w:hAnsi="Times New Roman" w:cs="Times New Roman"/>
          <w:sz w:val="32"/>
          <w:szCs w:val="32"/>
        </w:rPr>
        <w:t>重排的</w:t>
      </w:r>
      <w:r w:rsidRPr="0094762A">
        <w:rPr>
          <w:rFonts w:ascii="Times New Roman" w:eastAsia="仿宋_GB2312" w:hAnsi="Times New Roman" w:cs="Times New Roman"/>
          <w:sz w:val="32"/>
          <w:szCs w:val="32"/>
        </w:rPr>
        <w:t>90%~95%</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EML4-ALK</w:t>
      </w:r>
      <w:r w:rsidRPr="0094762A">
        <w:rPr>
          <w:rFonts w:ascii="Times New Roman" w:eastAsia="仿宋_GB2312" w:hAnsi="Times New Roman" w:cs="Times New Roman"/>
          <w:sz w:val="32"/>
          <w:szCs w:val="32"/>
        </w:rPr>
        <w:t>又分为多个亚型，其中</w:t>
      </w:r>
      <w:r w:rsidRPr="0094762A">
        <w:rPr>
          <w:rFonts w:ascii="Times New Roman" w:eastAsia="仿宋_GB2312" w:hAnsi="Times New Roman" w:cs="Times New Roman"/>
          <w:sz w:val="32"/>
          <w:szCs w:val="32"/>
        </w:rPr>
        <w:t>V1</w:t>
      </w:r>
      <w:r w:rsidRPr="0094762A">
        <w:rPr>
          <w:rFonts w:ascii="Times New Roman" w:eastAsia="仿宋_GB2312" w:hAnsi="Times New Roman" w:cs="Times New Roman"/>
          <w:sz w:val="32"/>
          <w:szCs w:val="32"/>
        </w:rPr>
        <w:t>型（</w:t>
      </w:r>
      <w:r w:rsidRPr="0094762A">
        <w:rPr>
          <w:rFonts w:ascii="Times New Roman" w:eastAsia="仿宋_GB2312" w:hAnsi="Times New Roman" w:cs="Times New Roman"/>
          <w:sz w:val="32"/>
          <w:szCs w:val="32"/>
        </w:rPr>
        <w:t>E13:A20</w:t>
      </w:r>
      <w:r w:rsidRPr="0094762A">
        <w:rPr>
          <w:rFonts w:ascii="Times New Roman" w:eastAsia="仿宋_GB2312" w:hAnsi="Times New Roman" w:cs="Times New Roman"/>
          <w:sz w:val="32"/>
          <w:szCs w:val="32"/>
        </w:rPr>
        <w:t>）和</w:t>
      </w:r>
      <w:r w:rsidRPr="0094762A">
        <w:rPr>
          <w:rFonts w:ascii="Times New Roman" w:eastAsia="仿宋_GB2312" w:hAnsi="Times New Roman" w:cs="Times New Roman"/>
          <w:sz w:val="32"/>
          <w:szCs w:val="32"/>
        </w:rPr>
        <w:t>V3</w:t>
      </w:r>
      <w:r w:rsidRPr="0094762A">
        <w:rPr>
          <w:rFonts w:ascii="Times New Roman" w:eastAsia="仿宋_GB2312" w:hAnsi="Times New Roman" w:cs="Times New Roman"/>
          <w:sz w:val="32"/>
          <w:szCs w:val="32"/>
        </w:rPr>
        <w:t>型（</w:t>
      </w:r>
      <w:r w:rsidRPr="0094762A">
        <w:rPr>
          <w:rFonts w:ascii="Times New Roman" w:eastAsia="仿宋_GB2312" w:hAnsi="Times New Roman" w:cs="Times New Roman"/>
          <w:sz w:val="32"/>
          <w:szCs w:val="32"/>
        </w:rPr>
        <w:t>E6:A20</w:t>
      </w:r>
      <w:r w:rsidRPr="0094762A">
        <w:rPr>
          <w:rFonts w:ascii="Times New Roman" w:eastAsia="仿宋_GB2312" w:hAnsi="Times New Roman" w:cs="Times New Roman"/>
          <w:sz w:val="32"/>
          <w:szCs w:val="32"/>
        </w:rPr>
        <w:t>）占比最高，约占</w:t>
      </w:r>
      <w:r w:rsidRPr="0094762A">
        <w:rPr>
          <w:rFonts w:ascii="Times New Roman" w:eastAsia="仿宋_GB2312" w:hAnsi="Times New Roman" w:cs="Times New Roman"/>
          <w:sz w:val="32"/>
          <w:szCs w:val="32"/>
        </w:rPr>
        <w:t>EML4-ALK</w:t>
      </w:r>
      <w:r w:rsidRPr="0094762A">
        <w:rPr>
          <w:rFonts w:ascii="Times New Roman" w:eastAsia="仿宋_GB2312" w:hAnsi="Times New Roman" w:cs="Times New Roman"/>
          <w:sz w:val="32"/>
          <w:szCs w:val="32"/>
        </w:rPr>
        <w:t>融合突变的</w:t>
      </w:r>
      <w:r w:rsidRPr="0094762A">
        <w:rPr>
          <w:rFonts w:ascii="Times New Roman" w:eastAsia="仿宋_GB2312" w:hAnsi="Times New Roman" w:cs="Times New Roman"/>
          <w:sz w:val="32"/>
          <w:szCs w:val="32"/>
        </w:rPr>
        <w:t>75%~80%</w:t>
      </w:r>
      <w:r w:rsidRPr="0094762A">
        <w:rPr>
          <w:rFonts w:ascii="Times New Roman" w:eastAsia="仿宋_GB2312" w:hAnsi="Times New Roman" w:cs="Times New Roman"/>
          <w:sz w:val="32"/>
          <w:szCs w:val="32"/>
        </w:rPr>
        <w:t>，其次为</w:t>
      </w:r>
      <w:r w:rsidRPr="0094762A">
        <w:rPr>
          <w:rFonts w:ascii="Times New Roman" w:eastAsia="仿宋_GB2312" w:hAnsi="Times New Roman" w:cs="Times New Roman"/>
          <w:sz w:val="32"/>
          <w:szCs w:val="32"/>
        </w:rPr>
        <w:t>V2</w:t>
      </w:r>
      <w:r w:rsidRPr="0094762A">
        <w:rPr>
          <w:rFonts w:ascii="Times New Roman" w:eastAsia="仿宋_GB2312" w:hAnsi="Times New Roman" w:cs="Times New Roman"/>
          <w:sz w:val="32"/>
          <w:szCs w:val="32"/>
        </w:rPr>
        <w:t>型（</w:t>
      </w:r>
      <w:r w:rsidRPr="0094762A">
        <w:rPr>
          <w:rFonts w:ascii="Times New Roman" w:eastAsia="仿宋_GB2312" w:hAnsi="Times New Roman" w:cs="Times New Roman"/>
          <w:sz w:val="32"/>
          <w:szCs w:val="32"/>
        </w:rPr>
        <w:t>E20:A20</w:t>
      </w:r>
      <w:r w:rsidRPr="0094762A">
        <w:rPr>
          <w:rFonts w:ascii="Times New Roman" w:eastAsia="仿宋_GB2312" w:hAnsi="Times New Roman" w:cs="Times New Roman"/>
          <w:sz w:val="32"/>
          <w:szCs w:val="32"/>
        </w:rPr>
        <w:t>），其他</w:t>
      </w:r>
      <w:r w:rsidRPr="0094762A">
        <w:rPr>
          <w:rFonts w:ascii="Times New Roman" w:eastAsia="仿宋_GB2312" w:hAnsi="Times New Roman" w:cs="Times New Roman"/>
          <w:sz w:val="32"/>
          <w:szCs w:val="32"/>
        </w:rPr>
        <w:t>EML4-ALK</w:t>
      </w:r>
      <w:r w:rsidRPr="0094762A">
        <w:rPr>
          <w:rFonts w:ascii="Times New Roman" w:eastAsia="仿宋_GB2312" w:hAnsi="Times New Roman" w:cs="Times New Roman"/>
          <w:sz w:val="32"/>
          <w:szCs w:val="32"/>
        </w:rPr>
        <w:t>融合亚型则较为少见（占比均不足</w:t>
      </w:r>
      <w:r w:rsidRPr="0094762A">
        <w:rPr>
          <w:rFonts w:ascii="Times New Roman" w:eastAsia="仿宋_GB2312" w:hAnsi="Times New Roman" w:cs="Times New Roman"/>
          <w:sz w:val="32"/>
          <w:szCs w:val="32"/>
        </w:rPr>
        <w:t>10%</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ALK</w:t>
      </w:r>
      <w:r w:rsidRPr="0094762A">
        <w:rPr>
          <w:rFonts w:ascii="Times New Roman" w:eastAsia="仿宋_GB2312" w:hAnsi="Times New Roman" w:cs="Times New Roman"/>
          <w:sz w:val="32"/>
          <w:szCs w:val="32"/>
        </w:rPr>
        <w:t>靶向抑制剂对</w:t>
      </w:r>
      <w:r w:rsidRPr="0094762A">
        <w:rPr>
          <w:rFonts w:ascii="Times New Roman" w:eastAsia="仿宋_GB2312" w:hAnsi="Times New Roman" w:cs="Times New Roman"/>
          <w:sz w:val="32"/>
          <w:szCs w:val="32"/>
        </w:rPr>
        <w:t>ALK</w:t>
      </w:r>
      <w:r w:rsidRPr="0094762A">
        <w:rPr>
          <w:rFonts w:ascii="Times New Roman" w:eastAsia="仿宋_GB2312" w:hAnsi="Times New Roman" w:cs="Times New Roman"/>
          <w:sz w:val="32"/>
          <w:szCs w:val="32"/>
        </w:rPr>
        <w:t>基因融合阳性的晚期</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患者具有显著疗效。除</w:t>
      </w:r>
      <w:r w:rsidRPr="0094762A">
        <w:rPr>
          <w:rFonts w:ascii="Times New Roman" w:eastAsia="仿宋_GB2312" w:hAnsi="Times New Roman" w:cs="Times New Roman"/>
          <w:sz w:val="32"/>
          <w:szCs w:val="32"/>
        </w:rPr>
        <w:t>EML4</w:t>
      </w:r>
      <w:r w:rsidRPr="0094762A">
        <w:rPr>
          <w:rFonts w:ascii="Times New Roman" w:eastAsia="仿宋_GB2312" w:hAnsi="Times New Roman" w:cs="Times New Roman"/>
          <w:sz w:val="32"/>
          <w:szCs w:val="32"/>
        </w:rPr>
        <w:t>这一最常见的融合伴侣外，研究还发现</w:t>
      </w:r>
      <w:r w:rsidRPr="0094762A">
        <w:rPr>
          <w:rFonts w:ascii="Times New Roman" w:eastAsia="仿宋_GB2312" w:hAnsi="Times New Roman" w:cs="Times New Roman"/>
          <w:sz w:val="32"/>
          <w:szCs w:val="32"/>
        </w:rPr>
        <w:t>KIF5B</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TFG</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KLC1</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SOCS5</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HIP1</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TPR</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BIRC6</w:t>
      </w:r>
      <w:r w:rsidRPr="0094762A">
        <w:rPr>
          <w:rFonts w:ascii="Times New Roman" w:eastAsia="仿宋_GB2312" w:hAnsi="Times New Roman" w:cs="Times New Roman"/>
          <w:sz w:val="32"/>
          <w:szCs w:val="32"/>
        </w:rPr>
        <w:t>等多种罕见的</w:t>
      </w:r>
      <w:r w:rsidRPr="0094762A">
        <w:rPr>
          <w:rFonts w:ascii="Times New Roman" w:eastAsia="仿宋_GB2312" w:hAnsi="Times New Roman" w:cs="Times New Roman"/>
          <w:sz w:val="32"/>
          <w:szCs w:val="32"/>
        </w:rPr>
        <w:t>ALK</w:t>
      </w:r>
      <w:r w:rsidRPr="0094762A">
        <w:rPr>
          <w:rFonts w:ascii="Times New Roman" w:eastAsia="仿宋_GB2312" w:hAnsi="Times New Roman" w:cs="Times New Roman"/>
          <w:sz w:val="32"/>
          <w:szCs w:val="32"/>
        </w:rPr>
        <w:t>融合伴侣，这些罕见的融合并未有充分的药物研究。</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ROS1</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ROS1</w:t>
      </w:r>
      <w:r w:rsidRPr="0094762A">
        <w:rPr>
          <w:rFonts w:ascii="Times New Roman" w:eastAsia="仿宋_GB2312" w:hAnsi="Times New Roman" w:cs="Times New Roman"/>
          <w:sz w:val="32"/>
          <w:szCs w:val="32"/>
        </w:rPr>
        <w:t>位于人类</w:t>
      </w:r>
      <w:r w:rsidRPr="0094762A">
        <w:rPr>
          <w:rFonts w:ascii="Times New Roman" w:eastAsia="仿宋_GB2312" w:hAnsi="Times New Roman" w:cs="Times New Roman"/>
          <w:sz w:val="32"/>
          <w:szCs w:val="32"/>
        </w:rPr>
        <w:t>6</w:t>
      </w:r>
      <w:r w:rsidRPr="0094762A">
        <w:rPr>
          <w:rFonts w:ascii="Times New Roman" w:eastAsia="仿宋_GB2312" w:hAnsi="Times New Roman" w:cs="Times New Roman"/>
          <w:sz w:val="32"/>
          <w:szCs w:val="32"/>
        </w:rPr>
        <w:t>号染色体长臂上，全称</w:t>
      </w:r>
      <w:r w:rsidRPr="0094762A">
        <w:rPr>
          <w:rFonts w:ascii="Times New Roman" w:eastAsia="仿宋_GB2312" w:hAnsi="Times New Roman" w:cs="Times New Roman"/>
          <w:sz w:val="32"/>
          <w:szCs w:val="32"/>
        </w:rPr>
        <w:t>c-ros</w:t>
      </w:r>
      <w:r w:rsidRPr="0094762A">
        <w:rPr>
          <w:rFonts w:ascii="Times New Roman" w:eastAsia="仿宋_GB2312" w:hAnsi="Times New Roman" w:cs="Times New Roman"/>
          <w:sz w:val="32"/>
          <w:szCs w:val="32"/>
        </w:rPr>
        <w:t>原癌基因，是跨膜酪氨酸激酶受体家族成员之一。发生融合的</w:t>
      </w:r>
      <w:r w:rsidRPr="0094762A">
        <w:rPr>
          <w:rFonts w:ascii="Times New Roman" w:eastAsia="仿宋_GB2312" w:hAnsi="Times New Roman" w:cs="Times New Roman"/>
          <w:sz w:val="32"/>
          <w:szCs w:val="32"/>
        </w:rPr>
        <w:t>ROS1</w:t>
      </w:r>
      <w:r w:rsidRPr="0094762A">
        <w:rPr>
          <w:rFonts w:ascii="Times New Roman" w:eastAsia="仿宋_GB2312" w:hAnsi="Times New Roman" w:cs="Times New Roman"/>
          <w:sz w:val="32"/>
          <w:szCs w:val="32"/>
        </w:rPr>
        <w:t>蛋白失去了大部分细胞外结构域，不需要配体结合便可被持续激活，导致下游信号通路功能异常。</w:t>
      </w:r>
      <w:r w:rsidRPr="0094762A">
        <w:rPr>
          <w:rFonts w:ascii="Times New Roman" w:eastAsia="仿宋_GB2312" w:hAnsi="Times New Roman" w:cs="Times New Roman"/>
          <w:sz w:val="32"/>
          <w:szCs w:val="32"/>
        </w:rPr>
        <w:t>ROS1</w:t>
      </w:r>
      <w:r w:rsidRPr="0094762A">
        <w:rPr>
          <w:rFonts w:ascii="Times New Roman" w:eastAsia="仿宋_GB2312" w:hAnsi="Times New Roman" w:cs="Times New Roman"/>
          <w:sz w:val="32"/>
          <w:szCs w:val="32"/>
        </w:rPr>
        <w:t>融合在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中的发生率约为</w:t>
      </w:r>
      <w:r w:rsidRPr="0094762A">
        <w:rPr>
          <w:rFonts w:ascii="Times New Roman" w:eastAsia="仿宋_GB2312" w:hAnsi="Times New Roman" w:cs="Times New Roman"/>
          <w:sz w:val="32"/>
          <w:szCs w:val="32"/>
        </w:rPr>
        <w:t>2%</w:t>
      </w:r>
      <w:r w:rsidRPr="0094762A">
        <w:rPr>
          <w:rFonts w:ascii="Times New Roman" w:eastAsia="仿宋_GB2312" w:hAnsi="Times New Roman" w:cs="Times New Roman"/>
          <w:sz w:val="32"/>
          <w:szCs w:val="32"/>
        </w:rPr>
        <w:t>，重排位点主要发生在</w:t>
      </w:r>
      <w:r w:rsidRPr="0094762A">
        <w:rPr>
          <w:rFonts w:ascii="Times New Roman" w:eastAsia="仿宋_GB2312" w:hAnsi="Times New Roman" w:cs="Times New Roman"/>
          <w:sz w:val="32"/>
          <w:szCs w:val="32"/>
        </w:rPr>
        <w:t>32</w:t>
      </w:r>
      <w:r w:rsidRPr="0094762A">
        <w:rPr>
          <w:rFonts w:ascii="Times New Roman" w:eastAsia="仿宋_GB2312" w:hAnsi="Times New Roman" w:cs="Times New Roman"/>
          <w:sz w:val="32"/>
          <w:szCs w:val="32"/>
        </w:rPr>
        <w:t>号</w:t>
      </w:r>
      <w:r w:rsidRPr="0094762A">
        <w:rPr>
          <w:rFonts w:ascii="Times New Roman" w:eastAsia="仿宋_GB2312" w:hAnsi="Times New Roman" w:cs="Times New Roman"/>
          <w:sz w:val="32"/>
          <w:szCs w:val="32"/>
        </w:rPr>
        <w:t>~36</w:t>
      </w:r>
      <w:r w:rsidRPr="0094762A">
        <w:rPr>
          <w:rFonts w:ascii="Times New Roman" w:eastAsia="仿宋_GB2312" w:hAnsi="Times New Roman" w:cs="Times New Roman"/>
          <w:sz w:val="32"/>
          <w:szCs w:val="32"/>
        </w:rPr>
        <w:t>号外显子，最常见的</w:t>
      </w:r>
      <w:r w:rsidRPr="0094762A">
        <w:rPr>
          <w:rFonts w:ascii="Times New Roman" w:eastAsia="仿宋_GB2312" w:hAnsi="Times New Roman" w:cs="Times New Roman"/>
          <w:sz w:val="32"/>
          <w:szCs w:val="32"/>
        </w:rPr>
        <w:t>ROS1</w:t>
      </w:r>
      <w:r w:rsidRPr="0094762A">
        <w:rPr>
          <w:rFonts w:ascii="Times New Roman" w:eastAsia="仿宋_GB2312" w:hAnsi="Times New Roman" w:cs="Times New Roman"/>
          <w:sz w:val="32"/>
          <w:szCs w:val="32"/>
        </w:rPr>
        <w:t>融合伴侣是</w:t>
      </w:r>
      <w:r w:rsidRPr="0094762A">
        <w:rPr>
          <w:rFonts w:ascii="Times New Roman" w:eastAsia="仿宋_GB2312" w:hAnsi="Times New Roman" w:cs="Times New Roman"/>
          <w:sz w:val="32"/>
          <w:szCs w:val="32"/>
        </w:rPr>
        <w:t>CD74</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SLC34A2</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CCDC6</w:t>
      </w:r>
      <w:r w:rsidRPr="0094762A">
        <w:rPr>
          <w:rFonts w:ascii="Times New Roman" w:eastAsia="仿宋_GB2312" w:hAnsi="Times New Roman" w:cs="Times New Roman"/>
          <w:sz w:val="32"/>
          <w:szCs w:val="32"/>
        </w:rPr>
        <w:t>和</w:t>
      </w:r>
      <w:r w:rsidRPr="0094762A">
        <w:rPr>
          <w:rFonts w:ascii="Times New Roman" w:eastAsia="仿宋_GB2312" w:hAnsi="Times New Roman" w:cs="Times New Roman"/>
          <w:sz w:val="32"/>
          <w:szCs w:val="32"/>
        </w:rPr>
        <w:t>FIG</w:t>
      </w:r>
      <w:r w:rsidRPr="0094762A">
        <w:rPr>
          <w:rFonts w:ascii="Times New Roman" w:eastAsia="仿宋_GB2312" w:hAnsi="Times New Roman" w:cs="Times New Roman"/>
          <w:sz w:val="32"/>
          <w:szCs w:val="32"/>
        </w:rPr>
        <w:t>。临床上作为克唑替尼等药物的检测靶点。</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MET</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c-MET</w:t>
      </w:r>
      <w:r w:rsidRPr="0094762A">
        <w:rPr>
          <w:rFonts w:ascii="Times New Roman" w:eastAsia="仿宋_GB2312" w:hAnsi="Times New Roman" w:cs="Times New Roman"/>
          <w:sz w:val="32"/>
          <w:szCs w:val="32"/>
        </w:rPr>
        <w:t>为一种表达于上皮细胞和内皮细胞表面的受</w:t>
      </w:r>
      <w:r w:rsidRPr="0094762A">
        <w:rPr>
          <w:rFonts w:ascii="Times New Roman" w:eastAsia="仿宋_GB2312" w:hAnsi="Times New Roman" w:cs="Times New Roman"/>
          <w:sz w:val="32"/>
          <w:szCs w:val="32"/>
        </w:rPr>
        <w:lastRenderedPageBreak/>
        <w:t>体酪氨酸激酶，可被其配体干细胞生长因子（</w:t>
      </w:r>
      <w:r w:rsidRPr="0094762A">
        <w:rPr>
          <w:rFonts w:ascii="Times New Roman" w:eastAsia="仿宋_GB2312" w:hAnsi="Times New Roman" w:cs="Times New Roman"/>
          <w:sz w:val="32"/>
          <w:szCs w:val="32"/>
        </w:rPr>
        <w:t>HGF</w:t>
      </w:r>
      <w:r w:rsidRPr="0094762A">
        <w:rPr>
          <w:rFonts w:ascii="Times New Roman" w:eastAsia="仿宋_GB2312" w:hAnsi="Times New Roman" w:cs="Times New Roman"/>
          <w:sz w:val="32"/>
          <w:szCs w:val="32"/>
        </w:rPr>
        <w:t>）激活，在肿瘤细胞的生长、增殖、侵袭及抑制细胞凋亡方面发挥重要作用。</w:t>
      </w:r>
      <w:r w:rsidRPr="0094762A">
        <w:rPr>
          <w:rFonts w:ascii="Times New Roman" w:eastAsia="仿宋_GB2312" w:hAnsi="Times New Roman" w:cs="Times New Roman"/>
          <w:sz w:val="32"/>
          <w:szCs w:val="32"/>
        </w:rPr>
        <w:t>c-MET</w:t>
      </w:r>
      <w:r w:rsidRPr="0094762A">
        <w:rPr>
          <w:rFonts w:ascii="Times New Roman" w:eastAsia="仿宋_GB2312" w:hAnsi="Times New Roman" w:cs="Times New Roman"/>
          <w:sz w:val="32"/>
          <w:szCs w:val="32"/>
        </w:rPr>
        <w:t>通路异常激活主要包括</w:t>
      </w:r>
      <w:r w:rsidRPr="0094762A">
        <w:rPr>
          <w:rFonts w:ascii="Times New Roman" w:eastAsia="仿宋_GB2312" w:hAnsi="Times New Roman" w:cs="Times New Roman"/>
          <w:sz w:val="32"/>
          <w:szCs w:val="32"/>
        </w:rPr>
        <w:t>MET 14</w:t>
      </w:r>
      <w:r w:rsidRPr="0094762A">
        <w:rPr>
          <w:rFonts w:ascii="Times New Roman" w:eastAsia="仿宋_GB2312" w:hAnsi="Times New Roman" w:cs="Times New Roman"/>
          <w:sz w:val="32"/>
          <w:szCs w:val="32"/>
        </w:rPr>
        <w:t>号外显子跳跃突变、</w:t>
      </w:r>
      <w:r w:rsidRPr="0094762A">
        <w:rPr>
          <w:rFonts w:ascii="Times New Roman" w:eastAsia="仿宋_GB2312" w:hAnsi="Times New Roman" w:cs="Times New Roman"/>
          <w:sz w:val="32"/>
          <w:szCs w:val="32"/>
        </w:rPr>
        <w:t>MET</w:t>
      </w:r>
      <w:r w:rsidRPr="0094762A">
        <w:rPr>
          <w:rFonts w:ascii="Times New Roman" w:eastAsia="仿宋_GB2312" w:hAnsi="Times New Roman" w:cs="Times New Roman"/>
          <w:sz w:val="32"/>
          <w:szCs w:val="32"/>
        </w:rPr>
        <w:t>扩增和</w:t>
      </w:r>
      <w:r w:rsidRPr="0094762A">
        <w:rPr>
          <w:rFonts w:ascii="Times New Roman" w:eastAsia="仿宋_GB2312" w:hAnsi="Times New Roman" w:cs="Times New Roman"/>
          <w:sz w:val="32"/>
          <w:szCs w:val="32"/>
        </w:rPr>
        <w:t>MET</w:t>
      </w:r>
      <w:r w:rsidRPr="0094762A">
        <w:rPr>
          <w:rFonts w:ascii="Times New Roman" w:eastAsia="仿宋_GB2312" w:hAnsi="Times New Roman" w:cs="Times New Roman"/>
          <w:sz w:val="32"/>
          <w:szCs w:val="32"/>
        </w:rPr>
        <w:t>蛋白过表达</w:t>
      </w:r>
      <w:r w:rsidRPr="0094762A">
        <w:rPr>
          <w:rFonts w:ascii="Times New Roman" w:eastAsia="仿宋_GB2312" w:hAnsi="Times New Roman" w:cs="Times New Roman"/>
          <w:sz w:val="32"/>
          <w:szCs w:val="32"/>
        </w:rPr>
        <w:t>3</w:t>
      </w:r>
      <w:r w:rsidRPr="0094762A">
        <w:rPr>
          <w:rFonts w:ascii="Times New Roman" w:eastAsia="仿宋_GB2312" w:hAnsi="Times New Roman" w:cs="Times New Roman"/>
          <w:sz w:val="32"/>
          <w:szCs w:val="32"/>
        </w:rPr>
        <w:t>种类型。目前已有针对</w:t>
      </w:r>
      <w:r w:rsidRPr="0094762A">
        <w:rPr>
          <w:rFonts w:ascii="Times New Roman" w:eastAsia="仿宋_GB2312" w:hAnsi="Times New Roman" w:cs="Times New Roman"/>
          <w:sz w:val="32"/>
          <w:szCs w:val="32"/>
        </w:rPr>
        <w:t>MET 14</w:t>
      </w:r>
      <w:r w:rsidRPr="0094762A">
        <w:rPr>
          <w:rFonts w:ascii="Times New Roman" w:eastAsia="仿宋_GB2312" w:hAnsi="Times New Roman" w:cs="Times New Roman"/>
          <w:sz w:val="32"/>
          <w:szCs w:val="32"/>
        </w:rPr>
        <w:t>号外显子跳跃突变晚期</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患者的靶向药物获得批准，并且有多个新药已处于临床研究阶段。</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原癌基因位于第</w:t>
      </w:r>
      <w:r w:rsidRPr="0094762A">
        <w:rPr>
          <w:rFonts w:ascii="Times New Roman" w:eastAsia="仿宋_GB2312" w:hAnsi="Times New Roman" w:cs="Times New Roman"/>
          <w:sz w:val="32"/>
          <w:szCs w:val="32"/>
        </w:rPr>
        <w:t>10</w:t>
      </w:r>
      <w:r w:rsidRPr="0094762A">
        <w:rPr>
          <w:rFonts w:ascii="Times New Roman" w:eastAsia="仿宋_GB2312" w:hAnsi="Times New Roman" w:cs="Times New Roman"/>
          <w:sz w:val="32"/>
          <w:szCs w:val="32"/>
        </w:rPr>
        <w:t>号染色体长臂，编码一种具有酪氨酸激酶活性的单次跨膜糖蛋白受体。</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激酶受体可通过细胞内酪氨酸残基的自磷酸化激活，触发包括</w:t>
      </w:r>
      <w:r w:rsidRPr="0094762A">
        <w:rPr>
          <w:rFonts w:ascii="Times New Roman" w:eastAsia="仿宋_GB2312" w:hAnsi="Times New Roman" w:cs="Times New Roman"/>
          <w:sz w:val="32"/>
          <w:szCs w:val="32"/>
        </w:rPr>
        <w:t>RAS-MARK</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PI3K-AKT</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JAK-STAT</w:t>
      </w:r>
      <w:r w:rsidRPr="0094762A">
        <w:rPr>
          <w:rFonts w:ascii="Times New Roman" w:eastAsia="仿宋_GB2312" w:hAnsi="Times New Roman" w:cs="Times New Roman"/>
          <w:sz w:val="32"/>
          <w:szCs w:val="32"/>
        </w:rPr>
        <w:t>等于细胞增殖及存活相关的信号通路。</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基因变异主要有两种形式，点突变及基因融合。</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基因融合常见于</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中的发生率约为</w:t>
      </w:r>
      <w:r w:rsidRPr="0094762A">
        <w:rPr>
          <w:rFonts w:ascii="Times New Roman" w:eastAsia="仿宋_GB2312" w:hAnsi="Times New Roman" w:cs="Times New Roman"/>
          <w:sz w:val="32"/>
          <w:szCs w:val="32"/>
        </w:rPr>
        <w:t>1.4%~2.5%</w:t>
      </w:r>
      <w:r w:rsidRPr="0094762A">
        <w:rPr>
          <w:rFonts w:ascii="Times New Roman" w:eastAsia="仿宋_GB2312" w:hAnsi="Times New Roman" w:cs="Times New Roman"/>
          <w:sz w:val="32"/>
          <w:szCs w:val="32"/>
        </w:rPr>
        <w:t>，其中</w:t>
      </w:r>
      <w:r w:rsidRPr="0094762A">
        <w:rPr>
          <w:rFonts w:ascii="Times New Roman" w:eastAsia="仿宋_GB2312" w:hAnsi="Times New Roman" w:cs="Times New Roman"/>
          <w:sz w:val="32"/>
          <w:szCs w:val="32"/>
        </w:rPr>
        <w:t>KIF5B-RET</w:t>
      </w:r>
      <w:r w:rsidRPr="0094762A">
        <w:rPr>
          <w:rFonts w:ascii="Times New Roman" w:eastAsia="仿宋_GB2312" w:hAnsi="Times New Roman" w:cs="Times New Roman"/>
          <w:sz w:val="32"/>
          <w:szCs w:val="32"/>
        </w:rPr>
        <w:t>为最常见的</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融合，约占</w:t>
      </w:r>
      <w:r w:rsidRPr="0094762A">
        <w:rPr>
          <w:rFonts w:ascii="Times New Roman" w:eastAsia="仿宋_GB2312" w:hAnsi="Times New Roman" w:cs="Times New Roman"/>
          <w:sz w:val="32"/>
          <w:szCs w:val="32"/>
        </w:rPr>
        <w:t>68.3%</w:t>
      </w:r>
      <w:r w:rsidRPr="0094762A">
        <w:rPr>
          <w:rFonts w:ascii="Times New Roman" w:eastAsia="仿宋_GB2312" w:hAnsi="Times New Roman" w:cs="Times New Roman"/>
          <w:sz w:val="32"/>
          <w:szCs w:val="32"/>
        </w:rPr>
        <w:t>，其次为</w:t>
      </w:r>
      <w:r w:rsidRPr="0094762A">
        <w:rPr>
          <w:rFonts w:ascii="Times New Roman" w:eastAsia="仿宋_GB2312" w:hAnsi="Times New Roman" w:cs="Times New Roman"/>
          <w:sz w:val="32"/>
          <w:szCs w:val="32"/>
        </w:rPr>
        <w:t>CCDC6-RET</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16.8%</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NCOA4-RET</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1.2%</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融合基因为靶向药物的研发提供了靶点，目前国内已有针对</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的</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抑制剂获批上市。</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BRAF</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BRAF</w:t>
      </w:r>
      <w:r w:rsidRPr="0094762A">
        <w:rPr>
          <w:rFonts w:ascii="Times New Roman" w:eastAsia="仿宋_GB2312" w:hAnsi="Times New Roman" w:cs="Times New Roman"/>
          <w:sz w:val="32"/>
          <w:szCs w:val="32"/>
        </w:rPr>
        <w:t>突变可导致</w:t>
      </w:r>
      <w:r w:rsidRPr="0094762A">
        <w:rPr>
          <w:rFonts w:ascii="Times New Roman" w:eastAsia="仿宋_GB2312" w:hAnsi="Times New Roman" w:cs="Times New Roman"/>
          <w:sz w:val="32"/>
          <w:szCs w:val="32"/>
        </w:rPr>
        <w:t>MAPK/ERK</w:t>
      </w:r>
      <w:r w:rsidRPr="0094762A">
        <w:rPr>
          <w:rFonts w:ascii="Times New Roman" w:eastAsia="仿宋_GB2312" w:hAnsi="Times New Roman" w:cs="Times New Roman"/>
          <w:sz w:val="32"/>
          <w:szCs w:val="32"/>
        </w:rPr>
        <w:t>信号通路异常活化，在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中突变频率为</w:t>
      </w:r>
      <w:r w:rsidRPr="0094762A">
        <w:rPr>
          <w:rFonts w:ascii="Times New Roman" w:eastAsia="仿宋_GB2312" w:hAnsi="Times New Roman" w:cs="Times New Roman"/>
          <w:sz w:val="32"/>
          <w:szCs w:val="32"/>
        </w:rPr>
        <w:t>1%~2%</w:t>
      </w:r>
      <w:r w:rsidRPr="0094762A">
        <w:rPr>
          <w:rFonts w:ascii="Times New Roman" w:eastAsia="仿宋_GB2312" w:hAnsi="Times New Roman" w:cs="Times New Roman"/>
          <w:sz w:val="32"/>
          <w:szCs w:val="32"/>
        </w:rPr>
        <w:t>，常见突变位型为</w:t>
      </w:r>
      <w:r w:rsidRPr="0094762A">
        <w:rPr>
          <w:rFonts w:ascii="Times New Roman" w:eastAsia="仿宋_GB2312" w:hAnsi="Times New Roman" w:cs="Times New Roman"/>
          <w:sz w:val="32"/>
          <w:szCs w:val="32"/>
        </w:rPr>
        <w:t>V600E</w:t>
      </w:r>
      <w:r w:rsidRPr="0094762A">
        <w:rPr>
          <w:rFonts w:ascii="Times New Roman" w:eastAsia="仿宋_GB2312" w:hAnsi="Times New Roman" w:cs="Times New Roman"/>
          <w:sz w:val="32"/>
          <w:szCs w:val="32"/>
        </w:rPr>
        <w:t>，约占</w:t>
      </w:r>
      <w:r w:rsidRPr="0094762A">
        <w:rPr>
          <w:rFonts w:ascii="Times New Roman" w:eastAsia="仿宋_GB2312" w:hAnsi="Times New Roman" w:cs="Times New Roman"/>
          <w:sz w:val="32"/>
          <w:szCs w:val="32"/>
        </w:rPr>
        <w:t>50%</w:t>
      </w:r>
      <w:r w:rsidRPr="0094762A">
        <w:rPr>
          <w:rFonts w:ascii="Times New Roman" w:eastAsia="仿宋_GB2312" w:hAnsi="Times New Roman" w:cs="Times New Roman"/>
          <w:sz w:val="32"/>
          <w:szCs w:val="32"/>
        </w:rPr>
        <w:t>以上。目前国内已有针对</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的</w:t>
      </w:r>
      <w:r w:rsidRPr="0094762A">
        <w:rPr>
          <w:rFonts w:ascii="Times New Roman" w:eastAsia="仿宋_GB2312" w:hAnsi="Times New Roman" w:cs="Times New Roman"/>
          <w:sz w:val="32"/>
          <w:szCs w:val="32"/>
        </w:rPr>
        <w:t>BRAF</w:t>
      </w:r>
      <w:r w:rsidRPr="0094762A">
        <w:rPr>
          <w:rFonts w:ascii="Times New Roman" w:eastAsia="仿宋_GB2312" w:hAnsi="Times New Roman" w:cs="Times New Roman"/>
          <w:sz w:val="32"/>
          <w:szCs w:val="32"/>
        </w:rPr>
        <w:t>抑制剂获批上市。</w:t>
      </w:r>
    </w:p>
    <w:p w:rsidR="00145319" w:rsidRPr="0094762A" w:rsidRDefault="00D4578C">
      <w:pPr>
        <w:spacing w:line="520" w:lineRule="exact"/>
        <w:ind w:firstLineChars="200" w:firstLine="640"/>
        <w:rPr>
          <w:rFonts w:ascii="Times New Roman" w:eastAsia="仿宋_GB2312" w:hAnsi="Times New Roman" w:cs="Times New Roman"/>
          <w:sz w:val="32"/>
          <w:szCs w:val="32"/>
          <w:highlight w:val="yellow"/>
        </w:rPr>
      </w:pPr>
      <w:r w:rsidRPr="0094762A">
        <w:rPr>
          <w:rFonts w:ascii="Times New Roman" w:eastAsia="仿宋_GB2312" w:hAnsi="Times New Roman" w:cs="Times New Roman"/>
          <w:sz w:val="32"/>
          <w:szCs w:val="32"/>
        </w:rPr>
        <w:t>KRAS</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KRAS</w:t>
      </w:r>
      <w:r w:rsidRPr="0094762A">
        <w:rPr>
          <w:rFonts w:ascii="Times New Roman" w:eastAsia="仿宋_GB2312" w:hAnsi="Times New Roman" w:cs="Times New Roman"/>
          <w:sz w:val="32"/>
          <w:szCs w:val="32"/>
        </w:rPr>
        <w:t>在亚洲人群中突变率为</w:t>
      </w:r>
      <w:r w:rsidRPr="0094762A">
        <w:rPr>
          <w:rFonts w:ascii="Times New Roman" w:eastAsia="仿宋_GB2312" w:hAnsi="Times New Roman" w:cs="Times New Roman"/>
          <w:sz w:val="32"/>
          <w:szCs w:val="32"/>
        </w:rPr>
        <w:t>8%~10%</w:t>
      </w:r>
      <w:r w:rsidRPr="0094762A">
        <w:rPr>
          <w:rFonts w:ascii="Times New Roman" w:eastAsia="仿宋_GB2312" w:hAnsi="Times New Roman" w:cs="Times New Roman"/>
          <w:sz w:val="32"/>
          <w:szCs w:val="32"/>
        </w:rPr>
        <w:t>，突变位点位于</w:t>
      </w:r>
      <w:r w:rsidRPr="0094762A">
        <w:rPr>
          <w:rFonts w:ascii="Times New Roman" w:eastAsia="仿宋_GB2312" w:hAnsi="Times New Roman" w:cs="Times New Roman"/>
          <w:sz w:val="32"/>
          <w:szCs w:val="32"/>
        </w:rPr>
        <w:t>2</w:t>
      </w:r>
      <w:r w:rsidRPr="0094762A">
        <w:rPr>
          <w:rFonts w:ascii="Times New Roman" w:eastAsia="仿宋_GB2312" w:hAnsi="Times New Roman" w:cs="Times New Roman"/>
          <w:sz w:val="32"/>
          <w:szCs w:val="32"/>
        </w:rPr>
        <w:t>号及</w:t>
      </w:r>
      <w:r w:rsidRPr="0094762A">
        <w:rPr>
          <w:rFonts w:ascii="Times New Roman" w:eastAsia="仿宋_GB2312" w:hAnsi="Times New Roman" w:cs="Times New Roman"/>
          <w:sz w:val="32"/>
          <w:szCs w:val="32"/>
        </w:rPr>
        <w:t>3</w:t>
      </w:r>
      <w:r w:rsidRPr="0094762A">
        <w:rPr>
          <w:rFonts w:ascii="Times New Roman" w:eastAsia="仿宋_GB2312" w:hAnsi="Times New Roman" w:cs="Times New Roman"/>
          <w:sz w:val="32"/>
          <w:szCs w:val="32"/>
        </w:rPr>
        <w:t>号外显子。研究表明，由于重叠靶向变异的可能性较低，</w:t>
      </w:r>
      <w:r w:rsidRPr="0094762A">
        <w:rPr>
          <w:rFonts w:ascii="Times New Roman" w:eastAsia="仿宋_GB2312" w:hAnsi="Times New Roman" w:cs="Times New Roman"/>
          <w:sz w:val="32"/>
          <w:szCs w:val="32"/>
        </w:rPr>
        <w:t>KRAS</w:t>
      </w:r>
      <w:r w:rsidRPr="0094762A">
        <w:rPr>
          <w:rFonts w:ascii="Times New Roman" w:eastAsia="仿宋_GB2312" w:hAnsi="Times New Roman" w:cs="Times New Roman"/>
          <w:sz w:val="32"/>
          <w:szCs w:val="32"/>
        </w:rPr>
        <w:t>中存在已知激活突变可以帮助识别出不太可能因进一步分子检测受益的患者。</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ERBB2</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HER2</w:t>
      </w:r>
      <w:r w:rsidRPr="0094762A">
        <w:rPr>
          <w:rFonts w:ascii="Times New Roman" w:eastAsia="仿宋_GB2312" w:hAnsi="Times New Roman" w:cs="Times New Roman"/>
          <w:sz w:val="32"/>
          <w:szCs w:val="32"/>
        </w:rPr>
        <w:t>）：</w:t>
      </w:r>
      <w:r w:rsidRPr="0094762A">
        <w:rPr>
          <w:rFonts w:ascii="Times New Roman" w:eastAsia="仿宋_GB2312" w:hAnsi="Times New Roman" w:cs="Times New Roman"/>
          <w:sz w:val="32"/>
          <w:szCs w:val="32"/>
        </w:rPr>
        <w:t>HER2</w:t>
      </w:r>
      <w:r w:rsidRPr="0094762A">
        <w:rPr>
          <w:rFonts w:ascii="Times New Roman" w:eastAsia="仿宋_GB2312" w:hAnsi="Times New Roman" w:cs="Times New Roman"/>
          <w:sz w:val="32"/>
          <w:szCs w:val="32"/>
        </w:rPr>
        <w:t>是酪氨酸激酶受体</w:t>
      </w:r>
      <w:r w:rsidRPr="0094762A">
        <w:rPr>
          <w:rFonts w:ascii="Times New Roman" w:eastAsia="仿宋_GB2312" w:hAnsi="Times New Roman" w:cs="Times New Roman"/>
          <w:sz w:val="32"/>
          <w:szCs w:val="32"/>
        </w:rPr>
        <w:t>ERBB</w:t>
      </w:r>
      <w:r w:rsidRPr="0094762A">
        <w:rPr>
          <w:rFonts w:ascii="Times New Roman" w:eastAsia="仿宋_GB2312" w:hAnsi="Times New Roman" w:cs="Times New Roman"/>
          <w:sz w:val="32"/>
          <w:szCs w:val="32"/>
        </w:rPr>
        <w:t>家族成</w:t>
      </w:r>
      <w:r w:rsidRPr="0094762A">
        <w:rPr>
          <w:rFonts w:ascii="Times New Roman" w:eastAsia="仿宋_GB2312" w:hAnsi="Times New Roman" w:cs="Times New Roman"/>
          <w:sz w:val="32"/>
          <w:szCs w:val="32"/>
        </w:rPr>
        <w:lastRenderedPageBreak/>
        <w:t>员之一，在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中最常见的突变是</w:t>
      </w:r>
      <w:r w:rsidRPr="0094762A">
        <w:rPr>
          <w:rFonts w:ascii="Times New Roman" w:eastAsia="仿宋_GB2312" w:hAnsi="Times New Roman" w:cs="Times New Roman"/>
          <w:sz w:val="32"/>
          <w:szCs w:val="32"/>
        </w:rPr>
        <w:t>20</w:t>
      </w:r>
      <w:r w:rsidRPr="0094762A">
        <w:rPr>
          <w:rFonts w:ascii="Times New Roman" w:eastAsia="仿宋_GB2312" w:hAnsi="Times New Roman" w:cs="Times New Roman"/>
          <w:sz w:val="32"/>
          <w:szCs w:val="32"/>
        </w:rPr>
        <w:t>号外显子插入突变，在</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中的突变率为</w:t>
      </w:r>
      <w:r w:rsidRPr="0094762A">
        <w:rPr>
          <w:rFonts w:ascii="Times New Roman" w:eastAsia="仿宋_GB2312" w:hAnsi="Times New Roman" w:cs="Times New Roman"/>
          <w:sz w:val="32"/>
          <w:szCs w:val="32"/>
        </w:rPr>
        <w:t>2%~4%</w:t>
      </w:r>
      <w:r w:rsidRPr="0094762A">
        <w:rPr>
          <w:rFonts w:ascii="Times New Roman" w:eastAsia="仿宋_GB2312" w:hAnsi="Times New Roman" w:cs="Times New Roman"/>
          <w:sz w:val="32"/>
          <w:szCs w:val="32"/>
        </w:rPr>
        <w:t>。研究显示，小分子</w:t>
      </w:r>
      <w:r w:rsidRPr="0094762A">
        <w:rPr>
          <w:rFonts w:ascii="Times New Roman" w:eastAsia="仿宋_GB2312" w:hAnsi="Times New Roman" w:cs="Times New Roman"/>
          <w:sz w:val="32"/>
          <w:szCs w:val="32"/>
        </w:rPr>
        <w:t>TKI</w:t>
      </w:r>
      <w:r w:rsidRPr="0094762A">
        <w:rPr>
          <w:rFonts w:ascii="Times New Roman" w:eastAsia="仿宋_GB2312" w:hAnsi="Times New Roman" w:cs="Times New Roman"/>
          <w:sz w:val="32"/>
          <w:szCs w:val="32"/>
        </w:rPr>
        <w:t>对</w:t>
      </w:r>
      <w:r w:rsidRPr="0094762A">
        <w:rPr>
          <w:rFonts w:ascii="Times New Roman" w:eastAsia="仿宋_GB2312" w:hAnsi="Times New Roman" w:cs="Times New Roman"/>
          <w:sz w:val="32"/>
          <w:szCs w:val="32"/>
        </w:rPr>
        <w:t>HER2</w:t>
      </w:r>
      <w:r w:rsidRPr="0094762A">
        <w:rPr>
          <w:rFonts w:ascii="Times New Roman" w:eastAsia="仿宋_GB2312" w:hAnsi="Times New Roman" w:cs="Times New Roman"/>
          <w:sz w:val="32"/>
          <w:szCs w:val="32"/>
        </w:rPr>
        <w:t>突变型的晚期</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患者的疗效不佳。</w:t>
      </w:r>
    </w:p>
    <w:p w:rsidR="00145319" w:rsidRPr="0094762A" w:rsidRDefault="00D4578C">
      <w:pPr>
        <w:spacing w:line="520" w:lineRule="exact"/>
        <w:ind w:firstLineChars="200" w:firstLine="640"/>
        <w:rPr>
          <w:rFonts w:ascii="Times New Roman" w:eastAsia="仿宋_GB2312" w:hAnsi="Times New Roman" w:cs="Times New Roman"/>
          <w:sz w:val="32"/>
          <w:szCs w:val="32"/>
        </w:rPr>
      </w:pPr>
      <w:r w:rsidRPr="0094762A">
        <w:rPr>
          <w:rFonts w:ascii="Times New Roman" w:eastAsia="仿宋_GB2312" w:hAnsi="Times New Roman" w:cs="Times New Roman"/>
          <w:sz w:val="32"/>
          <w:szCs w:val="32"/>
        </w:rPr>
        <w:t>基于</w:t>
      </w:r>
      <w:r w:rsidRPr="0094762A">
        <w:rPr>
          <w:rFonts w:ascii="Times New Roman" w:eastAsia="仿宋_GB2312" w:hAnsi="Times New Roman" w:cs="Times New Roman"/>
          <w:sz w:val="32"/>
          <w:szCs w:val="32"/>
        </w:rPr>
        <w:t>NGS</w:t>
      </w:r>
      <w:r w:rsidRPr="0094762A">
        <w:rPr>
          <w:rFonts w:ascii="Times New Roman" w:eastAsia="仿宋_GB2312" w:hAnsi="Times New Roman" w:cs="Times New Roman"/>
          <w:sz w:val="32"/>
          <w:szCs w:val="32"/>
        </w:rPr>
        <w:t>技术高通量的特点，并且可检测的变异类型多样</w:t>
      </w:r>
      <w:r w:rsidRPr="0094762A">
        <w:rPr>
          <w:rFonts w:ascii="Times New Roman" w:eastAsia="仿宋_GB2312" w:hAnsi="Times New Roman" w:cs="Times New Roman"/>
          <w:sz w:val="32"/>
          <w:szCs w:val="32"/>
        </w:rPr>
        <w:t xml:space="preserve">, </w:t>
      </w:r>
      <w:r w:rsidRPr="0094762A">
        <w:rPr>
          <w:rFonts w:ascii="Times New Roman" w:eastAsia="仿宋_GB2312" w:hAnsi="Times New Roman" w:cs="Times New Roman"/>
          <w:sz w:val="32"/>
          <w:szCs w:val="32"/>
        </w:rPr>
        <w:t>随着研究的深入，会有越来越多的具有临床意义的基因变异被发现。目前在</w:t>
      </w:r>
      <w:r w:rsidRPr="0094762A">
        <w:rPr>
          <w:rFonts w:ascii="Times New Roman" w:eastAsia="仿宋_GB2312" w:hAnsi="Times New Roman" w:cs="Times New Roman"/>
          <w:sz w:val="32"/>
          <w:szCs w:val="32"/>
        </w:rPr>
        <w:t>NCCN</w:t>
      </w:r>
      <w:r w:rsidRPr="0094762A">
        <w:rPr>
          <w:rFonts w:ascii="Times New Roman" w:eastAsia="仿宋_GB2312" w:hAnsi="Times New Roman" w:cs="Times New Roman"/>
          <w:sz w:val="32"/>
          <w:szCs w:val="32"/>
        </w:rPr>
        <w:t>及我国相关非小细胞肺癌诊疗指南中推荐检测的主要为以上基因变异，考虑到中国</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患者特有的基因变异频率、药物在中国的获批适应证及药物可及性，</w:t>
      </w:r>
      <w:r w:rsidRPr="0094762A">
        <w:rPr>
          <w:rFonts w:ascii="Times New Roman" w:eastAsia="仿宋_GB2312" w:hAnsi="Times New Roman" w:cs="Times New Roman"/>
          <w:sz w:val="32"/>
          <w:szCs w:val="32"/>
        </w:rPr>
        <w:t>CSCO NSCLC</w:t>
      </w:r>
      <w:r w:rsidRPr="0094762A">
        <w:rPr>
          <w:rFonts w:ascii="Times New Roman" w:eastAsia="仿宋_GB2312" w:hAnsi="Times New Roman" w:cs="Times New Roman"/>
          <w:sz w:val="32"/>
          <w:szCs w:val="32"/>
        </w:rPr>
        <w:t>诊疗指南（</w:t>
      </w:r>
      <w:r w:rsidRPr="0094762A">
        <w:rPr>
          <w:rFonts w:ascii="Times New Roman" w:eastAsia="仿宋_GB2312" w:hAnsi="Times New Roman" w:cs="Times New Roman"/>
          <w:sz w:val="32"/>
          <w:szCs w:val="32"/>
        </w:rPr>
        <w:t>2023</w:t>
      </w:r>
      <w:r w:rsidRPr="0094762A">
        <w:rPr>
          <w:rFonts w:ascii="Times New Roman" w:eastAsia="仿宋_GB2312" w:hAnsi="Times New Roman" w:cs="Times New Roman"/>
          <w:sz w:val="32"/>
          <w:szCs w:val="32"/>
        </w:rPr>
        <w:t>）中对不可手术的晚期</w:t>
      </w:r>
      <w:r w:rsidRPr="0094762A">
        <w:rPr>
          <w:rFonts w:ascii="Times New Roman" w:eastAsia="仿宋_GB2312" w:hAnsi="Times New Roman" w:cs="Times New Roman"/>
          <w:sz w:val="32"/>
          <w:szCs w:val="32"/>
        </w:rPr>
        <w:t>NSCLC</w:t>
      </w:r>
      <w:r w:rsidRPr="0094762A">
        <w:rPr>
          <w:rFonts w:ascii="Times New Roman" w:eastAsia="仿宋_GB2312" w:hAnsi="Times New Roman" w:cs="Times New Roman"/>
          <w:sz w:val="32"/>
          <w:szCs w:val="32"/>
        </w:rPr>
        <w:t>患者，检测分子标志物</w:t>
      </w:r>
      <w:r w:rsidRPr="0094762A">
        <w:rPr>
          <w:rFonts w:ascii="Times New Roman" w:eastAsia="仿宋_GB2312" w:hAnsi="Times New Roman" w:cs="Times New Roman"/>
          <w:sz w:val="32"/>
          <w:szCs w:val="32"/>
        </w:rPr>
        <w:t>EGFR</w:t>
      </w:r>
      <w:r w:rsidRPr="0094762A">
        <w:rPr>
          <w:rFonts w:ascii="Times New Roman" w:eastAsia="仿宋_GB2312" w:hAnsi="Times New Roman" w:cs="Times New Roman"/>
          <w:sz w:val="32"/>
          <w:szCs w:val="32"/>
        </w:rPr>
        <w:t>突变、</w:t>
      </w:r>
      <w:r w:rsidRPr="0094762A">
        <w:rPr>
          <w:rFonts w:ascii="Times New Roman" w:eastAsia="仿宋_GB2312" w:hAnsi="Times New Roman" w:cs="Times New Roman"/>
          <w:sz w:val="32"/>
          <w:szCs w:val="32"/>
        </w:rPr>
        <w:t>ALK</w:t>
      </w:r>
      <w:r w:rsidRPr="0094762A">
        <w:rPr>
          <w:rFonts w:ascii="Times New Roman" w:eastAsia="仿宋_GB2312" w:hAnsi="Times New Roman" w:cs="Times New Roman"/>
          <w:sz w:val="32"/>
          <w:szCs w:val="32"/>
        </w:rPr>
        <w:t>融合、</w:t>
      </w:r>
      <w:r w:rsidRPr="0094762A">
        <w:rPr>
          <w:rFonts w:ascii="Times New Roman" w:eastAsia="仿宋_GB2312" w:hAnsi="Times New Roman" w:cs="Times New Roman"/>
          <w:sz w:val="32"/>
          <w:szCs w:val="32"/>
        </w:rPr>
        <w:t>ROS1</w:t>
      </w:r>
      <w:r w:rsidRPr="0094762A">
        <w:rPr>
          <w:rFonts w:ascii="Times New Roman" w:eastAsia="仿宋_GB2312" w:hAnsi="Times New Roman" w:cs="Times New Roman"/>
          <w:sz w:val="32"/>
          <w:szCs w:val="32"/>
        </w:rPr>
        <w:t>融合、</w:t>
      </w:r>
      <w:r w:rsidRPr="0094762A">
        <w:rPr>
          <w:rFonts w:ascii="Times New Roman" w:eastAsia="仿宋_GB2312" w:hAnsi="Times New Roman" w:cs="Times New Roman"/>
          <w:sz w:val="32"/>
          <w:szCs w:val="32"/>
        </w:rPr>
        <w:t>RET</w:t>
      </w:r>
      <w:r w:rsidRPr="0094762A">
        <w:rPr>
          <w:rFonts w:ascii="Times New Roman" w:eastAsia="仿宋_GB2312" w:hAnsi="Times New Roman" w:cs="Times New Roman"/>
          <w:sz w:val="32"/>
          <w:szCs w:val="32"/>
        </w:rPr>
        <w:t>融合、</w:t>
      </w:r>
      <w:r w:rsidRPr="0094762A">
        <w:rPr>
          <w:rFonts w:ascii="Times New Roman" w:eastAsia="仿宋_GB2312" w:hAnsi="Times New Roman" w:cs="Times New Roman"/>
          <w:sz w:val="32"/>
          <w:szCs w:val="32"/>
        </w:rPr>
        <w:t>MET 14</w:t>
      </w:r>
      <w:r w:rsidRPr="0094762A">
        <w:rPr>
          <w:rFonts w:ascii="Times New Roman" w:eastAsia="仿宋_GB2312" w:hAnsi="Times New Roman" w:cs="Times New Roman"/>
          <w:sz w:val="32"/>
          <w:szCs w:val="32"/>
        </w:rPr>
        <w:t>外显子跳跃突变、</w:t>
      </w:r>
      <w:r w:rsidRPr="0094762A">
        <w:rPr>
          <w:rFonts w:ascii="Times New Roman" w:eastAsia="仿宋_GB2312" w:hAnsi="Times New Roman" w:cs="Times New Roman"/>
          <w:sz w:val="32"/>
          <w:szCs w:val="32"/>
        </w:rPr>
        <w:t>BRAF V600</w:t>
      </w:r>
      <w:r w:rsidRPr="0094762A">
        <w:rPr>
          <w:rFonts w:ascii="Times New Roman" w:eastAsia="仿宋_GB2312" w:hAnsi="Times New Roman" w:cs="Times New Roman"/>
          <w:sz w:val="32"/>
          <w:szCs w:val="32"/>
        </w:rPr>
        <w:t>突变、</w:t>
      </w:r>
      <w:r w:rsidRPr="0094762A">
        <w:rPr>
          <w:rFonts w:ascii="Times New Roman" w:eastAsia="仿宋_GB2312" w:hAnsi="Times New Roman" w:cs="Times New Roman"/>
          <w:sz w:val="32"/>
          <w:szCs w:val="32"/>
        </w:rPr>
        <w:t>NTRK</w:t>
      </w:r>
      <w:r w:rsidRPr="0094762A">
        <w:rPr>
          <w:rFonts w:ascii="Times New Roman" w:eastAsia="仿宋_GB2312" w:hAnsi="Times New Roman" w:cs="Times New Roman"/>
          <w:sz w:val="32"/>
          <w:szCs w:val="32"/>
        </w:rPr>
        <w:t>融合作为</w:t>
      </w:r>
      <w:r w:rsidR="001969B3">
        <w:rPr>
          <w:rFonts w:ascii="仿宋_GB2312" w:eastAsia="仿宋_GB2312" w:hAnsi="Times New Roman" w:cs="Times New Roman" w:hint="eastAsia"/>
          <w:sz w:val="32"/>
          <w:szCs w:val="32"/>
        </w:rPr>
        <w:t>Ⅰ</w:t>
      </w:r>
      <w:bookmarkStart w:id="0" w:name="_GoBack"/>
      <w:bookmarkEnd w:id="0"/>
      <w:r w:rsidRPr="0094762A">
        <w:rPr>
          <w:rFonts w:ascii="Times New Roman" w:eastAsia="仿宋_GB2312" w:hAnsi="Times New Roman" w:cs="Times New Roman"/>
          <w:sz w:val="32"/>
          <w:szCs w:val="32"/>
        </w:rPr>
        <w:t>级推荐。相关的专家共识中亦建议至少应同时检测</w:t>
      </w:r>
      <w:r w:rsidRPr="0094762A">
        <w:rPr>
          <w:rFonts w:ascii="Times New Roman" w:eastAsia="仿宋_GB2312" w:hAnsi="Times New Roman" w:cs="Times New Roman"/>
          <w:sz w:val="32"/>
          <w:szCs w:val="32"/>
        </w:rPr>
        <w:t>EGFR</w:t>
      </w:r>
      <w:r w:rsidRPr="0094762A">
        <w:rPr>
          <w:rFonts w:ascii="Times New Roman" w:eastAsia="仿宋_GB2312" w:hAnsi="Times New Roman" w:cs="Times New Roman"/>
          <w:sz w:val="32"/>
          <w:szCs w:val="32"/>
        </w:rPr>
        <w:t>突变、</w:t>
      </w:r>
      <w:r w:rsidRPr="0094762A">
        <w:rPr>
          <w:rFonts w:ascii="Times New Roman" w:eastAsia="仿宋_GB2312" w:hAnsi="Times New Roman" w:cs="Times New Roman"/>
          <w:sz w:val="32"/>
          <w:szCs w:val="32"/>
        </w:rPr>
        <w:t>ALK</w:t>
      </w:r>
      <w:r w:rsidRPr="0094762A">
        <w:rPr>
          <w:rFonts w:ascii="Times New Roman" w:eastAsia="仿宋_GB2312" w:hAnsi="Times New Roman" w:cs="Times New Roman"/>
          <w:sz w:val="32"/>
          <w:szCs w:val="32"/>
        </w:rPr>
        <w:t>融合和</w:t>
      </w:r>
      <w:r w:rsidRPr="0094762A">
        <w:rPr>
          <w:rFonts w:ascii="Times New Roman" w:eastAsia="仿宋_GB2312" w:hAnsi="Times New Roman" w:cs="Times New Roman"/>
          <w:sz w:val="32"/>
          <w:szCs w:val="32"/>
        </w:rPr>
        <w:t>ROS1</w:t>
      </w:r>
      <w:r w:rsidRPr="0094762A">
        <w:rPr>
          <w:rFonts w:ascii="Times New Roman" w:eastAsia="仿宋_GB2312" w:hAnsi="Times New Roman" w:cs="Times New Roman"/>
          <w:sz w:val="32"/>
          <w:szCs w:val="32"/>
        </w:rPr>
        <w:t>融合三种形式的基因变异。</w:t>
      </w:r>
    </w:p>
    <w:sectPr w:rsidR="00145319" w:rsidRPr="0094762A" w:rsidSect="00F36A13">
      <w:footerReference w:type="even" r:id="rId9"/>
      <w:footerReference w:type="default" r:id="rId10"/>
      <w:pgSz w:w="11906" w:h="16838"/>
      <w:pgMar w:top="1701" w:right="1588" w:bottom="1701" w:left="1588"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0DE" w:rsidRDefault="009060DE">
      <w:r>
        <w:separator/>
      </w:r>
    </w:p>
  </w:endnote>
  <w:endnote w:type="continuationSeparator" w:id="0">
    <w:p w:rsidR="009060DE" w:rsidRDefault="0090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474" w:rsidRDefault="00A35474" w:rsidP="00A35474">
    <w:pPr>
      <w:pStyle w:val="a9"/>
      <w:ind w:right="1120"/>
    </w:pPr>
    <w:r w:rsidRPr="00F36A13">
      <w:rPr>
        <w:rFonts w:ascii="Times New Roman" w:hAnsi="Times New Roman" w:cs="Times New Roman"/>
        <w:sz w:val="28"/>
        <w:szCs w:val="28"/>
      </w:rPr>
      <w:t xml:space="preserve">— </w:t>
    </w:r>
    <w:sdt>
      <w:sdtPr>
        <w:rPr>
          <w:rFonts w:ascii="Times New Roman" w:hAnsi="Times New Roman" w:cs="Times New Roman"/>
          <w:sz w:val="28"/>
          <w:szCs w:val="28"/>
        </w:rPr>
        <w:id w:val="1066531994"/>
        <w:docPartObj>
          <w:docPartGallery w:val="Page Numbers (Bottom of Page)"/>
          <w:docPartUnique/>
        </w:docPartObj>
      </w:sdtPr>
      <w:sdtEndPr>
        <w:rPr>
          <w:rFonts w:asciiTheme="minorHAnsi" w:hAnsiTheme="minorHAnsi" w:cstheme="minorBidi"/>
        </w:rPr>
      </w:sdtEndPr>
      <w:sdtContent>
        <w:r w:rsidRPr="00F36A13">
          <w:rPr>
            <w:rFonts w:ascii="Times New Roman" w:hAnsi="Times New Roman" w:cs="Times New Roman"/>
            <w:sz w:val="28"/>
            <w:szCs w:val="28"/>
          </w:rPr>
          <w:fldChar w:fldCharType="begin"/>
        </w:r>
        <w:r w:rsidRPr="00F36A13">
          <w:rPr>
            <w:rFonts w:ascii="Times New Roman" w:hAnsi="Times New Roman" w:cs="Times New Roman"/>
            <w:sz w:val="28"/>
            <w:szCs w:val="28"/>
          </w:rPr>
          <w:instrText>PAGE   \* MERGEFORMAT</w:instrText>
        </w:r>
        <w:r w:rsidRPr="00F36A13">
          <w:rPr>
            <w:rFonts w:ascii="Times New Roman" w:hAnsi="Times New Roman" w:cs="Times New Roman"/>
            <w:sz w:val="28"/>
            <w:szCs w:val="28"/>
          </w:rPr>
          <w:fldChar w:fldCharType="separate"/>
        </w:r>
        <w:r w:rsidR="001969B3">
          <w:rPr>
            <w:rFonts w:ascii="Times New Roman" w:hAnsi="Times New Roman" w:cs="Times New Roman"/>
            <w:noProof/>
            <w:sz w:val="28"/>
            <w:szCs w:val="28"/>
          </w:rPr>
          <w:t>14</w:t>
        </w:r>
        <w:r w:rsidRPr="00F36A13">
          <w:rPr>
            <w:rFonts w:ascii="Times New Roman" w:hAnsi="Times New Roman" w:cs="Times New Roman"/>
            <w:sz w:val="28"/>
            <w:szCs w:val="28"/>
          </w:rPr>
          <w:fldChar w:fldCharType="end"/>
        </w:r>
        <w:r w:rsidRPr="00F36A13">
          <w:rPr>
            <w:rFonts w:ascii="Times New Roman" w:hAnsi="Times New Roman" w:cs="Times New Roman"/>
            <w:sz w:val="28"/>
            <w:szCs w:val="28"/>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319" w:rsidRPr="00F36A13" w:rsidRDefault="00A35474" w:rsidP="00A35474">
    <w:pPr>
      <w:pStyle w:val="a9"/>
      <w:jc w:val="right"/>
      <w:rPr>
        <w:rFonts w:ascii="Times New Roman" w:hAnsi="Times New Roman" w:cs="Times New Roman"/>
      </w:rPr>
    </w:pPr>
    <w:r w:rsidRPr="00F36A13">
      <w:rPr>
        <w:rFonts w:ascii="Times New Roman" w:hAnsi="Times New Roman" w:cs="Times New Roman"/>
        <w:sz w:val="28"/>
        <w:szCs w:val="28"/>
      </w:rPr>
      <w:t xml:space="preserve">— </w:t>
    </w:r>
    <w:sdt>
      <w:sdtPr>
        <w:rPr>
          <w:rFonts w:ascii="Times New Roman" w:hAnsi="Times New Roman" w:cs="Times New Roman"/>
          <w:sz w:val="28"/>
          <w:szCs w:val="28"/>
        </w:rPr>
        <w:id w:val="-916402484"/>
        <w:docPartObj>
          <w:docPartGallery w:val="Page Numbers (Bottom of Page)"/>
          <w:docPartUnique/>
        </w:docPartObj>
      </w:sdtPr>
      <w:sdtEndPr/>
      <w:sdtContent>
        <w:r w:rsidRPr="00F36A13">
          <w:rPr>
            <w:rFonts w:ascii="Times New Roman" w:hAnsi="Times New Roman" w:cs="Times New Roman"/>
            <w:sz w:val="28"/>
            <w:szCs w:val="28"/>
          </w:rPr>
          <w:fldChar w:fldCharType="begin"/>
        </w:r>
        <w:r w:rsidRPr="00F36A13">
          <w:rPr>
            <w:rFonts w:ascii="Times New Roman" w:hAnsi="Times New Roman" w:cs="Times New Roman"/>
            <w:sz w:val="28"/>
            <w:szCs w:val="28"/>
          </w:rPr>
          <w:instrText>PAGE   \* MERGEFORMAT</w:instrText>
        </w:r>
        <w:r w:rsidRPr="00F36A13">
          <w:rPr>
            <w:rFonts w:ascii="Times New Roman" w:hAnsi="Times New Roman" w:cs="Times New Roman"/>
            <w:sz w:val="28"/>
            <w:szCs w:val="28"/>
          </w:rPr>
          <w:fldChar w:fldCharType="separate"/>
        </w:r>
        <w:r w:rsidR="001969B3">
          <w:rPr>
            <w:rFonts w:ascii="Times New Roman" w:hAnsi="Times New Roman" w:cs="Times New Roman"/>
            <w:noProof/>
            <w:sz w:val="28"/>
            <w:szCs w:val="28"/>
          </w:rPr>
          <w:t>13</w:t>
        </w:r>
        <w:r w:rsidRPr="00F36A13">
          <w:rPr>
            <w:rFonts w:ascii="Times New Roman" w:hAnsi="Times New Roman" w:cs="Times New Roman"/>
            <w:sz w:val="28"/>
            <w:szCs w:val="28"/>
          </w:rPr>
          <w:fldChar w:fldCharType="end"/>
        </w:r>
        <w:r w:rsidRPr="00F36A13">
          <w:rPr>
            <w:rFonts w:ascii="Times New Roman" w:hAnsi="Times New Roman" w:cs="Times New Roman"/>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0DE" w:rsidRDefault="009060DE">
      <w:r>
        <w:separator/>
      </w:r>
    </w:p>
  </w:footnote>
  <w:footnote w:type="continuationSeparator" w:id="0">
    <w:p w:rsidR="009060DE" w:rsidRDefault="009060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yNWZlYjcxMzA4MWExZWQ1Mjg5Njg5N2I3MjcxNjkifQ=="/>
  </w:docVars>
  <w:rsids>
    <w:rsidRoot w:val="00EA2B2D"/>
    <w:rsid w:val="0000013F"/>
    <w:rsid w:val="00002E0D"/>
    <w:rsid w:val="000044A2"/>
    <w:rsid w:val="000062B1"/>
    <w:rsid w:val="00011CD4"/>
    <w:rsid w:val="000137BD"/>
    <w:rsid w:val="000225BC"/>
    <w:rsid w:val="000304CA"/>
    <w:rsid w:val="00033F66"/>
    <w:rsid w:val="00042CA6"/>
    <w:rsid w:val="00044EF0"/>
    <w:rsid w:val="0004547C"/>
    <w:rsid w:val="00051090"/>
    <w:rsid w:val="0008627C"/>
    <w:rsid w:val="000921C0"/>
    <w:rsid w:val="000924CA"/>
    <w:rsid w:val="00094E37"/>
    <w:rsid w:val="000A3E78"/>
    <w:rsid w:val="000B0628"/>
    <w:rsid w:val="000B168E"/>
    <w:rsid w:val="000B7D1D"/>
    <w:rsid w:val="000C461B"/>
    <w:rsid w:val="000C5BE4"/>
    <w:rsid w:val="000C7030"/>
    <w:rsid w:val="000C7368"/>
    <w:rsid w:val="000D3E94"/>
    <w:rsid w:val="000D4050"/>
    <w:rsid w:val="000D67D7"/>
    <w:rsid w:val="000D6C06"/>
    <w:rsid w:val="000E4FAC"/>
    <w:rsid w:val="000F24E3"/>
    <w:rsid w:val="000F26F4"/>
    <w:rsid w:val="000F27BE"/>
    <w:rsid w:val="000F3DF9"/>
    <w:rsid w:val="000F4F8E"/>
    <w:rsid w:val="000F4FB9"/>
    <w:rsid w:val="001024D5"/>
    <w:rsid w:val="00106BF2"/>
    <w:rsid w:val="001223A9"/>
    <w:rsid w:val="001267B2"/>
    <w:rsid w:val="001271B9"/>
    <w:rsid w:val="0013073A"/>
    <w:rsid w:val="0013414B"/>
    <w:rsid w:val="001356FC"/>
    <w:rsid w:val="00135AF8"/>
    <w:rsid w:val="001360BD"/>
    <w:rsid w:val="001367A3"/>
    <w:rsid w:val="00137FB5"/>
    <w:rsid w:val="00145319"/>
    <w:rsid w:val="0015058D"/>
    <w:rsid w:val="0016479C"/>
    <w:rsid w:val="00170355"/>
    <w:rsid w:val="001762C3"/>
    <w:rsid w:val="00176759"/>
    <w:rsid w:val="001845B5"/>
    <w:rsid w:val="001912E3"/>
    <w:rsid w:val="00191551"/>
    <w:rsid w:val="00192BFD"/>
    <w:rsid w:val="001969B3"/>
    <w:rsid w:val="00197A11"/>
    <w:rsid w:val="001A2BF0"/>
    <w:rsid w:val="001B3113"/>
    <w:rsid w:val="001C2FD9"/>
    <w:rsid w:val="001D0542"/>
    <w:rsid w:val="001D2683"/>
    <w:rsid w:val="001D2CA4"/>
    <w:rsid w:val="001D584F"/>
    <w:rsid w:val="001D5EC9"/>
    <w:rsid w:val="001D6120"/>
    <w:rsid w:val="001E1C11"/>
    <w:rsid w:val="001F2239"/>
    <w:rsid w:val="001F4307"/>
    <w:rsid w:val="001F6081"/>
    <w:rsid w:val="0020586A"/>
    <w:rsid w:val="00205AC3"/>
    <w:rsid w:val="00206637"/>
    <w:rsid w:val="0021373C"/>
    <w:rsid w:val="00215A7E"/>
    <w:rsid w:val="002165BD"/>
    <w:rsid w:val="002169AD"/>
    <w:rsid w:val="00220BE0"/>
    <w:rsid w:val="00235C13"/>
    <w:rsid w:val="00244947"/>
    <w:rsid w:val="002472FF"/>
    <w:rsid w:val="00266D82"/>
    <w:rsid w:val="0026716E"/>
    <w:rsid w:val="00281DFF"/>
    <w:rsid w:val="00294717"/>
    <w:rsid w:val="002958AF"/>
    <w:rsid w:val="002A4A30"/>
    <w:rsid w:val="002A7D0D"/>
    <w:rsid w:val="002B0B2B"/>
    <w:rsid w:val="002C025F"/>
    <w:rsid w:val="002C1E02"/>
    <w:rsid w:val="002C5A58"/>
    <w:rsid w:val="002C60F1"/>
    <w:rsid w:val="002D0854"/>
    <w:rsid w:val="002D0A1C"/>
    <w:rsid w:val="002E74EC"/>
    <w:rsid w:val="002F4A92"/>
    <w:rsid w:val="002F6EDC"/>
    <w:rsid w:val="00302030"/>
    <w:rsid w:val="00305BCB"/>
    <w:rsid w:val="00307CAC"/>
    <w:rsid w:val="00312B94"/>
    <w:rsid w:val="00315253"/>
    <w:rsid w:val="003165B9"/>
    <w:rsid w:val="003175AC"/>
    <w:rsid w:val="00320D2B"/>
    <w:rsid w:val="00327BB7"/>
    <w:rsid w:val="00330CCE"/>
    <w:rsid w:val="00332064"/>
    <w:rsid w:val="00333700"/>
    <w:rsid w:val="00333DC2"/>
    <w:rsid w:val="003510B7"/>
    <w:rsid w:val="003553AA"/>
    <w:rsid w:val="003568A0"/>
    <w:rsid w:val="00361FD5"/>
    <w:rsid w:val="00364B67"/>
    <w:rsid w:val="00374661"/>
    <w:rsid w:val="00386CF2"/>
    <w:rsid w:val="0039270A"/>
    <w:rsid w:val="00396274"/>
    <w:rsid w:val="00396C33"/>
    <w:rsid w:val="003B2D25"/>
    <w:rsid w:val="003B4257"/>
    <w:rsid w:val="003B6C7C"/>
    <w:rsid w:val="003C0564"/>
    <w:rsid w:val="003C44F2"/>
    <w:rsid w:val="003C754D"/>
    <w:rsid w:val="003D071E"/>
    <w:rsid w:val="003F1F3D"/>
    <w:rsid w:val="003F6879"/>
    <w:rsid w:val="00402398"/>
    <w:rsid w:val="00404B1C"/>
    <w:rsid w:val="0040652E"/>
    <w:rsid w:val="00407757"/>
    <w:rsid w:val="00410839"/>
    <w:rsid w:val="00421287"/>
    <w:rsid w:val="00441A22"/>
    <w:rsid w:val="004517D0"/>
    <w:rsid w:val="0045667E"/>
    <w:rsid w:val="00457897"/>
    <w:rsid w:val="00462530"/>
    <w:rsid w:val="00465B4C"/>
    <w:rsid w:val="00477550"/>
    <w:rsid w:val="0048351A"/>
    <w:rsid w:val="00492382"/>
    <w:rsid w:val="004929F5"/>
    <w:rsid w:val="00492A3D"/>
    <w:rsid w:val="004A384C"/>
    <w:rsid w:val="004A4064"/>
    <w:rsid w:val="004A4086"/>
    <w:rsid w:val="004A5D63"/>
    <w:rsid w:val="004A7716"/>
    <w:rsid w:val="004B124D"/>
    <w:rsid w:val="004B13A6"/>
    <w:rsid w:val="004B149F"/>
    <w:rsid w:val="004B28D4"/>
    <w:rsid w:val="004B2B1E"/>
    <w:rsid w:val="004C40A6"/>
    <w:rsid w:val="004C774B"/>
    <w:rsid w:val="004D2822"/>
    <w:rsid w:val="004D602F"/>
    <w:rsid w:val="004D63C4"/>
    <w:rsid w:val="004D644E"/>
    <w:rsid w:val="004D7D95"/>
    <w:rsid w:val="004E37CF"/>
    <w:rsid w:val="004E6CCE"/>
    <w:rsid w:val="004E7706"/>
    <w:rsid w:val="004F0DAC"/>
    <w:rsid w:val="004F2EF3"/>
    <w:rsid w:val="004F54CE"/>
    <w:rsid w:val="00512E70"/>
    <w:rsid w:val="00520558"/>
    <w:rsid w:val="00524B80"/>
    <w:rsid w:val="0052556E"/>
    <w:rsid w:val="00527A20"/>
    <w:rsid w:val="00530451"/>
    <w:rsid w:val="00533375"/>
    <w:rsid w:val="00542EF2"/>
    <w:rsid w:val="00547429"/>
    <w:rsid w:val="00551CEC"/>
    <w:rsid w:val="00553594"/>
    <w:rsid w:val="005554BD"/>
    <w:rsid w:val="00556F95"/>
    <w:rsid w:val="00562148"/>
    <w:rsid w:val="0056512C"/>
    <w:rsid w:val="005658A0"/>
    <w:rsid w:val="0057196C"/>
    <w:rsid w:val="0057335D"/>
    <w:rsid w:val="0058336E"/>
    <w:rsid w:val="00584417"/>
    <w:rsid w:val="00586891"/>
    <w:rsid w:val="00590751"/>
    <w:rsid w:val="00592006"/>
    <w:rsid w:val="005920B6"/>
    <w:rsid w:val="0059525C"/>
    <w:rsid w:val="005A3DA2"/>
    <w:rsid w:val="005A47ED"/>
    <w:rsid w:val="005A586A"/>
    <w:rsid w:val="005D5720"/>
    <w:rsid w:val="005E28DA"/>
    <w:rsid w:val="005E47E8"/>
    <w:rsid w:val="005F18EC"/>
    <w:rsid w:val="005F545D"/>
    <w:rsid w:val="006101CA"/>
    <w:rsid w:val="00610F2D"/>
    <w:rsid w:val="00614CD0"/>
    <w:rsid w:val="00616982"/>
    <w:rsid w:val="006212F4"/>
    <w:rsid w:val="006316FD"/>
    <w:rsid w:val="006348E6"/>
    <w:rsid w:val="0063510A"/>
    <w:rsid w:val="00641E05"/>
    <w:rsid w:val="006424C2"/>
    <w:rsid w:val="006502CC"/>
    <w:rsid w:val="00651820"/>
    <w:rsid w:val="00656D66"/>
    <w:rsid w:val="00660E73"/>
    <w:rsid w:val="00663AD8"/>
    <w:rsid w:val="00670E7F"/>
    <w:rsid w:val="0067361D"/>
    <w:rsid w:val="006763DD"/>
    <w:rsid w:val="00681E34"/>
    <w:rsid w:val="00685310"/>
    <w:rsid w:val="00686EF4"/>
    <w:rsid w:val="00693E23"/>
    <w:rsid w:val="006A4088"/>
    <w:rsid w:val="006D1F97"/>
    <w:rsid w:val="006D23C9"/>
    <w:rsid w:val="006D39B2"/>
    <w:rsid w:val="006D5194"/>
    <w:rsid w:val="006E1D0A"/>
    <w:rsid w:val="006E40A3"/>
    <w:rsid w:val="006E62D2"/>
    <w:rsid w:val="006F258D"/>
    <w:rsid w:val="007016B4"/>
    <w:rsid w:val="0072445B"/>
    <w:rsid w:val="0072482C"/>
    <w:rsid w:val="00726C2C"/>
    <w:rsid w:val="0073597E"/>
    <w:rsid w:val="00737135"/>
    <w:rsid w:val="00737D5A"/>
    <w:rsid w:val="00742DAE"/>
    <w:rsid w:val="0074665B"/>
    <w:rsid w:val="007511CB"/>
    <w:rsid w:val="00752C53"/>
    <w:rsid w:val="00755C2E"/>
    <w:rsid w:val="007604E4"/>
    <w:rsid w:val="007623C7"/>
    <w:rsid w:val="00764CE1"/>
    <w:rsid w:val="007742CA"/>
    <w:rsid w:val="00787349"/>
    <w:rsid w:val="007875A1"/>
    <w:rsid w:val="00787FCA"/>
    <w:rsid w:val="00794343"/>
    <w:rsid w:val="00795AC8"/>
    <w:rsid w:val="00796D4D"/>
    <w:rsid w:val="00797502"/>
    <w:rsid w:val="007A12E1"/>
    <w:rsid w:val="007A7A2D"/>
    <w:rsid w:val="007B2135"/>
    <w:rsid w:val="007B510B"/>
    <w:rsid w:val="007B52D8"/>
    <w:rsid w:val="007B5EAE"/>
    <w:rsid w:val="007B6866"/>
    <w:rsid w:val="007B735D"/>
    <w:rsid w:val="007C2867"/>
    <w:rsid w:val="007D0769"/>
    <w:rsid w:val="007D47B0"/>
    <w:rsid w:val="007D735A"/>
    <w:rsid w:val="007E0427"/>
    <w:rsid w:val="007E59FC"/>
    <w:rsid w:val="007F051B"/>
    <w:rsid w:val="007F0A66"/>
    <w:rsid w:val="007F3371"/>
    <w:rsid w:val="00801F62"/>
    <w:rsid w:val="00804C6D"/>
    <w:rsid w:val="00806BA4"/>
    <w:rsid w:val="00810FD1"/>
    <w:rsid w:val="0081342F"/>
    <w:rsid w:val="00813C63"/>
    <w:rsid w:val="008166ED"/>
    <w:rsid w:val="00820267"/>
    <w:rsid w:val="00823121"/>
    <w:rsid w:val="00823F51"/>
    <w:rsid w:val="00832FDB"/>
    <w:rsid w:val="0083363A"/>
    <w:rsid w:val="0084181B"/>
    <w:rsid w:val="008420BD"/>
    <w:rsid w:val="00847A0E"/>
    <w:rsid w:val="00855540"/>
    <w:rsid w:val="00861BB5"/>
    <w:rsid w:val="0086219E"/>
    <w:rsid w:val="0087221E"/>
    <w:rsid w:val="0087301B"/>
    <w:rsid w:val="00874CA0"/>
    <w:rsid w:val="00876CEB"/>
    <w:rsid w:val="0088012C"/>
    <w:rsid w:val="00882D8C"/>
    <w:rsid w:val="00882E59"/>
    <w:rsid w:val="00886723"/>
    <w:rsid w:val="00893E67"/>
    <w:rsid w:val="00894C9A"/>
    <w:rsid w:val="0089511D"/>
    <w:rsid w:val="00896647"/>
    <w:rsid w:val="008B3F63"/>
    <w:rsid w:val="008C0E8A"/>
    <w:rsid w:val="008C17F1"/>
    <w:rsid w:val="008D03C8"/>
    <w:rsid w:val="008D6EEC"/>
    <w:rsid w:val="008D751F"/>
    <w:rsid w:val="008E1D30"/>
    <w:rsid w:val="008E3D66"/>
    <w:rsid w:val="008E502A"/>
    <w:rsid w:val="008E6CD9"/>
    <w:rsid w:val="008F6A7F"/>
    <w:rsid w:val="008F7581"/>
    <w:rsid w:val="008F7DC2"/>
    <w:rsid w:val="009055D7"/>
    <w:rsid w:val="00905CF9"/>
    <w:rsid w:val="009060DE"/>
    <w:rsid w:val="009111AD"/>
    <w:rsid w:val="00920018"/>
    <w:rsid w:val="00926FBF"/>
    <w:rsid w:val="00933E77"/>
    <w:rsid w:val="009363E9"/>
    <w:rsid w:val="009457EA"/>
    <w:rsid w:val="0094762A"/>
    <w:rsid w:val="009566E2"/>
    <w:rsid w:val="00956930"/>
    <w:rsid w:val="00960FEB"/>
    <w:rsid w:val="00963628"/>
    <w:rsid w:val="00963835"/>
    <w:rsid w:val="00963AAD"/>
    <w:rsid w:val="00963CFD"/>
    <w:rsid w:val="00965FA2"/>
    <w:rsid w:val="00967311"/>
    <w:rsid w:val="0097025D"/>
    <w:rsid w:val="0097077E"/>
    <w:rsid w:val="00977B21"/>
    <w:rsid w:val="00994CC0"/>
    <w:rsid w:val="009C565C"/>
    <w:rsid w:val="009C6A32"/>
    <w:rsid w:val="009C7F05"/>
    <w:rsid w:val="009D6F22"/>
    <w:rsid w:val="009E08C8"/>
    <w:rsid w:val="009E10D1"/>
    <w:rsid w:val="009E1C95"/>
    <w:rsid w:val="009E4E75"/>
    <w:rsid w:val="009E60D0"/>
    <w:rsid w:val="009E6EC3"/>
    <w:rsid w:val="009F04C0"/>
    <w:rsid w:val="009F45CF"/>
    <w:rsid w:val="00A00693"/>
    <w:rsid w:val="00A02139"/>
    <w:rsid w:val="00A02F20"/>
    <w:rsid w:val="00A101E2"/>
    <w:rsid w:val="00A147D7"/>
    <w:rsid w:val="00A228E1"/>
    <w:rsid w:val="00A24A22"/>
    <w:rsid w:val="00A273D0"/>
    <w:rsid w:val="00A35474"/>
    <w:rsid w:val="00A37132"/>
    <w:rsid w:val="00A412C7"/>
    <w:rsid w:val="00A412F9"/>
    <w:rsid w:val="00A456F2"/>
    <w:rsid w:val="00A562B3"/>
    <w:rsid w:val="00A63D5D"/>
    <w:rsid w:val="00A64691"/>
    <w:rsid w:val="00A653D2"/>
    <w:rsid w:val="00A65CC7"/>
    <w:rsid w:val="00A71EF5"/>
    <w:rsid w:val="00A80E2A"/>
    <w:rsid w:val="00A81380"/>
    <w:rsid w:val="00A8350B"/>
    <w:rsid w:val="00AA3AB0"/>
    <w:rsid w:val="00AA3F91"/>
    <w:rsid w:val="00AA456B"/>
    <w:rsid w:val="00AA6D4F"/>
    <w:rsid w:val="00AA730B"/>
    <w:rsid w:val="00AB1A4C"/>
    <w:rsid w:val="00AB1ECD"/>
    <w:rsid w:val="00AB25E7"/>
    <w:rsid w:val="00AB2A4C"/>
    <w:rsid w:val="00AB75B9"/>
    <w:rsid w:val="00AC06AA"/>
    <w:rsid w:val="00AC2E9C"/>
    <w:rsid w:val="00AC7068"/>
    <w:rsid w:val="00AD0A6A"/>
    <w:rsid w:val="00AD2583"/>
    <w:rsid w:val="00AD2BF4"/>
    <w:rsid w:val="00AD42CE"/>
    <w:rsid w:val="00AD776F"/>
    <w:rsid w:val="00AF13BB"/>
    <w:rsid w:val="00AF51F9"/>
    <w:rsid w:val="00B007E7"/>
    <w:rsid w:val="00B0101A"/>
    <w:rsid w:val="00B025CE"/>
    <w:rsid w:val="00B067DE"/>
    <w:rsid w:val="00B06C07"/>
    <w:rsid w:val="00B11C3B"/>
    <w:rsid w:val="00B20484"/>
    <w:rsid w:val="00B20D0E"/>
    <w:rsid w:val="00B20F83"/>
    <w:rsid w:val="00B3361C"/>
    <w:rsid w:val="00B340EE"/>
    <w:rsid w:val="00B349AC"/>
    <w:rsid w:val="00B46173"/>
    <w:rsid w:val="00B47B5A"/>
    <w:rsid w:val="00B47EE2"/>
    <w:rsid w:val="00B557C6"/>
    <w:rsid w:val="00B61B84"/>
    <w:rsid w:val="00B6689A"/>
    <w:rsid w:val="00B70232"/>
    <w:rsid w:val="00B72F8D"/>
    <w:rsid w:val="00B80569"/>
    <w:rsid w:val="00B82942"/>
    <w:rsid w:val="00B87E0C"/>
    <w:rsid w:val="00BA0F89"/>
    <w:rsid w:val="00BA4C21"/>
    <w:rsid w:val="00BA6752"/>
    <w:rsid w:val="00BA7DD9"/>
    <w:rsid w:val="00BB6A47"/>
    <w:rsid w:val="00BC2014"/>
    <w:rsid w:val="00BC7455"/>
    <w:rsid w:val="00BD1702"/>
    <w:rsid w:val="00BD2DAC"/>
    <w:rsid w:val="00BE134C"/>
    <w:rsid w:val="00BE3F4E"/>
    <w:rsid w:val="00BE6DE5"/>
    <w:rsid w:val="00BE742D"/>
    <w:rsid w:val="00BF50E2"/>
    <w:rsid w:val="00BF6D3A"/>
    <w:rsid w:val="00BF7A2F"/>
    <w:rsid w:val="00C11BA1"/>
    <w:rsid w:val="00C11FFA"/>
    <w:rsid w:val="00C13024"/>
    <w:rsid w:val="00C163CF"/>
    <w:rsid w:val="00C166C9"/>
    <w:rsid w:val="00C264A4"/>
    <w:rsid w:val="00C33479"/>
    <w:rsid w:val="00C33E78"/>
    <w:rsid w:val="00C3414A"/>
    <w:rsid w:val="00C46F02"/>
    <w:rsid w:val="00C545F2"/>
    <w:rsid w:val="00C645D6"/>
    <w:rsid w:val="00C736C1"/>
    <w:rsid w:val="00C774A1"/>
    <w:rsid w:val="00C803FD"/>
    <w:rsid w:val="00C8779C"/>
    <w:rsid w:val="00C90BD7"/>
    <w:rsid w:val="00C93FF0"/>
    <w:rsid w:val="00CA13B8"/>
    <w:rsid w:val="00CA3767"/>
    <w:rsid w:val="00CA397E"/>
    <w:rsid w:val="00CA68AB"/>
    <w:rsid w:val="00CA7448"/>
    <w:rsid w:val="00CA7630"/>
    <w:rsid w:val="00CB1975"/>
    <w:rsid w:val="00CB231F"/>
    <w:rsid w:val="00CB3401"/>
    <w:rsid w:val="00CB6258"/>
    <w:rsid w:val="00CC02AA"/>
    <w:rsid w:val="00CC205A"/>
    <w:rsid w:val="00CC3FD8"/>
    <w:rsid w:val="00CD3EA8"/>
    <w:rsid w:val="00CD5C0D"/>
    <w:rsid w:val="00CE3852"/>
    <w:rsid w:val="00CE7741"/>
    <w:rsid w:val="00CF179B"/>
    <w:rsid w:val="00CF7BD8"/>
    <w:rsid w:val="00D12BB8"/>
    <w:rsid w:val="00D173A7"/>
    <w:rsid w:val="00D17995"/>
    <w:rsid w:val="00D24E37"/>
    <w:rsid w:val="00D3096F"/>
    <w:rsid w:val="00D36AF8"/>
    <w:rsid w:val="00D421A3"/>
    <w:rsid w:val="00D4578C"/>
    <w:rsid w:val="00D513EB"/>
    <w:rsid w:val="00D5373A"/>
    <w:rsid w:val="00D53776"/>
    <w:rsid w:val="00D56123"/>
    <w:rsid w:val="00D57515"/>
    <w:rsid w:val="00D60538"/>
    <w:rsid w:val="00D631A8"/>
    <w:rsid w:val="00D63708"/>
    <w:rsid w:val="00D63B59"/>
    <w:rsid w:val="00D7263D"/>
    <w:rsid w:val="00D74924"/>
    <w:rsid w:val="00D74E5A"/>
    <w:rsid w:val="00D865D3"/>
    <w:rsid w:val="00D8676E"/>
    <w:rsid w:val="00D86CF3"/>
    <w:rsid w:val="00D95880"/>
    <w:rsid w:val="00D97A14"/>
    <w:rsid w:val="00DA5E4A"/>
    <w:rsid w:val="00DB255D"/>
    <w:rsid w:val="00DB4B72"/>
    <w:rsid w:val="00DB7719"/>
    <w:rsid w:val="00DC13A3"/>
    <w:rsid w:val="00DC2514"/>
    <w:rsid w:val="00DC2A13"/>
    <w:rsid w:val="00DC3112"/>
    <w:rsid w:val="00DC36E7"/>
    <w:rsid w:val="00DD0DF8"/>
    <w:rsid w:val="00DD2644"/>
    <w:rsid w:val="00DD3F41"/>
    <w:rsid w:val="00DE42A8"/>
    <w:rsid w:val="00DE64D2"/>
    <w:rsid w:val="00E079FF"/>
    <w:rsid w:val="00E10128"/>
    <w:rsid w:val="00E11089"/>
    <w:rsid w:val="00E173DE"/>
    <w:rsid w:val="00E17E3F"/>
    <w:rsid w:val="00E22252"/>
    <w:rsid w:val="00E248B9"/>
    <w:rsid w:val="00E25A0E"/>
    <w:rsid w:val="00E25F81"/>
    <w:rsid w:val="00E348A7"/>
    <w:rsid w:val="00E35F83"/>
    <w:rsid w:val="00E42300"/>
    <w:rsid w:val="00E425A6"/>
    <w:rsid w:val="00E42F5D"/>
    <w:rsid w:val="00E43D33"/>
    <w:rsid w:val="00E60407"/>
    <w:rsid w:val="00E61579"/>
    <w:rsid w:val="00E6163E"/>
    <w:rsid w:val="00E635BF"/>
    <w:rsid w:val="00E7379B"/>
    <w:rsid w:val="00E75EE4"/>
    <w:rsid w:val="00E873B4"/>
    <w:rsid w:val="00E92A6B"/>
    <w:rsid w:val="00E93D7C"/>
    <w:rsid w:val="00E95F97"/>
    <w:rsid w:val="00EA2B2D"/>
    <w:rsid w:val="00EB186C"/>
    <w:rsid w:val="00EB28C9"/>
    <w:rsid w:val="00EC06A0"/>
    <w:rsid w:val="00EC122E"/>
    <w:rsid w:val="00EC6361"/>
    <w:rsid w:val="00ED1199"/>
    <w:rsid w:val="00ED682A"/>
    <w:rsid w:val="00EE1559"/>
    <w:rsid w:val="00EE1D37"/>
    <w:rsid w:val="00EE340C"/>
    <w:rsid w:val="00EF2973"/>
    <w:rsid w:val="00EF2E69"/>
    <w:rsid w:val="00EF426C"/>
    <w:rsid w:val="00F154BE"/>
    <w:rsid w:val="00F21FB1"/>
    <w:rsid w:val="00F24BBF"/>
    <w:rsid w:val="00F26690"/>
    <w:rsid w:val="00F3074F"/>
    <w:rsid w:val="00F311BB"/>
    <w:rsid w:val="00F36A13"/>
    <w:rsid w:val="00F45072"/>
    <w:rsid w:val="00F4755F"/>
    <w:rsid w:val="00F5578A"/>
    <w:rsid w:val="00F60CFF"/>
    <w:rsid w:val="00F6354C"/>
    <w:rsid w:val="00F66225"/>
    <w:rsid w:val="00F66551"/>
    <w:rsid w:val="00F75B7D"/>
    <w:rsid w:val="00F860BC"/>
    <w:rsid w:val="00F95824"/>
    <w:rsid w:val="00F9705E"/>
    <w:rsid w:val="00FA1A06"/>
    <w:rsid w:val="00FA585A"/>
    <w:rsid w:val="00FB4C58"/>
    <w:rsid w:val="00FB635D"/>
    <w:rsid w:val="00FC08D1"/>
    <w:rsid w:val="00FC0BFF"/>
    <w:rsid w:val="00FC16B6"/>
    <w:rsid w:val="00FC2933"/>
    <w:rsid w:val="00FC38E3"/>
    <w:rsid w:val="00FC492E"/>
    <w:rsid w:val="00FC5491"/>
    <w:rsid w:val="00FD2EB7"/>
    <w:rsid w:val="00FE3513"/>
    <w:rsid w:val="00FE55AF"/>
    <w:rsid w:val="00FF1C0B"/>
    <w:rsid w:val="00FF43F0"/>
    <w:rsid w:val="010D07CB"/>
    <w:rsid w:val="01A77057"/>
    <w:rsid w:val="02344A7C"/>
    <w:rsid w:val="040F3E66"/>
    <w:rsid w:val="04555FE7"/>
    <w:rsid w:val="04D63DFE"/>
    <w:rsid w:val="05281BBC"/>
    <w:rsid w:val="05943D22"/>
    <w:rsid w:val="05C059EA"/>
    <w:rsid w:val="05D47BBF"/>
    <w:rsid w:val="05EA3EC8"/>
    <w:rsid w:val="070A3EF2"/>
    <w:rsid w:val="074D4DD0"/>
    <w:rsid w:val="08590821"/>
    <w:rsid w:val="08D062B9"/>
    <w:rsid w:val="08DE4F4C"/>
    <w:rsid w:val="0A3057D5"/>
    <w:rsid w:val="0A870BFA"/>
    <w:rsid w:val="0CF90255"/>
    <w:rsid w:val="0E7C7F42"/>
    <w:rsid w:val="0EEC3A89"/>
    <w:rsid w:val="102500F7"/>
    <w:rsid w:val="10AF48AE"/>
    <w:rsid w:val="10D91A83"/>
    <w:rsid w:val="110E6769"/>
    <w:rsid w:val="13333D5C"/>
    <w:rsid w:val="13C45B92"/>
    <w:rsid w:val="13CE4C93"/>
    <w:rsid w:val="141209A9"/>
    <w:rsid w:val="14865121"/>
    <w:rsid w:val="14AB42D4"/>
    <w:rsid w:val="15043BC2"/>
    <w:rsid w:val="15D60C87"/>
    <w:rsid w:val="1621108A"/>
    <w:rsid w:val="168D2F5C"/>
    <w:rsid w:val="16A15D39"/>
    <w:rsid w:val="178564C1"/>
    <w:rsid w:val="194F4FB3"/>
    <w:rsid w:val="19A77707"/>
    <w:rsid w:val="1B130EE3"/>
    <w:rsid w:val="1B6603B7"/>
    <w:rsid w:val="1B726FC5"/>
    <w:rsid w:val="1B8F32AF"/>
    <w:rsid w:val="1C033478"/>
    <w:rsid w:val="1C5341C9"/>
    <w:rsid w:val="1CB74C75"/>
    <w:rsid w:val="1CD543B9"/>
    <w:rsid w:val="1D0B5C9E"/>
    <w:rsid w:val="1D6A270D"/>
    <w:rsid w:val="1D9B4896"/>
    <w:rsid w:val="1F100D66"/>
    <w:rsid w:val="1F13603C"/>
    <w:rsid w:val="1F792DAF"/>
    <w:rsid w:val="206C249A"/>
    <w:rsid w:val="20F07D18"/>
    <w:rsid w:val="21ED553C"/>
    <w:rsid w:val="227225EB"/>
    <w:rsid w:val="23022780"/>
    <w:rsid w:val="23ED78C8"/>
    <w:rsid w:val="24545B99"/>
    <w:rsid w:val="250A44A9"/>
    <w:rsid w:val="25564066"/>
    <w:rsid w:val="25F845D3"/>
    <w:rsid w:val="263E73AF"/>
    <w:rsid w:val="266B1121"/>
    <w:rsid w:val="2684225C"/>
    <w:rsid w:val="26B40B71"/>
    <w:rsid w:val="2731475F"/>
    <w:rsid w:val="29377EAB"/>
    <w:rsid w:val="2A1A330B"/>
    <w:rsid w:val="2AAB228B"/>
    <w:rsid w:val="2AFA0EE0"/>
    <w:rsid w:val="2BBE6762"/>
    <w:rsid w:val="2C2E0A7D"/>
    <w:rsid w:val="2C506C46"/>
    <w:rsid w:val="2C541A6B"/>
    <w:rsid w:val="2C9C4F63"/>
    <w:rsid w:val="2D872B3B"/>
    <w:rsid w:val="2DAC779C"/>
    <w:rsid w:val="2E755506"/>
    <w:rsid w:val="3062163D"/>
    <w:rsid w:val="31073820"/>
    <w:rsid w:val="31122130"/>
    <w:rsid w:val="31942514"/>
    <w:rsid w:val="326D2E80"/>
    <w:rsid w:val="333D3D60"/>
    <w:rsid w:val="3370213A"/>
    <w:rsid w:val="34A471C0"/>
    <w:rsid w:val="34AD602B"/>
    <w:rsid w:val="352F39B1"/>
    <w:rsid w:val="3560392B"/>
    <w:rsid w:val="35976CEB"/>
    <w:rsid w:val="36880D9F"/>
    <w:rsid w:val="37737C8C"/>
    <w:rsid w:val="37F064CE"/>
    <w:rsid w:val="38366CCC"/>
    <w:rsid w:val="393A4F06"/>
    <w:rsid w:val="39C859C7"/>
    <w:rsid w:val="39D2513E"/>
    <w:rsid w:val="3A35057F"/>
    <w:rsid w:val="3A4D75A6"/>
    <w:rsid w:val="3CBC3E83"/>
    <w:rsid w:val="3F0264C5"/>
    <w:rsid w:val="3F3C12AC"/>
    <w:rsid w:val="3F476FDD"/>
    <w:rsid w:val="3F6031EC"/>
    <w:rsid w:val="3F6177C4"/>
    <w:rsid w:val="3FA07B88"/>
    <w:rsid w:val="3FD61700"/>
    <w:rsid w:val="40460634"/>
    <w:rsid w:val="405E15A1"/>
    <w:rsid w:val="40BA19C5"/>
    <w:rsid w:val="416215BE"/>
    <w:rsid w:val="42176CD9"/>
    <w:rsid w:val="437B0CD2"/>
    <w:rsid w:val="43C83CAB"/>
    <w:rsid w:val="44D7647B"/>
    <w:rsid w:val="44F2038E"/>
    <w:rsid w:val="44FA43DF"/>
    <w:rsid w:val="45114E0E"/>
    <w:rsid w:val="451164D1"/>
    <w:rsid w:val="4585179C"/>
    <w:rsid w:val="458F2701"/>
    <w:rsid w:val="462E1ABD"/>
    <w:rsid w:val="47163F85"/>
    <w:rsid w:val="473C08CE"/>
    <w:rsid w:val="47772A71"/>
    <w:rsid w:val="47F46C11"/>
    <w:rsid w:val="48297D27"/>
    <w:rsid w:val="48790E7B"/>
    <w:rsid w:val="487E7365"/>
    <w:rsid w:val="497B3525"/>
    <w:rsid w:val="49B13EF6"/>
    <w:rsid w:val="4A355F0D"/>
    <w:rsid w:val="4C8341CF"/>
    <w:rsid w:val="4D1B65FF"/>
    <w:rsid w:val="50571F18"/>
    <w:rsid w:val="506B7C43"/>
    <w:rsid w:val="50A238F7"/>
    <w:rsid w:val="50A56603"/>
    <w:rsid w:val="52313B0B"/>
    <w:rsid w:val="527A5B0C"/>
    <w:rsid w:val="53CA0D92"/>
    <w:rsid w:val="55121C71"/>
    <w:rsid w:val="57081D47"/>
    <w:rsid w:val="57FA1BF0"/>
    <w:rsid w:val="581F559B"/>
    <w:rsid w:val="58481747"/>
    <w:rsid w:val="58506098"/>
    <w:rsid w:val="58572014"/>
    <w:rsid w:val="58617539"/>
    <w:rsid w:val="5886561A"/>
    <w:rsid w:val="59115444"/>
    <w:rsid w:val="595A6348"/>
    <w:rsid w:val="5C006A85"/>
    <w:rsid w:val="5C4D0260"/>
    <w:rsid w:val="5C4E5086"/>
    <w:rsid w:val="5C536692"/>
    <w:rsid w:val="5CBC7ECE"/>
    <w:rsid w:val="5D0E054F"/>
    <w:rsid w:val="5D430F4D"/>
    <w:rsid w:val="5DA6050C"/>
    <w:rsid w:val="5DBD2336"/>
    <w:rsid w:val="5EC160A7"/>
    <w:rsid w:val="5F277808"/>
    <w:rsid w:val="5F983916"/>
    <w:rsid w:val="60076210"/>
    <w:rsid w:val="60912DAE"/>
    <w:rsid w:val="61617F2A"/>
    <w:rsid w:val="61722B04"/>
    <w:rsid w:val="61946A36"/>
    <w:rsid w:val="61A95211"/>
    <w:rsid w:val="645361B4"/>
    <w:rsid w:val="64540CC2"/>
    <w:rsid w:val="647F6794"/>
    <w:rsid w:val="64835103"/>
    <w:rsid w:val="65CB25A1"/>
    <w:rsid w:val="664B70A2"/>
    <w:rsid w:val="67652FD9"/>
    <w:rsid w:val="67802635"/>
    <w:rsid w:val="685F70E6"/>
    <w:rsid w:val="689478DF"/>
    <w:rsid w:val="68B51551"/>
    <w:rsid w:val="690F51B7"/>
    <w:rsid w:val="694E5CCF"/>
    <w:rsid w:val="69847953"/>
    <w:rsid w:val="69EC0E1F"/>
    <w:rsid w:val="6A6177D8"/>
    <w:rsid w:val="6A700C3B"/>
    <w:rsid w:val="6B08763E"/>
    <w:rsid w:val="6B32518D"/>
    <w:rsid w:val="6BA53BB1"/>
    <w:rsid w:val="6BCE5226"/>
    <w:rsid w:val="6C733CAF"/>
    <w:rsid w:val="6CCF5389"/>
    <w:rsid w:val="6D203E37"/>
    <w:rsid w:val="6DC15EF9"/>
    <w:rsid w:val="6ED25F59"/>
    <w:rsid w:val="6F7667A4"/>
    <w:rsid w:val="6FBE709F"/>
    <w:rsid w:val="71BC12CF"/>
    <w:rsid w:val="72FC5275"/>
    <w:rsid w:val="73244215"/>
    <w:rsid w:val="7457483A"/>
    <w:rsid w:val="7480549D"/>
    <w:rsid w:val="759B3B3D"/>
    <w:rsid w:val="75EA0EF3"/>
    <w:rsid w:val="77295485"/>
    <w:rsid w:val="77CC6239"/>
    <w:rsid w:val="77D3547F"/>
    <w:rsid w:val="77F20750"/>
    <w:rsid w:val="78FD327E"/>
    <w:rsid w:val="78FD3B8C"/>
    <w:rsid w:val="793C0C6B"/>
    <w:rsid w:val="7A554FEF"/>
    <w:rsid w:val="7BF16D78"/>
    <w:rsid w:val="7C5C31C9"/>
    <w:rsid w:val="7C6E7E29"/>
    <w:rsid w:val="7D40373A"/>
    <w:rsid w:val="7F4D0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D255867-8C5B-43C2-AA9F-CE7DE91E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0"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4">
    <w:name w:val="toc 4"/>
    <w:basedOn w:val="a"/>
    <w:next w:val="a"/>
    <w:qFormat/>
    <w:pPr>
      <w:wordWrap w:val="0"/>
      <w:ind w:left="850"/>
    </w:pPr>
    <w:rPr>
      <w:rFonts w:ascii="Calibri" w:eastAsia="宋体" w:hAnsi="Calibri" w:cs="Times New Roman"/>
      <w:szCs w:val="24"/>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line number"/>
    <w:basedOn w:val="a0"/>
    <w:uiPriority w:val="99"/>
    <w:unhideWhenUsed/>
    <w:qFormat/>
    <w:rPr>
      <w:rFonts w:ascii="Times New Roman" w:eastAsia="Times New Roman" w:hAnsi="Times New Roman"/>
      <w:sz w:val="32"/>
    </w:rPr>
  </w:style>
  <w:style w:type="character" w:styleId="af1">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2">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2"/>
    </w:rPr>
  </w:style>
  <w:style w:type="character" w:customStyle="1" w:styleId="a8">
    <w:name w:val="批注框文本 字符"/>
    <w:basedOn w:val="a0"/>
    <w:link w:val="a7"/>
    <w:uiPriority w:val="99"/>
    <w:semiHidden/>
    <w:qFormat/>
    <w:rPr>
      <w:kern w:val="2"/>
      <w:sz w:val="18"/>
      <w:szCs w:val="18"/>
    </w:rPr>
  </w:style>
  <w:style w:type="character" w:customStyle="1" w:styleId="a6">
    <w:name w:val="日期 字符"/>
    <w:basedOn w:val="a0"/>
    <w:link w:val="a5"/>
    <w:uiPriority w:val="99"/>
    <w:semiHidden/>
    <w:qFormat/>
    <w:rPr>
      <w:kern w:val="2"/>
      <w:sz w:val="21"/>
      <w:szCs w:val="22"/>
    </w:rPr>
  </w:style>
  <w:style w:type="character" w:customStyle="1" w:styleId="ae">
    <w:name w:val="批注主题 字符"/>
    <w:basedOn w:val="a4"/>
    <w:link w:val="ad"/>
    <w:uiPriority w:val="99"/>
    <w:semiHidden/>
    <w:qFormat/>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A83E29-847D-4CBA-B347-631C59A7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1122</Words>
  <Characters>6400</Characters>
  <Application>Microsoft Office Word</Application>
  <DocSecurity>0</DocSecurity>
  <Lines>53</Lines>
  <Paragraphs>15</Paragraphs>
  <ScaleCrop>false</ScaleCrop>
  <Company>Microsoft</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屈贝贝</cp:lastModifiedBy>
  <cp:revision>16</cp:revision>
  <dcterms:created xsi:type="dcterms:W3CDTF">2024-01-18T02:19:00Z</dcterms:created>
  <dcterms:modified xsi:type="dcterms:W3CDTF">2024-01-18T07:28:00Z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092ECB435E78474D8D3FC9EE3B6CDCCC</vt:lpwstr>
  </property>
</Properties>
</file>