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40" w:lineRule="exact"/>
        <w:jc w:val="left"/>
        <w:rPr>
          <w:rFonts w:eastAsia="黑体"/>
          <w:sz w:val="32"/>
          <w:szCs w:val="44"/>
        </w:rPr>
      </w:pPr>
    </w:p>
    <w:p>
      <w:pPr>
        <w:snapToGrid w:val="0"/>
        <w:spacing w:line="540" w:lineRule="exact"/>
        <w:jc w:val="left"/>
        <w:rPr>
          <w:rFonts w:eastAsia="黑体"/>
          <w:sz w:val="32"/>
          <w:szCs w:val="44"/>
        </w:rPr>
      </w:pPr>
    </w:p>
    <w:p>
      <w:pPr>
        <w:snapToGrid w:val="0"/>
        <w:spacing w:line="540" w:lineRule="exact"/>
        <w:jc w:val="center"/>
        <w:rPr>
          <w:rFonts w:eastAsia="方正小标宋简体"/>
          <w:sz w:val="44"/>
          <w:szCs w:val="44"/>
        </w:rPr>
      </w:pPr>
      <w:r>
        <w:rPr>
          <w:rFonts w:hint="eastAsia" w:eastAsia="方正小标宋简体"/>
          <w:sz w:val="44"/>
          <w:szCs w:val="44"/>
        </w:rPr>
        <w:t>结直肠癌筛查用体外诊断</w:t>
      </w:r>
      <w:r>
        <w:rPr>
          <w:rFonts w:eastAsia="方正小标宋简体"/>
          <w:sz w:val="44"/>
          <w:szCs w:val="44"/>
        </w:rPr>
        <w:t>试剂</w:t>
      </w:r>
      <w:r>
        <w:rPr>
          <w:rFonts w:hint="eastAsia" w:eastAsia="方正小标宋简体"/>
          <w:sz w:val="44"/>
          <w:szCs w:val="44"/>
        </w:rPr>
        <w:t>临床评价</w:t>
      </w:r>
    </w:p>
    <w:p>
      <w:pPr>
        <w:snapToGrid w:val="0"/>
        <w:spacing w:line="540" w:lineRule="exact"/>
        <w:jc w:val="center"/>
        <w:rPr>
          <w:rFonts w:eastAsia="方正小标宋简体"/>
          <w:sz w:val="44"/>
          <w:szCs w:val="44"/>
        </w:rPr>
      </w:pPr>
      <w:r>
        <w:rPr>
          <w:rFonts w:eastAsia="方正小标宋简体"/>
          <w:sz w:val="44"/>
          <w:szCs w:val="44"/>
        </w:rPr>
        <w:t>注册审查指导原则</w:t>
      </w:r>
    </w:p>
    <w:p>
      <w:pPr>
        <w:spacing w:line="520" w:lineRule="exact"/>
        <w:jc w:val="center"/>
        <w:rPr>
          <w:rFonts w:hint="eastAsia" w:ascii="Times New Roman" w:hAnsi="Times New Roman" w:eastAsia="楷体_GB2312" w:cs="Times New Roman"/>
          <w:sz w:val="32"/>
          <w:szCs w:val="32"/>
          <w:lang w:eastAsia="zh-CN"/>
        </w:rPr>
      </w:pPr>
      <w:r>
        <w:rPr>
          <w:rFonts w:hint="eastAsia" w:ascii="Times New Roman" w:hAnsi="Times New Roman" w:eastAsia="楷体_GB2312" w:cs="Times New Roman"/>
          <w:sz w:val="32"/>
          <w:szCs w:val="32"/>
          <w:lang w:eastAsia="zh-CN"/>
        </w:rPr>
        <w:t>（</w:t>
      </w:r>
      <w:r>
        <w:rPr>
          <w:rFonts w:hint="eastAsia" w:ascii="Times New Roman" w:hAnsi="Times New Roman" w:eastAsia="楷体_GB2312" w:cs="Times New Roman"/>
          <w:sz w:val="32"/>
          <w:szCs w:val="32"/>
          <w:lang w:val="en-US" w:eastAsia="zh-CN"/>
        </w:rPr>
        <w:t>征求意见稿</w:t>
      </w:r>
      <w:r>
        <w:rPr>
          <w:rFonts w:hint="eastAsia" w:ascii="Times New Roman" w:hAnsi="Times New Roman" w:eastAsia="楷体_GB2312" w:cs="Times New Roman"/>
          <w:sz w:val="32"/>
          <w:szCs w:val="32"/>
          <w:lang w:eastAsia="zh-CN"/>
        </w:rPr>
        <w:t>）</w:t>
      </w:r>
    </w:p>
    <w:p>
      <w:pPr>
        <w:snapToGrid w:val="0"/>
        <w:spacing w:line="540" w:lineRule="exact"/>
        <w:jc w:val="center"/>
        <w:rPr>
          <w:rFonts w:eastAsia="方正小标宋简体"/>
          <w:sz w:val="44"/>
          <w:szCs w:val="44"/>
        </w:rPr>
      </w:pP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eastAsia="仿宋_GB2312"/>
          <w:color w:val="000000"/>
          <w:kern w:val="0"/>
          <w:sz w:val="32"/>
          <w:szCs w:val="32"/>
        </w:rPr>
      </w:pPr>
      <w:r>
        <w:rPr>
          <w:rFonts w:eastAsia="仿宋_GB2312"/>
          <w:color w:val="000000"/>
          <w:kern w:val="0"/>
          <w:sz w:val="32"/>
          <w:szCs w:val="32"/>
        </w:rPr>
        <w:t>本指导原则旨在指导注册申请人对</w:t>
      </w:r>
      <w:r>
        <w:rPr>
          <w:rFonts w:hint="eastAsia" w:eastAsia="仿宋_GB2312"/>
          <w:color w:val="000000"/>
          <w:kern w:val="0"/>
          <w:sz w:val="32"/>
          <w:szCs w:val="32"/>
        </w:rPr>
        <w:t>结直肠癌筛查试剂</w:t>
      </w:r>
      <w:r>
        <w:rPr>
          <w:rFonts w:eastAsia="仿宋_GB2312"/>
          <w:color w:val="000000"/>
          <w:kern w:val="0"/>
          <w:sz w:val="32"/>
          <w:szCs w:val="32"/>
        </w:rPr>
        <w:t>注册申报资料的准备及撰写，同时也为技术审评部门对注册申报资料的技术审评提供参考。</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eastAsia="仿宋_GB2312"/>
          <w:color w:val="000000"/>
          <w:kern w:val="0"/>
          <w:sz w:val="32"/>
          <w:szCs w:val="32"/>
        </w:rPr>
      </w:pPr>
      <w:r>
        <w:rPr>
          <w:rFonts w:eastAsia="仿宋_GB2312"/>
          <w:color w:val="000000"/>
          <w:kern w:val="0"/>
          <w:sz w:val="32"/>
          <w:szCs w:val="32"/>
        </w:rPr>
        <w:t>本指导原则是针对</w:t>
      </w:r>
      <w:r>
        <w:rPr>
          <w:rFonts w:hint="eastAsia" w:eastAsia="仿宋_GB2312"/>
          <w:color w:val="000000"/>
          <w:kern w:val="0"/>
          <w:sz w:val="32"/>
          <w:szCs w:val="32"/>
        </w:rPr>
        <w:t>结直肠癌筛查试剂</w:t>
      </w:r>
      <w:r>
        <w:rPr>
          <w:rFonts w:eastAsia="仿宋_GB2312"/>
          <w:color w:val="000000"/>
          <w:kern w:val="0"/>
          <w:sz w:val="32"/>
          <w:szCs w:val="32"/>
        </w:rPr>
        <w:t>注册审查的一般要求，申请人应依据产品的具体特性确定其中内容是否适用，若不适用，需具体阐述理由及相应的科学依据，并依据产品的具体特性对注册申报资料的内容进行充实和细化。</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eastAsia="仿宋_GB2312"/>
          <w:bCs/>
          <w:color w:val="000000"/>
          <w:sz w:val="32"/>
          <w:szCs w:val="32"/>
        </w:rPr>
      </w:pPr>
      <w:r>
        <w:rPr>
          <w:rFonts w:eastAsia="仿宋_GB2312"/>
          <w:color w:val="000000"/>
          <w:kern w:val="0"/>
          <w:sz w:val="32"/>
          <w:szCs w:val="32"/>
        </w:rPr>
        <w:t>本指导原则</w:t>
      </w:r>
      <w:r>
        <w:rPr>
          <w:rFonts w:eastAsia="仿宋_GB2312"/>
          <w:bCs/>
          <w:color w:val="000000"/>
          <w:sz w:val="32"/>
          <w:szCs w:val="32"/>
          <w:lang w:bidi="ar"/>
        </w:rPr>
        <w:t>是供注册申请人和技术审评人员使用的指导性文件，但不包括审评审批所涉及的行政事项，亦不作为法规强制执行，应在遵循相关法规的前提下使用本</w:t>
      </w:r>
      <w:r>
        <w:rPr>
          <w:rFonts w:eastAsia="仿宋_GB2312"/>
          <w:bCs/>
          <w:sz w:val="32"/>
          <w:szCs w:val="32"/>
          <w:lang w:bidi="ar"/>
        </w:rPr>
        <w:t>审评要点</w:t>
      </w:r>
      <w:r>
        <w:rPr>
          <w:rFonts w:eastAsia="仿宋_GB2312"/>
          <w:bCs/>
          <w:color w:val="000000"/>
          <w:sz w:val="32"/>
          <w:szCs w:val="32"/>
          <w:lang w:bidi="ar"/>
        </w:rPr>
        <w:t>。如果有能够满足相关法规要求的其他方法，也可以采用，但是需要提供详细的研究资料和验证资料</w:t>
      </w:r>
      <w:r>
        <w:rPr>
          <w:rFonts w:eastAsia="仿宋_GB2312"/>
          <w:bCs/>
          <w:sz w:val="32"/>
          <w:szCs w:val="32"/>
          <w:lang w:bidi="ar"/>
        </w:rPr>
        <w:t>。</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eastAsia="仿宋_GB2312"/>
          <w:sz w:val="32"/>
          <w:szCs w:val="32"/>
        </w:rPr>
      </w:pPr>
      <w:r>
        <w:rPr>
          <w:rFonts w:eastAsia="仿宋_GB2312"/>
          <w:bCs/>
          <w:color w:val="000000"/>
          <w:sz w:val="32"/>
          <w:szCs w:val="32"/>
          <w:lang w:bidi="ar"/>
        </w:rPr>
        <w:t>本</w:t>
      </w:r>
      <w:r>
        <w:rPr>
          <w:rFonts w:eastAsia="仿宋_GB2312"/>
          <w:bCs/>
          <w:sz w:val="32"/>
          <w:szCs w:val="32"/>
          <w:lang w:bidi="ar"/>
        </w:rPr>
        <w:t>审评要点</w:t>
      </w:r>
      <w:r>
        <w:rPr>
          <w:rFonts w:eastAsia="仿宋_GB2312"/>
          <w:bCs/>
          <w:color w:val="000000"/>
          <w:sz w:val="32"/>
          <w:szCs w:val="32"/>
          <w:lang w:bidi="ar"/>
        </w:rPr>
        <w:t>是在现行法规和标准体系以及当前认知水平下制定，随着法规和标准的不断完善，以及科学技术的不断发展，相关内容也将适时进行调整</w:t>
      </w:r>
      <w:r>
        <w:rPr>
          <w:rFonts w:eastAsia="仿宋_GB2312"/>
          <w:bCs/>
          <w:sz w:val="32"/>
          <w:szCs w:val="32"/>
          <w:lang w:bidi="ar"/>
        </w:rPr>
        <w:t>。</w:t>
      </w:r>
    </w:p>
    <w:p>
      <w:pPr>
        <w:spacing w:line="520" w:lineRule="exact"/>
        <w:ind w:firstLine="640" w:firstLineChars="200"/>
        <w:outlineLvl w:val="0"/>
        <w:rPr>
          <w:rFonts w:eastAsia="黑体"/>
          <w:sz w:val="32"/>
          <w:szCs w:val="32"/>
        </w:rPr>
      </w:pPr>
      <w:bookmarkStart w:id="0" w:name="_Toc28906"/>
      <w:bookmarkStart w:id="1" w:name="_Toc25046"/>
      <w:bookmarkStart w:id="2" w:name="_Toc3012"/>
      <w:bookmarkStart w:id="3" w:name="_Toc30196"/>
      <w:bookmarkStart w:id="4" w:name="_Toc19784"/>
      <w:bookmarkStart w:id="5" w:name="_Toc17685"/>
      <w:bookmarkStart w:id="6" w:name="_Toc25874"/>
      <w:r>
        <w:rPr>
          <w:rFonts w:eastAsia="黑体"/>
          <w:sz w:val="32"/>
          <w:szCs w:val="32"/>
        </w:rPr>
        <w:t>一、适用范围</w:t>
      </w:r>
      <w:bookmarkEnd w:id="0"/>
      <w:bookmarkEnd w:id="1"/>
      <w:bookmarkEnd w:id="2"/>
      <w:bookmarkEnd w:id="3"/>
      <w:bookmarkEnd w:id="4"/>
      <w:bookmarkEnd w:id="5"/>
      <w:bookmarkEnd w:id="6"/>
    </w:p>
    <w:p>
      <w:pPr>
        <w:keepNext w:val="0"/>
        <w:keepLines w:val="0"/>
        <w:pageBreakBefore w:val="0"/>
        <w:widowControl/>
        <w:kinsoku/>
        <w:wordWrap/>
        <w:overflowPunct/>
        <w:topLinePunct w:val="0"/>
        <w:autoSpaceDE/>
        <w:autoSpaceDN/>
        <w:bidi w:val="0"/>
        <w:adjustRightInd/>
        <w:snapToGrid/>
        <w:spacing w:line="520" w:lineRule="exact"/>
        <w:ind w:firstLine="640" w:firstLineChars="200"/>
        <w:contextualSpacing/>
        <w:jc w:val="left"/>
        <w:textAlignment w:val="auto"/>
        <w:rPr>
          <w:rFonts w:eastAsia="仿宋_GB2312"/>
          <w:color w:val="000000"/>
          <w:sz w:val="32"/>
          <w:szCs w:val="32"/>
        </w:rPr>
      </w:pPr>
      <w:r>
        <w:rPr>
          <w:rFonts w:hint="eastAsia" w:eastAsia="仿宋_GB2312"/>
          <w:color w:val="000000"/>
          <w:sz w:val="32"/>
          <w:szCs w:val="32"/>
        </w:rPr>
        <w:t>本指导原则适用于</w:t>
      </w:r>
      <w:r>
        <w:rPr>
          <w:rFonts w:eastAsia="仿宋_GB2312"/>
          <w:color w:val="000000"/>
          <w:sz w:val="32"/>
          <w:szCs w:val="32"/>
        </w:rPr>
        <w:t>对来源于</w:t>
      </w:r>
      <w:r>
        <w:rPr>
          <w:rFonts w:hint="eastAsia" w:eastAsia="仿宋_GB2312"/>
          <w:color w:val="000000"/>
          <w:sz w:val="32"/>
          <w:szCs w:val="32"/>
        </w:rPr>
        <w:t>粪便</w:t>
      </w:r>
      <w:r>
        <w:rPr>
          <w:rFonts w:eastAsia="仿宋_GB2312"/>
          <w:color w:val="000000"/>
          <w:sz w:val="32"/>
          <w:szCs w:val="32"/>
        </w:rPr>
        <w:t>样本中的</w:t>
      </w:r>
      <w:r>
        <w:rPr>
          <w:rFonts w:hint="eastAsia" w:eastAsia="仿宋_GB2312"/>
          <w:color w:val="000000"/>
          <w:sz w:val="32"/>
          <w:szCs w:val="32"/>
        </w:rPr>
        <w:t>相关标志物</w:t>
      </w:r>
      <w:r>
        <w:rPr>
          <w:rFonts w:eastAsia="仿宋_GB2312"/>
          <w:color w:val="000000"/>
          <w:sz w:val="32"/>
          <w:szCs w:val="32"/>
        </w:rPr>
        <w:t>进行体外定性检测</w:t>
      </w:r>
      <w:r>
        <w:rPr>
          <w:rFonts w:hint="eastAsia" w:eastAsia="仿宋_GB2312"/>
          <w:color w:val="000000"/>
          <w:sz w:val="32"/>
          <w:szCs w:val="32"/>
        </w:rPr>
        <w:t>，用于结直肠癌筛查的体外诊断</w:t>
      </w:r>
      <w:r>
        <w:rPr>
          <w:rFonts w:eastAsia="仿宋_GB2312"/>
          <w:color w:val="000000"/>
          <w:sz w:val="32"/>
          <w:szCs w:val="32"/>
        </w:rPr>
        <w:t>试剂</w:t>
      </w:r>
      <w:r>
        <w:rPr>
          <w:rFonts w:hint="eastAsia" w:eastAsia="仿宋_GB2312"/>
          <w:color w:val="000000"/>
          <w:sz w:val="32"/>
          <w:szCs w:val="32"/>
        </w:rPr>
        <w:t>。</w:t>
      </w:r>
      <w:r>
        <w:rPr>
          <w:rFonts w:ascii="仿宋_GB2312" w:hAnsi="仿宋_GB2312" w:eastAsia="仿宋_GB2312"/>
          <w:sz w:val="32"/>
          <w:szCs w:val="32"/>
        </w:rPr>
        <w:t>阳性结果提示存在结直肠癌或进展期腺瘤</w:t>
      </w:r>
      <w:r>
        <w:rPr>
          <w:rFonts w:hint="eastAsia" w:ascii="仿宋_GB2312" w:hAnsi="仿宋_GB2312" w:eastAsia="仿宋_GB2312"/>
          <w:sz w:val="32"/>
          <w:szCs w:val="32"/>
        </w:rPr>
        <w:t>的风险较高</w:t>
      </w:r>
      <w:r>
        <w:rPr>
          <w:rFonts w:ascii="仿宋_GB2312" w:hAnsi="仿宋_GB2312" w:eastAsia="仿宋_GB2312"/>
          <w:sz w:val="32"/>
          <w:szCs w:val="32"/>
        </w:rPr>
        <w:t>，应进行</w:t>
      </w:r>
      <w:r>
        <w:rPr>
          <w:rFonts w:hint="eastAsia" w:ascii="仿宋_GB2312" w:hAnsi="仿宋_GB2312" w:eastAsia="仿宋_GB2312"/>
          <w:sz w:val="32"/>
          <w:szCs w:val="32"/>
        </w:rPr>
        <w:t>诊断性结肠镜</w:t>
      </w:r>
      <w:r>
        <w:rPr>
          <w:rFonts w:ascii="仿宋_GB2312" w:hAnsi="仿宋_GB2312" w:eastAsia="仿宋_GB2312"/>
          <w:sz w:val="32"/>
          <w:szCs w:val="32"/>
        </w:rPr>
        <w:t>检查。</w:t>
      </w:r>
      <w:r>
        <w:rPr>
          <w:rFonts w:hint="eastAsia" w:ascii="仿宋_GB2312" w:hAnsi="仿宋_GB2312" w:eastAsia="仿宋_GB2312"/>
          <w:sz w:val="32"/>
          <w:szCs w:val="32"/>
        </w:rPr>
        <w:t>产品检测结果不能替代肠镜</w:t>
      </w:r>
      <w:r>
        <w:rPr>
          <w:rFonts w:ascii="仿宋_GB2312" w:hAnsi="仿宋_GB2312" w:eastAsia="仿宋_GB2312"/>
          <w:sz w:val="32"/>
          <w:szCs w:val="32"/>
        </w:rPr>
        <w:t>。</w:t>
      </w:r>
      <w:r>
        <w:rPr>
          <w:rFonts w:hint="eastAsia" w:ascii="Times New Roman" w:hAnsi="Times New Roman" w:eastAsia="仿宋_GB2312" w:cs="Times New Roman"/>
          <w:color w:val="000000"/>
          <w:sz w:val="32"/>
          <w:szCs w:val="32"/>
        </w:rPr>
        <w:t>对于其他</w:t>
      </w:r>
      <w:r>
        <w:rPr>
          <w:rFonts w:hint="eastAsia" w:eastAsia="仿宋_GB2312" w:cs="Times New Roman"/>
          <w:color w:val="000000"/>
          <w:sz w:val="32"/>
          <w:szCs w:val="32"/>
          <w:lang w:val="en-US" w:eastAsia="zh-CN"/>
        </w:rPr>
        <w:t>样本类型</w:t>
      </w:r>
      <w:r>
        <w:rPr>
          <w:rFonts w:hint="eastAsia" w:ascii="Times New Roman" w:hAnsi="Times New Roman" w:eastAsia="仿宋_GB2312" w:cs="Times New Roman"/>
          <w:color w:val="000000"/>
          <w:sz w:val="32"/>
          <w:szCs w:val="32"/>
        </w:rPr>
        <w:t>，可能部分要求不完全适用或本文所述内容不够全面，申请人可以参照本指导原则，根据产品特性对适用部分进行评价或补充其他的评价资料进行相应验证。</w:t>
      </w:r>
    </w:p>
    <w:p>
      <w:pPr>
        <w:spacing w:line="520" w:lineRule="exact"/>
        <w:ind w:firstLine="640" w:firstLineChars="200"/>
        <w:outlineLvl w:val="0"/>
        <w:rPr>
          <w:rFonts w:eastAsia="黑体"/>
          <w:sz w:val="32"/>
          <w:szCs w:val="32"/>
        </w:rPr>
      </w:pPr>
      <w:bookmarkStart w:id="7" w:name="_Toc26109"/>
      <w:bookmarkStart w:id="8" w:name="_Toc25468"/>
      <w:bookmarkStart w:id="9" w:name="_Toc32722"/>
      <w:bookmarkStart w:id="10" w:name="_Toc1281"/>
      <w:bookmarkStart w:id="11" w:name="_Toc6676"/>
      <w:bookmarkStart w:id="12" w:name="_Toc30783"/>
      <w:bookmarkStart w:id="13" w:name="_Toc29185"/>
      <w:r>
        <w:rPr>
          <w:rFonts w:eastAsia="黑体"/>
          <w:sz w:val="32"/>
          <w:szCs w:val="32"/>
        </w:rPr>
        <w:t>二、临床试验注册审查要点</w:t>
      </w:r>
      <w:bookmarkEnd w:id="7"/>
      <w:bookmarkEnd w:id="8"/>
      <w:bookmarkEnd w:id="9"/>
      <w:bookmarkEnd w:id="10"/>
      <w:bookmarkEnd w:id="11"/>
      <w:bookmarkEnd w:id="12"/>
      <w:bookmarkEnd w:id="13"/>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contextualSpacing/>
        <w:textAlignment w:val="auto"/>
        <w:rPr>
          <w:rFonts w:eastAsia="仿宋_GB2312"/>
          <w:color w:val="000000"/>
          <w:sz w:val="32"/>
          <w:szCs w:val="32"/>
        </w:rPr>
      </w:pPr>
      <w:r>
        <w:rPr>
          <w:rFonts w:eastAsia="仿宋_GB2312"/>
          <w:color w:val="000000"/>
          <w:sz w:val="32"/>
          <w:szCs w:val="32"/>
        </w:rPr>
        <w:t>开展</w:t>
      </w:r>
      <w:r>
        <w:rPr>
          <w:rFonts w:hint="eastAsia" w:eastAsia="仿宋_GB2312"/>
          <w:color w:val="000000"/>
          <w:sz w:val="32"/>
          <w:szCs w:val="32"/>
        </w:rPr>
        <w:t>结直肠癌筛查</w:t>
      </w:r>
      <w:r>
        <w:rPr>
          <w:rFonts w:eastAsia="仿宋_GB2312"/>
          <w:color w:val="000000"/>
          <w:sz w:val="32"/>
          <w:szCs w:val="32"/>
        </w:rPr>
        <w:t>试剂临床试验应</w:t>
      </w:r>
      <w:r>
        <w:rPr>
          <w:rFonts w:hint="eastAsia" w:eastAsia="仿宋_GB2312"/>
          <w:color w:val="000000"/>
          <w:sz w:val="32"/>
          <w:szCs w:val="32"/>
        </w:rPr>
        <w:t>符合</w:t>
      </w:r>
      <w:r>
        <w:rPr>
          <w:rFonts w:eastAsia="仿宋_GB2312"/>
          <w:sz w:val="32"/>
          <w:szCs w:val="32"/>
        </w:rPr>
        <w:t>《体外诊断试剂注册与备案管理办法》《医疗器械临床试验质量管理规范》</w:t>
      </w:r>
      <w:r>
        <w:rPr>
          <w:rFonts w:hint="eastAsia" w:eastAsia="仿宋_GB2312"/>
          <w:sz w:val="32"/>
          <w:szCs w:val="32"/>
        </w:rPr>
        <w:t>以及</w:t>
      </w:r>
      <w:r>
        <w:rPr>
          <w:rFonts w:eastAsia="仿宋_GB2312"/>
          <w:color w:val="000000"/>
          <w:sz w:val="32"/>
          <w:szCs w:val="32"/>
        </w:rPr>
        <w:t>《体外诊断试剂临床试验技术指导原则》的要求，如相关</w:t>
      </w:r>
      <w:r>
        <w:rPr>
          <w:rFonts w:eastAsia="仿宋_GB2312"/>
          <w:sz w:val="32"/>
          <w:szCs w:val="32"/>
        </w:rPr>
        <w:t>法规、规章、规范性文件</w:t>
      </w:r>
      <w:r>
        <w:rPr>
          <w:rFonts w:eastAsia="仿宋_GB2312"/>
          <w:color w:val="000000"/>
          <w:sz w:val="32"/>
          <w:szCs w:val="32"/>
        </w:rPr>
        <w:t>有更新，临床试验应符合更新后的要求。</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eastAsia="楷体"/>
          <w:sz w:val="32"/>
          <w:szCs w:val="32"/>
        </w:rPr>
      </w:pPr>
      <w:bookmarkStart w:id="14" w:name="_Toc31578"/>
      <w:bookmarkStart w:id="15" w:name="_Toc13920"/>
      <w:bookmarkStart w:id="16" w:name="_Toc6080"/>
      <w:bookmarkStart w:id="17" w:name="_Toc31718"/>
      <w:bookmarkStart w:id="18" w:name="_Toc5926"/>
      <w:bookmarkStart w:id="19" w:name="_Toc9664"/>
      <w:r>
        <w:rPr>
          <w:rFonts w:eastAsia="仿宋_GB2312"/>
          <w:color w:val="000000"/>
          <w:sz w:val="32"/>
          <w:szCs w:val="32"/>
        </w:rPr>
        <w:t>申请人应根据产品特点及预期用途，综合不同地区</w:t>
      </w:r>
      <w:r>
        <w:rPr>
          <w:rFonts w:hint="eastAsia" w:eastAsia="仿宋_GB2312"/>
          <w:color w:val="000000"/>
          <w:sz w:val="32"/>
          <w:szCs w:val="32"/>
        </w:rPr>
        <w:t>发病</w:t>
      </w:r>
      <w:r>
        <w:rPr>
          <w:rFonts w:eastAsia="仿宋_GB2312"/>
          <w:color w:val="000000"/>
          <w:sz w:val="32"/>
          <w:szCs w:val="32"/>
        </w:rPr>
        <w:t>情况等因素选择具有代表性的</w:t>
      </w:r>
      <w:r>
        <w:rPr>
          <w:rFonts w:hint="eastAsia" w:eastAsia="仿宋_GB2312"/>
          <w:color w:val="000000"/>
          <w:sz w:val="32"/>
          <w:szCs w:val="32"/>
        </w:rPr>
        <w:t>临床试验</w:t>
      </w:r>
      <w:r>
        <w:rPr>
          <w:rFonts w:eastAsia="仿宋_GB2312"/>
          <w:color w:val="000000"/>
          <w:sz w:val="32"/>
          <w:szCs w:val="32"/>
        </w:rPr>
        <w:t>机构开展临床试验，</w:t>
      </w:r>
      <w:r>
        <w:rPr>
          <w:rFonts w:hint="eastAsia" w:ascii="仿宋_GB2312" w:hAnsi="仿宋_GB2312" w:eastAsia="仿宋_GB2312" w:cs="仿宋_GB2312"/>
          <w:sz w:val="32"/>
          <w:szCs w:val="32"/>
        </w:rPr>
        <w:t>保证入组人群对筛查目标人群总体具有良好的代表性</w:t>
      </w:r>
      <w:r>
        <w:rPr>
          <w:rFonts w:hint="eastAsia" w:eastAsia="仿宋_GB2312"/>
          <w:color w:val="000000"/>
          <w:sz w:val="32"/>
          <w:szCs w:val="32"/>
        </w:rPr>
        <w:t>。应</w:t>
      </w:r>
      <w:r>
        <w:rPr>
          <w:rFonts w:eastAsia="仿宋_GB2312"/>
          <w:color w:val="000000"/>
          <w:sz w:val="32"/>
          <w:szCs w:val="32"/>
        </w:rPr>
        <w:t>选择不少于3家（含3家）符合法规要求的临床试验机构开展</w:t>
      </w:r>
      <w:r>
        <w:rPr>
          <w:rFonts w:hint="eastAsia" w:eastAsia="仿宋_GB2312"/>
          <w:color w:val="000000"/>
          <w:sz w:val="32"/>
          <w:szCs w:val="32"/>
        </w:rPr>
        <w:t>多中心</w:t>
      </w:r>
      <w:r>
        <w:rPr>
          <w:rFonts w:eastAsia="仿宋_GB2312"/>
          <w:color w:val="000000"/>
          <w:sz w:val="32"/>
          <w:szCs w:val="32"/>
        </w:rPr>
        <w:t>临床试验。</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eastAsia="仿宋_GB2312"/>
          <w:color w:val="000000"/>
          <w:sz w:val="32"/>
          <w:szCs w:val="32"/>
        </w:rPr>
      </w:pPr>
      <w:r>
        <w:rPr>
          <w:rFonts w:eastAsia="仿宋_GB2312"/>
          <w:color w:val="000000"/>
          <w:sz w:val="32"/>
          <w:szCs w:val="32"/>
        </w:rPr>
        <w:t>参与临床试验的人员经培训后应熟悉相关检测技术的原理、适用范围、操作方法等，并能够对检测结果进行正确判读。在整个试验中，试验体外诊断试剂和对比试剂/方法都应处于有效的质量控制下，最大限度保证试验数据的准确性及可重复性。</w:t>
      </w:r>
    </w:p>
    <w:p>
      <w:pPr>
        <w:keepNext w:val="0"/>
        <w:keepLines w:val="0"/>
        <w:pageBreakBefore w:val="0"/>
        <w:widowControl w:val="0"/>
        <w:numPr>
          <w:ilvl w:val="255"/>
          <w:numId w:val="0"/>
        </w:numPr>
        <w:kinsoku/>
        <w:wordWrap/>
        <w:overflowPunct/>
        <w:topLinePunct w:val="0"/>
        <w:autoSpaceDE/>
        <w:autoSpaceDN/>
        <w:bidi w:val="0"/>
        <w:adjustRightInd/>
        <w:snapToGrid/>
        <w:spacing w:line="520" w:lineRule="exact"/>
        <w:ind w:firstLine="640" w:firstLineChars="200"/>
        <w:jc w:val="left"/>
        <w:textAlignment w:val="auto"/>
        <w:rPr>
          <w:rFonts w:ascii="仿宋_GB2312" w:hAnsi="仿宋_GB2312" w:eastAsia="仿宋_GB2312"/>
          <w:sz w:val="32"/>
          <w:szCs w:val="32"/>
        </w:rPr>
      </w:pPr>
      <w:r>
        <w:rPr>
          <w:rFonts w:ascii="仿宋_GB2312" w:hAnsi="仿宋_GB2312" w:eastAsia="仿宋_GB2312"/>
          <w:sz w:val="32"/>
          <w:szCs w:val="32"/>
        </w:rPr>
        <w:t>临床试验</w:t>
      </w:r>
      <w:r>
        <w:rPr>
          <w:rFonts w:hint="eastAsia" w:ascii="仿宋_GB2312" w:hAnsi="仿宋_GB2312" w:eastAsia="仿宋_GB2312"/>
          <w:sz w:val="32"/>
          <w:szCs w:val="32"/>
        </w:rPr>
        <w:t>应包括</w:t>
      </w:r>
      <w:r>
        <w:rPr>
          <w:rFonts w:ascii="仿宋_GB2312" w:hAnsi="仿宋_GB2312" w:eastAsia="仿宋_GB2312"/>
          <w:sz w:val="32"/>
          <w:szCs w:val="32"/>
        </w:rPr>
        <w:t>：</w:t>
      </w:r>
      <w:r>
        <w:rPr>
          <w:rFonts w:hint="eastAsia" w:ascii="仿宋_GB2312" w:hAnsi="仿宋_GB2312" w:eastAsia="仿宋_GB2312" w:cs="仿宋_GB2312"/>
          <w:sz w:val="32"/>
          <w:szCs w:val="32"/>
        </w:rPr>
        <w:t>对目标人群的筛查性能评价</w:t>
      </w:r>
      <w:r>
        <w:rPr>
          <w:rFonts w:hint="eastAsia" w:ascii="仿宋_GB2312" w:hAnsi="仿宋_GB2312" w:eastAsia="仿宋_GB2312"/>
          <w:sz w:val="32"/>
          <w:szCs w:val="32"/>
        </w:rPr>
        <w:t>；</w:t>
      </w:r>
      <w:r>
        <w:rPr>
          <w:rFonts w:hint="eastAsia" w:ascii="仿宋_GB2312" w:hAnsi="仿宋_GB2312" w:eastAsia="仿宋_GB2312" w:cs="仿宋_GB2312"/>
          <w:sz w:val="32"/>
          <w:szCs w:val="32"/>
        </w:rPr>
        <w:t>对结直肠癌诊断的灵敏度和特异度评价</w:t>
      </w:r>
      <w:r>
        <w:rPr>
          <w:rFonts w:hint="eastAsia" w:ascii="仿宋_GB2312" w:hAnsi="仿宋_GB2312" w:eastAsia="仿宋_GB2312"/>
          <w:sz w:val="32"/>
          <w:szCs w:val="32"/>
        </w:rPr>
        <w:t>；被测标志物</w:t>
      </w:r>
      <w:r>
        <w:rPr>
          <w:rFonts w:ascii="仿宋_GB2312" w:hAnsi="仿宋_GB2312" w:eastAsia="仿宋_GB2312"/>
          <w:sz w:val="32"/>
          <w:szCs w:val="32"/>
        </w:rPr>
        <w:t>的</w:t>
      </w:r>
      <w:r>
        <w:rPr>
          <w:rFonts w:hint="eastAsia" w:ascii="仿宋_GB2312" w:hAnsi="仿宋_GB2312" w:eastAsia="仿宋_GB2312"/>
          <w:sz w:val="32"/>
          <w:szCs w:val="32"/>
        </w:rPr>
        <w:t>检测性能评价等。</w:t>
      </w:r>
    </w:p>
    <w:bookmarkEnd w:id="14"/>
    <w:bookmarkEnd w:id="15"/>
    <w:p>
      <w:pPr>
        <w:keepNext w:val="0"/>
        <w:keepLines w:val="0"/>
        <w:pageBreakBefore w:val="0"/>
        <w:kinsoku/>
        <w:wordWrap/>
        <w:overflowPunct/>
        <w:topLinePunct w:val="0"/>
        <w:autoSpaceDE/>
        <w:autoSpaceDN/>
        <w:bidi w:val="0"/>
        <w:spacing w:line="520" w:lineRule="exact"/>
        <w:ind w:firstLine="636"/>
        <w:jc w:val="left"/>
        <w:textAlignment w:val="auto"/>
        <w:outlineLvl w:val="1"/>
        <w:rPr>
          <w:rFonts w:hint="eastAsia" w:ascii="楷体_GB2312" w:hAnsi="楷体_GB2312" w:eastAsia="楷体_GB2312" w:cs="楷体_GB2312"/>
          <w:sz w:val="32"/>
          <w:szCs w:val="32"/>
        </w:rPr>
      </w:pPr>
      <w:bookmarkStart w:id="20" w:name="_Toc24552"/>
      <w:bookmarkStart w:id="21" w:name="_Toc5630"/>
      <w:bookmarkStart w:id="22" w:name="_Toc29091"/>
      <w:bookmarkStart w:id="23" w:name="_Toc13405"/>
      <w:bookmarkStart w:id="24" w:name="_Toc11267"/>
      <w:bookmarkStart w:id="25" w:name="_Toc30130"/>
      <w:bookmarkStart w:id="26" w:name="_Toc4397"/>
      <w:bookmarkStart w:id="27" w:name="_Toc11047"/>
      <w:bookmarkStart w:id="28" w:name="_Toc27266"/>
      <w:r>
        <w:rPr>
          <w:rFonts w:hint="eastAsia" w:ascii="楷体_GB2312" w:hAnsi="楷体_GB2312" w:eastAsia="楷体_GB2312" w:cs="楷体_GB2312"/>
          <w:sz w:val="32"/>
          <w:szCs w:val="32"/>
        </w:rPr>
        <w:t>（一）对目标人群的筛查性能评价</w:t>
      </w:r>
      <w:bookmarkEnd w:id="20"/>
      <w:bookmarkEnd w:id="21"/>
      <w:bookmarkEnd w:id="22"/>
      <w:bookmarkEnd w:id="23"/>
      <w:bookmarkEnd w:id="24"/>
      <w:bookmarkEnd w:id="25"/>
      <w:bookmarkEnd w:id="26"/>
      <w:bookmarkEnd w:id="27"/>
      <w:bookmarkEnd w:id="28"/>
    </w:p>
    <w:p>
      <w:pPr>
        <w:keepNext w:val="0"/>
        <w:keepLines w:val="0"/>
        <w:pageBreakBefore w:val="0"/>
        <w:kinsoku/>
        <w:wordWrap/>
        <w:overflowPunct/>
        <w:topLinePunct w:val="0"/>
        <w:autoSpaceDE/>
        <w:autoSpaceDN/>
        <w:bidi w:val="0"/>
        <w:spacing w:line="520" w:lineRule="exact"/>
        <w:ind w:firstLine="636"/>
        <w:jc w:val="left"/>
        <w:textAlignment w:val="auto"/>
        <w:outlineLvl w:val="2"/>
        <w:rPr>
          <w:rFonts w:ascii="仿宋_GB2312" w:hAnsi="仿宋_GB2312" w:eastAsia="仿宋_GB2312"/>
          <w:sz w:val="32"/>
          <w:szCs w:val="32"/>
        </w:rPr>
      </w:pPr>
      <w:bookmarkStart w:id="29" w:name="_Toc24841"/>
      <w:bookmarkStart w:id="30" w:name="_Toc4994"/>
      <w:bookmarkStart w:id="31" w:name="_Toc21739"/>
      <w:bookmarkStart w:id="32" w:name="_Toc22903"/>
      <w:bookmarkStart w:id="33" w:name="_Toc3740"/>
      <w:bookmarkStart w:id="34" w:name="_Toc2790"/>
      <w:bookmarkStart w:id="35" w:name="_Toc25787"/>
      <w:bookmarkStart w:id="36" w:name="_Toc690"/>
      <w:bookmarkStart w:id="37" w:name="_Toc20163"/>
      <w:r>
        <w:rPr>
          <w:rFonts w:hint="eastAsia" w:ascii="仿宋_GB2312" w:hAnsi="仿宋_GB2312" w:eastAsia="仿宋_GB2312"/>
          <w:sz w:val="32"/>
          <w:szCs w:val="32"/>
        </w:rPr>
        <w:t>1.</w:t>
      </w:r>
      <w:bookmarkEnd w:id="29"/>
      <w:bookmarkEnd w:id="30"/>
      <w:bookmarkEnd w:id="31"/>
      <w:bookmarkEnd w:id="32"/>
      <w:bookmarkEnd w:id="33"/>
      <w:bookmarkEnd w:id="34"/>
      <w:r>
        <w:rPr>
          <w:rFonts w:hint="eastAsia" w:ascii="仿宋_GB2312" w:hAnsi="仿宋_GB2312" w:eastAsia="仿宋_GB2312"/>
          <w:sz w:val="32"/>
          <w:szCs w:val="32"/>
        </w:rPr>
        <w:t>受试者入组</w:t>
      </w:r>
      <w:bookmarkEnd w:id="35"/>
      <w:bookmarkEnd w:id="36"/>
      <w:bookmarkEnd w:id="37"/>
    </w:p>
    <w:p>
      <w:pPr>
        <w:keepNext w:val="0"/>
        <w:keepLines w:val="0"/>
        <w:pageBreakBefore w:val="0"/>
        <w:kinsoku/>
        <w:wordWrap/>
        <w:overflowPunct/>
        <w:topLinePunct w:val="0"/>
        <w:autoSpaceDE/>
        <w:autoSpaceDN/>
        <w:bidi w:val="0"/>
        <w:spacing w:line="520" w:lineRule="exact"/>
        <w:ind w:firstLine="636"/>
        <w:jc w:val="left"/>
        <w:textAlignment w:val="auto"/>
      </w:pPr>
      <w:r>
        <w:rPr>
          <w:rFonts w:hint="eastAsia" w:ascii="仿宋_GB2312" w:hAnsi="仿宋_GB2312" w:eastAsia="仿宋_GB2312"/>
          <w:sz w:val="32"/>
          <w:szCs w:val="32"/>
        </w:rPr>
        <w:t>筛查临床试验</w:t>
      </w:r>
      <w:r>
        <w:rPr>
          <w:rFonts w:hint="eastAsia" w:ascii="仿宋_GB2312" w:hAnsi="仿宋_GB2312" w:eastAsia="仿宋_GB2312" w:cs="仿宋_GB2312"/>
          <w:sz w:val="32"/>
          <w:szCs w:val="32"/>
        </w:rPr>
        <w:t>在预期适用的目标人群中按照临床试验方案设定的入组标准前瞻性、顺序入组受试者。</w:t>
      </w:r>
    </w:p>
    <w:p>
      <w:pPr>
        <w:keepNext w:val="0"/>
        <w:keepLines w:val="0"/>
        <w:pageBreakBefore w:val="0"/>
        <w:widowControl/>
        <w:kinsoku/>
        <w:wordWrap/>
        <w:overflowPunct/>
        <w:topLinePunct w:val="0"/>
        <w:autoSpaceDE/>
        <w:autoSpaceDN/>
        <w:bidi w:val="0"/>
        <w:spacing w:line="520" w:lineRule="exact"/>
        <w:ind w:firstLine="636"/>
        <w:jc w:val="left"/>
        <w:textAlignment w:val="auto"/>
        <w:rPr>
          <w:rFonts w:hint="default" w:ascii="仿宋_GB2312" w:hAnsi="宋体" w:eastAsia="仿宋_GB2312" w:cs="仿宋_GB2312"/>
          <w:color w:val="000000"/>
          <w:kern w:val="0"/>
          <w:sz w:val="31"/>
          <w:szCs w:val="31"/>
          <w:lang w:val="en-US" w:eastAsia="zh-CN" w:bidi="ar"/>
        </w:rPr>
      </w:pPr>
      <w:bookmarkStart w:id="38" w:name="_Toc6928"/>
      <w:bookmarkStart w:id="39" w:name="_Toc5441"/>
      <w:bookmarkStart w:id="40" w:name="_Toc26453"/>
      <w:bookmarkStart w:id="41" w:name="_Toc25312"/>
      <w:bookmarkStart w:id="42" w:name="_Toc10801"/>
      <w:bookmarkStart w:id="43" w:name="_Toc4150"/>
      <w:r>
        <w:rPr>
          <w:rFonts w:hint="eastAsia" w:eastAsia="仿宋_GB2312"/>
          <w:color w:val="000000"/>
          <w:sz w:val="32"/>
          <w:szCs w:val="32"/>
        </w:rPr>
        <w:t>应明确人群的判定依据。根据《中国结直肠癌筛查与早诊早治指南(2020,北京)》，</w:t>
      </w:r>
      <w:r>
        <w:rPr>
          <w:rFonts w:hint="eastAsia" w:ascii="仿宋_GB2312" w:hAnsi="仿宋_GB2312" w:eastAsia="仿宋_GB2312"/>
          <w:sz w:val="32"/>
          <w:szCs w:val="32"/>
        </w:rPr>
        <w:t>结直肠癌高风险人群包括有结直肠癌病史、腺瘤性息肉病史、炎症性肠病史、</w:t>
      </w:r>
      <w:r>
        <w:rPr>
          <w:rFonts w:hint="eastAsia" w:ascii="仿宋_GB2312" w:hAnsi="宋体" w:eastAsia="仿宋_GB2312" w:cs="仿宋_GB2312"/>
          <w:color w:val="000000"/>
          <w:kern w:val="0"/>
          <w:sz w:val="31"/>
          <w:szCs w:val="31"/>
          <w:lang w:bidi="ar"/>
        </w:rPr>
        <w:t>有</w:t>
      </w:r>
      <w:r>
        <w:rPr>
          <w:rFonts w:ascii="仿宋_GB2312" w:hAnsi="宋体" w:eastAsia="仿宋_GB2312" w:cs="仿宋_GB2312"/>
          <w:color w:val="000000"/>
          <w:kern w:val="0"/>
          <w:sz w:val="31"/>
          <w:szCs w:val="31"/>
          <w:lang w:bidi="ar"/>
        </w:rPr>
        <w:t>提高结直肠</w:t>
      </w:r>
      <w:r>
        <w:rPr>
          <w:rFonts w:hint="eastAsia" w:ascii="仿宋_GB2312" w:hAnsi="宋体" w:eastAsia="仿宋_GB2312" w:cs="仿宋_GB2312"/>
          <w:color w:val="000000"/>
          <w:kern w:val="0"/>
          <w:sz w:val="31"/>
          <w:szCs w:val="31"/>
          <w:lang w:bidi="ar"/>
        </w:rPr>
        <w:t>癌罹患风险的已知疾病史或家族遗传疾病史（如林奇综合征或家族性腺瘤样息肉病）、一级亲属结直肠癌病史以及粪便隐血试验阳性的人群。一般风险人群为4</w:t>
      </w:r>
      <w:r>
        <w:rPr>
          <w:rFonts w:hint="eastAsia" w:ascii="仿宋_GB2312" w:hAnsi="宋体" w:eastAsia="仿宋_GB2312" w:cs="仿宋_GB2312"/>
          <w:color w:val="000000"/>
          <w:kern w:val="0"/>
          <w:sz w:val="31"/>
          <w:szCs w:val="31"/>
          <w:lang w:val="en-US" w:eastAsia="zh-CN" w:bidi="ar"/>
        </w:rPr>
        <w:t>0</w:t>
      </w:r>
      <w:r>
        <w:rPr>
          <w:rFonts w:hint="eastAsia" w:ascii="仿宋_GB2312" w:hAnsi="宋体" w:eastAsia="仿宋_GB2312" w:cs="仿宋_GB2312"/>
          <w:color w:val="000000"/>
          <w:kern w:val="0"/>
          <w:sz w:val="31"/>
          <w:szCs w:val="31"/>
          <w:lang w:bidi="ar"/>
        </w:rPr>
        <w:t>-74岁之间的无结直肠癌高风险因素的人群。</w:t>
      </w:r>
      <w:r>
        <w:rPr>
          <w:rFonts w:hint="eastAsia" w:ascii="仿宋_GB2312" w:hAnsi="宋体" w:eastAsia="仿宋_GB2312" w:cs="仿宋_GB2312"/>
          <w:color w:val="000000"/>
          <w:kern w:val="0"/>
          <w:sz w:val="31"/>
          <w:szCs w:val="31"/>
          <w:lang w:val="en-US" w:eastAsia="zh-CN" w:bidi="ar"/>
        </w:rPr>
        <w:t>有关</w:t>
      </w:r>
      <w:r>
        <w:rPr>
          <w:rFonts w:hint="eastAsia" w:ascii="仿宋_GB2312" w:hAnsi="仿宋_GB2312" w:eastAsia="仿宋_GB2312"/>
          <w:sz w:val="32"/>
          <w:szCs w:val="32"/>
        </w:rPr>
        <w:t>高风险人群</w:t>
      </w:r>
      <w:r>
        <w:rPr>
          <w:rFonts w:hint="eastAsia" w:ascii="仿宋_GB2312" w:hAnsi="仿宋_GB2312" w:eastAsia="仿宋_GB2312"/>
          <w:sz w:val="32"/>
          <w:szCs w:val="32"/>
          <w:lang w:val="en-US" w:eastAsia="zh-CN"/>
        </w:rPr>
        <w:t>和</w:t>
      </w:r>
      <w:r>
        <w:rPr>
          <w:rFonts w:hint="eastAsia" w:ascii="仿宋_GB2312" w:hAnsi="宋体" w:eastAsia="仿宋_GB2312" w:cs="仿宋_GB2312"/>
          <w:color w:val="000000"/>
          <w:kern w:val="0"/>
          <w:sz w:val="31"/>
          <w:szCs w:val="31"/>
          <w:lang w:bidi="ar"/>
        </w:rPr>
        <w:t>一般风险人群</w:t>
      </w:r>
      <w:r>
        <w:rPr>
          <w:rFonts w:hint="eastAsia" w:ascii="仿宋_GB2312" w:hAnsi="宋体" w:eastAsia="仿宋_GB2312" w:cs="仿宋_GB2312"/>
          <w:color w:val="000000"/>
          <w:kern w:val="0"/>
          <w:sz w:val="31"/>
          <w:szCs w:val="31"/>
          <w:lang w:val="en-US" w:eastAsia="zh-CN" w:bidi="ar"/>
        </w:rPr>
        <w:t>的定义建议按照现行有效的筛查指南执行。</w:t>
      </w:r>
    </w:p>
    <w:p>
      <w:pPr>
        <w:keepNext w:val="0"/>
        <w:keepLines w:val="0"/>
        <w:pageBreakBefore w:val="0"/>
        <w:widowControl/>
        <w:kinsoku/>
        <w:wordWrap/>
        <w:overflowPunct/>
        <w:topLinePunct w:val="0"/>
        <w:autoSpaceDE/>
        <w:autoSpaceDN/>
        <w:bidi w:val="0"/>
        <w:spacing w:line="520" w:lineRule="exact"/>
        <w:ind w:firstLine="636"/>
        <w:jc w:val="left"/>
        <w:textAlignment w:val="auto"/>
        <w:rPr>
          <w:rFonts w:ascii="仿宋_GB2312" w:hAnsi="宋体" w:eastAsia="仿宋_GB2312" w:cs="仿宋_GB2312"/>
          <w:color w:val="000000"/>
          <w:kern w:val="0"/>
          <w:sz w:val="31"/>
          <w:szCs w:val="31"/>
          <w:lang w:bidi="ar"/>
        </w:rPr>
      </w:pPr>
      <w:r>
        <w:rPr>
          <w:rFonts w:hint="eastAsia" w:ascii="仿宋_GB2312" w:hAnsi="宋体" w:eastAsia="仿宋_GB2312" w:cs="仿宋_GB2312"/>
          <w:color w:val="000000"/>
          <w:kern w:val="0"/>
          <w:sz w:val="31"/>
          <w:szCs w:val="31"/>
          <w:lang w:bidi="ar"/>
        </w:rPr>
        <w:t>受试者有无高风险因素等临床背景可采用问卷方式获得，并在临床试验数据表中针对每一项风险因素单独设一列，填写问卷结果。</w:t>
      </w:r>
    </w:p>
    <w:p>
      <w:pPr>
        <w:keepNext w:val="0"/>
        <w:keepLines w:val="0"/>
        <w:pageBreakBefore w:val="0"/>
        <w:kinsoku/>
        <w:wordWrap/>
        <w:overflowPunct/>
        <w:topLinePunct w:val="0"/>
        <w:autoSpaceDE/>
        <w:autoSpaceDN/>
        <w:bidi w:val="0"/>
        <w:spacing w:line="520" w:lineRule="exact"/>
        <w:ind w:firstLine="636"/>
        <w:jc w:val="left"/>
        <w:textAlignment w:val="auto"/>
        <w:outlineLvl w:val="2"/>
        <w:rPr>
          <w:rFonts w:ascii="仿宋_GB2312" w:hAnsi="仿宋_GB2312" w:eastAsia="仿宋_GB2312"/>
          <w:sz w:val="32"/>
          <w:szCs w:val="32"/>
        </w:rPr>
      </w:pPr>
      <w:bookmarkStart w:id="44" w:name="_Toc3992"/>
      <w:bookmarkStart w:id="45" w:name="_Toc3545"/>
      <w:bookmarkStart w:id="46" w:name="_Toc13667"/>
      <w:r>
        <w:rPr>
          <w:rFonts w:hint="eastAsia" w:ascii="仿宋_GB2312" w:hAnsi="仿宋_GB2312" w:eastAsia="仿宋_GB2312"/>
          <w:sz w:val="32"/>
          <w:szCs w:val="32"/>
        </w:rPr>
        <w:t>2.试验方法</w:t>
      </w:r>
      <w:bookmarkEnd w:id="38"/>
      <w:bookmarkEnd w:id="39"/>
      <w:bookmarkEnd w:id="40"/>
      <w:bookmarkEnd w:id="41"/>
      <w:bookmarkEnd w:id="42"/>
      <w:bookmarkEnd w:id="43"/>
      <w:bookmarkEnd w:id="44"/>
      <w:bookmarkEnd w:id="45"/>
      <w:bookmarkEnd w:id="46"/>
    </w:p>
    <w:p>
      <w:pPr>
        <w:keepNext w:val="0"/>
        <w:keepLines w:val="0"/>
        <w:pageBreakBefore w:val="0"/>
        <w:kinsoku/>
        <w:wordWrap/>
        <w:overflowPunct/>
        <w:topLinePunct w:val="0"/>
        <w:autoSpaceDE/>
        <w:autoSpaceDN/>
        <w:bidi w:val="0"/>
        <w:spacing w:line="520" w:lineRule="exact"/>
        <w:ind w:firstLine="636"/>
        <w:jc w:val="left"/>
        <w:textAlignment w:val="auto"/>
        <w:rPr>
          <w:rFonts w:ascii="仿宋_GB2312" w:hAnsi="仿宋_GB2312" w:eastAsia="仿宋_GB2312"/>
          <w:sz w:val="32"/>
          <w:szCs w:val="32"/>
        </w:rPr>
      </w:pPr>
      <w:r>
        <w:rPr>
          <w:rFonts w:hint="eastAsia" w:ascii="仿宋_GB2312" w:hAnsi="仿宋_GB2312" w:eastAsia="仿宋_GB2312"/>
          <w:sz w:val="32"/>
          <w:szCs w:val="32"/>
        </w:rPr>
        <w:t>采用试验体外诊断试剂与结直肠癌和进展期腺瘤临床诊断参考标准，即结肠镜结合病理检查结果进行比较研究</w:t>
      </w:r>
      <w:r>
        <w:rPr>
          <w:rFonts w:ascii="仿宋_GB2312" w:hAnsi="仿宋_GB2312" w:eastAsia="仿宋_GB2312"/>
          <w:sz w:val="32"/>
          <w:szCs w:val="32"/>
        </w:rPr>
        <w:t>，评价</w:t>
      </w:r>
      <w:r>
        <w:rPr>
          <w:rFonts w:hint="eastAsia" w:ascii="仿宋_GB2312" w:hAnsi="仿宋_GB2312" w:eastAsia="仿宋_GB2312"/>
          <w:sz w:val="32"/>
          <w:szCs w:val="32"/>
        </w:rPr>
        <w:t>试验体外诊断试剂在适用人群中筛查结直肠癌和进展期腺瘤</w:t>
      </w:r>
      <w:r>
        <w:rPr>
          <w:rFonts w:ascii="仿宋_GB2312" w:hAnsi="仿宋_GB2312" w:eastAsia="仿宋_GB2312"/>
          <w:sz w:val="32"/>
          <w:szCs w:val="32"/>
        </w:rPr>
        <w:t>的灵敏度、特异度和</w:t>
      </w:r>
      <w:r>
        <w:rPr>
          <w:rFonts w:hint="eastAsia" w:ascii="仿宋_GB2312" w:hAnsi="仿宋_GB2312" w:eastAsia="仿宋_GB2312"/>
          <w:sz w:val="32"/>
          <w:szCs w:val="32"/>
        </w:rPr>
        <w:t>阳</w:t>
      </w:r>
      <w:r>
        <w:rPr>
          <w:rFonts w:ascii="仿宋_GB2312" w:hAnsi="仿宋_GB2312" w:eastAsia="仿宋_GB2312"/>
          <w:sz w:val="32"/>
          <w:szCs w:val="32"/>
        </w:rPr>
        <w:t>性</w:t>
      </w:r>
      <w:r>
        <w:rPr>
          <w:rFonts w:hint="eastAsia" w:ascii="仿宋_GB2312" w:hAnsi="仿宋_GB2312" w:eastAsia="仿宋_GB2312"/>
          <w:sz w:val="32"/>
          <w:szCs w:val="32"/>
        </w:rPr>
        <w:t>/</w:t>
      </w:r>
      <w:r>
        <w:rPr>
          <w:rFonts w:ascii="仿宋_GB2312" w:hAnsi="仿宋_GB2312" w:eastAsia="仿宋_GB2312"/>
          <w:sz w:val="32"/>
          <w:szCs w:val="32"/>
        </w:rPr>
        <w:t>阴</w:t>
      </w:r>
      <w:r>
        <w:rPr>
          <w:rFonts w:hint="eastAsia" w:ascii="仿宋_GB2312" w:hAnsi="仿宋_GB2312" w:eastAsia="仿宋_GB2312"/>
          <w:sz w:val="32"/>
          <w:szCs w:val="32"/>
        </w:rPr>
        <w:t>性</w:t>
      </w:r>
      <w:r>
        <w:rPr>
          <w:rFonts w:ascii="仿宋_GB2312" w:hAnsi="仿宋_GB2312" w:eastAsia="仿宋_GB2312"/>
          <w:sz w:val="32"/>
          <w:szCs w:val="32"/>
        </w:rPr>
        <w:t>预测值等指标。</w:t>
      </w:r>
    </w:p>
    <w:p>
      <w:pPr>
        <w:keepNext w:val="0"/>
        <w:keepLines w:val="0"/>
        <w:pageBreakBefore w:val="0"/>
        <w:widowControl w:val="0"/>
        <w:kinsoku/>
        <w:wordWrap/>
        <w:overflowPunct/>
        <w:topLinePunct w:val="0"/>
        <w:autoSpaceDE/>
        <w:autoSpaceDN/>
        <w:bidi w:val="0"/>
        <w:adjustRightInd w:val="0"/>
        <w:snapToGrid w:val="0"/>
        <w:spacing w:line="520" w:lineRule="exact"/>
        <w:ind w:firstLine="635"/>
        <w:jc w:val="left"/>
        <w:textAlignment w:val="auto"/>
        <w:rPr>
          <w:rFonts w:ascii="仿宋_GB2312" w:hAnsi="仿宋_GB2312" w:eastAsia="仿宋_GB2312"/>
          <w:sz w:val="32"/>
          <w:szCs w:val="32"/>
        </w:rPr>
      </w:pPr>
      <w:r>
        <w:rPr>
          <w:rFonts w:hint="eastAsia" w:ascii="仿宋_GB2312" w:hAnsi="仿宋_GB2312" w:eastAsia="仿宋_GB2312"/>
          <w:sz w:val="32"/>
          <w:szCs w:val="32"/>
        </w:rPr>
        <w:t>如临床已有相同适用人群的筛查方法，应同时采用已有方法进行筛查，评价现有方法的临床性能，并与试验体外诊断试剂进行比较。</w:t>
      </w:r>
    </w:p>
    <w:p>
      <w:pPr>
        <w:keepNext w:val="0"/>
        <w:keepLines w:val="0"/>
        <w:pageBreakBefore w:val="0"/>
        <w:kinsoku/>
        <w:wordWrap/>
        <w:overflowPunct/>
        <w:topLinePunct w:val="0"/>
        <w:autoSpaceDE/>
        <w:autoSpaceDN/>
        <w:bidi w:val="0"/>
        <w:spacing w:line="520" w:lineRule="exact"/>
        <w:ind w:firstLine="636"/>
        <w:jc w:val="left"/>
        <w:textAlignment w:val="auto"/>
        <w:rPr>
          <w:rFonts w:ascii="仿宋_GB2312" w:hAnsi="仿宋_GB2312" w:eastAsia="仿宋_GB2312"/>
          <w:sz w:val="32"/>
          <w:szCs w:val="32"/>
        </w:rPr>
      </w:pPr>
      <w:r>
        <w:rPr>
          <w:rFonts w:hint="eastAsia" w:ascii="仿宋_GB2312" w:hAnsi="仿宋_GB2312" w:eastAsia="仿宋_GB2312"/>
          <w:sz w:val="32"/>
          <w:szCs w:val="32"/>
        </w:rPr>
        <w:t>受试者入组后采用试验体外诊断试剂和现行指南推荐的筛查方法分别进行检测/检查，之后进行</w:t>
      </w:r>
      <w:r>
        <w:rPr>
          <w:rFonts w:ascii="仿宋_GB2312" w:hAnsi="仿宋_GB2312" w:eastAsia="仿宋_GB2312"/>
          <w:sz w:val="32"/>
          <w:szCs w:val="32"/>
        </w:rPr>
        <w:t>结肠镜</w:t>
      </w:r>
      <w:r>
        <w:rPr>
          <w:rFonts w:hint="eastAsia" w:ascii="仿宋_GB2312" w:hAnsi="仿宋_GB2312" w:eastAsia="仿宋_GB2312"/>
          <w:sz w:val="32"/>
          <w:szCs w:val="32"/>
        </w:rPr>
        <w:t>检查，必要时进行</w:t>
      </w:r>
      <w:r>
        <w:rPr>
          <w:rFonts w:ascii="仿宋_GB2312" w:hAnsi="仿宋_GB2312" w:eastAsia="仿宋_GB2312"/>
          <w:sz w:val="32"/>
          <w:szCs w:val="32"/>
        </w:rPr>
        <w:t>病理检查</w:t>
      </w:r>
      <w:r>
        <w:rPr>
          <w:rFonts w:hint="eastAsia" w:ascii="仿宋_GB2312" w:hAnsi="仿宋_GB2312" w:eastAsia="仿宋_GB2312"/>
          <w:sz w:val="32"/>
          <w:szCs w:val="32"/>
        </w:rPr>
        <w:t>。</w:t>
      </w:r>
      <w:bookmarkStart w:id="47" w:name="_Toc14769"/>
      <w:bookmarkStart w:id="48" w:name="_Toc16226"/>
      <w:bookmarkStart w:id="49" w:name="_Toc7665"/>
      <w:bookmarkStart w:id="50" w:name="_Toc14377"/>
      <w:bookmarkStart w:id="51" w:name="_Toc23520"/>
      <w:bookmarkStart w:id="52" w:name="_Toc26042"/>
      <w:r>
        <w:rPr>
          <w:rFonts w:hint="eastAsia" w:ascii="仿宋_GB2312" w:hAnsi="仿宋_GB2312" w:eastAsia="仿宋_GB2312"/>
          <w:sz w:val="32"/>
          <w:szCs w:val="32"/>
        </w:rPr>
        <w:t>试验体外诊断试剂与已有筛查方法的样本采集应在结肠镜检查之前完成，与结肠镜检查的时间间隔建议不超过12周。结肠镜检查质量应符合高质量检查标准（良好的肠道准备率应&gt;85%；盲肠插镜率&gt;95%；退镜时间应至少保证6min）。</w:t>
      </w:r>
    </w:p>
    <w:p>
      <w:pPr>
        <w:keepNext w:val="0"/>
        <w:keepLines w:val="0"/>
        <w:pageBreakBefore w:val="0"/>
        <w:kinsoku/>
        <w:wordWrap/>
        <w:overflowPunct/>
        <w:topLinePunct w:val="0"/>
        <w:autoSpaceDE/>
        <w:autoSpaceDN/>
        <w:bidi w:val="0"/>
        <w:spacing w:line="520" w:lineRule="exact"/>
        <w:ind w:firstLine="636"/>
        <w:jc w:val="left"/>
        <w:textAlignment w:val="auto"/>
        <w:outlineLvl w:val="2"/>
        <w:rPr>
          <w:rFonts w:ascii="仿宋_GB2312" w:hAnsi="仿宋_GB2312" w:eastAsia="仿宋_GB2312"/>
          <w:sz w:val="32"/>
          <w:szCs w:val="32"/>
        </w:rPr>
      </w:pPr>
      <w:bookmarkStart w:id="53" w:name="_Toc31136"/>
      <w:bookmarkStart w:id="54" w:name="_Toc24470"/>
      <w:bookmarkStart w:id="55" w:name="_Toc14871"/>
      <w:r>
        <w:rPr>
          <w:rFonts w:hint="eastAsia" w:ascii="仿宋_GB2312" w:hAnsi="仿宋_GB2312" w:eastAsia="仿宋_GB2312"/>
          <w:sz w:val="32"/>
          <w:szCs w:val="32"/>
        </w:rPr>
        <w:t>3.样本量</w:t>
      </w:r>
      <w:bookmarkEnd w:id="47"/>
      <w:bookmarkEnd w:id="48"/>
      <w:bookmarkEnd w:id="49"/>
      <w:bookmarkEnd w:id="50"/>
      <w:bookmarkEnd w:id="51"/>
      <w:bookmarkEnd w:id="52"/>
      <w:bookmarkEnd w:id="53"/>
      <w:bookmarkEnd w:id="54"/>
      <w:bookmarkEnd w:id="55"/>
    </w:p>
    <w:p>
      <w:pPr>
        <w:keepNext w:val="0"/>
        <w:keepLines w:val="0"/>
        <w:pageBreakBefore w:val="0"/>
        <w:kinsoku/>
        <w:wordWrap/>
        <w:overflowPunct/>
        <w:topLinePunct w:val="0"/>
        <w:autoSpaceDE/>
        <w:autoSpaceDN/>
        <w:bidi w:val="0"/>
        <w:spacing w:line="520" w:lineRule="exact"/>
        <w:ind w:firstLine="627" w:firstLineChars="196"/>
        <w:textAlignment w:val="auto"/>
        <w:rPr>
          <w:rFonts w:eastAsia="仿宋_GB2312"/>
          <w:color w:val="000000"/>
          <w:sz w:val="32"/>
          <w:szCs w:val="32"/>
        </w:rPr>
      </w:pPr>
      <w:r>
        <w:rPr>
          <w:rFonts w:hint="eastAsia" w:eastAsia="仿宋_GB2312"/>
          <w:color w:val="000000"/>
          <w:sz w:val="32"/>
          <w:szCs w:val="32"/>
        </w:rPr>
        <w:t>应根据预期灵敏度水平，</w:t>
      </w:r>
      <w:r>
        <w:rPr>
          <w:rFonts w:eastAsia="仿宋_GB2312"/>
          <w:color w:val="000000"/>
          <w:sz w:val="32"/>
          <w:szCs w:val="32"/>
        </w:rPr>
        <w:t>采用单组目标值法样本量公式估算最低</w:t>
      </w:r>
      <w:r>
        <w:rPr>
          <w:rFonts w:hint="eastAsia" w:eastAsia="仿宋_GB2312"/>
          <w:color w:val="000000"/>
          <w:sz w:val="32"/>
          <w:szCs w:val="32"/>
        </w:rPr>
        <w:t>结直肠癌</w:t>
      </w:r>
      <w:r>
        <w:rPr>
          <w:rFonts w:eastAsia="仿宋_GB2312"/>
          <w:color w:val="000000"/>
          <w:sz w:val="32"/>
          <w:szCs w:val="32"/>
        </w:rPr>
        <w:t>样本</w:t>
      </w:r>
      <w:r>
        <w:rPr>
          <w:rFonts w:hint="eastAsia" w:eastAsia="仿宋_GB2312"/>
          <w:color w:val="000000"/>
          <w:sz w:val="32"/>
          <w:szCs w:val="32"/>
        </w:rPr>
        <w:t>例数</w:t>
      </w:r>
      <w:r>
        <w:rPr>
          <w:rFonts w:eastAsia="仿宋_GB2312"/>
          <w:color w:val="000000"/>
          <w:sz w:val="32"/>
          <w:szCs w:val="32"/>
        </w:rPr>
        <w:t>。</w:t>
      </w:r>
    </w:p>
    <w:p>
      <w:pPr>
        <w:widowControl/>
        <w:spacing w:line="520" w:lineRule="exact"/>
        <w:ind w:firstLine="198"/>
        <w:jc w:val="center"/>
        <w:rPr>
          <w:rFonts w:eastAsia="仿宋_GB2312"/>
          <w:color w:val="000000"/>
          <w:sz w:val="32"/>
          <w:szCs w:val="32"/>
        </w:rPr>
      </w:pPr>
      <w:r>
        <w:rPr>
          <w:rFonts w:eastAsia="仿宋_GB2312"/>
          <w:color w:val="000000"/>
          <w:sz w:val="32"/>
          <w:szCs w:val="32"/>
        </w:rPr>
        <w:drawing>
          <wp:anchor distT="0" distB="0" distL="114300" distR="114300" simplePos="0" relativeHeight="251659264" behindDoc="0" locked="0" layoutInCell="1" allowOverlap="1">
            <wp:simplePos x="0" y="0"/>
            <wp:positionH relativeFrom="column">
              <wp:posOffset>1043305</wp:posOffset>
            </wp:positionH>
            <wp:positionV relativeFrom="paragraph">
              <wp:posOffset>295910</wp:posOffset>
            </wp:positionV>
            <wp:extent cx="3190875" cy="590550"/>
            <wp:effectExtent l="0" t="0" r="9525" b="5715"/>
            <wp:wrapTopAndBottom/>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stretch>
                      <a:fillRect/>
                    </a:stretch>
                  </pic:blipFill>
                  <pic:spPr>
                    <a:xfrm>
                      <a:off x="0" y="0"/>
                      <a:ext cx="3190875" cy="59055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520" w:lineRule="exact"/>
        <w:ind w:firstLine="627" w:firstLineChars="196"/>
        <w:textAlignment w:val="auto"/>
        <w:rPr>
          <w:rFonts w:eastAsia="仿宋_GB2312"/>
          <w:color w:val="000000"/>
          <w:sz w:val="32"/>
          <w:szCs w:val="32"/>
        </w:rPr>
      </w:pPr>
      <w:r>
        <w:rPr>
          <w:rFonts w:eastAsia="仿宋_GB2312"/>
          <w:color w:val="000000"/>
          <w:sz w:val="32"/>
          <w:szCs w:val="32"/>
        </w:rPr>
        <w:t>公式中，</w:t>
      </w:r>
      <w:r>
        <w:rPr>
          <w:rFonts w:eastAsia="仿宋_GB2312"/>
          <w:i/>
          <w:iCs/>
          <w:color w:val="000000"/>
          <w:sz w:val="32"/>
          <w:szCs w:val="32"/>
        </w:rPr>
        <w:t>n</w:t>
      </w:r>
      <w:r>
        <w:rPr>
          <w:rFonts w:eastAsia="仿宋_GB2312"/>
          <w:color w:val="000000"/>
          <w:sz w:val="32"/>
          <w:szCs w:val="32"/>
        </w:rPr>
        <w:t>为</w:t>
      </w:r>
      <w:r>
        <w:rPr>
          <w:rFonts w:hint="eastAsia" w:eastAsia="仿宋_GB2312"/>
          <w:color w:val="000000"/>
          <w:sz w:val="32"/>
          <w:szCs w:val="32"/>
        </w:rPr>
        <w:t>阳性</w:t>
      </w:r>
      <w:r>
        <w:rPr>
          <w:rFonts w:eastAsia="仿宋_GB2312"/>
          <w:color w:val="000000"/>
          <w:sz w:val="32"/>
          <w:szCs w:val="32"/>
        </w:rPr>
        <w:t>样本量；</w:t>
      </w:r>
      <w:r>
        <w:rPr>
          <w:rFonts w:eastAsia="仿宋_GB2312"/>
          <w:i/>
          <w:iCs/>
          <w:color w:val="000000"/>
          <w:sz w:val="32"/>
          <w:szCs w:val="32"/>
        </w:rPr>
        <w:t>Z</w:t>
      </w:r>
      <w:r>
        <w:rPr>
          <w:rFonts w:eastAsia="仿宋_GB2312"/>
          <w:i/>
          <w:iCs/>
          <w:color w:val="000000"/>
          <w:sz w:val="32"/>
          <w:szCs w:val="32"/>
          <w:vertAlign w:val="subscript"/>
        </w:rPr>
        <w:t>1-α/2</w:t>
      </w:r>
      <w:r>
        <w:rPr>
          <w:rFonts w:eastAsia="仿宋_GB2312"/>
          <w:color w:val="000000"/>
          <w:sz w:val="32"/>
          <w:szCs w:val="32"/>
        </w:rPr>
        <w:t>、</w:t>
      </w:r>
      <w:r>
        <w:rPr>
          <w:rFonts w:eastAsia="仿宋_GB2312"/>
          <w:i/>
          <w:iCs/>
          <w:color w:val="000000"/>
          <w:sz w:val="32"/>
          <w:szCs w:val="32"/>
        </w:rPr>
        <w:t>Z</w:t>
      </w:r>
      <w:r>
        <w:rPr>
          <w:rFonts w:eastAsia="仿宋_GB2312"/>
          <w:i/>
          <w:iCs/>
          <w:color w:val="000000"/>
          <w:sz w:val="32"/>
          <w:szCs w:val="32"/>
          <w:vertAlign w:val="subscript"/>
        </w:rPr>
        <w:t>1-β</w:t>
      </w:r>
      <w:r>
        <w:rPr>
          <w:rFonts w:eastAsia="仿宋_GB2312"/>
          <w:color w:val="000000"/>
          <w:sz w:val="32"/>
          <w:szCs w:val="32"/>
        </w:rPr>
        <w:t>为显著性水平和把握度的标准正态分布的分位数，</w:t>
      </w:r>
      <w:r>
        <w:rPr>
          <w:rFonts w:eastAsia="仿宋_GB2312"/>
          <w:i/>
          <w:iCs/>
          <w:color w:val="000000"/>
          <w:sz w:val="32"/>
          <w:szCs w:val="32"/>
        </w:rPr>
        <w:t>P</w:t>
      </w:r>
      <w:r>
        <w:rPr>
          <w:rFonts w:eastAsia="仿宋_GB2312"/>
          <w:i/>
          <w:iCs/>
          <w:color w:val="000000"/>
          <w:sz w:val="32"/>
          <w:szCs w:val="32"/>
          <w:vertAlign w:val="subscript"/>
        </w:rPr>
        <w:t>0</w:t>
      </w:r>
      <w:r>
        <w:rPr>
          <w:rFonts w:eastAsia="仿宋_GB2312"/>
          <w:color w:val="000000"/>
          <w:sz w:val="32"/>
          <w:szCs w:val="32"/>
        </w:rPr>
        <w:t>为评价指标的临床可接受标准，</w:t>
      </w:r>
      <w:r>
        <w:rPr>
          <w:rFonts w:eastAsia="仿宋_GB2312"/>
          <w:i/>
          <w:iCs/>
          <w:color w:val="000000"/>
          <w:sz w:val="32"/>
          <w:szCs w:val="32"/>
        </w:rPr>
        <w:t>P</w:t>
      </w:r>
      <w:r>
        <w:rPr>
          <w:rFonts w:eastAsia="仿宋_GB2312"/>
          <w:i/>
          <w:iCs/>
          <w:color w:val="000000"/>
          <w:sz w:val="32"/>
          <w:szCs w:val="32"/>
          <w:vertAlign w:val="subscript"/>
        </w:rPr>
        <w:t>T</w:t>
      </w:r>
      <w:r>
        <w:rPr>
          <w:rFonts w:eastAsia="仿宋_GB2312"/>
          <w:color w:val="000000"/>
          <w:sz w:val="32"/>
          <w:szCs w:val="32"/>
        </w:rPr>
        <w:t>为试验体外诊断试剂评价指标预期值。</w:t>
      </w:r>
    </w:p>
    <w:p>
      <w:pPr>
        <w:keepNext w:val="0"/>
        <w:keepLines w:val="0"/>
        <w:pageBreakBefore w:val="0"/>
        <w:widowControl w:val="0"/>
        <w:kinsoku/>
        <w:wordWrap/>
        <w:overflowPunct/>
        <w:topLinePunct w:val="0"/>
        <w:autoSpaceDE/>
        <w:autoSpaceDN/>
        <w:bidi w:val="0"/>
        <w:adjustRightInd/>
        <w:snapToGrid/>
        <w:spacing w:line="520" w:lineRule="exact"/>
        <w:ind w:firstLine="627" w:firstLineChars="196"/>
        <w:textAlignment w:val="auto"/>
        <w:rPr>
          <w:rFonts w:eastAsia="仿宋_GB2312"/>
          <w:color w:val="000000"/>
          <w:sz w:val="32"/>
          <w:szCs w:val="32"/>
        </w:rPr>
      </w:pPr>
      <w:r>
        <w:rPr>
          <w:rFonts w:eastAsia="仿宋_GB2312"/>
          <w:color w:val="000000"/>
          <w:sz w:val="32"/>
          <w:szCs w:val="32"/>
        </w:rPr>
        <w:t>基于现有认知，</w:t>
      </w:r>
      <w:r>
        <w:rPr>
          <w:rFonts w:hint="eastAsia" w:ascii="仿宋_GB2312" w:hAnsi="仿宋_GB2312" w:eastAsia="仿宋_GB2312"/>
          <w:sz w:val="32"/>
          <w:szCs w:val="32"/>
        </w:rPr>
        <w:t>结直肠癌</w:t>
      </w:r>
      <w:r>
        <w:rPr>
          <w:rFonts w:ascii="仿宋_GB2312" w:hAnsi="仿宋_GB2312" w:eastAsia="仿宋_GB2312"/>
          <w:sz w:val="32"/>
          <w:szCs w:val="32"/>
        </w:rPr>
        <w:t>灵敏度</w:t>
      </w:r>
      <w:r>
        <w:rPr>
          <w:rFonts w:hint="eastAsia" w:eastAsia="仿宋_GB2312"/>
          <w:i/>
          <w:iCs/>
          <w:color w:val="000000"/>
          <w:sz w:val="32"/>
          <w:szCs w:val="32"/>
        </w:rPr>
        <w:t>P</w:t>
      </w:r>
      <w:r>
        <w:rPr>
          <w:rFonts w:hint="eastAsia" w:eastAsia="仿宋_GB2312"/>
          <w:i/>
          <w:iCs/>
          <w:color w:val="000000"/>
          <w:sz w:val="32"/>
          <w:szCs w:val="32"/>
          <w:vertAlign w:val="subscript"/>
        </w:rPr>
        <w:t>0</w:t>
      </w:r>
      <w:r>
        <w:rPr>
          <w:rFonts w:eastAsia="仿宋_GB2312"/>
          <w:color w:val="000000"/>
          <w:sz w:val="32"/>
          <w:szCs w:val="32"/>
        </w:rPr>
        <w:t>建议不低于</w:t>
      </w:r>
      <w:r>
        <w:rPr>
          <w:rFonts w:hint="eastAsia" w:eastAsia="仿宋_GB2312"/>
          <w:color w:val="000000"/>
          <w:sz w:val="32"/>
          <w:szCs w:val="32"/>
        </w:rPr>
        <w:t>8</w:t>
      </w:r>
      <w:r>
        <w:rPr>
          <w:rFonts w:hint="eastAsia" w:eastAsia="仿宋_GB2312"/>
          <w:color w:val="000000"/>
          <w:sz w:val="32"/>
          <w:szCs w:val="32"/>
          <w:lang w:val="en-US" w:eastAsia="zh-CN"/>
        </w:rPr>
        <w:t>5</w:t>
      </w:r>
      <w:r>
        <w:rPr>
          <w:rFonts w:eastAsia="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20" w:lineRule="exact"/>
        <w:ind w:firstLine="636"/>
        <w:jc w:val="left"/>
        <w:textAlignment w:val="auto"/>
        <w:rPr>
          <w:rFonts w:ascii="仿宋_GB2312" w:hAnsi="仿宋_GB2312" w:eastAsia="仿宋_GB2312"/>
          <w:sz w:val="32"/>
          <w:szCs w:val="32"/>
        </w:rPr>
      </w:pPr>
      <w:r>
        <w:rPr>
          <w:rFonts w:hint="eastAsia" w:ascii="仿宋_GB2312" w:hAnsi="仿宋_GB2312" w:eastAsia="仿宋_GB2312"/>
          <w:sz w:val="32"/>
          <w:szCs w:val="32"/>
        </w:rPr>
        <w:t>按照估算的</w:t>
      </w:r>
      <w:r>
        <w:rPr>
          <w:rFonts w:eastAsia="仿宋_GB2312"/>
          <w:color w:val="000000"/>
          <w:sz w:val="32"/>
          <w:szCs w:val="32"/>
        </w:rPr>
        <w:t>最低</w:t>
      </w:r>
      <w:r>
        <w:rPr>
          <w:rFonts w:hint="eastAsia" w:eastAsia="仿宋_GB2312"/>
          <w:color w:val="000000"/>
          <w:sz w:val="32"/>
          <w:szCs w:val="32"/>
        </w:rPr>
        <w:t>结直肠癌</w:t>
      </w:r>
      <w:r>
        <w:rPr>
          <w:rFonts w:eastAsia="仿宋_GB2312"/>
          <w:color w:val="000000"/>
          <w:sz w:val="32"/>
          <w:szCs w:val="32"/>
        </w:rPr>
        <w:t>样本</w:t>
      </w:r>
      <w:r>
        <w:rPr>
          <w:rFonts w:hint="eastAsia" w:eastAsia="仿宋_GB2312"/>
          <w:color w:val="000000"/>
          <w:sz w:val="32"/>
          <w:szCs w:val="32"/>
        </w:rPr>
        <w:t>例数和</w:t>
      </w:r>
      <w:r>
        <w:rPr>
          <w:rFonts w:hint="eastAsia" w:ascii="仿宋_GB2312" w:hAnsi="仿宋_GB2312" w:eastAsia="仿宋_GB2312"/>
          <w:sz w:val="32"/>
          <w:szCs w:val="32"/>
        </w:rPr>
        <w:t>预期适用人群中结直肠癌患病率估算总样本量，同时考虑可能的受试者脱落比例，确定需要入组的受试者最低总样本量</w:t>
      </w:r>
      <w:r>
        <w:rPr>
          <w:rFonts w:hint="eastAsia" w:ascii="仿宋_GB2312" w:hAnsi="仿宋_GB2312" w:eastAsia="仿宋_GB2312"/>
          <w:sz w:val="32"/>
          <w:szCs w:val="32"/>
          <w:lang w:eastAsia="zh-CN"/>
        </w:rPr>
        <w:t>，</w:t>
      </w:r>
      <w:r>
        <w:rPr>
          <w:rFonts w:hint="eastAsia" w:ascii="仿宋_GB2312" w:hAnsi="仿宋_GB2312" w:eastAsia="仿宋_GB2312" w:cs="Times New Roman"/>
          <w:sz w:val="32"/>
          <w:szCs w:val="32"/>
          <w:lang w:val="en-US" w:eastAsia="zh-CN"/>
        </w:rPr>
        <w:t>脱落率建议不高于20%</w:t>
      </w:r>
      <w:bookmarkStart w:id="114" w:name="_GoBack"/>
      <w:bookmarkEnd w:id="114"/>
      <w:r>
        <w:rPr>
          <w:rFonts w:hint="eastAsia" w:ascii="仿宋_GB2312" w:hAns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20" w:lineRule="exact"/>
        <w:ind w:firstLine="636"/>
        <w:jc w:val="left"/>
        <w:textAlignment w:val="auto"/>
        <w:outlineLvl w:val="2"/>
        <w:rPr>
          <w:rFonts w:ascii="仿宋_GB2312" w:hAnsi="仿宋_GB2312" w:eastAsia="仿宋_GB2312"/>
          <w:sz w:val="32"/>
          <w:szCs w:val="32"/>
        </w:rPr>
      </w:pPr>
      <w:bookmarkStart w:id="56" w:name="_Toc21206"/>
      <w:bookmarkStart w:id="57" w:name="_Toc6831"/>
      <w:bookmarkStart w:id="58" w:name="_Toc2333"/>
      <w:bookmarkStart w:id="59" w:name="_Toc9984"/>
      <w:bookmarkStart w:id="60" w:name="_Toc7539"/>
      <w:bookmarkStart w:id="61" w:name="_Toc24327"/>
      <w:bookmarkStart w:id="62" w:name="_Toc17862"/>
      <w:bookmarkStart w:id="63" w:name="_Toc11295"/>
      <w:bookmarkStart w:id="64" w:name="_Toc8154"/>
      <w:r>
        <w:rPr>
          <w:rFonts w:hint="eastAsia" w:ascii="仿宋_GB2312" w:hAnsi="仿宋_GB2312" w:eastAsia="仿宋_GB2312"/>
          <w:sz w:val="32"/>
          <w:szCs w:val="32"/>
        </w:rPr>
        <w:t>4</w:t>
      </w:r>
      <w:bookmarkEnd w:id="56"/>
      <w:bookmarkEnd w:id="57"/>
      <w:bookmarkEnd w:id="58"/>
      <w:bookmarkEnd w:id="59"/>
      <w:bookmarkEnd w:id="60"/>
      <w:bookmarkEnd w:id="61"/>
      <w:r>
        <w:rPr>
          <w:rFonts w:hint="eastAsia" w:ascii="仿宋_GB2312" w:hAnsi="仿宋_GB2312" w:eastAsia="仿宋_GB2312"/>
          <w:sz w:val="32"/>
          <w:szCs w:val="32"/>
        </w:rPr>
        <w:t>.评价指标和统计学分析</w:t>
      </w:r>
      <w:bookmarkEnd w:id="62"/>
      <w:bookmarkEnd w:id="63"/>
      <w:bookmarkEnd w:id="64"/>
    </w:p>
    <w:p>
      <w:pPr>
        <w:keepNext w:val="0"/>
        <w:keepLines w:val="0"/>
        <w:pageBreakBefore w:val="0"/>
        <w:widowControl w:val="0"/>
        <w:kinsoku/>
        <w:wordWrap/>
        <w:overflowPunct/>
        <w:topLinePunct w:val="0"/>
        <w:autoSpaceDE/>
        <w:autoSpaceDN/>
        <w:bidi w:val="0"/>
        <w:adjustRightInd/>
        <w:snapToGrid/>
        <w:spacing w:line="520" w:lineRule="exact"/>
        <w:ind w:firstLine="627" w:firstLineChars="196"/>
        <w:textAlignment w:val="auto"/>
        <w:rPr>
          <w:rFonts w:eastAsia="仿宋_GB2312"/>
          <w:sz w:val="32"/>
          <w:szCs w:val="32"/>
        </w:rPr>
      </w:pPr>
      <w:r>
        <w:rPr>
          <w:rFonts w:hint="eastAsia" w:eastAsia="仿宋_GB2312"/>
          <w:sz w:val="32"/>
          <w:szCs w:val="32"/>
        </w:rPr>
        <w:t>首先应对入组人群基线信息进行总结分析，包括人口学信息，如年龄、性别、地域（农村，城市），以及风险因素分布等。</w:t>
      </w:r>
    </w:p>
    <w:p>
      <w:pPr>
        <w:keepNext w:val="0"/>
        <w:keepLines w:val="0"/>
        <w:pageBreakBefore w:val="0"/>
        <w:widowControl w:val="0"/>
        <w:kinsoku/>
        <w:wordWrap/>
        <w:overflowPunct/>
        <w:topLinePunct w:val="0"/>
        <w:autoSpaceDE/>
        <w:autoSpaceDN/>
        <w:bidi w:val="0"/>
        <w:adjustRightInd/>
        <w:snapToGrid/>
        <w:spacing w:line="520" w:lineRule="exact"/>
        <w:ind w:firstLine="627" w:firstLineChars="196"/>
        <w:textAlignment w:val="auto"/>
        <w:rPr>
          <w:rFonts w:eastAsia="仿宋_GB2312"/>
          <w:sz w:val="32"/>
          <w:szCs w:val="32"/>
        </w:rPr>
      </w:pPr>
      <w:r>
        <w:rPr>
          <w:rFonts w:hint="eastAsia" w:eastAsia="仿宋_GB2312"/>
          <w:sz w:val="32"/>
          <w:szCs w:val="32"/>
        </w:rPr>
        <w:t>其次建议采用流程图的形式说明入组人群、脱落人群、纳入统计人群的情况，并对所有脱落病例进行分析，解释脱落原因和脱落率可接受的理由。</w:t>
      </w:r>
    </w:p>
    <w:p>
      <w:pPr>
        <w:keepNext w:val="0"/>
        <w:keepLines w:val="0"/>
        <w:pageBreakBefore w:val="0"/>
        <w:widowControl w:val="0"/>
        <w:kinsoku/>
        <w:wordWrap/>
        <w:overflowPunct/>
        <w:topLinePunct w:val="0"/>
        <w:autoSpaceDE/>
        <w:autoSpaceDN/>
        <w:bidi w:val="0"/>
        <w:adjustRightInd/>
        <w:snapToGrid/>
        <w:spacing w:line="520" w:lineRule="exact"/>
        <w:ind w:firstLine="627" w:firstLineChars="196"/>
        <w:textAlignment w:val="auto"/>
        <w:rPr>
          <w:rFonts w:ascii="仿宋_GB2312" w:hAnsi="仿宋_GB2312" w:eastAsia="仿宋_GB2312" w:cs="仿宋_GB2312"/>
          <w:sz w:val="32"/>
          <w:szCs w:val="32"/>
        </w:rPr>
      </w:pPr>
      <w:r>
        <w:rPr>
          <w:rFonts w:hint="eastAsia" w:eastAsia="仿宋_GB2312"/>
          <w:sz w:val="32"/>
          <w:szCs w:val="32"/>
        </w:rPr>
        <w:t>最后对筛查试验的各项临床性能指标进行分析,一般包括</w:t>
      </w:r>
      <w:r>
        <w:rPr>
          <w:rFonts w:hint="eastAsia" w:ascii="仿宋_GB2312" w:hAnsi="仿宋_GB2312" w:eastAsia="仿宋_GB2312" w:cs="仿宋_GB2312"/>
          <w:sz w:val="32"/>
          <w:szCs w:val="32"/>
        </w:rPr>
        <w:t>临床</w:t>
      </w:r>
      <w:r>
        <w:rPr>
          <w:rFonts w:eastAsia="仿宋_GB2312"/>
          <w:sz w:val="32"/>
          <w:szCs w:val="32"/>
        </w:rPr>
        <w:t>灵敏度、</w:t>
      </w:r>
      <w:r>
        <w:rPr>
          <w:rFonts w:hint="eastAsia" w:eastAsia="仿宋_GB2312"/>
          <w:sz w:val="32"/>
          <w:szCs w:val="32"/>
        </w:rPr>
        <w:t>临床</w:t>
      </w:r>
      <w:r>
        <w:rPr>
          <w:rFonts w:eastAsia="仿宋_GB2312"/>
          <w:sz w:val="32"/>
          <w:szCs w:val="32"/>
        </w:rPr>
        <w:t>特异度</w:t>
      </w:r>
      <w:r>
        <w:rPr>
          <w:rFonts w:eastAsia="仿宋_GB2312"/>
          <w:color w:val="000000"/>
          <w:sz w:val="32"/>
          <w:szCs w:val="32"/>
        </w:rPr>
        <w:t>、</w:t>
      </w:r>
      <w:r>
        <w:rPr>
          <w:rFonts w:hint="eastAsia" w:eastAsia="仿宋_GB2312"/>
          <w:color w:val="000000"/>
          <w:sz w:val="32"/>
          <w:szCs w:val="32"/>
        </w:rPr>
        <w:t>阳性预期值、阴性预期值、相对风险值</w:t>
      </w:r>
      <w:r>
        <w:rPr>
          <w:rFonts w:eastAsia="仿宋_GB2312"/>
          <w:color w:val="000000"/>
          <w:sz w:val="32"/>
          <w:szCs w:val="32"/>
        </w:rPr>
        <w:t>等</w:t>
      </w:r>
      <w:r>
        <w:rPr>
          <w:rFonts w:hint="eastAsia" w:eastAsia="仿宋_GB2312"/>
          <w:color w:val="000000"/>
          <w:sz w:val="32"/>
          <w:szCs w:val="32"/>
        </w:rPr>
        <w:t>。其中临床灵敏度应针对结直肠癌和进展期腺瘤病例组分别评价，临床特异度应针对非结直肠癌且非进展期腺瘤受试者进行评价。</w:t>
      </w:r>
      <w:r>
        <w:rPr>
          <w:rFonts w:hint="eastAsia" w:ascii="仿宋_GB2312" w:hAnsi="仿宋_GB2312" w:eastAsia="仿宋_GB2312" w:cs="仿宋_GB2312"/>
          <w:sz w:val="32"/>
          <w:szCs w:val="32"/>
        </w:rPr>
        <w:t>应针对各项评价指标进行点估计值及95%置信区间计算。同时计算入组人群中结直肠癌患者占比，包括各分期患者占比，应与同时期流行病学调查结果相符。</w:t>
      </w:r>
    </w:p>
    <w:p>
      <w:pPr>
        <w:keepNext w:val="0"/>
        <w:keepLines w:val="0"/>
        <w:pageBreakBefore w:val="0"/>
        <w:widowControl w:val="0"/>
        <w:kinsoku/>
        <w:wordWrap/>
        <w:overflowPunct/>
        <w:topLinePunct w:val="0"/>
        <w:autoSpaceDE/>
        <w:autoSpaceDN/>
        <w:bidi w:val="0"/>
        <w:adjustRightInd/>
        <w:snapToGrid/>
        <w:spacing w:line="520" w:lineRule="exact"/>
        <w:ind w:firstLine="627" w:firstLineChars="196"/>
        <w:textAlignment w:val="auto"/>
        <w:rPr>
          <w:rFonts w:hint="eastAsia" w:eastAsia="仿宋_GB2312"/>
          <w:color w:val="000000"/>
          <w:sz w:val="32"/>
          <w:szCs w:val="32"/>
        </w:rPr>
      </w:pPr>
      <w:r>
        <w:rPr>
          <w:rFonts w:hint="eastAsia" w:eastAsia="仿宋_GB2312"/>
          <w:color w:val="000000"/>
          <w:sz w:val="32"/>
          <w:szCs w:val="32"/>
        </w:rPr>
        <w:t>临床试验结果汇总和各项指标计算方法参见表1。</w:t>
      </w:r>
    </w:p>
    <w:p>
      <w:pPr>
        <w:keepNext w:val="0"/>
        <w:keepLines w:val="0"/>
        <w:pageBreakBefore w:val="0"/>
        <w:widowControl w:val="0"/>
        <w:kinsoku/>
        <w:wordWrap/>
        <w:overflowPunct/>
        <w:topLinePunct w:val="0"/>
        <w:autoSpaceDE/>
        <w:autoSpaceDN/>
        <w:bidi w:val="0"/>
        <w:adjustRightInd/>
        <w:snapToGrid/>
        <w:spacing w:line="520" w:lineRule="exact"/>
        <w:ind w:firstLine="627" w:firstLineChars="196"/>
        <w:textAlignment w:val="auto"/>
        <w:rPr>
          <w:rFonts w:hint="eastAsia" w:eastAsia="仿宋_GB2312"/>
          <w:color w:val="000000"/>
          <w:sz w:val="32"/>
          <w:szCs w:val="32"/>
        </w:rPr>
      </w:pPr>
    </w:p>
    <w:p>
      <w:pPr>
        <w:spacing w:line="520" w:lineRule="exact"/>
        <w:ind w:firstLine="548" w:firstLineChars="196"/>
        <w:jc w:val="center"/>
        <w:rPr>
          <w:rFonts w:hint="eastAsia" w:ascii="黑体" w:hAnsi="黑体" w:eastAsia="黑体" w:cs="黑体"/>
          <w:color w:val="000000"/>
          <w:sz w:val="28"/>
          <w:szCs w:val="28"/>
        </w:rPr>
      </w:pPr>
      <w:r>
        <w:rPr>
          <w:rFonts w:hint="eastAsia" w:ascii="黑体" w:hAnsi="黑体" w:eastAsia="黑体" w:cs="黑体"/>
          <w:color w:val="000000"/>
          <w:sz w:val="28"/>
          <w:szCs w:val="28"/>
        </w:rPr>
        <w:t>表1临床试验检测结果总结</w:t>
      </w:r>
    </w:p>
    <w:tbl>
      <w:tblPr>
        <w:tblStyle w:val="23"/>
        <w:tblW w:w="8526"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87"/>
        <w:gridCol w:w="1291"/>
        <w:gridCol w:w="1155"/>
        <w:gridCol w:w="1156"/>
        <w:gridCol w:w="1145"/>
        <w:gridCol w:w="1022"/>
        <w:gridCol w:w="157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60" w:hRule="atLeast"/>
          <w:jc w:val="center"/>
        </w:trPr>
        <w:tc>
          <w:tcPr>
            <w:tcW w:w="1187" w:type="dxa"/>
            <w:vMerge w:val="restart"/>
            <w:tcBorders>
              <w:top w:val="single" w:color="000000" w:sz="2" w:space="0"/>
              <w:bottom w:val="nil"/>
            </w:tcBorders>
          </w:tcPr>
          <w:p>
            <w:pPr>
              <w:spacing w:line="220" w:lineRule="auto"/>
              <w:rPr>
                <w:rFonts w:hint="eastAsia" w:ascii="仿宋_GB2312" w:hAnsi="仿宋_GB2312" w:eastAsia="仿宋_GB2312" w:cs="仿宋_GB2312"/>
                <w:spacing w:val="-1"/>
                <w:position w:val="6"/>
                <w:sz w:val="28"/>
                <w:szCs w:val="28"/>
              </w:rPr>
            </w:pPr>
          </w:p>
          <w:p>
            <w:pPr>
              <w:spacing w:line="360" w:lineRule="auto"/>
              <w:jc w:val="distribute"/>
              <w:rPr>
                <w:rFonts w:hint="eastAsia" w:ascii="仿宋_GB2312" w:hAnsi="仿宋_GB2312" w:eastAsia="仿宋_GB2312" w:cs="仿宋_GB2312"/>
                <w:sz w:val="28"/>
                <w:szCs w:val="28"/>
              </w:rPr>
            </w:pPr>
            <w:r>
              <w:rPr>
                <w:rFonts w:hint="eastAsia" w:ascii="仿宋_GB2312" w:hAnsi="仿宋_GB2312" w:eastAsia="仿宋_GB2312" w:cs="仿宋_GB2312"/>
                <w:spacing w:val="-1"/>
                <w:position w:val="6"/>
                <w:sz w:val="28"/>
                <w:szCs w:val="28"/>
              </w:rPr>
              <w:t>试验体外诊断试剂检测结果</w:t>
            </w:r>
          </w:p>
        </w:tc>
        <w:tc>
          <w:tcPr>
            <w:tcW w:w="5769" w:type="dxa"/>
            <w:gridSpan w:val="5"/>
            <w:tcBorders>
              <w:top w:val="single" w:color="000000" w:sz="2" w:space="0"/>
              <w:bottom w:val="single" w:color="000000" w:sz="2" w:space="0"/>
            </w:tcBorders>
          </w:tcPr>
          <w:p>
            <w:pPr>
              <w:spacing w:before="159" w:line="219" w:lineRule="auto"/>
              <w:jc w:val="center"/>
              <w:rPr>
                <w:rFonts w:hint="eastAsia" w:ascii="仿宋_GB2312" w:hAnsi="仿宋_GB2312" w:eastAsia="仿宋_GB2312" w:cs="仿宋_GB2312"/>
                <w:sz w:val="28"/>
                <w:szCs w:val="28"/>
              </w:rPr>
            </w:pPr>
            <w:r>
              <w:rPr>
                <w:rFonts w:hint="eastAsia" w:ascii="仿宋_GB2312" w:hAnsi="仿宋_GB2312" w:eastAsia="仿宋_GB2312" w:cs="仿宋_GB2312"/>
                <w:spacing w:val="-2"/>
                <w:sz w:val="28"/>
                <w:szCs w:val="28"/>
              </w:rPr>
              <w:t>结肠镜结合组织病理学检查结果</w:t>
            </w:r>
          </w:p>
        </w:tc>
        <w:tc>
          <w:tcPr>
            <w:tcW w:w="1570" w:type="dxa"/>
            <w:tcBorders>
              <w:top w:val="single" w:color="000000" w:sz="2" w:space="0"/>
              <w:bottom w:val="single" w:color="000000" w:sz="2" w:space="0"/>
            </w:tcBorders>
          </w:tcPr>
          <w:p>
            <w:pPr>
              <w:pStyle w:val="24"/>
              <w:rPr>
                <w:rFonts w:hint="eastAsia" w:ascii="仿宋_GB2312" w:hAnsi="仿宋_GB2312" w:eastAsia="仿宋_GB2312" w:cs="仿宋_GB2312"/>
                <w:sz w:val="28"/>
                <w:szCs w:val="28"/>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84" w:hRule="atLeast"/>
          <w:jc w:val="center"/>
        </w:trPr>
        <w:tc>
          <w:tcPr>
            <w:tcW w:w="1187" w:type="dxa"/>
            <w:vMerge w:val="continue"/>
            <w:tcBorders>
              <w:top w:val="nil"/>
              <w:bottom w:val="single" w:color="000000" w:sz="2" w:space="0"/>
            </w:tcBorders>
          </w:tcPr>
          <w:p>
            <w:pPr>
              <w:pStyle w:val="24"/>
              <w:rPr>
                <w:rFonts w:hint="eastAsia" w:ascii="仿宋_GB2312" w:hAnsi="仿宋_GB2312" w:eastAsia="仿宋_GB2312" w:cs="仿宋_GB2312"/>
                <w:sz w:val="28"/>
                <w:szCs w:val="28"/>
                <w:lang w:eastAsia="zh-CN"/>
              </w:rPr>
            </w:pPr>
          </w:p>
        </w:tc>
        <w:tc>
          <w:tcPr>
            <w:tcW w:w="1291" w:type="dxa"/>
            <w:tcBorders>
              <w:top w:val="single" w:color="000000" w:sz="2" w:space="0"/>
              <w:bottom w:val="single" w:color="000000" w:sz="2" w:space="0"/>
            </w:tcBorders>
          </w:tcPr>
          <w:p>
            <w:pPr>
              <w:jc w:val="center"/>
              <w:rPr>
                <w:rFonts w:hint="eastAsia" w:ascii="仿宋_GB2312" w:hAnsi="仿宋_GB2312" w:eastAsia="仿宋_GB2312" w:cs="仿宋_GB2312"/>
                <w:sz w:val="28"/>
                <w:szCs w:val="28"/>
              </w:rPr>
            </w:pPr>
            <w:r>
              <w:rPr>
                <w:rFonts w:hint="eastAsia" w:ascii="仿宋_GB2312" w:hAnsi="仿宋_GB2312" w:eastAsia="仿宋_GB2312" w:cs="仿宋_GB2312"/>
                <w:spacing w:val="-1"/>
                <w:position w:val="6"/>
                <w:sz w:val="28"/>
                <w:szCs w:val="28"/>
              </w:rPr>
              <w:t>结直肠癌</w:t>
            </w:r>
          </w:p>
        </w:tc>
        <w:tc>
          <w:tcPr>
            <w:tcW w:w="1155" w:type="dxa"/>
            <w:tcBorders>
              <w:top w:val="single" w:color="000000" w:sz="2" w:space="0"/>
              <w:bottom w:val="single" w:color="000000" w:sz="2" w:space="0"/>
            </w:tcBorders>
          </w:tcPr>
          <w:p>
            <w:pPr>
              <w:jc w:val="center"/>
              <w:rPr>
                <w:rFonts w:hint="eastAsia" w:ascii="仿宋_GB2312" w:hAnsi="仿宋_GB2312" w:eastAsia="仿宋_GB2312" w:cs="仿宋_GB2312"/>
                <w:spacing w:val="-1"/>
                <w:position w:val="6"/>
                <w:sz w:val="28"/>
                <w:szCs w:val="28"/>
              </w:rPr>
            </w:pPr>
            <w:r>
              <w:rPr>
                <w:rFonts w:hint="eastAsia" w:ascii="仿宋_GB2312" w:hAnsi="仿宋_GB2312" w:eastAsia="仿宋_GB2312" w:cs="仿宋_GB2312"/>
                <w:spacing w:val="-1"/>
                <w:position w:val="6"/>
                <w:sz w:val="28"/>
                <w:szCs w:val="28"/>
              </w:rPr>
              <w:t>进展期腺瘤</w:t>
            </w:r>
          </w:p>
        </w:tc>
        <w:tc>
          <w:tcPr>
            <w:tcW w:w="1156" w:type="dxa"/>
            <w:tcBorders>
              <w:top w:val="single" w:color="000000" w:sz="2" w:space="0"/>
              <w:bottom w:val="single" w:color="000000" w:sz="2" w:space="0"/>
            </w:tcBorders>
          </w:tcPr>
          <w:p>
            <w:pPr>
              <w:jc w:val="center"/>
              <w:rPr>
                <w:rFonts w:hint="eastAsia" w:ascii="仿宋_GB2312" w:hAnsi="仿宋_GB2312" w:eastAsia="仿宋_GB2312" w:cs="仿宋_GB2312"/>
                <w:spacing w:val="-1"/>
                <w:position w:val="6"/>
                <w:sz w:val="28"/>
                <w:szCs w:val="28"/>
              </w:rPr>
            </w:pPr>
            <w:r>
              <w:rPr>
                <w:rFonts w:hint="eastAsia" w:ascii="仿宋_GB2312" w:hAnsi="仿宋_GB2312" w:eastAsia="仿宋_GB2312" w:cs="仿宋_GB2312"/>
                <w:spacing w:val="-1"/>
                <w:position w:val="6"/>
                <w:sz w:val="28"/>
                <w:szCs w:val="28"/>
              </w:rPr>
              <w:t>中风险腺瘤</w:t>
            </w:r>
          </w:p>
          <w:p>
            <w:pPr>
              <w:jc w:val="center"/>
              <w:rPr>
                <w:rFonts w:hint="eastAsia" w:ascii="仿宋_GB2312" w:hAnsi="仿宋_GB2312" w:eastAsia="仿宋_GB2312" w:cs="仿宋_GB2312"/>
                <w:spacing w:val="-1"/>
                <w:position w:val="6"/>
                <w:sz w:val="28"/>
                <w:szCs w:val="28"/>
              </w:rPr>
            </w:pPr>
          </w:p>
        </w:tc>
        <w:tc>
          <w:tcPr>
            <w:tcW w:w="1145" w:type="dxa"/>
            <w:tcBorders>
              <w:top w:val="single" w:color="000000" w:sz="2" w:space="0"/>
              <w:bottom w:val="single" w:color="000000" w:sz="2" w:space="0"/>
            </w:tcBorders>
          </w:tcPr>
          <w:p>
            <w:pPr>
              <w:jc w:val="center"/>
              <w:rPr>
                <w:rFonts w:hint="eastAsia" w:ascii="仿宋_GB2312" w:hAnsi="仿宋_GB2312" w:eastAsia="仿宋_GB2312" w:cs="仿宋_GB2312"/>
                <w:spacing w:val="-1"/>
                <w:position w:val="6"/>
                <w:sz w:val="28"/>
                <w:szCs w:val="28"/>
              </w:rPr>
            </w:pPr>
            <w:r>
              <w:rPr>
                <w:rFonts w:hint="eastAsia" w:ascii="仿宋_GB2312" w:hAnsi="仿宋_GB2312" w:eastAsia="仿宋_GB2312" w:cs="仿宋_GB2312"/>
                <w:spacing w:val="-1"/>
                <w:position w:val="6"/>
                <w:sz w:val="28"/>
                <w:szCs w:val="28"/>
              </w:rPr>
              <w:t>低风险腺瘤</w:t>
            </w:r>
          </w:p>
          <w:p>
            <w:pPr>
              <w:jc w:val="center"/>
              <w:rPr>
                <w:rFonts w:hint="eastAsia" w:ascii="仿宋_GB2312" w:hAnsi="仿宋_GB2312" w:eastAsia="仿宋_GB2312" w:cs="仿宋_GB2312"/>
                <w:spacing w:val="-1"/>
                <w:position w:val="6"/>
                <w:sz w:val="28"/>
                <w:szCs w:val="28"/>
              </w:rPr>
            </w:pPr>
          </w:p>
        </w:tc>
        <w:tc>
          <w:tcPr>
            <w:tcW w:w="1022" w:type="dxa"/>
            <w:tcBorders>
              <w:top w:val="single" w:color="000000" w:sz="2" w:space="0"/>
              <w:bottom w:val="single" w:color="000000" w:sz="2" w:space="0"/>
            </w:tcBorders>
          </w:tcPr>
          <w:p>
            <w:pPr>
              <w:jc w:val="center"/>
              <w:rPr>
                <w:rFonts w:hint="eastAsia" w:ascii="仿宋_GB2312" w:hAnsi="仿宋_GB2312" w:eastAsia="仿宋_GB2312" w:cs="仿宋_GB2312"/>
                <w:spacing w:val="-1"/>
                <w:position w:val="6"/>
                <w:sz w:val="28"/>
                <w:szCs w:val="28"/>
              </w:rPr>
            </w:pPr>
            <w:r>
              <w:rPr>
                <w:rFonts w:hint="eastAsia" w:ascii="仿宋_GB2312" w:hAnsi="仿宋_GB2312" w:eastAsia="仿宋_GB2312" w:cs="仿宋_GB2312"/>
                <w:spacing w:val="-1"/>
                <w:position w:val="6"/>
                <w:sz w:val="28"/>
                <w:szCs w:val="28"/>
              </w:rPr>
              <w:t>无发现</w:t>
            </w:r>
          </w:p>
          <w:p>
            <w:pPr>
              <w:jc w:val="center"/>
              <w:rPr>
                <w:rFonts w:hint="eastAsia" w:ascii="仿宋_GB2312" w:hAnsi="仿宋_GB2312" w:eastAsia="仿宋_GB2312" w:cs="仿宋_GB2312"/>
                <w:spacing w:val="-1"/>
                <w:position w:val="6"/>
                <w:sz w:val="28"/>
                <w:szCs w:val="28"/>
              </w:rPr>
            </w:pPr>
          </w:p>
        </w:tc>
        <w:tc>
          <w:tcPr>
            <w:tcW w:w="1570" w:type="dxa"/>
            <w:tcBorders>
              <w:top w:val="single" w:color="000000" w:sz="2" w:space="0"/>
              <w:bottom w:val="single" w:color="000000" w:sz="2" w:space="0"/>
            </w:tcBorders>
          </w:tcPr>
          <w:p>
            <w:pPr>
              <w:spacing w:before="190" w:line="221" w:lineRule="auto"/>
              <w:ind w:left="492"/>
              <w:rPr>
                <w:rFonts w:hint="eastAsia" w:ascii="仿宋_GB2312" w:hAnsi="仿宋_GB2312" w:eastAsia="仿宋_GB2312" w:cs="仿宋_GB2312"/>
                <w:sz w:val="28"/>
                <w:szCs w:val="28"/>
              </w:rPr>
            </w:pPr>
            <w:r>
              <w:rPr>
                <w:rFonts w:hint="eastAsia" w:ascii="仿宋_GB2312" w:hAnsi="仿宋_GB2312" w:eastAsia="仿宋_GB2312" w:cs="仿宋_GB2312"/>
                <w:spacing w:val="-6"/>
                <w:sz w:val="28"/>
                <w:szCs w:val="28"/>
              </w:rPr>
              <w:t>合计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11" w:hRule="atLeast"/>
          <w:jc w:val="center"/>
        </w:trPr>
        <w:tc>
          <w:tcPr>
            <w:tcW w:w="1187" w:type="dxa"/>
            <w:tcBorders>
              <w:top w:val="single" w:color="000000" w:sz="2" w:space="0"/>
              <w:bottom w:val="single" w:color="000000" w:sz="2" w:space="0"/>
            </w:tcBorders>
          </w:tcPr>
          <w:p>
            <w:pPr>
              <w:spacing w:before="192" w:line="220" w:lineRule="auto"/>
              <w:jc w:val="center"/>
              <w:rPr>
                <w:rFonts w:hint="eastAsia" w:ascii="仿宋_GB2312" w:hAnsi="仿宋_GB2312" w:eastAsia="仿宋_GB2312" w:cs="仿宋_GB2312"/>
                <w:sz w:val="28"/>
                <w:szCs w:val="28"/>
              </w:rPr>
            </w:pPr>
            <w:r>
              <w:rPr>
                <w:rFonts w:hint="eastAsia" w:ascii="仿宋_GB2312" w:hAnsi="仿宋_GB2312" w:eastAsia="仿宋_GB2312" w:cs="仿宋_GB2312"/>
                <w:spacing w:val="-4"/>
                <w:sz w:val="28"/>
                <w:szCs w:val="28"/>
              </w:rPr>
              <w:t>阳性</w:t>
            </w:r>
          </w:p>
        </w:tc>
        <w:tc>
          <w:tcPr>
            <w:tcW w:w="1291" w:type="dxa"/>
            <w:tcBorders>
              <w:top w:val="single" w:color="000000" w:sz="2" w:space="0"/>
              <w:bottom w:val="single" w:color="000000" w:sz="2" w:space="0"/>
            </w:tcBorders>
          </w:tcPr>
          <w:p>
            <w:pPr>
              <w:spacing w:before="194"/>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a</w:t>
            </w:r>
          </w:p>
        </w:tc>
        <w:tc>
          <w:tcPr>
            <w:tcW w:w="1155" w:type="dxa"/>
            <w:tcBorders>
              <w:top w:val="single" w:color="000000" w:sz="2" w:space="0"/>
              <w:bottom w:val="single" w:color="000000" w:sz="2" w:space="0"/>
            </w:tcBorders>
          </w:tcPr>
          <w:p>
            <w:pPr>
              <w:spacing w:before="192"/>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b</w:t>
            </w:r>
          </w:p>
        </w:tc>
        <w:tc>
          <w:tcPr>
            <w:tcW w:w="1156" w:type="dxa"/>
            <w:tcBorders>
              <w:top w:val="single" w:color="000000" w:sz="2" w:space="0"/>
              <w:bottom w:val="single" w:color="000000" w:sz="2" w:space="0"/>
            </w:tcBorders>
          </w:tcPr>
          <w:p>
            <w:pPr>
              <w:spacing w:before="191"/>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c</w:t>
            </w:r>
          </w:p>
        </w:tc>
        <w:tc>
          <w:tcPr>
            <w:tcW w:w="1145" w:type="dxa"/>
            <w:tcBorders>
              <w:top w:val="single" w:color="000000" w:sz="2" w:space="0"/>
              <w:bottom w:val="single" w:color="000000" w:sz="2" w:space="0"/>
            </w:tcBorders>
          </w:tcPr>
          <w:p>
            <w:pPr>
              <w:spacing w:before="192"/>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d</w:t>
            </w:r>
          </w:p>
        </w:tc>
        <w:tc>
          <w:tcPr>
            <w:tcW w:w="1022" w:type="dxa"/>
            <w:tcBorders>
              <w:top w:val="single" w:color="000000" w:sz="2" w:space="0"/>
              <w:bottom w:val="single" w:color="000000" w:sz="2" w:space="0"/>
            </w:tcBorders>
          </w:tcPr>
          <w:p>
            <w:pPr>
              <w:spacing w:before="191"/>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e</w:t>
            </w:r>
          </w:p>
        </w:tc>
        <w:tc>
          <w:tcPr>
            <w:tcW w:w="1570" w:type="dxa"/>
            <w:tcBorders>
              <w:top w:val="single" w:color="000000" w:sz="2" w:space="0"/>
              <w:bottom w:val="single" w:color="000000" w:sz="2" w:space="0"/>
            </w:tcBorders>
          </w:tcPr>
          <w:p>
            <w:pPr>
              <w:spacing w:before="191"/>
              <w:ind w:left="195"/>
              <w:jc w:val="left"/>
              <w:rPr>
                <w:rFonts w:hint="default" w:ascii="Times New Roman" w:hAnsi="Times New Roman" w:eastAsia="仿宋_GB2312" w:cs="Times New Roman"/>
                <w:sz w:val="28"/>
                <w:szCs w:val="28"/>
              </w:rPr>
            </w:pPr>
            <w:r>
              <w:rPr>
                <w:rFonts w:hint="default" w:ascii="Times New Roman" w:hAnsi="Times New Roman" w:eastAsia="仿宋_GB2312" w:cs="Times New Roman"/>
                <w:spacing w:val="-2"/>
                <w:sz w:val="28"/>
                <w:szCs w:val="28"/>
              </w:rPr>
              <w:t>a+b+c+d+e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36" w:hRule="atLeast"/>
          <w:jc w:val="center"/>
        </w:trPr>
        <w:tc>
          <w:tcPr>
            <w:tcW w:w="1187" w:type="dxa"/>
            <w:tcBorders>
              <w:top w:val="single" w:color="000000" w:sz="2" w:space="0"/>
              <w:bottom w:val="single" w:color="000000" w:sz="2" w:space="0"/>
            </w:tcBorders>
          </w:tcPr>
          <w:p>
            <w:pPr>
              <w:spacing w:before="152" w:line="219" w:lineRule="auto"/>
              <w:jc w:val="center"/>
              <w:rPr>
                <w:rFonts w:hint="eastAsia" w:ascii="仿宋_GB2312" w:hAnsi="仿宋_GB2312" w:eastAsia="仿宋_GB2312" w:cs="仿宋_GB2312"/>
                <w:sz w:val="28"/>
                <w:szCs w:val="28"/>
              </w:rPr>
            </w:pPr>
            <w:r>
              <w:rPr>
                <w:rFonts w:hint="eastAsia" w:ascii="仿宋_GB2312" w:hAnsi="仿宋_GB2312" w:eastAsia="仿宋_GB2312" w:cs="仿宋_GB2312"/>
                <w:spacing w:val="-4"/>
                <w:sz w:val="28"/>
                <w:szCs w:val="28"/>
              </w:rPr>
              <w:t>阴性</w:t>
            </w:r>
          </w:p>
        </w:tc>
        <w:tc>
          <w:tcPr>
            <w:tcW w:w="1291" w:type="dxa"/>
            <w:tcBorders>
              <w:top w:val="single" w:color="000000" w:sz="2" w:space="0"/>
              <w:bottom w:val="single" w:color="000000" w:sz="2" w:space="0"/>
            </w:tcBorders>
          </w:tcPr>
          <w:p>
            <w:pPr>
              <w:spacing w:before="197" w:line="241" w:lineRule="auto"/>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f</w:t>
            </w:r>
          </w:p>
        </w:tc>
        <w:tc>
          <w:tcPr>
            <w:tcW w:w="1155" w:type="dxa"/>
            <w:tcBorders>
              <w:top w:val="single" w:color="000000" w:sz="2" w:space="0"/>
              <w:bottom w:val="single" w:color="000000" w:sz="2" w:space="0"/>
            </w:tcBorders>
          </w:tcPr>
          <w:p>
            <w:pPr>
              <w:spacing w:before="245" w:line="182" w:lineRule="exact"/>
              <w:jc w:val="center"/>
              <w:rPr>
                <w:rFonts w:hint="default" w:ascii="Times New Roman" w:hAnsi="Times New Roman" w:eastAsia="仿宋_GB2312" w:cs="Times New Roman"/>
                <w:sz w:val="28"/>
                <w:szCs w:val="28"/>
              </w:rPr>
            </w:pPr>
            <w:r>
              <w:rPr>
                <w:rFonts w:hint="default" w:ascii="Times New Roman" w:hAnsi="Times New Roman" w:eastAsia="仿宋_GB2312" w:cs="Times New Roman"/>
                <w:position w:val="2"/>
                <w:sz w:val="28"/>
                <w:szCs w:val="28"/>
              </w:rPr>
              <w:t>g</w:t>
            </w:r>
          </w:p>
        </w:tc>
        <w:tc>
          <w:tcPr>
            <w:tcW w:w="1156" w:type="dxa"/>
            <w:tcBorders>
              <w:top w:val="single" w:color="000000" w:sz="2" w:space="0"/>
              <w:bottom w:val="single" w:color="000000" w:sz="2" w:space="0"/>
            </w:tcBorders>
          </w:tcPr>
          <w:p>
            <w:pPr>
              <w:spacing w:before="197" w:line="241" w:lineRule="auto"/>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h</w:t>
            </w:r>
          </w:p>
        </w:tc>
        <w:tc>
          <w:tcPr>
            <w:tcW w:w="1145" w:type="dxa"/>
            <w:tcBorders>
              <w:top w:val="single" w:color="000000" w:sz="2" w:space="0"/>
              <w:bottom w:val="single" w:color="000000" w:sz="2" w:space="0"/>
            </w:tcBorders>
          </w:tcPr>
          <w:p>
            <w:pPr>
              <w:spacing w:before="197" w:line="241" w:lineRule="auto"/>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i</w:t>
            </w:r>
          </w:p>
        </w:tc>
        <w:tc>
          <w:tcPr>
            <w:tcW w:w="1022" w:type="dxa"/>
            <w:tcBorders>
              <w:top w:val="single" w:color="000000" w:sz="2" w:space="0"/>
              <w:bottom w:val="single" w:color="000000" w:sz="2" w:space="0"/>
            </w:tcBorders>
          </w:tcPr>
          <w:p>
            <w:pPr>
              <w:spacing w:before="152" w:line="214" w:lineRule="auto"/>
              <w:jc w:val="center"/>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j</w:t>
            </w:r>
          </w:p>
        </w:tc>
        <w:tc>
          <w:tcPr>
            <w:tcW w:w="1570" w:type="dxa"/>
            <w:tcBorders>
              <w:top w:val="single" w:color="000000" w:sz="2" w:space="0"/>
              <w:bottom w:val="single" w:color="000000" w:sz="2" w:space="0"/>
            </w:tcBorders>
          </w:tcPr>
          <w:p>
            <w:pPr>
              <w:spacing w:before="151" w:line="214" w:lineRule="auto"/>
              <w:ind w:left="253"/>
              <w:jc w:val="left"/>
              <w:rPr>
                <w:rFonts w:hint="default" w:ascii="Times New Roman" w:hAnsi="Times New Roman" w:eastAsia="仿宋_GB2312" w:cs="Times New Roman"/>
                <w:sz w:val="28"/>
                <w:szCs w:val="28"/>
              </w:rPr>
            </w:pPr>
            <w:r>
              <w:rPr>
                <w:rFonts w:hint="default" w:ascii="Times New Roman" w:hAnsi="Times New Roman" w:eastAsia="仿宋_GB2312" w:cs="Times New Roman"/>
                <w:spacing w:val="-2"/>
                <w:sz w:val="28"/>
                <w:szCs w:val="28"/>
              </w:rPr>
              <w:t>f+g+h+i+j</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04" w:hRule="atLeast"/>
          <w:jc w:val="center"/>
        </w:trPr>
        <w:tc>
          <w:tcPr>
            <w:tcW w:w="1187" w:type="dxa"/>
            <w:tcBorders>
              <w:top w:val="single" w:color="000000" w:sz="2" w:space="0"/>
              <w:bottom w:val="single" w:color="000000" w:sz="2" w:space="0"/>
            </w:tcBorders>
          </w:tcPr>
          <w:p>
            <w:pPr>
              <w:spacing w:before="198" w:line="221" w:lineRule="auto"/>
              <w:jc w:val="center"/>
              <w:rPr>
                <w:rFonts w:hint="eastAsia" w:ascii="仿宋_GB2312" w:hAnsi="仿宋_GB2312" w:eastAsia="仿宋_GB2312" w:cs="仿宋_GB2312"/>
                <w:sz w:val="28"/>
                <w:szCs w:val="28"/>
              </w:rPr>
            </w:pPr>
            <w:r>
              <w:rPr>
                <w:rFonts w:hint="eastAsia" w:ascii="仿宋_GB2312" w:hAnsi="仿宋_GB2312" w:eastAsia="仿宋_GB2312" w:cs="仿宋_GB2312"/>
                <w:spacing w:val="-6"/>
                <w:sz w:val="28"/>
                <w:szCs w:val="28"/>
              </w:rPr>
              <w:t>合计</w:t>
            </w:r>
          </w:p>
        </w:tc>
        <w:tc>
          <w:tcPr>
            <w:tcW w:w="1291" w:type="dxa"/>
            <w:tcBorders>
              <w:top w:val="single" w:color="000000" w:sz="2" w:space="0"/>
              <w:bottom w:val="single" w:color="000000" w:sz="2" w:space="0"/>
            </w:tcBorders>
          </w:tcPr>
          <w:p>
            <w:pPr>
              <w:spacing w:before="198"/>
              <w:jc w:val="center"/>
              <w:rPr>
                <w:rFonts w:hint="default" w:ascii="Times New Roman" w:hAnsi="Times New Roman" w:eastAsia="仿宋_GB2312" w:cs="Times New Roman"/>
                <w:sz w:val="28"/>
                <w:szCs w:val="28"/>
              </w:rPr>
            </w:pPr>
            <w:r>
              <w:rPr>
                <w:rFonts w:hint="default" w:ascii="Times New Roman" w:hAnsi="Times New Roman" w:eastAsia="仿宋_GB2312" w:cs="Times New Roman"/>
                <w:spacing w:val="-4"/>
                <w:sz w:val="28"/>
                <w:szCs w:val="28"/>
              </w:rPr>
              <w:t>a+f</w:t>
            </w:r>
          </w:p>
        </w:tc>
        <w:tc>
          <w:tcPr>
            <w:tcW w:w="1155" w:type="dxa"/>
            <w:tcBorders>
              <w:top w:val="single" w:color="000000" w:sz="2" w:space="0"/>
              <w:bottom w:val="single" w:color="000000" w:sz="2" w:space="0"/>
            </w:tcBorders>
          </w:tcPr>
          <w:p>
            <w:pPr>
              <w:spacing w:before="152" w:line="214" w:lineRule="auto"/>
              <w:jc w:val="center"/>
              <w:rPr>
                <w:rFonts w:hint="default" w:ascii="Times New Roman" w:hAnsi="Times New Roman" w:eastAsia="仿宋_GB2312" w:cs="Times New Roman"/>
                <w:sz w:val="28"/>
                <w:szCs w:val="28"/>
              </w:rPr>
            </w:pPr>
            <w:r>
              <w:rPr>
                <w:rFonts w:hint="default" w:ascii="Times New Roman" w:hAnsi="Times New Roman" w:eastAsia="仿宋_GB2312" w:cs="Times New Roman"/>
                <w:spacing w:val="-2"/>
                <w:sz w:val="28"/>
                <w:szCs w:val="28"/>
              </w:rPr>
              <w:t>b+g</w:t>
            </w:r>
          </w:p>
        </w:tc>
        <w:tc>
          <w:tcPr>
            <w:tcW w:w="1156" w:type="dxa"/>
            <w:tcBorders>
              <w:top w:val="single" w:color="000000" w:sz="2" w:space="0"/>
              <w:bottom w:val="single" w:color="000000" w:sz="2" w:space="0"/>
            </w:tcBorders>
          </w:tcPr>
          <w:p>
            <w:pPr>
              <w:spacing w:before="197"/>
              <w:jc w:val="center"/>
              <w:rPr>
                <w:rFonts w:hint="default" w:ascii="Times New Roman" w:hAnsi="Times New Roman" w:eastAsia="仿宋_GB2312" w:cs="Times New Roman"/>
                <w:sz w:val="28"/>
                <w:szCs w:val="28"/>
              </w:rPr>
            </w:pPr>
            <w:r>
              <w:rPr>
                <w:rFonts w:hint="default" w:ascii="Times New Roman" w:hAnsi="Times New Roman" w:eastAsia="仿宋_GB2312" w:cs="Times New Roman"/>
                <w:spacing w:val="-5"/>
                <w:sz w:val="28"/>
                <w:szCs w:val="28"/>
              </w:rPr>
              <w:t>c+h</w:t>
            </w:r>
          </w:p>
        </w:tc>
        <w:tc>
          <w:tcPr>
            <w:tcW w:w="1145" w:type="dxa"/>
            <w:tcBorders>
              <w:top w:val="single" w:color="000000" w:sz="2" w:space="0"/>
              <w:bottom w:val="single" w:color="000000" w:sz="2" w:space="0"/>
            </w:tcBorders>
          </w:tcPr>
          <w:p>
            <w:pPr>
              <w:spacing w:before="198"/>
              <w:jc w:val="center"/>
              <w:rPr>
                <w:rFonts w:hint="default" w:ascii="Times New Roman" w:hAnsi="Times New Roman" w:eastAsia="仿宋_GB2312" w:cs="Times New Roman"/>
                <w:sz w:val="28"/>
                <w:szCs w:val="28"/>
              </w:rPr>
            </w:pPr>
            <w:r>
              <w:rPr>
                <w:rFonts w:hint="default" w:ascii="Times New Roman" w:hAnsi="Times New Roman" w:eastAsia="仿宋_GB2312" w:cs="Times New Roman"/>
                <w:spacing w:val="-5"/>
                <w:sz w:val="28"/>
                <w:szCs w:val="28"/>
              </w:rPr>
              <w:t>d+i</w:t>
            </w:r>
          </w:p>
        </w:tc>
        <w:tc>
          <w:tcPr>
            <w:tcW w:w="1022" w:type="dxa"/>
            <w:tcBorders>
              <w:top w:val="single" w:color="000000" w:sz="2" w:space="0"/>
              <w:bottom w:val="single" w:color="000000" w:sz="2" w:space="0"/>
            </w:tcBorders>
          </w:tcPr>
          <w:p>
            <w:pPr>
              <w:spacing w:before="153" w:line="214" w:lineRule="auto"/>
              <w:jc w:val="center"/>
              <w:rPr>
                <w:rFonts w:hint="default" w:ascii="Times New Roman" w:hAnsi="Times New Roman" w:eastAsia="仿宋_GB2312" w:cs="Times New Roman"/>
                <w:sz w:val="28"/>
                <w:szCs w:val="28"/>
              </w:rPr>
            </w:pPr>
            <w:r>
              <w:rPr>
                <w:rFonts w:hint="default" w:ascii="Times New Roman" w:hAnsi="Times New Roman" w:eastAsia="仿宋_GB2312" w:cs="Times New Roman"/>
                <w:spacing w:val="-6"/>
                <w:sz w:val="28"/>
                <w:szCs w:val="28"/>
              </w:rPr>
              <w:t>e+j</w:t>
            </w:r>
          </w:p>
        </w:tc>
        <w:tc>
          <w:tcPr>
            <w:tcW w:w="1570" w:type="dxa"/>
            <w:tcBorders>
              <w:top w:val="single" w:color="000000" w:sz="2" w:space="0"/>
              <w:bottom w:val="single" w:color="000000" w:sz="2" w:space="0"/>
            </w:tcBorders>
          </w:tcPr>
          <w:p>
            <w:pPr>
              <w:spacing w:before="192" w:line="182" w:lineRule="auto"/>
              <w:ind w:left="64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N</w:t>
            </w:r>
          </w:p>
        </w:tc>
      </w:tr>
    </w:tbl>
    <w:p>
      <w:pPr>
        <w:spacing w:line="260" w:lineRule="exact"/>
        <w:ind w:firstLine="392" w:firstLineChars="196"/>
        <w:rPr>
          <w:rFonts w:eastAsia="仿宋_GB2312"/>
          <w:color w:val="000000"/>
          <w:sz w:val="20"/>
          <w:szCs w:val="20"/>
        </w:rPr>
      </w:pPr>
      <w:r>
        <w:rPr>
          <w:rFonts w:hint="eastAsia" w:eastAsia="仿宋_GB2312"/>
          <w:color w:val="000000"/>
          <w:sz w:val="20"/>
          <w:szCs w:val="20"/>
        </w:rPr>
        <w:t>注</w:t>
      </w:r>
      <w:r>
        <w:rPr>
          <w:rFonts w:hint="eastAsia" w:eastAsia="仿宋_GB2312"/>
          <w:color w:val="000000"/>
          <w:w w:val="130"/>
          <w:sz w:val="20"/>
          <w:szCs w:val="20"/>
        </w:rPr>
        <w:t>：</w:t>
      </w:r>
      <w:r>
        <w:rPr>
          <w:rFonts w:hint="eastAsia" w:eastAsia="仿宋_GB2312"/>
          <w:color w:val="000000"/>
          <w:sz w:val="20"/>
          <w:szCs w:val="20"/>
        </w:rPr>
        <w:t>1.结直肠癌：I-IV期结肠直肠癌。</w:t>
      </w:r>
    </w:p>
    <w:p>
      <w:pPr>
        <w:spacing w:line="260" w:lineRule="exact"/>
        <w:ind w:left="840" w:leftChars="400"/>
        <w:rPr>
          <w:rFonts w:eastAsia="仿宋_GB2312"/>
          <w:color w:val="000000"/>
          <w:sz w:val="20"/>
          <w:szCs w:val="20"/>
        </w:rPr>
      </w:pPr>
      <w:r>
        <w:rPr>
          <w:rFonts w:hint="eastAsia" w:eastAsia="仿宋_GB2312"/>
          <w:color w:val="000000"/>
          <w:sz w:val="20"/>
          <w:szCs w:val="20"/>
        </w:rPr>
        <w:t>2.进展期腺瘤：高级别</w:t>
      </w:r>
      <w:r>
        <w:rPr>
          <w:rFonts w:hint="eastAsia" w:eastAsia="仿宋_GB2312"/>
          <w:color w:val="000000"/>
          <w:sz w:val="20"/>
          <w:szCs w:val="20"/>
          <w:lang w:val="en-US" w:eastAsia="zh-CN"/>
        </w:rPr>
        <w:t>瘤变</w:t>
      </w:r>
      <w:r>
        <w:rPr>
          <w:rFonts w:hint="eastAsia" w:eastAsia="仿宋_GB2312"/>
          <w:color w:val="000000"/>
          <w:sz w:val="20"/>
          <w:szCs w:val="20"/>
        </w:rPr>
        <w:t>或10个以上腺瘤；管绒毛腺瘤；≥10</w:t>
      </w:r>
      <w:r>
        <w:rPr>
          <w:rFonts w:eastAsia="仿宋_GB2312"/>
          <w:color w:val="000000"/>
          <w:sz w:val="20"/>
          <w:szCs w:val="20"/>
        </w:rPr>
        <w:t>毫米</w:t>
      </w:r>
      <w:r>
        <w:rPr>
          <w:rFonts w:hint="eastAsia" w:eastAsia="仿宋_GB2312"/>
          <w:color w:val="000000"/>
          <w:sz w:val="20"/>
          <w:szCs w:val="20"/>
        </w:rPr>
        <w:t>的管状腺瘤；≥10</w:t>
      </w:r>
      <w:r>
        <w:rPr>
          <w:rFonts w:eastAsia="仿宋_GB2312"/>
          <w:color w:val="000000"/>
          <w:sz w:val="20"/>
          <w:szCs w:val="20"/>
        </w:rPr>
        <w:t>毫米</w:t>
      </w:r>
      <w:r>
        <w:rPr>
          <w:rFonts w:hint="eastAsia" w:eastAsia="仿宋_GB2312"/>
          <w:color w:val="000000"/>
          <w:sz w:val="20"/>
          <w:szCs w:val="20"/>
        </w:rPr>
        <w:t>的传统的锯齿状腺瘤。</w:t>
      </w:r>
    </w:p>
    <w:p>
      <w:pPr>
        <w:spacing w:line="260" w:lineRule="exact"/>
        <w:ind w:left="840" w:leftChars="400"/>
        <w:rPr>
          <w:rFonts w:eastAsia="仿宋_GB2312"/>
          <w:color w:val="000000"/>
          <w:sz w:val="20"/>
          <w:szCs w:val="20"/>
        </w:rPr>
      </w:pPr>
      <w:r>
        <w:rPr>
          <w:rFonts w:hint="eastAsia" w:eastAsia="仿宋_GB2312"/>
          <w:color w:val="000000"/>
          <w:sz w:val="20"/>
          <w:szCs w:val="20"/>
        </w:rPr>
        <w:t>3.中风险腺瘤：</w:t>
      </w:r>
      <w:r>
        <w:rPr>
          <w:rFonts w:eastAsia="仿宋_GB2312"/>
          <w:color w:val="000000"/>
          <w:sz w:val="20"/>
          <w:szCs w:val="20"/>
        </w:rPr>
        <w:t>≥10毫米</w:t>
      </w:r>
      <w:r>
        <w:rPr>
          <w:rFonts w:hint="eastAsia" w:eastAsia="仿宋_GB2312"/>
          <w:color w:val="000000"/>
          <w:sz w:val="20"/>
          <w:szCs w:val="20"/>
        </w:rPr>
        <w:t>的</w:t>
      </w:r>
      <w:r>
        <w:rPr>
          <w:rFonts w:eastAsia="仿宋_GB2312"/>
          <w:color w:val="000000"/>
          <w:sz w:val="20"/>
          <w:szCs w:val="20"/>
        </w:rPr>
        <w:t>增生性息肉或SSL</w:t>
      </w:r>
      <w:r>
        <w:rPr>
          <w:rFonts w:hint="eastAsia" w:eastAsia="仿宋_GB2312"/>
          <w:color w:val="000000"/>
          <w:sz w:val="20"/>
          <w:szCs w:val="20"/>
        </w:rPr>
        <w:t>；</w:t>
      </w:r>
      <w:r>
        <w:rPr>
          <w:rFonts w:eastAsia="仿宋_GB2312"/>
          <w:color w:val="000000"/>
          <w:sz w:val="20"/>
          <w:szCs w:val="20"/>
        </w:rPr>
        <w:t>&lt;10毫米</w:t>
      </w:r>
      <w:r>
        <w:rPr>
          <w:rFonts w:hint="eastAsia" w:eastAsia="仿宋_GB2312"/>
          <w:color w:val="000000"/>
          <w:sz w:val="20"/>
          <w:szCs w:val="20"/>
        </w:rPr>
        <w:t>的</w:t>
      </w:r>
      <w:r>
        <w:rPr>
          <w:rFonts w:eastAsia="仿宋_GB2312"/>
          <w:color w:val="000000"/>
          <w:sz w:val="20"/>
          <w:szCs w:val="20"/>
        </w:rPr>
        <w:t>5-9</w:t>
      </w:r>
      <w:r>
        <w:rPr>
          <w:rFonts w:hint="eastAsia" w:eastAsia="仿宋_GB2312"/>
          <w:color w:val="000000"/>
          <w:sz w:val="20"/>
          <w:szCs w:val="20"/>
        </w:rPr>
        <w:t>个</w:t>
      </w:r>
      <w:r>
        <w:rPr>
          <w:rFonts w:eastAsia="仿宋_GB2312"/>
          <w:color w:val="000000"/>
          <w:sz w:val="20"/>
          <w:szCs w:val="20"/>
        </w:rPr>
        <w:t>腺瘤（TA + SSL）</w:t>
      </w:r>
      <w:r>
        <w:rPr>
          <w:rFonts w:hint="eastAsia" w:eastAsia="仿宋_GB2312"/>
          <w:color w:val="000000"/>
          <w:sz w:val="20"/>
          <w:szCs w:val="20"/>
        </w:rPr>
        <w:t>；</w:t>
      </w:r>
      <w:r>
        <w:rPr>
          <w:rFonts w:eastAsia="仿宋_GB2312"/>
          <w:color w:val="000000"/>
          <w:sz w:val="20"/>
          <w:szCs w:val="20"/>
        </w:rPr>
        <w:t>&lt;10毫米</w:t>
      </w:r>
      <w:r>
        <w:rPr>
          <w:rFonts w:hint="eastAsia" w:eastAsia="仿宋_GB2312"/>
          <w:color w:val="000000"/>
          <w:sz w:val="20"/>
          <w:szCs w:val="20"/>
        </w:rPr>
        <w:t>的</w:t>
      </w:r>
      <w:r>
        <w:rPr>
          <w:rFonts w:eastAsia="仿宋_GB2312"/>
          <w:color w:val="000000"/>
          <w:sz w:val="20"/>
          <w:szCs w:val="20"/>
        </w:rPr>
        <w:t>3-4</w:t>
      </w:r>
      <w:r>
        <w:rPr>
          <w:rFonts w:hint="eastAsia" w:eastAsia="仿宋_GB2312"/>
          <w:color w:val="000000"/>
          <w:sz w:val="20"/>
          <w:szCs w:val="20"/>
        </w:rPr>
        <w:t>个</w:t>
      </w:r>
      <w:r>
        <w:rPr>
          <w:rFonts w:eastAsia="仿宋_GB2312"/>
          <w:color w:val="000000"/>
          <w:sz w:val="20"/>
          <w:szCs w:val="20"/>
        </w:rPr>
        <w:t>腺瘤（TA + SSL）</w:t>
      </w:r>
      <w:r>
        <w:rPr>
          <w:rFonts w:hint="eastAsia" w:eastAsia="仿宋_GB2312"/>
          <w:color w:val="000000"/>
          <w:sz w:val="20"/>
          <w:szCs w:val="20"/>
        </w:rPr>
        <w:t>。</w:t>
      </w:r>
    </w:p>
    <w:p>
      <w:pPr>
        <w:spacing w:line="260" w:lineRule="exact"/>
        <w:ind w:left="840" w:leftChars="400"/>
        <w:rPr>
          <w:rFonts w:eastAsia="仿宋_GB2312"/>
          <w:color w:val="000000"/>
          <w:sz w:val="20"/>
          <w:szCs w:val="20"/>
        </w:rPr>
      </w:pPr>
      <w:r>
        <w:rPr>
          <w:rFonts w:hint="eastAsia" w:eastAsia="仿宋_GB2312"/>
          <w:color w:val="000000"/>
          <w:sz w:val="20"/>
          <w:szCs w:val="20"/>
        </w:rPr>
        <w:t>4.低风险腺瘤：</w:t>
      </w:r>
      <w:r>
        <w:rPr>
          <w:rFonts w:eastAsia="仿宋_GB2312"/>
          <w:color w:val="000000"/>
          <w:sz w:val="20"/>
          <w:szCs w:val="20"/>
        </w:rPr>
        <w:t>1-2个5-9毫米</w:t>
      </w:r>
      <w:r>
        <w:rPr>
          <w:rFonts w:hint="eastAsia" w:eastAsia="仿宋_GB2312"/>
          <w:color w:val="000000"/>
          <w:sz w:val="20"/>
          <w:szCs w:val="20"/>
        </w:rPr>
        <w:t>的</w:t>
      </w:r>
      <w:r>
        <w:rPr>
          <w:rFonts w:eastAsia="仿宋_GB2312"/>
          <w:color w:val="000000"/>
          <w:sz w:val="20"/>
          <w:szCs w:val="20"/>
        </w:rPr>
        <w:t>腺瘤（TA + SSL）</w:t>
      </w:r>
      <w:r>
        <w:rPr>
          <w:rFonts w:hint="eastAsia" w:eastAsia="仿宋_GB2312"/>
          <w:color w:val="000000"/>
          <w:sz w:val="20"/>
          <w:szCs w:val="20"/>
        </w:rPr>
        <w:t>；</w:t>
      </w:r>
      <w:r>
        <w:rPr>
          <w:rFonts w:eastAsia="仿宋_GB2312"/>
          <w:color w:val="000000"/>
          <w:sz w:val="20"/>
          <w:szCs w:val="20"/>
        </w:rPr>
        <w:t>1-2</w:t>
      </w:r>
      <w:r>
        <w:rPr>
          <w:rFonts w:hint="eastAsia" w:eastAsia="仿宋_GB2312"/>
          <w:color w:val="000000"/>
          <w:sz w:val="20"/>
          <w:szCs w:val="20"/>
          <w:lang w:val="en-US" w:eastAsia="zh-CN"/>
        </w:rPr>
        <w:t>个</w:t>
      </w:r>
      <w:r>
        <w:rPr>
          <w:rFonts w:eastAsia="仿宋_GB2312"/>
          <w:color w:val="000000"/>
          <w:sz w:val="20"/>
          <w:szCs w:val="20"/>
        </w:rPr>
        <w:t>&lt;5毫米</w:t>
      </w:r>
      <w:r>
        <w:rPr>
          <w:rFonts w:hint="eastAsia" w:eastAsia="仿宋_GB2312"/>
          <w:color w:val="000000"/>
          <w:sz w:val="20"/>
          <w:szCs w:val="20"/>
        </w:rPr>
        <w:t>的</w:t>
      </w:r>
      <w:r>
        <w:rPr>
          <w:rFonts w:eastAsia="仿宋_GB2312"/>
          <w:color w:val="000000"/>
          <w:sz w:val="20"/>
          <w:szCs w:val="20"/>
        </w:rPr>
        <w:t>腺瘤（TA + SSL）</w:t>
      </w:r>
      <w:r>
        <w:rPr>
          <w:rFonts w:hint="eastAsia" w:eastAsia="仿宋_GB2312"/>
          <w:color w:val="000000"/>
          <w:sz w:val="20"/>
          <w:szCs w:val="20"/>
        </w:rPr>
        <w:t>。</w:t>
      </w:r>
    </w:p>
    <w:p>
      <w:pPr>
        <w:spacing w:line="260" w:lineRule="exact"/>
        <w:ind w:left="840" w:leftChars="400"/>
        <w:rPr>
          <w:rFonts w:eastAsia="仿宋_GB2312"/>
          <w:color w:val="000000"/>
          <w:sz w:val="20"/>
          <w:szCs w:val="20"/>
        </w:rPr>
      </w:pPr>
      <w:r>
        <w:rPr>
          <w:rFonts w:hint="eastAsia" w:eastAsia="仿宋_GB2312"/>
          <w:color w:val="000000"/>
          <w:sz w:val="20"/>
          <w:szCs w:val="20"/>
        </w:rPr>
        <w:t>5.无发现：</w:t>
      </w:r>
      <w:r>
        <w:rPr>
          <w:rFonts w:eastAsia="仿宋_GB2312"/>
          <w:color w:val="000000"/>
          <w:sz w:val="20"/>
          <w:szCs w:val="20"/>
        </w:rPr>
        <w:t>&lt;10</w:t>
      </w:r>
      <w:r>
        <w:rPr>
          <w:rFonts w:hint="eastAsia" w:eastAsia="仿宋_GB2312"/>
          <w:color w:val="000000"/>
          <w:sz w:val="20"/>
          <w:szCs w:val="20"/>
        </w:rPr>
        <w:t>毫米的</w:t>
      </w:r>
      <w:r>
        <w:rPr>
          <w:rFonts w:eastAsia="仿宋_GB2312"/>
          <w:color w:val="000000"/>
          <w:sz w:val="20"/>
          <w:szCs w:val="20"/>
        </w:rPr>
        <w:t>增生性息肉等阴性病变</w:t>
      </w:r>
      <w:r>
        <w:rPr>
          <w:rFonts w:hint="eastAsia" w:eastAsia="仿宋_GB2312"/>
          <w:color w:val="000000"/>
          <w:sz w:val="20"/>
          <w:szCs w:val="20"/>
        </w:rPr>
        <w:t>或</w:t>
      </w:r>
      <w:r>
        <w:rPr>
          <w:rFonts w:eastAsia="仿宋_GB2312"/>
          <w:color w:val="000000"/>
          <w:sz w:val="20"/>
          <w:szCs w:val="20"/>
        </w:rPr>
        <w:t>结肠镜检查无病变</w:t>
      </w:r>
      <w:r>
        <w:rPr>
          <w:rFonts w:hint="eastAsia" w:eastAsia="仿宋_GB2312"/>
          <w:color w:val="000000"/>
          <w:sz w:val="20"/>
          <w:szCs w:val="20"/>
        </w:rPr>
        <w:t>。</w:t>
      </w:r>
    </w:p>
    <w:p>
      <w:pPr>
        <w:keepNext w:val="0"/>
        <w:keepLines w:val="0"/>
        <w:pageBreakBefore w:val="0"/>
        <w:widowControl w:val="0"/>
        <w:kinsoku/>
        <w:wordWrap/>
        <w:overflowPunct/>
        <w:topLinePunct w:val="0"/>
        <w:autoSpaceDE/>
        <w:autoSpaceDN/>
        <w:bidi w:val="0"/>
        <w:adjustRightInd/>
        <w:snapToGrid/>
        <w:spacing w:line="520" w:lineRule="exact"/>
        <w:ind w:firstLine="627" w:firstLineChars="196"/>
        <w:textAlignment w:val="auto"/>
        <w:rPr>
          <w:rFonts w:eastAsia="仿宋_GB2312"/>
          <w:color w:val="000000"/>
          <w:sz w:val="32"/>
          <w:szCs w:val="32"/>
        </w:rPr>
      </w:pPr>
      <w:r>
        <w:rPr>
          <w:rFonts w:hint="eastAsia" w:eastAsia="仿宋_GB2312"/>
          <w:color w:val="000000"/>
          <w:sz w:val="32"/>
          <w:szCs w:val="32"/>
        </w:rPr>
        <w:t>结直肠癌临床灵敏度=a/(a+f)×100%</w:t>
      </w:r>
    </w:p>
    <w:p>
      <w:pPr>
        <w:keepNext w:val="0"/>
        <w:keepLines w:val="0"/>
        <w:pageBreakBefore w:val="0"/>
        <w:widowControl w:val="0"/>
        <w:kinsoku/>
        <w:wordWrap/>
        <w:overflowPunct/>
        <w:topLinePunct w:val="0"/>
        <w:autoSpaceDE/>
        <w:autoSpaceDN/>
        <w:bidi w:val="0"/>
        <w:adjustRightInd/>
        <w:snapToGrid/>
        <w:spacing w:line="520" w:lineRule="exact"/>
        <w:ind w:firstLine="627" w:firstLineChars="196"/>
        <w:textAlignment w:val="auto"/>
        <w:rPr>
          <w:rFonts w:eastAsia="仿宋_GB2312"/>
          <w:color w:val="000000"/>
          <w:sz w:val="32"/>
          <w:szCs w:val="32"/>
        </w:rPr>
      </w:pPr>
      <w:r>
        <w:rPr>
          <w:rFonts w:hint="eastAsia" w:eastAsia="仿宋_GB2312"/>
          <w:color w:val="000000"/>
          <w:sz w:val="32"/>
          <w:szCs w:val="32"/>
        </w:rPr>
        <w:t>进展期腺瘤临床灵敏度=b/(b+g)×100%</w:t>
      </w:r>
    </w:p>
    <w:p>
      <w:pPr>
        <w:keepNext w:val="0"/>
        <w:keepLines w:val="0"/>
        <w:pageBreakBefore w:val="0"/>
        <w:widowControl w:val="0"/>
        <w:kinsoku/>
        <w:wordWrap/>
        <w:overflowPunct/>
        <w:topLinePunct w:val="0"/>
        <w:autoSpaceDE/>
        <w:autoSpaceDN/>
        <w:bidi w:val="0"/>
        <w:adjustRightInd/>
        <w:snapToGrid/>
        <w:spacing w:line="520" w:lineRule="exact"/>
        <w:ind w:firstLine="627" w:firstLineChars="196"/>
        <w:textAlignment w:val="auto"/>
        <w:rPr>
          <w:rFonts w:eastAsia="仿宋_GB2312"/>
          <w:color w:val="000000"/>
          <w:sz w:val="32"/>
          <w:szCs w:val="32"/>
        </w:rPr>
      </w:pPr>
      <w:r>
        <w:rPr>
          <w:rFonts w:hint="eastAsia" w:eastAsia="仿宋_GB2312"/>
          <w:color w:val="000000"/>
          <w:sz w:val="32"/>
          <w:szCs w:val="32"/>
        </w:rPr>
        <w:t>非进展期腺瘤临床灵敏度=（c+d）/(c+d+h+i)×100%</w:t>
      </w:r>
    </w:p>
    <w:p>
      <w:pPr>
        <w:keepNext w:val="0"/>
        <w:keepLines w:val="0"/>
        <w:pageBreakBefore w:val="0"/>
        <w:widowControl w:val="0"/>
        <w:kinsoku/>
        <w:wordWrap/>
        <w:overflowPunct/>
        <w:topLinePunct w:val="0"/>
        <w:autoSpaceDE/>
        <w:autoSpaceDN/>
        <w:bidi w:val="0"/>
        <w:adjustRightInd/>
        <w:snapToGrid/>
        <w:spacing w:line="520" w:lineRule="exact"/>
        <w:ind w:firstLine="627" w:firstLineChars="196"/>
        <w:textAlignment w:val="auto"/>
        <w:rPr>
          <w:rFonts w:eastAsia="仿宋_GB2312"/>
          <w:color w:val="000000"/>
          <w:sz w:val="32"/>
          <w:szCs w:val="32"/>
        </w:rPr>
      </w:pPr>
      <w:r>
        <w:rPr>
          <w:rFonts w:hint="eastAsia" w:eastAsia="仿宋_GB2312"/>
          <w:color w:val="000000"/>
          <w:sz w:val="32"/>
          <w:szCs w:val="32"/>
        </w:rPr>
        <w:t>临床特异度=（h+i+j）/(c+d+e+h+i+j)×100%</w:t>
      </w:r>
    </w:p>
    <w:p>
      <w:pPr>
        <w:keepNext w:val="0"/>
        <w:keepLines w:val="0"/>
        <w:pageBreakBefore w:val="0"/>
        <w:widowControl w:val="0"/>
        <w:kinsoku/>
        <w:wordWrap/>
        <w:overflowPunct/>
        <w:topLinePunct w:val="0"/>
        <w:autoSpaceDE/>
        <w:autoSpaceDN/>
        <w:bidi w:val="0"/>
        <w:adjustRightInd/>
        <w:snapToGrid/>
        <w:spacing w:line="520" w:lineRule="exact"/>
        <w:ind w:firstLine="627" w:firstLineChars="196"/>
        <w:textAlignment w:val="auto"/>
        <w:rPr>
          <w:rFonts w:eastAsia="仿宋_GB2312"/>
          <w:color w:val="000000"/>
          <w:sz w:val="32"/>
          <w:szCs w:val="32"/>
        </w:rPr>
      </w:pPr>
      <w:r>
        <w:rPr>
          <w:rFonts w:hint="eastAsia" w:eastAsia="仿宋_GB2312"/>
          <w:color w:val="000000"/>
          <w:sz w:val="32"/>
          <w:szCs w:val="32"/>
        </w:rPr>
        <w:t>阳性预测值=（a+b）/(a+b+c+d+e)×100%</w:t>
      </w:r>
    </w:p>
    <w:p>
      <w:pPr>
        <w:keepNext w:val="0"/>
        <w:keepLines w:val="0"/>
        <w:pageBreakBefore w:val="0"/>
        <w:widowControl w:val="0"/>
        <w:kinsoku/>
        <w:wordWrap/>
        <w:overflowPunct/>
        <w:topLinePunct w:val="0"/>
        <w:autoSpaceDE/>
        <w:autoSpaceDN/>
        <w:bidi w:val="0"/>
        <w:adjustRightInd/>
        <w:snapToGrid/>
        <w:spacing w:line="520" w:lineRule="exact"/>
        <w:ind w:firstLine="627" w:firstLineChars="196"/>
        <w:textAlignment w:val="auto"/>
        <w:rPr>
          <w:rFonts w:eastAsia="仿宋_GB2312"/>
          <w:color w:val="000000"/>
          <w:sz w:val="32"/>
          <w:szCs w:val="32"/>
        </w:rPr>
      </w:pPr>
      <w:r>
        <w:rPr>
          <w:rFonts w:hint="eastAsia" w:eastAsia="仿宋_GB2312"/>
          <w:color w:val="000000"/>
          <w:sz w:val="32"/>
          <w:szCs w:val="32"/>
        </w:rPr>
        <w:t>阴性预测值=（h+i+j）/(f+g+h+i+j)×100%</w:t>
      </w:r>
    </w:p>
    <w:p>
      <w:pPr>
        <w:keepNext w:val="0"/>
        <w:keepLines w:val="0"/>
        <w:pageBreakBefore w:val="0"/>
        <w:widowControl w:val="0"/>
        <w:kinsoku/>
        <w:wordWrap/>
        <w:overflowPunct/>
        <w:topLinePunct w:val="0"/>
        <w:autoSpaceDE/>
        <w:autoSpaceDN/>
        <w:bidi w:val="0"/>
        <w:adjustRightInd/>
        <w:snapToGrid/>
        <w:spacing w:line="520" w:lineRule="exact"/>
        <w:ind w:firstLine="627" w:firstLineChars="196"/>
        <w:textAlignment w:val="auto"/>
        <w:rPr>
          <w:rFonts w:eastAsia="仿宋_GB2312"/>
          <w:color w:val="000000"/>
          <w:sz w:val="32"/>
          <w:szCs w:val="32"/>
        </w:rPr>
      </w:pPr>
      <w:r>
        <w:rPr>
          <w:rFonts w:hint="eastAsia" w:eastAsia="仿宋_GB2312"/>
          <w:color w:val="000000"/>
          <w:sz w:val="32"/>
          <w:szCs w:val="32"/>
        </w:rPr>
        <w:t>相对风险=阳性预测值/（1-阴性预测值）</w:t>
      </w:r>
    </w:p>
    <w:p>
      <w:pPr>
        <w:keepNext w:val="0"/>
        <w:keepLines w:val="0"/>
        <w:pageBreakBefore w:val="0"/>
        <w:widowControl w:val="0"/>
        <w:kinsoku/>
        <w:wordWrap/>
        <w:overflowPunct/>
        <w:topLinePunct w:val="0"/>
        <w:autoSpaceDE/>
        <w:autoSpaceDN/>
        <w:bidi w:val="0"/>
        <w:adjustRightInd/>
        <w:snapToGrid/>
        <w:spacing w:line="520" w:lineRule="exact"/>
        <w:ind w:firstLine="627" w:firstLineChars="196"/>
        <w:textAlignment w:val="auto"/>
        <w:rPr>
          <w:rFonts w:ascii="仿宋_GB2312" w:hAnsi="仿宋_GB2312" w:eastAsia="仿宋_GB2312"/>
          <w:sz w:val="32"/>
          <w:szCs w:val="32"/>
        </w:rPr>
      </w:pPr>
      <w:r>
        <w:rPr>
          <w:rFonts w:hint="eastAsia" w:ascii="仿宋_GB2312" w:hAnsi="仿宋_GB2312" w:eastAsia="仿宋_GB2312" w:cs="仿宋_GB2312"/>
          <w:sz w:val="32"/>
          <w:szCs w:val="32"/>
        </w:rPr>
        <w:t>如适用人群为满足一定年龄、性别要求的全人群，建议针对其中的一般风险人群和高风险人群进行分层分析，确认不同人群的筛查性能均满足临床要求。</w:t>
      </w:r>
    </w:p>
    <w:p>
      <w:pPr>
        <w:keepNext w:val="0"/>
        <w:keepLines w:val="0"/>
        <w:pageBreakBefore w:val="0"/>
        <w:widowControl w:val="0"/>
        <w:kinsoku/>
        <w:wordWrap/>
        <w:overflowPunct/>
        <w:topLinePunct w:val="0"/>
        <w:autoSpaceDE/>
        <w:autoSpaceDN/>
        <w:bidi w:val="0"/>
        <w:adjustRightInd/>
        <w:snapToGrid/>
        <w:spacing w:line="520" w:lineRule="exact"/>
        <w:ind w:firstLine="627" w:firstLineChars="196"/>
        <w:textAlignment w:val="auto"/>
        <w:rPr>
          <w:rFonts w:ascii="仿宋_GB2312" w:hAnsi="仿宋_GB2312" w:eastAsia="仿宋_GB2312"/>
          <w:sz w:val="32"/>
          <w:szCs w:val="32"/>
        </w:rPr>
      </w:pPr>
      <w:r>
        <w:rPr>
          <w:rFonts w:hint="eastAsia" w:ascii="仿宋_GB2312" w:hAnsi="仿宋_GB2312" w:eastAsia="仿宋_GB2312"/>
          <w:sz w:val="32"/>
          <w:szCs w:val="32"/>
        </w:rPr>
        <w:t>产品如包括不同的标志物，应包括不同标志物的筛查灵敏度分析，确认不同标志物联合检测的意义（如适用）。如果试验体外诊断试剂不适用与此项评价，应有充分的理由。</w:t>
      </w:r>
    </w:p>
    <w:p>
      <w:pPr>
        <w:keepNext w:val="0"/>
        <w:keepLines w:val="0"/>
        <w:pageBreakBefore w:val="0"/>
        <w:widowControl w:val="0"/>
        <w:kinsoku/>
        <w:wordWrap/>
        <w:overflowPunct/>
        <w:topLinePunct w:val="0"/>
        <w:autoSpaceDE/>
        <w:autoSpaceDN/>
        <w:bidi w:val="0"/>
        <w:adjustRightInd/>
        <w:snapToGrid/>
        <w:spacing w:line="520" w:lineRule="exact"/>
        <w:ind w:firstLine="627" w:firstLineChars="196"/>
        <w:textAlignment w:val="auto"/>
        <w:rPr>
          <w:rFonts w:ascii="仿宋_GB2312" w:hAnsi="仿宋_GB2312" w:eastAsia="仿宋_GB2312"/>
          <w:sz w:val="32"/>
          <w:szCs w:val="32"/>
        </w:rPr>
      </w:pPr>
      <w:r>
        <w:rPr>
          <w:rFonts w:hint="eastAsia" w:ascii="仿宋_GB2312" w:hAnsi="仿宋_GB2312" w:eastAsia="仿宋_GB2312"/>
          <w:sz w:val="32"/>
          <w:szCs w:val="32"/>
        </w:rPr>
        <w:t>同步开展的已有筛查方法检测/检查，应参照上述方法同步评价各项临床性能指标。</w:t>
      </w:r>
    </w:p>
    <w:p>
      <w:pPr>
        <w:keepNext w:val="0"/>
        <w:keepLines w:val="0"/>
        <w:pageBreakBefore w:val="0"/>
        <w:widowControl w:val="0"/>
        <w:kinsoku/>
        <w:wordWrap/>
        <w:overflowPunct/>
        <w:topLinePunct w:val="0"/>
        <w:autoSpaceDE/>
        <w:autoSpaceDN/>
        <w:bidi w:val="0"/>
        <w:adjustRightInd/>
        <w:snapToGrid/>
        <w:spacing w:line="520" w:lineRule="exact"/>
        <w:ind w:firstLine="627" w:firstLineChars="196"/>
        <w:textAlignment w:val="auto"/>
        <w:rPr>
          <w:rFonts w:ascii="仿宋_GB2312" w:hAnsi="仿宋_GB2312" w:eastAsia="仿宋_GB2312"/>
          <w:sz w:val="32"/>
          <w:szCs w:val="32"/>
        </w:rPr>
      </w:pPr>
      <w:r>
        <w:rPr>
          <w:rFonts w:hint="eastAsia" w:ascii="仿宋_GB2312" w:hAnsi="仿宋_GB2312" w:eastAsia="仿宋_GB2312" w:cs="仿宋_GB2312"/>
          <w:sz w:val="32"/>
          <w:szCs w:val="32"/>
        </w:rPr>
        <w:t>最后应将试验体外诊断试剂</w:t>
      </w:r>
      <w:r>
        <w:rPr>
          <w:rFonts w:hint="eastAsia" w:ascii="仿宋_GB2312" w:hAnsi="仿宋_GB2312" w:eastAsia="仿宋_GB2312"/>
          <w:sz w:val="32"/>
          <w:szCs w:val="32"/>
        </w:rPr>
        <w:t>在适用人群中筛查结直肠癌和进展期腺瘤的</w:t>
      </w:r>
      <w:r>
        <w:rPr>
          <w:rFonts w:hint="eastAsia" w:ascii="仿宋_GB2312" w:hAnsi="仿宋_GB2312" w:eastAsia="仿宋_GB2312" w:cs="仿宋_GB2312"/>
          <w:sz w:val="32"/>
          <w:szCs w:val="32"/>
        </w:rPr>
        <w:t>各项临床性能指标与已有筛查方法各项临床性能指标进行比较，并分析申报产品临床性能</w:t>
      </w:r>
      <w:r>
        <w:rPr>
          <w:rFonts w:hint="eastAsia" w:ascii="仿宋_GB2312" w:hAnsi="仿宋_GB2312" w:eastAsia="仿宋_GB2312" w:cs="仿宋_GB2312"/>
          <w:sz w:val="32"/>
          <w:szCs w:val="32"/>
          <w:lang w:val="en-US" w:eastAsia="zh-CN"/>
        </w:rPr>
        <w:t>指标</w:t>
      </w:r>
      <w:r>
        <w:rPr>
          <w:rFonts w:hint="eastAsia" w:ascii="仿宋_GB2312" w:hAnsi="仿宋_GB2312" w:eastAsia="仿宋_GB2312" w:cs="仿宋_GB2312"/>
          <w:sz w:val="32"/>
          <w:szCs w:val="32"/>
        </w:rPr>
        <w:t>能否满足临床需求。</w:t>
      </w:r>
    </w:p>
    <w:p>
      <w:pPr>
        <w:keepNext w:val="0"/>
        <w:keepLines w:val="0"/>
        <w:pageBreakBefore w:val="0"/>
        <w:kinsoku/>
        <w:wordWrap/>
        <w:overflowPunct/>
        <w:topLinePunct w:val="0"/>
        <w:autoSpaceDE/>
        <w:autoSpaceDN/>
        <w:bidi w:val="0"/>
        <w:spacing w:line="520" w:lineRule="exact"/>
        <w:ind w:firstLine="636"/>
        <w:jc w:val="left"/>
        <w:textAlignment w:val="auto"/>
        <w:outlineLvl w:val="1"/>
        <w:rPr>
          <w:rFonts w:hint="eastAsia" w:ascii="楷体_GB2312" w:hAnsi="楷体_GB2312" w:eastAsia="楷体_GB2312" w:cs="楷体_GB2312"/>
          <w:sz w:val="32"/>
          <w:szCs w:val="32"/>
        </w:rPr>
      </w:pPr>
      <w:bookmarkStart w:id="65" w:name="_Toc8266"/>
      <w:bookmarkStart w:id="66" w:name="_Toc29111"/>
      <w:bookmarkStart w:id="67" w:name="_Toc8438"/>
      <w:bookmarkStart w:id="68" w:name="_Toc20834"/>
      <w:bookmarkStart w:id="69" w:name="_Toc26821"/>
      <w:bookmarkStart w:id="70" w:name="_Toc7155"/>
      <w:r>
        <w:rPr>
          <w:rFonts w:hint="eastAsia" w:ascii="楷体_GB2312" w:hAnsi="楷体_GB2312" w:eastAsia="楷体_GB2312" w:cs="楷体_GB2312"/>
          <w:sz w:val="32"/>
          <w:szCs w:val="32"/>
        </w:rPr>
        <w:t>（二）结直肠癌及癌前病变诊断的灵敏度和特异度评价</w:t>
      </w:r>
      <w:bookmarkEnd w:id="65"/>
      <w:bookmarkEnd w:id="66"/>
      <w:bookmarkEnd w:id="67"/>
      <w:bookmarkEnd w:id="68"/>
      <w:bookmarkEnd w:id="69"/>
      <w:bookmarkEnd w:id="70"/>
    </w:p>
    <w:p>
      <w:pPr>
        <w:keepNext w:val="0"/>
        <w:keepLines w:val="0"/>
        <w:pageBreakBefore w:val="0"/>
        <w:widowControl w:val="0"/>
        <w:kinsoku/>
        <w:wordWrap/>
        <w:overflowPunct/>
        <w:topLinePunct w:val="0"/>
        <w:autoSpaceDE/>
        <w:autoSpaceDN/>
        <w:bidi w:val="0"/>
        <w:adjustRightInd/>
        <w:snapToGrid/>
        <w:spacing w:line="520" w:lineRule="exact"/>
        <w:ind w:firstLine="636"/>
        <w:jc w:val="left"/>
        <w:textAlignment w:val="auto"/>
        <w:outlineLvl w:val="2"/>
        <w:rPr>
          <w:rFonts w:ascii="仿宋_GB2312" w:hAnsi="仿宋_GB2312" w:eastAsia="仿宋_GB2312"/>
          <w:sz w:val="32"/>
          <w:szCs w:val="32"/>
        </w:rPr>
      </w:pPr>
      <w:bookmarkStart w:id="71" w:name="_Toc2360"/>
      <w:bookmarkStart w:id="72" w:name="_Toc12289"/>
      <w:bookmarkStart w:id="73" w:name="_Toc378"/>
      <w:bookmarkStart w:id="74" w:name="_Toc28273"/>
      <w:bookmarkStart w:id="75" w:name="_Toc6400"/>
      <w:bookmarkStart w:id="76" w:name="_Toc18567"/>
      <w:r>
        <w:rPr>
          <w:rFonts w:hint="eastAsia" w:ascii="仿宋_GB2312" w:hAnsi="仿宋_GB2312" w:eastAsia="仿宋_GB2312"/>
          <w:sz w:val="32"/>
          <w:szCs w:val="32"/>
        </w:rPr>
        <w:t>1.</w:t>
      </w:r>
      <w:bookmarkEnd w:id="71"/>
      <w:bookmarkEnd w:id="72"/>
      <w:bookmarkEnd w:id="73"/>
      <w:r>
        <w:rPr>
          <w:rFonts w:hint="eastAsia" w:ascii="仿宋_GB2312" w:hAnsi="仿宋_GB2312" w:eastAsia="仿宋_GB2312"/>
          <w:sz w:val="32"/>
          <w:szCs w:val="32"/>
        </w:rPr>
        <w:t>受试者入组</w:t>
      </w:r>
      <w:bookmarkEnd w:id="74"/>
      <w:bookmarkEnd w:id="75"/>
      <w:bookmarkEnd w:id="76"/>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sz w:val="32"/>
          <w:szCs w:val="32"/>
        </w:rPr>
        <w:t>为更加充分的评价试验体外诊断试剂的灵敏度和特异度，</w:t>
      </w:r>
      <w:r>
        <w:rPr>
          <w:rFonts w:hint="eastAsia" w:ascii="仿宋_GB2312" w:hAnsi="仿宋_GB2312" w:eastAsia="仿宋_GB2312" w:cs="仿宋_GB2312"/>
          <w:sz w:val="32"/>
          <w:szCs w:val="32"/>
        </w:rPr>
        <w:t>还应对肿瘤组和非肿瘤组的重要亚组分别进行分层入组，并与相关结直肠癌的临床参考标准进行对比，从而使临床性能评价更加全面地覆盖目标人群中的各种特征，包括不同分期的肿瘤病例，和不同干扰因素的非肿瘤病例等。此部分试验可将（一）筛查性能评价中顺序入组的所有样本纳入，如某些亚组样本量不足可进一步富集入组。</w:t>
      </w:r>
    </w:p>
    <w:p>
      <w:pPr>
        <w:keepNext w:val="0"/>
        <w:keepLines w:val="0"/>
        <w:pageBreakBefore w:val="0"/>
        <w:widowControl w:val="0"/>
        <w:kinsoku/>
        <w:wordWrap/>
        <w:overflowPunct/>
        <w:topLinePunct w:val="0"/>
        <w:autoSpaceDE/>
        <w:autoSpaceDN/>
        <w:bidi w:val="0"/>
        <w:adjustRightInd/>
        <w:snapToGrid/>
        <w:spacing w:line="520" w:lineRule="exact"/>
        <w:ind w:firstLine="636"/>
        <w:jc w:val="left"/>
        <w:textAlignment w:val="auto"/>
        <w:outlineLvl w:val="3"/>
        <w:rPr>
          <w:rFonts w:ascii="仿宋_GB2312" w:hAnsi="仿宋_GB2312" w:eastAsia="仿宋_GB2312"/>
          <w:sz w:val="32"/>
          <w:szCs w:val="32"/>
        </w:rPr>
      </w:pPr>
      <w:bookmarkStart w:id="77" w:name="_Toc30164"/>
      <w:bookmarkStart w:id="78" w:name="_Toc2695"/>
      <w:bookmarkStart w:id="79" w:name="_Toc21491"/>
      <w:r>
        <w:rPr>
          <w:rFonts w:hint="eastAsia" w:ascii="仿宋_GB2312" w:hAnsi="仿宋_GB2312" w:eastAsia="仿宋_GB2312"/>
          <w:sz w:val="32"/>
          <w:szCs w:val="32"/>
        </w:rPr>
        <w:t>1.1肿瘤疾病组</w:t>
      </w:r>
      <w:bookmarkEnd w:id="77"/>
      <w:bookmarkEnd w:id="78"/>
      <w:bookmarkEnd w:id="79"/>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肿瘤疾病组</w:t>
      </w:r>
      <w:r>
        <w:rPr>
          <w:rFonts w:hint="eastAsia" w:ascii="仿宋_GB2312" w:hAnsi="仿宋_GB2312" w:eastAsia="仿宋_GB2312"/>
          <w:sz w:val="32"/>
          <w:szCs w:val="32"/>
        </w:rPr>
        <w:t>人群</w:t>
      </w:r>
      <w:r>
        <w:rPr>
          <w:rFonts w:hint="eastAsia" w:eastAsia="仿宋_GB2312"/>
          <w:sz w:val="32"/>
          <w:szCs w:val="32"/>
        </w:rPr>
        <w:t>应包括结直肠癌不同分期（</w:t>
      </w:r>
      <w:r>
        <w:rPr>
          <w:rFonts w:hint="default" w:ascii="Times New Roman" w:hAnsi="Times New Roman" w:eastAsia="仿宋_GB2312" w:cs="Times New Roman"/>
          <w:sz w:val="32"/>
          <w:szCs w:val="32"/>
        </w:rPr>
        <w:t>Ⅰ、Ⅱ、Ⅲ、Ⅳ</w:t>
      </w:r>
      <w:r>
        <w:rPr>
          <w:rFonts w:hint="eastAsia" w:eastAsia="仿宋_GB2312"/>
          <w:sz w:val="32"/>
          <w:szCs w:val="32"/>
        </w:rPr>
        <w:t>期）、结直肠进展期腺瘤。</w:t>
      </w:r>
      <w:r>
        <w:rPr>
          <w:rFonts w:hint="eastAsia" w:ascii="仿宋_GB2312" w:hAnsi="仿宋_GB2312" w:eastAsia="仿宋_GB2312" w:cs="仿宋_GB2312"/>
          <w:sz w:val="32"/>
          <w:szCs w:val="32"/>
        </w:rPr>
        <w:t>应特别关注进展期腺瘤及早期癌症组的临床灵敏度是否满足要求。</w:t>
      </w:r>
    </w:p>
    <w:p>
      <w:pPr>
        <w:keepNext w:val="0"/>
        <w:keepLines w:val="0"/>
        <w:pageBreakBefore w:val="0"/>
        <w:widowControl w:val="0"/>
        <w:kinsoku/>
        <w:wordWrap/>
        <w:overflowPunct/>
        <w:topLinePunct w:val="0"/>
        <w:autoSpaceDE/>
        <w:autoSpaceDN/>
        <w:bidi w:val="0"/>
        <w:adjustRightInd/>
        <w:snapToGrid/>
        <w:spacing w:line="520" w:lineRule="exact"/>
        <w:ind w:firstLine="636"/>
        <w:jc w:val="left"/>
        <w:textAlignment w:val="auto"/>
        <w:outlineLvl w:val="3"/>
        <w:rPr>
          <w:rFonts w:ascii="仿宋_GB2312" w:hAnsi="仿宋_GB2312" w:eastAsia="仿宋_GB2312"/>
          <w:sz w:val="32"/>
          <w:szCs w:val="32"/>
        </w:rPr>
      </w:pPr>
      <w:bookmarkStart w:id="80" w:name="_Toc31121"/>
      <w:bookmarkStart w:id="81" w:name="_Toc14950"/>
      <w:bookmarkStart w:id="82" w:name="_Toc10567"/>
      <w:r>
        <w:rPr>
          <w:rFonts w:hint="eastAsia" w:ascii="仿宋_GB2312" w:hAnsi="仿宋_GB2312" w:eastAsia="仿宋_GB2312"/>
          <w:sz w:val="32"/>
          <w:szCs w:val="32"/>
        </w:rPr>
        <w:t>1.2非肿瘤疾病组</w:t>
      </w:r>
      <w:bookmarkEnd w:id="80"/>
      <w:bookmarkEnd w:id="81"/>
      <w:bookmarkEnd w:id="82"/>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eastAsia="仿宋_GB2312"/>
          <w:sz w:val="32"/>
          <w:szCs w:val="32"/>
        </w:rPr>
      </w:pPr>
      <w:r>
        <w:rPr>
          <w:rFonts w:hint="eastAsia" w:eastAsia="仿宋_GB2312"/>
          <w:sz w:val="32"/>
          <w:szCs w:val="32"/>
        </w:rPr>
        <w:t>为对产品临床特异度进行充分评价，应纳入消化道良性疾病患者（肠息肉、肠腺瘤、肠炎等）和其他消化道肿瘤患者包括胃癌、肝癌、食管癌、胆管癌、胰腺癌等。非结直肠癌肿瘤疾病患者的诊断依据相关疾病诊疗规范执行。</w:t>
      </w:r>
    </w:p>
    <w:p>
      <w:pPr>
        <w:keepNext w:val="0"/>
        <w:keepLines w:val="0"/>
        <w:pageBreakBefore w:val="0"/>
        <w:widowControl w:val="0"/>
        <w:kinsoku/>
        <w:wordWrap/>
        <w:overflowPunct/>
        <w:topLinePunct w:val="0"/>
        <w:autoSpaceDE/>
        <w:autoSpaceDN/>
        <w:bidi w:val="0"/>
        <w:adjustRightInd/>
        <w:snapToGrid/>
        <w:spacing w:line="520" w:lineRule="exact"/>
        <w:ind w:firstLine="636"/>
        <w:jc w:val="left"/>
        <w:textAlignment w:val="auto"/>
        <w:outlineLvl w:val="2"/>
        <w:rPr>
          <w:rFonts w:ascii="仿宋_GB2312" w:hAnsi="仿宋_GB2312" w:eastAsia="仿宋_GB2312"/>
          <w:sz w:val="32"/>
          <w:szCs w:val="32"/>
        </w:rPr>
      </w:pPr>
      <w:bookmarkStart w:id="83" w:name="_Toc16588"/>
      <w:bookmarkStart w:id="84" w:name="_Toc6932"/>
      <w:bookmarkStart w:id="85" w:name="_Toc7621"/>
      <w:bookmarkStart w:id="86" w:name="_Toc25770"/>
      <w:bookmarkStart w:id="87" w:name="_Toc8014"/>
      <w:bookmarkStart w:id="88" w:name="_Toc8072"/>
      <w:r>
        <w:rPr>
          <w:rFonts w:hint="eastAsia" w:ascii="仿宋_GB2312" w:hAnsi="仿宋_GB2312" w:eastAsia="仿宋_GB2312"/>
          <w:sz w:val="32"/>
          <w:szCs w:val="32"/>
        </w:rPr>
        <w:t>2.试验方法</w:t>
      </w:r>
      <w:bookmarkEnd w:id="83"/>
      <w:bookmarkEnd w:id="84"/>
      <w:bookmarkEnd w:id="85"/>
      <w:bookmarkEnd w:id="86"/>
      <w:bookmarkEnd w:id="87"/>
      <w:bookmarkEnd w:id="88"/>
    </w:p>
    <w:p>
      <w:pPr>
        <w:keepNext w:val="0"/>
        <w:keepLines w:val="0"/>
        <w:pageBreakBefore w:val="0"/>
        <w:widowControl w:val="0"/>
        <w:kinsoku/>
        <w:wordWrap/>
        <w:overflowPunct/>
        <w:topLinePunct w:val="0"/>
        <w:autoSpaceDE/>
        <w:autoSpaceDN/>
        <w:bidi w:val="0"/>
        <w:adjustRightInd/>
        <w:snapToGrid/>
        <w:spacing w:line="520" w:lineRule="exact"/>
        <w:ind w:firstLine="636"/>
        <w:jc w:val="left"/>
        <w:textAlignment w:val="auto"/>
        <w:rPr>
          <w:rFonts w:ascii="仿宋_GB2312" w:hAnsi="仿宋_GB2312" w:eastAsia="仿宋_GB2312"/>
          <w:sz w:val="32"/>
          <w:szCs w:val="32"/>
        </w:rPr>
      </w:pPr>
      <w:r>
        <w:rPr>
          <w:rFonts w:hint="eastAsia" w:ascii="仿宋_GB2312" w:hAnsi="仿宋_GB2312" w:eastAsia="仿宋_GB2312"/>
          <w:sz w:val="32"/>
          <w:szCs w:val="32"/>
        </w:rPr>
        <w:t>采用试验体外诊断试剂与结直肠癌和进展期腺瘤临床诊断参考标准进行比较研究</w:t>
      </w:r>
      <w:r>
        <w:rPr>
          <w:rFonts w:ascii="仿宋_GB2312" w:hAnsi="仿宋_GB2312" w:eastAsia="仿宋_GB2312"/>
          <w:sz w:val="32"/>
          <w:szCs w:val="32"/>
        </w:rPr>
        <w:t>，评价</w:t>
      </w:r>
      <w:r>
        <w:rPr>
          <w:rFonts w:hint="eastAsia" w:ascii="仿宋_GB2312" w:hAnsi="仿宋_GB2312" w:eastAsia="仿宋_GB2312"/>
          <w:sz w:val="32"/>
          <w:szCs w:val="32"/>
        </w:rPr>
        <w:t>试验体外诊断试剂针对结直肠癌各分期、进展期腺瘤疾病组的临床</w:t>
      </w:r>
      <w:r>
        <w:rPr>
          <w:rFonts w:ascii="仿宋_GB2312" w:hAnsi="仿宋_GB2312" w:eastAsia="仿宋_GB2312"/>
          <w:sz w:val="32"/>
          <w:szCs w:val="32"/>
        </w:rPr>
        <w:t>灵敏度</w:t>
      </w:r>
      <w:r>
        <w:rPr>
          <w:rFonts w:hint="eastAsia" w:ascii="仿宋_GB2312" w:hAnsi="仿宋_GB2312" w:eastAsia="仿宋_GB2312"/>
          <w:sz w:val="32"/>
          <w:szCs w:val="32"/>
        </w:rPr>
        <w:t>，以及消化道良性疾病、其他肿瘤亚组的临床</w:t>
      </w:r>
      <w:r>
        <w:rPr>
          <w:rFonts w:ascii="仿宋_GB2312" w:hAnsi="仿宋_GB2312" w:eastAsia="仿宋_GB2312"/>
          <w:sz w:val="32"/>
          <w:szCs w:val="32"/>
        </w:rPr>
        <w:t>特异度等指标。</w:t>
      </w:r>
    </w:p>
    <w:p>
      <w:pPr>
        <w:keepNext w:val="0"/>
        <w:keepLines w:val="0"/>
        <w:pageBreakBefore w:val="0"/>
        <w:widowControl w:val="0"/>
        <w:kinsoku/>
        <w:wordWrap/>
        <w:overflowPunct/>
        <w:topLinePunct w:val="0"/>
        <w:autoSpaceDE/>
        <w:autoSpaceDN/>
        <w:bidi w:val="0"/>
        <w:adjustRightInd/>
        <w:snapToGrid/>
        <w:spacing w:line="520" w:lineRule="exact"/>
        <w:ind w:firstLine="636"/>
        <w:jc w:val="left"/>
        <w:textAlignment w:val="auto"/>
        <w:outlineLvl w:val="2"/>
        <w:rPr>
          <w:rFonts w:ascii="仿宋_GB2312" w:hAnsi="仿宋_GB2312" w:eastAsia="仿宋_GB2312"/>
          <w:sz w:val="32"/>
          <w:szCs w:val="32"/>
        </w:rPr>
      </w:pPr>
      <w:bookmarkStart w:id="89" w:name="_Toc679"/>
      <w:bookmarkStart w:id="90" w:name="_Toc30236"/>
      <w:bookmarkStart w:id="91" w:name="_Toc28453"/>
      <w:bookmarkStart w:id="92" w:name="_Toc650"/>
      <w:bookmarkStart w:id="93" w:name="_Toc27613"/>
      <w:bookmarkStart w:id="94" w:name="_Toc6521"/>
      <w:r>
        <w:rPr>
          <w:rFonts w:hint="eastAsia" w:ascii="仿宋_GB2312" w:hAnsi="仿宋_GB2312" w:eastAsia="仿宋_GB2312"/>
          <w:sz w:val="32"/>
          <w:szCs w:val="32"/>
        </w:rPr>
        <w:t>3.样本量</w:t>
      </w:r>
      <w:bookmarkEnd w:id="89"/>
      <w:bookmarkEnd w:id="90"/>
      <w:bookmarkEnd w:id="91"/>
      <w:bookmarkEnd w:id="92"/>
      <w:bookmarkEnd w:id="93"/>
      <w:bookmarkEnd w:id="94"/>
    </w:p>
    <w:p>
      <w:pPr>
        <w:keepNext w:val="0"/>
        <w:keepLines w:val="0"/>
        <w:pageBreakBefore w:val="0"/>
        <w:widowControl w:val="0"/>
        <w:kinsoku/>
        <w:wordWrap/>
        <w:overflowPunct/>
        <w:topLinePunct w:val="0"/>
        <w:autoSpaceDE/>
        <w:autoSpaceDN/>
        <w:bidi w:val="0"/>
        <w:adjustRightInd/>
        <w:snapToGrid/>
        <w:spacing w:line="520" w:lineRule="exact"/>
        <w:ind w:firstLine="627" w:firstLineChars="196"/>
        <w:textAlignment w:val="auto"/>
        <w:rPr>
          <w:rFonts w:eastAsia="仿宋_GB2312"/>
          <w:sz w:val="32"/>
          <w:szCs w:val="32"/>
        </w:rPr>
      </w:pPr>
      <w:r>
        <w:rPr>
          <w:rFonts w:hint="eastAsia" w:eastAsia="仿宋_GB2312"/>
          <w:sz w:val="32"/>
          <w:szCs w:val="32"/>
        </w:rPr>
        <w:t>可采用单组目标值法公式估算最低样本量，应分别估算结直肠癌患者例数、进展期腺瘤患者例数、消化道良性疾病患者例数和其他癌症患者例数等）以及肠道无占位性病变病例数。各组目标值设定建议参考表2中相关指标的最低可接受标准。</w:t>
      </w:r>
    </w:p>
    <w:p>
      <w:pPr>
        <w:keepNext w:val="0"/>
        <w:keepLines w:val="0"/>
        <w:pageBreakBefore w:val="0"/>
        <w:widowControl w:val="0"/>
        <w:kinsoku/>
        <w:wordWrap/>
        <w:overflowPunct/>
        <w:topLinePunct w:val="0"/>
        <w:autoSpaceDE/>
        <w:autoSpaceDN/>
        <w:bidi w:val="0"/>
        <w:adjustRightInd/>
        <w:snapToGrid/>
        <w:spacing w:line="520" w:lineRule="exact"/>
        <w:ind w:firstLine="636"/>
        <w:jc w:val="left"/>
        <w:textAlignment w:val="auto"/>
      </w:pPr>
      <w:r>
        <w:rPr>
          <w:rFonts w:hint="eastAsia" w:eastAsia="仿宋_GB2312"/>
          <w:sz w:val="32"/>
          <w:szCs w:val="32"/>
        </w:rPr>
        <w:t>根据已有文献数据，经统计学估算，建议结直肠癌病例不少于300例，其中各分期病例建议I期不少于80例，其他各期分别不少于50例；进展期腺瘤不少于200例；肠道良性疾病患者中，肠息肉患者不少于200例；其他各种癌症病例建议分别不少于30例，无肠道异常病例不少于230例。</w:t>
      </w:r>
    </w:p>
    <w:p>
      <w:pPr>
        <w:keepNext w:val="0"/>
        <w:keepLines w:val="0"/>
        <w:pageBreakBefore w:val="0"/>
        <w:widowControl w:val="0"/>
        <w:kinsoku/>
        <w:wordWrap/>
        <w:overflowPunct/>
        <w:topLinePunct w:val="0"/>
        <w:autoSpaceDE/>
        <w:autoSpaceDN/>
        <w:bidi w:val="0"/>
        <w:adjustRightInd/>
        <w:snapToGrid/>
        <w:spacing w:line="520" w:lineRule="exact"/>
        <w:ind w:firstLine="636"/>
        <w:jc w:val="left"/>
        <w:textAlignment w:val="auto"/>
        <w:outlineLvl w:val="2"/>
        <w:rPr>
          <w:rFonts w:ascii="仿宋_GB2312" w:hAnsi="仿宋_GB2312" w:eastAsia="仿宋_GB2312"/>
          <w:sz w:val="32"/>
          <w:szCs w:val="32"/>
        </w:rPr>
      </w:pPr>
      <w:bookmarkStart w:id="95" w:name="_Toc25962"/>
      <w:bookmarkStart w:id="96" w:name="_Toc22839"/>
      <w:bookmarkStart w:id="97" w:name="_Toc24725"/>
      <w:bookmarkStart w:id="98" w:name="_Toc14864"/>
      <w:bookmarkStart w:id="99" w:name="_Toc20077"/>
      <w:bookmarkStart w:id="100" w:name="_Toc4484"/>
      <w:r>
        <w:rPr>
          <w:rFonts w:hint="eastAsia" w:ascii="仿宋_GB2312" w:hAnsi="仿宋_GB2312" w:eastAsia="仿宋_GB2312"/>
          <w:sz w:val="32"/>
          <w:szCs w:val="32"/>
        </w:rPr>
        <w:t>4.临床评价指标和统计学分析</w:t>
      </w:r>
      <w:bookmarkEnd w:id="95"/>
      <w:bookmarkEnd w:id="96"/>
      <w:bookmarkEnd w:id="97"/>
      <w:bookmarkEnd w:id="98"/>
      <w:bookmarkEnd w:id="99"/>
      <w:bookmarkEnd w:id="100"/>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eastAsia="仿宋_GB2312"/>
          <w:sz w:val="32"/>
          <w:szCs w:val="32"/>
        </w:rPr>
      </w:pPr>
      <w:r>
        <w:rPr>
          <w:rFonts w:hint="eastAsia" w:eastAsia="仿宋_GB2312"/>
          <w:sz w:val="32"/>
          <w:szCs w:val="32"/>
        </w:rPr>
        <w:t>对临床试验</w:t>
      </w:r>
      <w:r>
        <w:rPr>
          <w:rFonts w:eastAsia="仿宋_GB2312"/>
          <w:sz w:val="32"/>
          <w:szCs w:val="32"/>
        </w:rPr>
        <w:t>结果进行总结</w:t>
      </w:r>
      <w:r>
        <w:rPr>
          <w:rFonts w:hint="eastAsia" w:eastAsia="仿宋_GB2312"/>
          <w:sz w:val="32"/>
          <w:szCs w:val="32"/>
        </w:rPr>
        <w:t>。</w:t>
      </w:r>
      <w:r>
        <w:rPr>
          <w:rFonts w:eastAsia="仿宋_GB2312"/>
          <w:sz w:val="32"/>
          <w:szCs w:val="32"/>
        </w:rPr>
        <w:t>计算灵敏度、特异度并计算95%置信区间</w:t>
      </w:r>
      <w:r>
        <w:rPr>
          <w:rFonts w:hint="eastAsia" w:eastAsia="仿宋_GB2312"/>
          <w:sz w:val="32"/>
          <w:szCs w:val="32"/>
        </w:rPr>
        <w:t>；同时应针对结直肠癌不同分期、以及进展期腺瘤患者分别计算灵敏度；针对不同类型肠道良性疾病患者、其他不同癌种病例以及肠道无占位性病变患者分别分析特异度。</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eastAsia="仿宋_GB2312"/>
          <w:sz w:val="32"/>
          <w:szCs w:val="32"/>
        </w:rPr>
      </w:pPr>
      <w:r>
        <w:rPr>
          <w:rFonts w:hint="eastAsia" w:eastAsia="仿宋_GB2312"/>
          <w:sz w:val="32"/>
          <w:szCs w:val="32"/>
        </w:rPr>
        <w:t>依据临床需求和已报道研究数据，部分关键亚组临床性能评价指标推荐的最低可接受标准（95%置信区间下限）参下表：</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eastAsia="仿宋_GB2312"/>
          <w:sz w:val="32"/>
          <w:szCs w:val="32"/>
        </w:rPr>
      </w:pPr>
    </w:p>
    <w:p>
      <w:pPr>
        <w:spacing w:line="520" w:lineRule="exact"/>
        <w:ind w:firstLine="560" w:firstLineChars="200"/>
        <w:jc w:val="center"/>
        <w:rPr>
          <w:rFonts w:hint="eastAsia" w:ascii="黑体" w:hAnsi="黑体" w:eastAsia="黑体" w:cs="黑体"/>
          <w:sz w:val="28"/>
          <w:szCs w:val="28"/>
        </w:rPr>
      </w:pPr>
      <w:r>
        <w:rPr>
          <w:rFonts w:hint="eastAsia" w:ascii="黑体" w:hAnsi="黑体" w:eastAsia="黑体" w:cs="黑体"/>
          <w:sz w:val="28"/>
          <w:szCs w:val="28"/>
        </w:rPr>
        <w:t>表2部分亚组临床性能评价指标推荐最低可接受标准</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01"/>
        <w:gridCol w:w="2450"/>
        <w:gridCol w:w="2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01" w:type="dxa"/>
            <w:vAlign w:val="center"/>
          </w:tcPr>
          <w:p>
            <w:pPr>
              <w:spacing w:line="520" w:lineRule="exact"/>
              <w:jc w:val="center"/>
              <w:rPr>
                <w:rFonts w:eastAsia="仿宋_GB2312"/>
                <w:sz w:val="32"/>
                <w:szCs w:val="32"/>
              </w:rPr>
            </w:pPr>
            <w:r>
              <w:rPr>
                <w:rFonts w:hint="eastAsia" w:eastAsia="仿宋_GB2312"/>
                <w:sz w:val="32"/>
                <w:szCs w:val="32"/>
              </w:rPr>
              <w:t>亚组</w:t>
            </w:r>
          </w:p>
        </w:tc>
        <w:tc>
          <w:tcPr>
            <w:tcW w:w="2450" w:type="dxa"/>
            <w:vAlign w:val="center"/>
          </w:tcPr>
          <w:p>
            <w:pPr>
              <w:spacing w:line="520" w:lineRule="exact"/>
              <w:jc w:val="center"/>
              <w:rPr>
                <w:rFonts w:eastAsia="仿宋_GB2312"/>
                <w:sz w:val="32"/>
                <w:szCs w:val="32"/>
              </w:rPr>
            </w:pPr>
            <w:r>
              <w:rPr>
                <w:rFonts w:hint="eastAsia" w:eastAsia="仿宋_GB2312"/>
                <w:sz w:val="32"/>
                <w:szCs w:val="32"/>
              </w:rPr>
              <w:t>评价指标</w:t>
            </w:r>
          </w:p>
        </w:tc>
        <w:tc>
          <w:tcPr>
            <w:tcW w:w="2761" w:type="dxa"/>
            <w:vAlign w:val="center"/>
          </w:tcPr>
          <w:p>
            <w:pPr>
              <w:spacing w:line="520" w:lineRule="exact"/>
              <w:jc w:val="center"/>
              <w:rPr>
                <w:rFonts w:eastAsia="仿宋_GB2312"/>
                <w:sz w:val="32"/>
                <w:szCs w:val="32"/>
              </w:rPr>
            </w:pPr>
            <w:r>
              <w:rPr>
                <w:rFonts w:hint="eastAsia" w:eastAsia="仿宋_GB2312"/>
                <w:sz w:val="32"/>
                <w:szCs w:val="32"/>
              </w:rPr>
              <w:t>预期可接受标准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01" w:type="dxa"/>
          </w:tcPr>
          <w:p>
            <w:pPr>
              <w:spacing w:line="520" w:lineRule="exact"/>
              <w:jc w:val="center"/>
              <w:rPr>
                <w:rFonts w:eastAsia="仿宋_GB2312"/>
                <w:sz w:val="32"/>
                <w:szCs w:val="32"/>
              </w:rPr>
            </w:pPr>
            <w:r>
              <w:rPr>
                <w:rFonts w:hint="eastAsia" w:eastAsia="仿宋_GB2312"/>
                <w:sz w:val="32"/>
                <w:szCs w:val="32"/>
              </w:rPr>
              <w:t>CRC</w:t>
            </w:r>
          </w:p>
        </w:tc>
        <w:tc>
          <w:tcPr>
            <w:tcW w:w="2450" w:type="dxa"/>
          </w:tcPr>
          <w:p>
            <w:pPr>
              <w:spacing w:line="520" w:lineRule="exact"/>
              <w:jc w:val="center"/>
              <w:rPr>
                <w:rFonts w:eastAsia="仿宋_GB2312"/>
                <w:sz w:val="32"/>
                <w:szCs w:val="32"/>
              </w:rPr>
            </w:pPr>
            <w:r>
              <w:rPr>
                <w:rFonts w:hint="eastAsia" w:eastAsia="仿宋_GB2312"/>
                <w:sz w:val="32"/>
                <w:szCs w:val="32"/>
              </w:rPr>
              <w:t>临床灵敏度</w:t>
            </w:r>
          </w:p>
        </w:tc>
        <w:tc>
          <w:tcPr>
            <w:tcW w:w="2761" w:type="dxa"/>
          </w:tcPr>
          <w:p>
            <w:pPr>
              <w:spacing w:line="520" w:lineRule="exact"/>
              <w:jc w:val="center"/>
              <w:rPr>
                <w:rFonts w:eastAsia="仿宋_GB2312"/>
                <w:sz w:val="32"/>
                <w:szCs w:val="32"/>
              </w:rPr>
            </w:pPr>
            <w:r>
              <w:rPr>
                <w:rFonts w:hint="eastAsia" w:eastAsia="仿宋_GB2312"/>
                <w:sz w:val="32"/>
                <w:szCs w:val="32"/>
              </w:rPr>
              <w:t>8</w:t>
            </w:r>
            <w:r>
              <w:rPr>
                <w:rFonts w:hint="eastAsia" w:eastAsia="仿宋_GB2312"/>
                <w:sz w:val="32"/>
                <w:szCs w:val="32"/>
                <w:lang w:val="en-US" w:eastAsia="zh-CN"/>
              </w:rPr>
              <w:t>5</w:t>
            </w:r>
            <w:r>
              <w:rPr>
                <w:rFonts w:hint="eastAsia" w:eastAsia="仿宋_GB2312"/>
                <w:sz w:val="32"/>
                <w:szCs w:val="3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01" w:type="dxa"/>
          </w:tcPr>
          <w:p>
            <w:pPr>
              <w:spacing w:line="520" w:lineRule="exact"/>
              <w:jc w:val="center"/>
              <w:rPr>
                <w:rFonts w:eastAsia="仿宋_GB2312"/>
                <w:sz w:val="32"/>
                <w:szCs w:val="32"/>
              </w:rPr>
            </w:pPr>
            <w:r>
              <w:rPr>
                <w:rFonts w:hint="eastAsia" w:eastAsia="仿宋_GB2312"/>
                <w:sz w:val="32"/>
                <w:szCs w:val="32"/>
              </w:rPr>
              <w:t>进展期腺瘤</w:t>
            </w:r>
          </w:p>
        </w:tc>
        <w:tc>
          <w:tcPr>
            <w:tcW w:w="2450" w:type="dxa"/>
          </w:tcPr>
          <w:p>
            <w:pPr>
              <w:spacing w:line="520" w:lineRule="exact"/>
              <w:jc w:val="center"/>
              <w:rPr>
                <w:rFonts w:eastAsia="仿宋_GB2312"/>
                <w:sz w:val="32"/>
                <w:szCs w:val="32"/>
              </w:rPr>
            </w:pPr>
            <w:r>
              <w:rPr>
                <w:rFonts w:hint="eastAsia" w:eastAsia="仿宋_GB2312"/>
                <w:sz w:val="32"/>
                <w:szCs w:val="32"/>
              </w:rPr>
              <w:t>临床灵敏度</w:t>
            </w:r>
          </w:p>
        </w:tc>
        <w:tc>
          <w:tcPr>
            <w:tcW w:w="2761" w:type="dxa"/>
          </w:tcPr>
          <w:p>
            <w:pPr>
              <w:spacing w:line="520" w:lineRule="exact"/>
              <w:jc w:val="center"/>
              <w:rPr>
                <w:rFonts w:eastAsia="仿宋_GB2312"/>
                <w:sz w:val="32"/>
                <w:szCs w:val="32"/>
              </w:rPr>
            </w:pPr>
            <w:r>
              <w:rPr>
                <w:rFonts w:hint="eastAsia" w:eastAsia="仿宋_GB2312"/>
                <w:sz w:val="32"/>
                <w:szCs w:val="32"/>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01" w:type="dxa"/>
          </w:tcPr>
          <w:p>
            <w:pPr>
              <w:spacing w:line="520" w:lineRule="exact"/>
              <w:jc w:val="center"/>
              <w:rPr>
                <w:rFonts w:eastAsia="仿宋_GB2312"/>
                <w:sz w:val="32"/>
                <w:szCs w:val="32"/>
              </w:rPr>
            </w:pPr>
            <w:r>
              <w:rPr>
                <w:rFonts w:hint="eastAsia" w:eastAsia="仿宋_GB2312"/>
                <w:sz w:val="32"/>
                <w:szCs w:val="32"/>
              </w:rPr>
              <w:t>肠道良性疾病</w:t>
            </w:r>
          </w:p>
        </w:tc>
        <w:tc>
          <w:tcPr>
            <w:tcW w:w="2450" w:type="dxa"/>
          </w:tcPr>
          <w:p>
            <w:pPr>
              <w:spacing w:line="520" w:lineRule="exact"/>
              <w:jc w:val="center"/>
              <w:rPr>
                <w:rFonts w:eastAsia="仿宋_GB2312"/>
                <w:sz w:val="32"/>
                <w:szCs w:val="32"/>
              </w:rPr>
            </w:pPr>
            <w:r>
              <w:rPr>
                <w:rFonts w:hint="eastAsia" w:eastAsia="仿宋_GB2312"/>
                <w:sz w:val="32"/>
                <w:szCs w:val="32"/>
              </w:rPr>
              <w:t>临床特异度</w:t>
            </w:r>
          </w:p>
        </w:tc>
        <w:tc>
          <w:tcPr>
            <w:tcW w:w="2761" w:type="dxa"/>
          </w:tcPr>
          <w:p>
            <w:pPr>
              <w:spacing w:line="520" w:lineRule="exact"/>
              <w:jc w:val="center"/>
              <w:rPr>
                <w:rFonts w:eastAsia="仿宋_GB2312"/>
                <w:sz w:val="32"/>
                <w:szCs w:val="32"/>
              </w:rPr>
            </w:pPr>
            <w:r>
              <w:rPr>
                <w:rFonts w:hint="eastAsia" w:eastAsia="仿宋_GB2312"/>
                <w:sz w:val="32"/>
                <w:szCs w:val="32"/>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01" w:type="dxa"/>
          </w:tcPr>
          <w:p>
            <w:pPr>
              <w:spacing w:line="520" w:lineRule="exact"/>
              <w:jc w:val="center"/>
              <w:rPr>
                <w:rFonts w:eastAsia="仿宋_GB2312"/>
                <w:sz w:val="32"/>
                <w:szCs w:val="32"/>
              </w:rPr>
            </w:pPr>
            <w:r>
              <w:rPr>
                <w:rFonts w:hint="eastAsia" w:eastAsia="仿宋_GB2312"/>
                <w:sz w:val="32"/>
                <w:szCs w:val="32"/>
              </w:rPr>
              <w:t>其他恶性肿瘤</w:t>
            </w:r>
          </w:p>
        </w:tc>
        <w:tc>
          <w:tcPr>
            <w:tcW w:w="2450" w:type="dxa"/>
          </w:tcPr>
          <w:p>
            <w:pPr>
              <w:spacing w:line="520" w:lineRule="exact"/>
              <w:jc w:val="center"/>
              <w:rPr>
                <w:rFonts w:eastAsia="仿宋_GB2312"/>
                <w:sz w:val="32"/>
                <w:szCs w:val="32"/>
              </w:rPr>
            </w:pPr>
            <w:r>
              <w:rPr>
                <w:rFonts w:hint="eastAsia" w:eastAsia="仿宋_GB2312"/>
                <w:sz w:val="32"/>
                <w:szCs w:val="32"/>
              </w:rPr>
              <w:t>临床特异度</w:t>
            </w:r>
          </w:p>
        </w:tc>
        <w:tc>
          <w:tcPr>
            <w:tcW w:w="2761" w:type="dxa"/>
          </w:tcPr>
          <w:p>
            <w:pPr>
              <w:spacing w:line="520" w:lineRule="exact"/>
              <w:jc w:val="center"/>
              <w:rPr>
                <w:rFonts w:eastAsia="仿宋_GB2312"/>
                <w:sz w:val="32"/>
                <w:szCs w:val="32"/>
              </w:rPr>
            </w:pPr>
            <w:r>
              <w:rPr>
                <w:rFonts w:hint="eastAsia" w:eastAsia="仿宋_GB2312"/>
                <w:sz w:val="32"/>
                <w:szCs w:val="32"/>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01" w:type="dxa"/>
          </w:tcPr>
          <w:p>
            <w:pPr>
              <w:spacing w:line="520" w:lineRule="exact"/>
              <w:jc w:val="center"/>
              <w:rPr>
                <w:rFonts w:eastAsia="仿宋_GB2312"/>
                <w:sz w:val="32"/>
                <w:szCs w:val="32"/>
              </w:rPr>
            </w:pPr>
            <w:r>
              <w:rPr>
                <w:rFonts w:hint="eastAsia" w:eastAsia="仿宋_GB2312"/>
                <w:sz w:val="32"/>
                <w:szCs w:val="32"/>
              </w:rPr>
              <w:t>无肠道异常</w:t>
            </w:r>
          </w:p>
        </w:tc>
        <w:tc>
          <w:tcPr>
            <w:tcW w:w="2450" w:type="dxa"/>
          </w:tcPr>
          <w:p>
            <w:pPr>
              <w:spacing w:line="520" w:lineRule="exact"/>
              <w:jc w:val="center"/>
              <w:rPr>
                <w:rFonts w:eastAsia="仿宋_GB2312"/>
                <w:sz w:val="32"/>
                <w:szCs w:val="32"/>
              </w:rPr>
            </w:pPr>
            <w:r>
              <w:rPr>
                <w:rFonts w:hint="eastAsia" w:eastAsia="仿宋_GB2312"/>
                <w:sz w:val="32"/>
                <w:szCs w:val="32"/>
              </w:rPr>
              <w:t>临床特异度</w:t>
            </w:r>
          </w:p>
        </w:tc>
        <w:tc>
          <w:tcPr>
            <w:tcW w:w="2761" w:type="dxa"/>
          </w:tcPr>
          <w:p>
            <w:pPr>
              <w:spacing w:line="520" w:lineRule="exact"/>
              <w:jc w:val="center"/>
              <w:rPr>
                <w:rFonts w:eastAsia="仿宋_GB2312"/>
                <w:sz w:val="32"/>
                <w:szCs w:val="32"/>
              </w:rPr>
            </w:pPr>
            <w:r>
              <w:rPr>
                <w:rFonts w:hint="eastAsia" w:eastAsia="仿宋_GB2312"/>
                <w:sz w:val="32"/>
                <w:szCs w:val="32"/>
              </w:rPr>
              <w:t>90%</w:t>
            </w:r>
          </w:p>
        </w:tc>
      </w:tr>
    </w:tbl>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eastAsia="仿宋_GB2312"/>
          <w:sz w:val="32"/>
          <w:szCs w:val="32"/>
        </w:rPr>
      </w:pPr>
      <w:r>
        <w:rPr>
          <w:rFonts w:eastAsia="仿宋_GB2312"/>
          <w:sz w:val="32"/>
          <w:szCs w:val="32"/>
        </w:rPr>
        <w:t>对于</w:t>
      </w:r>
      <w:r>
        <w:rPr>
          <w:rFonts w:hint="eastAsia" w:eastAsia="仿宋_GB2312"/>
          <w:sz w:val="32"/>
          <w:szCs w:val="32"/>
        </w:rPr>
        <w:t>检测结果与临床诊断结论</w:t>
      </w:r>
      <w:r>
        <w:rPr>
          <w:rFonts w:eastAsia="仿宋_GB2312"/>
          <w:sz w:val="32"/>
          <w:szCs w:val="32"/>
        </w:rPr>
        <w:t>不一致的样本，应</w:t>
      </w:r>
      <w:r>
        <w:rPr>
          <w:rFonts w:hint="eastAsia" w:eastAsia="仿宋_GB2312"/>
          <w:sz w:val="32"/>
          <w:szCs w:val="32"/>
        </w:rPr>
        <w:t>结合患者疾病背景信息、其他临床实验室检验结果等</w:t>
      </w:r>
      <w:r>
        <w:rPr>
          <w:rFonts w:eastAsia="仿宋_GB2312"/>
          <w:sz w:val="32"/>
          <w:szCs w:val="32"/>
        </w:rPr>
        <w:t>对差异原因进行</w:t>
      </w:r>
      <w:r>
        <w:rPr>
          <w:rFonts w:hint="eastAsia" w:eastAsia="仿宋_GB2312"/>
          <w:sz w:val="32"/>
          <w:szCs w:val="32"/>
        </w:rPr>
        <w:t>合理</w:t>
      </w:r>
      <w:r>
        <w:rPr>
          <w:rFonts w:eastAsia="仿宋_GB2312"/>
          <w:sz w:val="32"/>
          <w:szCs w:val="32"/>
        </w:rPr>
        <w:t>分析。</w:t>
      </w:r>
    </w:p>
    <w:p>
      <w:pPr>
        <w:keepNext w:val="0"/>
        <w:keepLines w:val="0"/>
        <w:pageBreakBefore w:val="0"/>
        <w:kinsoku/>
        <w:wordWrap/>
        <w:overflowPunct/>
        <w:topLinePunct w:val="0"/>
        <w:autoSpaceDE/>
        <w:autoSpaceDN/>
        <w:bidi w:val="0"/>
        <w:spacing w:line="520" w:lineRule="exact"/>
        <w:ind w:firstLine="636"/>
        <w:jc w:val="left"/>
        <w:textAlignment w:val="auto"/>
        <w:outlineLvl w:val="1"/>
        <w:rPr>
          <w:rFonts w:hint="eastAsia" w:ascii="楷体_GB2312" w:hAnsi="楷体_GB2312" w:eastAsia="楷体_GB2312" w:cs="楷体_GB2312"/>
          <w:sz w:val="32"/>
          <w:szCs w:val="32"/>
        </w:rPr>
      </w:pPr>
      <w:bookmarkStart w:id="101" w:name="_Toc26138"/>
      <w:bookmarkStart w:id="102" w:name="_Toc20857"/>
      <w:bookmarkStart w:id="103" w:name="_Toc18345"/>
      <w:r>
        <w:rPr>
          <w:rFonts w:hint="eastAsia" w:ascii="楷体_GB2312" w:hAnsi="楷体_GB2312" w:eastAsia="楷体_GB2312" w:cs="楷体_GB2312"/>
          <w:sz w:val="32"/>
          <w:szCs w:val="32"/>
        </w:rPr>
        <w:t>（三）被测标志物检测性能评价</w:t>
      </w:r>
      <w:bookmarkEnd w:id="101"/>
      <w:bookmarkEnd w:id="102"/>
      <w:bookmarkEnd w:id="103"/>
    </w:p>
    <w:p>
      <w:pPr>
        <w:keepNext w:val="0"/>
        <w:keepLines w:val="0"/>
        <w:pageBreakBefore w:val="0"/>
        <w:widowControl w:val="0"/>
        <w:kinsoku/>
        <w:wordWrap/>
        <w:overflowPunct/>
        <w:topLinePunct w:val="0"/>
        <w:autoSpaceDE/>
        <w:autoSpaceDN/>
        <w:bidi w:val="0"/>
        <w:adjustRightInd/>
        <w:snapToGrid/>
        <w:spacing w:line="520" w:lineRule="exact"/>
        <w:ind w:firstLine="636"/>
        <w:jc w:val="left"/>
        <w:textAlignment w:val="auto"/>
        <w:outlineLvl w:val="2"/>
        <w:rPr>
          <w:rFonts w:ascii="仿宋_GB2312" w:hAnsi="仿宋_GB2312" w:eastAsia="仿宋_GB2312"/>
          <w:sz w:val="32"/>
          <w:szCs w:val="32"/>
        </w:rPr>
      </w:pPr>
      <w:bookmarkStart w:id="104" w:name="_Toc13978"/>
      <w:bookmarkStart w:id="105" w:name="_Toc11076"/>
      <w:bookmarkStart w:id="106" w:name="_Toc18628"/>
      <w:bookmarkStart w:id="107" w:name="_Toc6162"/>
      <w:r>
        <w:rPr>
          <w:rFonts w:hint="eastAsia" w:ascii="仿宋_GB2312" w:hAnsi="仿宋_GB2312" w:eastAsia="仿宋_GB2312"/>
          <w:sz w:val="32"/>
          <w:szCs w:val="32"/>
        </w:rPr>
        <w:t>1.</w:t>
      </w:r>
      <w:bookmarkEnd w:id="104"/>
      <w:bookmarkEnd w:id="105"/>
      <w:r>
        <w:rPr>
          <w:rFonts w:hint="eastAsia" w:ascii="仿宋_GB2312" w:hAnsi="仿宋_GB2312" w:eastAsia="仿宋_GB2312"/>
          <w:sz w:val="32"/>
          <w:szCs w:val="32"/>
        </w:rPr>
        <w:t>试验方法</w:t>
      </w:r>
      <w:bookmarkEnd w:id="106"/>
      <w:bookmarkEnd w:id="107"/>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仿宋_GB2312" w:eastAsia="仿宋_GB2312"/>
          <w:sz w:val="32"/>
          <w:szCs w:val="32"/>
        </w:rPr>
      </w:pPr>
      <w:r>
        <w:rPr>
          <w:rFonts w:hint="eastAsia" w:ascii="仿宋_GB2312" w:hAnsi="仿宋_GB2312" w:eastAsia="仿宋_GB2312" w:cs="仿宋_GB2312"/>
          <w:sz w:val="32"/>
          <w:szCs w:val="32"/>
        </w:rPr>
        <w:t>根据被测标志物的特征，应采用试验体外诊断试剂与已上市同类产品或实验室参考方法进行对比试验，评价试验体外诊断试剂针对被测标志物的检测性能。如被测标志物为DNA甲基化或者基因突变，可以采用测序方法作为</w:t>
      </w:r>
      <w:r>
        <w:rPr>
          <w:rFonts w:hint="eastAsia" w:eastAsia="仿宋_GB2312"/>
          <w:sz w:val="32"/>
          <w:szCs w:val="32"/>
        </w:rPr>
        <w:t>实验室</w:t>
      </w:r>
      <w:r>
        <w:rPr>
          <w:rFonts w:hint="eastAsia" w:ascii="仿宋_GB2312" w:hAnsi="仿宋_GB2312" w:eastAsia="仿宋_GB2312" w:cs="仿宋_GB2312"/>
          <w:sz w:val="32"/>
          <w:szCs w:val="32"/>
        </w:rPr>
        <w:t>参考方法，进行对比试验，如选择同类产品，应确认具有良好的可比性</w:t>
      </w:r>
      <w:r>
        <w:rPr>
          <w:rFonts w:hint="eastAsia" w:ascii="仿宋_GB2312" w:hAnsi="仿宋_GB2312" w:eastAsia="仿宋_GB2312"/>
          <w:sz w:val="32"/>
          <w:szCs w:val="32"/>
        </w:rPr>
        <w:t>。</w:t>
      </w:r>
      <w:r>
        <w:rPr>
          <w:rFonts w:hint="eastAsia" w:eastAsia="仿宋_GB2312"/>
          <w:sz w:val="32"/>
          <w:szCs w:val="32"/>
        </w:rPr>
        <w:t>实验室参考方法应进行充分的性能验证，包括最低检出限、准确性、精密度等，确认与试验体外诊断试剂具有良好的可比性。并提供详细的方法建立和性能验证资料。如测序试验委托第三方实验室或检测机构完成，应提供临床试验机构委托该试验的委托协议，并确认第三方检测机构有相应的检测资质。</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当试验体外诊断试剂包含多项被测物时，原则上应针对所有标志物分别进行检测性能评价。如不适用，应提供充分的理由和依据，并采用合理的方法进行检测性能评价。</w:t>
      </w:r>
    </w:p>
    <w:p>
      <w:pPr>
        <w:keepNext w:val="0"/>
        <w:keepLines w:val="0"/>
        <w:pageBreakBefore w:val="0"/>
        <w:numPr>
          <w:ilvl w:val="255"/>
          <w:numId w:val="0"/>
        </w:numPr>
        <w:kinsoku/>
        <w:wordWrap/>
        <w:overflowPunct/>
        <w:topLinePunct w:val="0"/>
        <w:autoSpaceDE/>
        <w:autoSpaceDN/>
        <w:bidi w:val="0"/>
        <w:adjustRightInd/>
        <w:spacing w:line="520" w:lineRule="exact"/>
        <w:ind w:firstLine="640" w:firstLineChars="200"/>
        <w:jc w:val="left"/>
        <w:textAlignment w:val="auto"/>
        <w:rPr>
          <w:rFonts w:ascii="仿宋_GB2312" w:hAnsi="仿宋_GB2312" w:eastAsia="仿宋_GB2312" w:cs="仿宋_GB2312"/>
          <w:sz w:val="32"/>
          <w:szCs w:val="32"/>
        </w:rPr>
      </w:pPr>
      <w:bookmarkStart w:id="108" w:name="_Toc12541"/>
      <w:r>
        <w:rPr>
          <w:rFonts w:hint="eastAsia" w:ascii="仿宋_GB2312" w:hAnsi="仿宋_GB2312" w:eastAsia="仿宋_GB2312"/>
          <w:sz w:val="32"/>
          <w:szCs w:val="32"/>
        </w:rPr>
        <w:t>2.</w:t>
      </w:r>
      <w:r>
        <w:rPr>
          <w:rFonts w:hint="eastAsia" w:ascii="仿宋_GB2312" w:hAnsi="仿宋_GB2312" w:eastAsia="仿宋_GB2312" w:cs="仿宋_GB2312"/>
          <w:sz w:val="32"/>
          <w:szCs w:val="32"/>
        </w:rPr>
        <w:t>样本量</w:t>
      </w:r>
      <w:bookmarkEnd w:id="108"/>
    </w:p>
    <w:p>
      <w:pPr>
        <w:keepNext w:val="0"/>
        <w:keepLines w:val="0"/>
        <w:pageBreakBefore w:val="0"/>
        <w:kinsoku/>
        <w:wordWrap/>
        <w:overflowPunct/>
        <w:topLinePunct w:val="0"/>
        <w:autoSpaceDE/>
        <w:autoSpaceDN/>
        <w:bidi w:val="0"/>
        <w:adjustRightInd/>
        <w:spacing w:line="520" w:lineRule="exact"/>
        <w:ind w:firstLine="640" w:firstLineChars="200"/>
        <w:jc w:val="left"/>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应针对所有标志物（如适用）分别估算阳性样本量和阴性样本量，建议</w:t>
      </w:r>
      <w:r>
        <w:rPr>
          <w:rFonts w:hint="eastAsia" w:eastAsia="仿宋_GB2312"/>
          <w:sz w:val="32"/>
          <w:szCs w:val="32"/>
        </w:rPr>
        <w:t>采用单组目标值法公式，目标值（</w:t>
      </w:r>
      <w:r>
        <w:rPr>
          <w:rFonts w:hint="eastAsia" w:eastAsia="仿宋_GB2312"/>
          <w:i/>
          <w:iCs/>
          <w:sz w:val="32"/>
          <w:szCs w:val="32"/>
        </w:rPr>
        <w:t>P</w:t>
      </w:r>
      <w:r>
        <w:rPr>
          <w:rFonts w:eastAsia="仿宋_GB2312"/>
          <w:i/>
          <w:iCs/>
          <w:sz w:val="32"/>
          <w:szCs w:val="32"/>
          <w:vertAlign w:val="subscript"/>
        </w:rPr>
        <w:t>0</w:t>
      </w:r>
      <w:r>
        <w:rPr>
          <w:rFonts w:hint="eastAsia" w:eastAsia="仿宋_GB2312"/>
          <w:sz w:val="32"/>
          <w:szCs w:val="32"/>
        </w:rPr>
        <w:t>）设定应有合理依据，基因突变或甲基化等核酸标志物检测目标值建议不低于90%。</w:t>
      </w:r>
    </w:p>
    <w:bookmarkEnd w:id="16"/>
    <w:bookmarkEnd w:id="17"/>
    <w:bookmarkEnd w:id="18"/>
    <w:bookmarkEnd w:id="19"/>
    <w:p>
      <w:pPr>
        <w:keepNext w:val="0"/>
        <w:keepLines w:val="0"/>
        <w:pageBreakBefore w:val="0"/>
        <w:kinsoku/>
        <w:wordWrap/>
        <w:overflowPunct/>
        <w:topLinePunct w:val="0"/>
        <w:autoSpaceDE/>
        <w:autoSpaceDN/>
        <w:bidi w:val="0"/>
        <w:adjustRightInd/>
        <w:spacing w:line="520" w:lineRule="exact"/>
        <w:ind w:firstLine="636"/>
        <w:jc w:val="left"/>
        <w:textAlignment w:val="auto"/>
        <w:outlineLvl w:val="2"/>
        <w:rPr>
          <w:rFonts w:ascii="仿宋_GB2312" w:hAnsi="仿宋_GB2312" w:eastAsia="仿宋_GB2312"/>
          <w:sz w:val="32"/>
          <w:szCs w:val="32"/>
        </w:rPr>
      </w:pPr>
      <w:bookmarkStart w:id="109" w:name="_Toc4976"/>
      <w:bookmarkStart w:id="110" w:name="_Toc10480"/>
      <w:bookmarkStart w:id="111" w:name="_Toc6466"/>
      <w:r>
        <w:rPr>
          <w:rFonts w:hint="eastAsia" w:ascii="仿宋_GB2312" w:hAnsi="仿宋_GB2312" w:eastAsia="仿宋_GB2312"/>
          <w:sz w:val="32"/>
          <w:szCs w:val="32"/>
        </w:rPr>
        <w:t>3.评价指标和统计学分析</w:t>
      </w:r>
      <w:bookmarkEnd w:id="109"/>
      <w:bookmarkEnd w:id="110"/>
      <w:bookmarkEnd w:id="111"/>
    </w:p>
    <w:p>
      <w:pPr>
        <w:keepNext w:val="0"/>
        <w:keepLines w:val="0"/>
        <w:pageBreakBefore w:val="0"/>
        <w:widowControl/>
        <w:numPr>
          <w:ilvl w:val="255"/>
          <w:numId w:val="0"/>
        </w:numPr>
        <w:kinsoku/>
        <w:wordWrap/>
        <w:overflowPunct/>
        <w:topLinePunct w:val="0"/>
        <w:autoSpaceDE/>
        <w:autoSpaceDN/>
        <w:bidi w:val="0"/>
        <w:adjustRightInd/>
        <w:snapToGrid w:val="0"/>
        <w:spacing w:line="520" w:lineRule="exact"/>
        <w:ind w:firstLine="640" w:firstLineChars="200"/>
        <w:jc w:val="left"/>
        <w:textAlignment w:val="auto"/>
        <w:rPr>
          <w:rFonts w:eastAsia="仿宋_GB2312"/>
          <w:color w:val="000000"/>
          <w:sz w:val="32"/>
          <w:szCs w:val="32"/>
        </w:rPr>
      </w:pPr>
      <w:r>
        <w:rPr>
          <w:rFonts w:eastAsia="仿宋_GB2312"/>
          <w:color w:val="000000"/>
          <w:sz w:val="32"/>
          <w:szCs w:val="32"/>
        </w:rPr>
        <w:t>对于试验体外诊断试剂与对比试剂/方法的一致性评价，</w:t>
      </w:r>
      <w:r>
        <w:rPr>
          <w:rFonts w:hint="eastAsia" w:eastAsia="仿宋_GB2312"/>
          <w:color w:val="000000"/>
          <w:sz w:val="32"/>
          <w:szCs w:val="32"/>
        </w:rPr>
        <w:t>可采用</w:t>
      </w:r>
      <w:r>
        <w:rPr>
          <w:rFonts w:hint="eastAsia" w:eastAsia="仿宋_GB2312"/>
          <w:sz w:val="32"/>
          <w:szCs w:val="32"/>
        </w:rPr>
        <w:t>四格表</w:t>
      </w:r>
      <w:r>
        <w:rPr>
          <w:rFonts w:eastAsia="仿宋_GB2312"/>
          <w:color w:val="000000"/>
          <w:sz w:val="32"/>
          <w:szCs w:val="32"/>
        </w:rPr>
        <w:t>的形式总结两种试剂/方法的检测结果，计算阳性符合率、阴性符合率、总符合率及其</w:t>
      </w:r>
      <w:r>
        <w:rPr>
          <w:rFonts w:hint="eastAsia" w:eastAsia="仿宋_GB2312"/>
          <w:color w:val="000000"/>
          <w:sz w:val="32"/>
          <w:szCs w:val="32"/>
        </w:rPr>
        <w:t>95%</w:t>
      </w:r>
      <w:r>
        <w:rPr>
          <w:rFonts w:eastAsia="仿宋_GB2312"/>
          <w:color w:val="000000"/>
          <w:sz w:val="32"/>
          <w:szCs w:val="32"/>
        </w:rPr>
        <w:t>置信区间。</w:t>
      </w:r>
    </w:p>
    <w:p>
      <w:pPr>
        <w:keepNext w:val="0"/>
        <w:keepLines w:val="0"/>
        <w:pageBreakBefore w:val="0"/>
        <w:widowControl/>
        <w:numPr>
          <w:ilvl w:val="255"/>
          <w:numId w:val="0"/>
        </w:numPr>
        <w:kinsoku/>
        <w:wordWrap/>
        <w:overflowPunct/>
        <w:topLinePunct w:val="0"/>
        <w:autoSpaceDE/>
        <w:autoSpaceDN/>
        <w:bidi w:val="0"/>
        <w:adjustRightInd/>
        <w:snapToGrid w:val="0"/>
        <w:spacing w:line="520" w:lineRule="exact"/>
        <w:ind w:firstLine="640" w:firstLineChars="200"/>
        <w:jc w:val="left"/>
        <w:textAlignment w:val="auto"/>
        <w:rPr>
          <w:rFonts w:eastAsia="仿宋_GB2312"/>
          <w:sz w:val="32"/>
          <w:szCs w:val="32"/>
        </w:rPr>
      </w:pPr>
      <w:r>
        <w:rPr>
          <w:rFonts w:eastAsia="仿宋_GB2312"/>
          <w:color w:val="000000"/>
          <w:sz w:val="32"/>
          <w:szCs w:val="32"/>
        </w:rPr>
        <w:t>对于不一致样本，</w:t>
      </w:r>
      <w:r>
        <w:rPr>
          <w:rFonts w:hint="eastAsia" w:ascii="仿宋_GB2312" w:hAnsi="仿宋_GB2312" w:eastAsia="仿宋_GB2312"/>
          <w:sz w:val="32"/>
          <w:szCs w:val="32"/>
        </w:rPr>
        <w:t>应结合患者便隐血结果、结肠镜和病理诊断结果进行</w:t>
      </w:r>
      <w:r>
        <w:rPr>
          <w:rFonts w:eastAsia="仿宋_GB2312"/>
          <w:color w:val="000000"/>
          <w:sz w:val="32"/>
          <w:szCs w:val="32"/>
        </w:rPr>
        <w:t>原因</w:t>
      </w:r>
      <w:r>
        <w:rPr>
          <w:rFonts w:hint="eastAsia" w:ascii="仿宋_GB2312" w:hAnsi="仿宋_GB2312" w:eastAsia="仿宋_GB2312"/>
          <w:sz w:val="32"/>
          <w:szCs w:val="32"/>
        </w:rPr>
        <w:t>分析。</w:t>
      </w:r>
    </w:p>
    <w:p>
      <w:pPr>
        <w:keepNext w:val="0"/>
        <w:keepLines w:val="0"/>
        <w:pageBreakBefore w:val="0"/>
        <w:kinsoku/>
        <w:wordWrap/>
        <w:overflowPunct/>
        <w:topLinePunct w:val="0"/>
        <w:autoSpaceDE/>
        <w:autoSpaceDN/>
        <w:bidi w:val="0"/>
        <w:spacing w:line="520" w:lineRule="exact"/>
        <w:ind w:firstLine="636"/>
        <w:jc w:val="left"/>
        <w:textAlignment w:val="auto"/>
        <w:outlineLvl w:val="1"/>
        <w:rPr>
          <w:rFonts w:hint="eastAsia" w:ascii="楷体_GB2312" w:hAnsi="楷体_GB2312" w:eastAsia="楷体_GB2312" w:cs="楷体_GB2312"/>
          <w:sz w:val="32"/>
          <w:szCs w:val="32"/>
        </w:rPr>
      </w:pPr>
      <w:bookmarkStart w:id="112" w:name="_Toc31333"/>
      <w:r>
        <w:rPr>
          <w:rFonts w:hint="eastAsia" w:ascii="楷体_GB2312" w:hAnsi="楷体_GB2312" w:eastAsia="楷体_GB2312" w:cs="楷体_GB2312"/>
          <w:sz w:val="32"/>
          <w:szCs w:val="32"/>
        </w:rPr>
        <w:t>（四）筛查频率</w:t>
      </w:r>
      <w:bookmarkEnd w:id="112"/>
    </w:p>
    <w:p>
      <w:pPr>
        <w:keepNext w:val="0"/>
        <w:keepLines w:val="0"/>
        <w:pageBreakBefore w:val="0"/>
        <w:widowControl/>
        <w:numPr>
          <w:ilvl w:val="255"/>
          <w:numId w:val="0"/>
        </w:numPr>
        <w:kinsoku/>
        <w:wordWrap/>
        <w:overflowPunct/>
        <w:topLinePunct w:val="0"/>
        <w:autoSpaceDE/>
        <w:autoSpaceDN/>
        <w:bidi w:val="0"/>
        <w:adjustRightInd/>
        <w:snapToGrid w:val="0"/>
        <w:spacing w:line="520" w:lineRule="exact"/>
        <w:ind w:firstLine="640" w:firstLineChars="200"/>
        <w:jc w:val="left"/>
        <w:textAlignment w:val="auto"/>
        <w:rPr>
          <w:rFonts w:eastAsia="仿宋_GB2312"/>
          <w:color w:val="000000"/>
          <w:sz w:val="32"/>
          <w:szCs w:val="32"/>
        </w:rPr>
      </w:pPr>
      <w:r>
        <w:rPr>
          <w:rFonts w:hint="eastAsia" w:eastAsia="仿宋_GB2312"/>
          <w:color w:val="000000"/>
          <w:sz w:val="32"/>
          <w:szCs w:val="32"/>
        </w:rPr>
        <w:t>申请人应基于已有研究成果和文献数据针对筛查频率给出合理建议，同时应</w:t>
      </w:r>
      <w:r>
        <w:rPr>
          <w:rFonts w:eastAsia="仿宋_GB2312"/>
          <w:color w:val="000000"/>
          <w:sz w:val="32"/>
          <w:szCs w:val="32"/>
        </w:rPr>
        <w:t>于产品上市后持续开展研究，分析不同筛查频率下的临床性能，并与已有筛查方法进行比较</w:t>
      </w:r>
      <w:r>
        <w:rPr>
          <w:rFonts w:hint="eastAsia" w:eastAsia="仿宋_GB2312"/>
          <w:color w:val="000000"/>
          <w:sz w:val="32"/>
          <w:szCs w:val="32"/>
        </w:rPr>
        <w:t>，需要时进一步优化筛查频率</w:t>
      </w:r>
      <w:r>
        <w:rPr>
          <w:rFonts w:eastAsia="仿宋_GB2312"/>
          <w:color w:val="000000"/>
          <w:sz w:val="32"/>
          <w:szCs w:val="32"/>
        </w:rPr>
        <w:t>。</w:t>
      </w:r>
    </w:p>
    <w:p>
      <w:pPr>
        <w:keepNext w:val="0"/>
        <w:keepLines w:val="0"/>
        <w:pageBreakBefore w:val="0"/>
        <w:kinsoku/>
        <w:wordWrap/>
        <w:overflowPunct/>
        <w:topLinePunct w:val="0"/>
        <w:autoSpaceDE/>
        <w:autoSpaceDN/>
        <w:bidi w:val="0"/>
        <w:spacing w:line="520" w:lineRule="exact"/>
        <w:ind w:firstLine="636"/>
        <w:jc w:val="left"/>
        <w:textAlignment w:val="auto"/>
        <w:outlineLvl w:val="1"/>
        <w:rPr>
          <w:rFonts w:hint="eastAsia" w:ascii="楷体_GB2312" w:hAnsi="楷体_GB2312" w:eastAsia="楷体_GB2312" w:cs="楷体_GB2312"/>
          <w:sz w:val="32"/>
          <w:szCs w:val="32"/>
        </w:rPr>
      </w:pPr>
      <w:bookmarkStart w:id="113" w:name="_Toc6853"/>
      <w:r>
        <w:rPr>
          <w:rFonts w:hint="eastAsia" w:ascii="楷体_GB2312" w:hAnsi="楷体_GB2312" w:eastAsia="楷体_GB2312" w:cs="楷体_GB2312"/>
          <w:sz w:val="32"/>
          <w:szCs w:val="32"/>
        </w:rPr>
        <w:t>（五）其他评价</w:t>
      </w:r>
      <w:bookmarkEnd w:id="113"/>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jc w:val="left"/>
        <w:textAlignment w:val="auto"/>
        <w:rPr>
          <w:rFonts w:eastAsia="仿宋_GB2312"/>
          <w:color w:val="000000"/>
          <w:sz w:val="32"/>
          <w:szCs w:val="32"/>
        </w:rPr>
      </w:pPr>
      <w:r>
        <w:rPr>
          <w:rFonts w:eastAsia="仿宋_GB2312"/>
          <w:color w:val="000000"/>
          <w:sz w:val="32"/>
          <w:szCs w:val="32"/>
        </w:rPr>
        <w:t>在对申报产品各项临床性能进行充分评价的基础上，建议申请人在临床试验过程中对试验体外诊断试剂预期用于目标人群的成本效益比以及受试者接受度等进行分析，结合产品临床性能指标综合评价产品对筛查人群可能带来的风险和获益，并与已有筛查方法的风险和获益进行比较，评价申报产品的优势。</w:t>
      </w:r>
    </w:p>
    <w:p>
      <w:pPr>
        <w:spacing w:line="520" w:lineRule="exact"/>
        <w:ind w:firstLine="640" w:firstLineChars="200"/>
        <w:contextualSpacing/>
        <w:rPr>
          <w:rFonts w:hint="eastAsia" w:ascii="黑体" w:hAnsi="黑体" w:eastAsia="黑体" w:cs="黑体"/>
          <w:sz w:val="32"/>
          <w:szCs w:val="32"/>
        </w:rPr>
      </w:pPr>
      <w:r>
        <w:rPr>
          <w:rFonts w:hint="eastAsia" w:eastAsia="黑体"/>
          <w:sz w:val="32"/>
          <w:szCs w:val="32"/>
        </w:rPr>
        <w:t>三</w:t>
      </w:r>
      <w:r>
        <w:rPr>
          <w:rFonts w:hint="eastAsia" w:ascii="黑体" w:hAnsi="黑体" w:eastAsia="黑体" w:cs="黑体"/>
          <w:sz w:val="32"/>
          <w:szCs w:val="32"/>
        </w:rPr>
        <w:t>、参考文献</w:t>
      </w:r>
    </w:p>
    <w:p>
      <w:pPr>
        <w:spacing w:line="520" w:lineRule="exact"/>
        <w:ind w:firstLine="640" w:firstLineChars="200"/>
        <w:contextualSpacing/>
        <w:rPr>
          <w:rFonts w:hint="default" w:ascii="仿宋_GB2312" w:hAnsi="仿宋_GB2312" w:eastAsia="仿宋_GB2312" w:cs="仿宋_GB2312"/>
          <w:sz w:val="32"/>
          <w:szCs w:val="32"/>
        </w:rPr>
      </w:pPr>
      <w:r>
        <w:rPr>
          <w:rFonts w:hint="eastAsia" w:ascii="仿宋_GB2312" w:hAnsi="仿宋_GB2312" w:eastAsia="仿宋_GB2312" w:cs="仿宋_GB2312"/>
          <w:sz w:val="32"/>
          <w:szCs w:val="32"/>
        </w:rPr>
        <w:t>[1]</w:t>
      </w:r>
      <w:r>
        <w:rPr>
          <w:rFonts w:hint="default" w:ascii="仿宋_GB2312" w:hAnsi="仿宋_GB2312" w:eastAsia="仿宋_GB2312" w:cs="仿宋_GB2312"/>
          <w:sz w:val="32"/>
          <w:szCs w:val="32"/>
        </w:rPr>
        <w:t>体外诊断试剂注册与备案管理办法</w:t>
      </w:r>
      <w:r>
        <w:rPr>
          <w:rFonts w:hint="eastAsia" w:eastAsia="仿宋_GB2312"/>
          <w:color w:val="000000"/>
          <w:sz w:val="32"/>
          <w:szCs w:val="32"/>
        </w:rPr>
        <w:t>[Z].</w:t>
      </w:r>
    </w:p>
    <w:p>
      <w:pPr>
        <w:spacing w:line="520" w:lineRule="exact"/>
        <w:ind w:firstLine="640" w:firstLineChars="200"/>
        <w:contextualSpacing/>
        <w:rPr>
          <w:rFonts w:hint="default"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rPr>
        <w:t>]</w:t>
      </w:r>
      <w:r>
        <w:rPr>
          <w:rFonts w:hint="default" w:ascii="仿宋_GB2312" w:hAnsi="仿宋_GB2312" w:eastAsia="仿宋_GB2312" w:cs="仿宋_GB2312"/>
          <w:sz w:val="32"/>
          <w:szCs w:val="32"/>
        </w:rPr>
        <w:t>医疗器械临床试验质量管理规范</w:t>
      </w:r>
      <w:r>
        <w:rPr>
          <w:rFonts w:hint="eastAsia" w:eastAsia="仿宋_GB2312"/>
          <w:color w:val="000000"/>
          <w:sz w:val="32"/>
          <w:szCs w:val="32"/>
        </w:rPr>
        <w:t>[Z].</w:t>
      </w:r>
    </w:p>
    <w:p>
      <w:pPr>
        <w:spacing w:line="520" w:lineRule="exact"/>
        <w:ind w:firstLine="640" w:firstLineChars="200"/>
        <w:contextualSpacing/>
        <w:rPr>
          <w:rFonts w:hint="default"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rPr>
        <w:t>]</w:t>
      </w:r>
      <w:r>
        <w:rPr>
          <w:rFonts w:hint="default" w:ascii="仿宋_GB2312" w:hAnsi="仿宋_GB2312" w:eastAsia="仿宋_GB2312" w:cs="仿宋_GB2312"/>
          <w:sz w:val="32"/>
          <w:szCs w:val="32"/>
        </w:rPr>
        <w:t>体外诊断试剂临床试验技术指导原则</w:t>
      </w:r>
      <w:r>
        <w:rPr>
          <w:rFonts w:hint="eastAsia" w:eastAsia="仿宋_GB2312"/>
          <w:color w:val="000000"/>
          <w:sz w:val="32"/>
          <w:szCs w:val="32"/>
        </w:rPr>
        <w:t>[Z].</w:t>
      </w:r>
    </w:p>
    <w:p>
      <w:pPr>
        <w:spacing w:line="520" w:lineRule="exact"/>
        <w:ind w:firstLine="640" w:firstLineChars="200"/>
        <w:contextualSpacing/>
        <w:rPr>
          <w:rFonts w:eastAsia="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4</w:t>
      </w:r>
      <w:r>
        <w:rPr>
          <w:rFonts w:hint="eastAsia" w:ascii="仿宋_GB2312" w:hAnsi="仿宋_GB2312" w:eastAsia="仿宋_GB2312" w:cs="仿宋_GB2312"/>
          <w:sz w:val="32"/>
          <w:szCs w:val="32"/>
        </w:rPr>
        <w:t>]</w:t>
      </w:r>
      <w:r>
        <w:rPr>
          <w:rFonts w:hint="eastAsia" w:eastAsia="仿宋_GB2312"/>
          <w:sz w:val="32"/>
          <w:szCs w:val="32"/>
          <w:lang w:val="en-US" w:eastAsia="zh-CN"/>
        </w:rPr>
        <w:t>中国结直肠癌筛查与早诊早治指南 (2020，北京)</w:t>
      </w:r>
      <w:r>
        <w:rPr>
          <w:rFonts w:hint="eastAsia" w:eastAsia="仿宋_GB2312"/>
          <w:color w:val="000000"/>
          <w:sz w:val="32"/>
          <w:szCs w:val="32"/>
        </w:rPr>
        <w:t>[Z].</w:t>
      </w:r>
    </w:p>
    <w:p>
      <w:pPr>
        <w:widowControl/>
        <w:numPr>
          <w:ilvl w:val="-1"/>
          <w:numId w:val="0"/>
        </w:numPr>
        <w:snapToGrid w:val="0"/>
        <w:spacing w:line="520" w:lineRule="exact"/>
        <w:ind w:firstLine="640" w:firstLineChars="200"/>
        <w:jc w:val="left"/>
        <w:rPr>
          <w:rFonts w:hint="eastAsia" w:eastAsia="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rPr>
        <w:t>]</w:t>
      </w:r>
      <w:r>
        <w:rPr>
          <w:rFonts w:hint="eastAsia" w:eastAsia="仿宋_GB2312"/>
          <w:sz w:val="32"/>
          <w:szCs w:val="32"/>
        </w:rPr>
        <w:t>中国结直肠癌诊疗规范（2023版）国家卫生健康委员会</w:t>
      </w:r>
      <w:r>
        <w:rPr>
          <w:rFonts w:hint="eastAsia" w:eastAsia="仿宋_GB2312"/>
          <w:color w:val="000000"/>
          <w:sz w:val="32"/>
          <w:szCs w:val="32"/>
        </w:rPr>
        <w:t>[Z].</w:t>
      </w:r>
    </w:p>
    <w:p>
      <w:pPr>
        <w:widowControl w:val="0"/>
        <w:numPr>
          <w:ilvl w:val="0"/>
          <w:numId w:val="0"/>
        </w:numPr>
        <w:spacing w:line="520" w:lineRule="exact"/>
        <w:ind w:firstLine="640" w:firstLineChars="200"/>
        <w:jc w:val="both"/>
        <w:rPr>
          <w:rFonts w:hint="eastAsia" w:eastAsia="仿宋_GB2312"/>
          <w:color w:val="000000"/>
          <w:sz w:val="32"/>
          <w:szCs w:val="32"/>
        </w:rPr>
      </w:pPr>
      <w:r>
        <w:rPr>
          <w:rFonts w:hint="eastAsia" w:ascii="仿宋_GB2312" w:hAnsi="仿宋_GB2312" w:eastAsia="仿宋_GB2312" w:cs="仿宋_GB2312"/>
          <w:sz w:val="32"/>
          <w:szCs w:val="32"/>
          <w:lang w:val="en-US" w:eastAsia="zh-CN"/>
        </w:rPr>
        <w:t>[6]</w:t>
      </w:r>
      <w:r>
        <w:rPr>
          <w:rFonts w:hint="eastAsia" w:eastAsia="仿宋_GB2312"/>
          <w:sz w:val="32"/>
          <w:szCs w:val="32"/>
          <w:lang w:val="en-US" w:eastAsia="zh-CN"/>
        </w:rPr>
        <w:t xml:space="preserve">U.S. Preventive Services Task Force Recommendation Statement. </w:t>
      </w:r>
      <w:r>
        <w:rPr>
          <w:rFonts w:hint="default" w:eastAsia="仿宋_GB2312"/>
          <w:sz w:val="32"/>
          <w:szCs w:val="32"/>
          <w:lang w:val="en-US" w:eastAsia="zh-CN"/>
        </w:rPr>
        <w:t>Colorectal Cancer: Screening</w:t>
      </w:r>
      <w:r>
        <w:rPr>
          <w:rFonts w:hint="eastAsia" w:eastAsia="仿宋_GB2312"/>
          <w:sz w:val="32"/>
          <w:szCs w:val="32"/>
          <w:lang w:val="en-US" w:eastAsia="zh-CN"/>
        </w:rPr>
        <w:t xml:space="preserve"> .</w:t>
      </w:r>
      <w:r>
        <w:rPr>
          <w:rFonts w:hint="eastAsia" w:eastAsia="仿宋_GB2312"/>
          <w:color w:val="000000"/>
          <w:sz w:val="32"/>
          <w:szCs w:val="32"/>
        </w:rPr>
        <w:t>[Z].</w:t>
      </w:r>
    </w:p>
    <w:p>
      <w:pPr>
        <w:widowControl w:val="0"/>
        <w:numPr>
          <w:ilvl w:val="0"/>
          <w:numId w:val="0"/>
        </w:numPr>
        <w:spacing w:line="520" w:lineRule="exact"/>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[7]</w:t>
      </w:r>
      <w:r>
        <w:rPr>
          <w:rFonts w:hint="eastAsia" w:eastAsia="仿宋_GB2312"/>
          <w:sz w:val="32"/>
          <w:szCs w:val="32"/>
          <w:lang w:val="en-US" w:eastAsia="zh-CN"/>
        </w:rPr>
        <w:t>Weiderpass E, Stewart BW</w:t>
      </w:r>
      <w:r>
        <w:rPr>
          <w:rFonts w:hint="eastAsia" w:eastAsia="仿宋_GB2312"/>
          <w:color w:val="000000"/>
          <w:sz w:val="32"/>
          <w:szCs w:val="32"/>
        </w:rPr>
        <w:t>.</w:t>
      </w:r>
      <w:r>
        <w:rPr>
          <w:rFonts w:hint="eastAsia" w:eastAsia="仿宋_GB2312"/>
          <w:color w:val="000000"/>
          <w:sz w:val="32"/>
          <w:szCs w:val="32"/>
          <w:lang w:val="en-US" w:eastAsia="zh-CN"/>
        </w:rPr>
        <w:t xml:space="preserve"> </w:t>
      </w:r>
      <w:r>
        <w:rPr>
          <w:rFonts w:hint="eastAsia" w:eastAsia="仿宋_GB2312"/>
          <w:sz w:val="32"/>
          <w:szCs w:val="32"/>
          <w:lang w:val="en-US" w:eastAsia="zh-CN"/>
        </w:rPr>
        <w:t>World Cancer Report: Cancer Research for Cancer PreventionWild CP .</w:t>
      </w:r>
      <w:r>
        <w:rPr>
          <w:rFonts w:hint="eastAsia" w:eastAsia="仿宋_GB2312"/>
          <w:color w:val="000000"/>
          <w:sz w:val="32"/>
          <w:szCs w:val="32"/>
        </w:rPr>
        <w:t>[Z]..</w:t>
      </w:r>
    </w:p>
    <w:p>
      <w:pPr>
        <w:widowControl/>
        <w:numPr>
          <w:ilvl w:val="0"/>
          <w:numId w:val="0"/>
        </w:numPr>
        <w:snapToGrid w:val="0"/>
        <w:spacing w:line="520" w:lineRule="exact"/>
        <w:ind w:firstLine="640" w:firstLineChars="200"/>
        <w:jc w:val="left"/>
        <w:rPr>
          <w:rFonts w:eastAsia="仿宋_GB2312"/>
          <w:color w:val="000000"/>
          <w:sz w:val="32"/>
          <w:szCs w:val="32"/>
        </w:rPr>
      </w:pPr>
      <w:r>
        <w:rPr>
          <w:rFonts w:hint="eastAsia" w:ascii="仿宋_GB2312" w:hAnsi="仿宋_GB2312" w:eastAsia="仿宋_GB2312" w:cs="仿宋_GB2312"/>
          <w:sz w:val="32"/>
          <w:szCs w:val="32"/>
          <w:lang w:val="en-US" w:eastAsia="zh-CN"/>
        </w:rPr>
        <w:t>[8]</w:t>
      </w:r>
      <w:r>
        <w:rPr>
          <w:rFonts w:hint="eastAsia" w:ascii="仿宋_GB2312" w:hAnsi="仿宋_GB2312" w:eastAsia="仿宋_GB2312" w:cs="仿宋_GB2312"/>
          <w:sz w:val="32"/>
          <w:szCs w:val="32"/>
        </w:rPr>
        <w:t>詹思延.流行病学[M].8版.北京:人民卫生出版社, 2017: 120-139.</w:t>
      </w:r>
      <w:r>
        <w:rPr>
          <w:rFonts w:hint="eastAsia" w:eastAsia="仿宋_GB2312"/>
          <w:color w:val="000000"/>
          <w:sz w:val="32"/>
          <w:szCs w:val="32"/>
        </w:rPr>
        <w:t>[Z].</w:t>
      </w:r>
    </w:p>
    <w:sectPr>
      <w:footerReference r:id="rId3" w:type="default"/>
      <w:pgSz w:w="11906" w:h="16838"/>
      <w:pgMar w:top="2098" w:right="1588" w:bottom="2098" w:left="1588" w:header="851" w:footer="992" w:gutter="0"/>
      <w:lnNumType w:countBy="1" w:restart="continuou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8197E2C0-AADA-49DD-A784-F062DA941965}"/>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script"/>
    <w:pitch w:val="default"/>
    <w:sig w:usb0="00000001" w:usb1="080E0000" w:usb2="00000000" w:usb3="00000000" w:csb0="00040000" w:csb1="00000000"/>
    <w:embedRegular r:id="rId2" w:fontKey="{34CF54FC-A0D1-43EC-A3FC-99FCDD033F81}"/>
  </w:font>
  <w:font w:name="楷体_GB2312">
    <w:panose1 w:val="02010609030101010101"/>
    <w:charset w:val="86"/>
    <w:family w:val="modern"/>
    <w:pitch w:val="default"/>
    <w:sig w:usb0="00000001" w:usb1="080E0000" w:usb2="00000000" w:usb3="00000000" w:csb0="00040000" w:csb1="00000000"/>
    <w:embedRegular r:id="rId3" w:fontKey="{DE1DF007-8F0D-4F01-B033-26AC7DC97059}"/>
  </w:font>
  <w:font w:name="仿宋_GB2312">
    <w:panose1 w:val="02010609030101010101"/>
    <w:charset w:val="86"/>
    <w:family w:val="modern"/>
    <w:pitch w:val="default"/>
    <w:sig w:usb0="00000001" w:usb1="080E0000" w:usb2="00000000" w:usb3="00000000" w:csb0="00040000" w:csb1="00000000"/>
    <w:embedRegular r:id="rId4" w:fontKey="{9D18B5D2-9D51-4043-8726-B1D8E292A1ED}"/>
  </w:font>
  <w:font w:name="楷体">
    <w:panose1 w:val="02010609060101010101"/>
    <w:charset w:val="86"/>
    <w:family w:val="modern"/>
    <w:pitch w:val="default"/>
    <w:sig w:usb0="800002BF" w:usb1="38CF7CFA" w:usb2="00000016" w:usb3="00000000" w:csb0="00040001" w:csb1="00000000"/>
    <w:embedRegular r:id="rId5" w:fontKey="{AECE07D7-95A6-4817-833C-3EB518FCC715}"/>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49001184"/>
    </w:sdtPr>
    <w:sdtContent>
      <w:p>
        <w:pPr>
          <w:pStyle w:val="7"/>
          <w:jc w:val="center"/>
        </w:pPr>
        <w:r>
          <w:fldChar w:fldCharType="begin"/>
        </w:r>
        <w:r>
          <w:instrText xml:space="preserve">PAGE   \* MERGEFORMAT</w:instrText>
        </w:r>
        <w:r>
          <w:fldChar w:fldCharType="separate"/>
        </w:r>
        <w:r>
          <w:rPr>
            <w:lang w:val="zh-CN"/>
          </w:rPr>
          <w:t>12</w:t>
        </w:r>
        <w:r>
          <w:fldChar w:fldCharType="end"/>
        </w:r>
      </w:p>
    </w:sdtContent>
  </w:sdt>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TrueTypeFonts/>
  <w:saveSubset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AxM2M4MzVkYmNmNDJhNDFiZjllN2EzNDM2MDViMmQifQ=="/>
    <w:docVar w:name="KSO_WPS_MARK_KEY" w:val="d82a8cf6-8c83-447e-9f27-be81c1460325"/>
  </w:docVars>
  <w:rsids>
    <w:rsidRoot w:val="00800A15"/>
    <w:rsid w:val="00004EEE"/>
    <w:rsid w:val="0003694D"/>
    <w:rsid w:val="00043766"/>
    <w:rsid w:val="000458F1"/>
    <w:rsid w:val="00053A0C"/>
    <w:rsid w:val="00094D05"/>
    <w:rsid w:val="000D09F0"/>
    <w:rsid w:val="000D7DAB"/>
    <w:rsid w:val="000F6F3D"/>
    <w:rsid w:val="00101F2D"/>
    <w:rsid w:val="001375A3"/>
    <w:rsid w:val="00145AFB"/>
    <w:rsid w:val="00170512"/>
    <w:rsid w:val="0019384B"/>
    <w:rsid w:val="001B02C2"/>
    <w:rsid w:val="001E4264"/>
    <w:rsid w:val="00214C10"/>
    <w:rsid w:val="00234642"/>
    <w:rsid w:val="00236ADB"/>
    <w:rsid w:val="002548E2"/>
    <w:rsid w:val="00261467"/>
    <w:rsid w:val="00273BB6"/>
    <w:rsid w:val="00296177"/>
    <w:rsid w:val="002F3F91"/>
    <w:rsid w:val="00325195"/>
    <w:rsid w:val="003E5C18"/>
    <w:rsid w:val="004044F4"/>
    <w:rsid w:val="004327B3"/>
    <w:rsid w:val="00443432"/>
    <w:rsid w:val="00462F5E"/>
    <w:rsid w:val="00480AB5"/>
    <w:rsid w:val="00491E88"/>
    <w:rsid w:val="004B18C0"/>
    <w:rsid w:val="00507EE5"/>
    <w:rsid w:val="00514C0F"/>
    <w:rsid w:val="005B2A7F"/>
    <w:rsid w:val="00642FA6"/>
    <w:rsid w:val="0065049B"/>
    <w:rsid w:val="006A0F7C"/>
    <w:rsid w:val="006A6A3B"/>
    <w:rsid w:val="00720AC7"/>
    <w:rsid w:val="00743A6C"/>
    <w:rsid w:val="007458D4"/>
    <w:rsid w:val="007A0D15"/>
    <w:rsid w:val="007B0086"/>
    <w:rsid w:val="007C3161"/>
    <w:rsid w:val="007C409F"/>
    <w:rsid w:val="007D37B0"/>
    <w:rsid w:val="00800A15"/>
    <w:rsid w:val="00817DDA"/>
    <w:rsid w:val="00825EEB"/>
    <w:rsid w:val="00856CC7"/>
    <w:rsid w:val="00861F2A"/>
    <w:rsid w:val="008B4609"/>
    <w:rsid w:val="008C4AA9"/>
    <w:rsid w:val="008F39B0"/>
    <w:rsid w:val="009203D9"/>
    <w:rsid w:val="00925A3B"/>
    <w:rsid w:val="009338C3"/>
    <w:rsid w:val="009437B7"/>
    <w:rsid w:val="00986E94"/>
    <w:rsid w:val="00996F4A"/>
    <w:rsid w:val="009A3C54"/>
    <w:rsid w:val="009D7617"/>
    <w:rsid w:val="009F6734"/>
    <w:rsid w:val="00A43FD2"/>
    <w:rsid w:val="00A6618B"/>
    <w:rsid w:val="00AA1BEB"/>
    <w:rsid w:val="00AC3FB4"/>
    <w:rsid w:val="00AF554A"/>
    <w:rsid w:val="00B37262"/>
    <w:rsid w:val="00B3796C"/>
    <w:rsid w:val="00B82721"/>
    <w:rsid w:val="00BA5D53"/>
    <w:rsid w:val="00BB4CB5"/>
    <w:rsid w:val="00BC58D7"/>
    <w:rsid w:val="00C9562B"/>
    <w:rsid w:val="00CA2AA6"/>
    <w:rsid w:val="00CD446A"/>
    <w:rsid w:val="00D24463"/>
    <w:rsid w:val="00D44483"/>
    <w:rsid w:val="00D66089"/>
    <w:rsid w:val="00DC1AA2"/>
    <w:rsid w:val="00E4237F"/>
    <w:rsid w:val="00E9678A"/>
    <w:rsid w:val="00EB42F5"/>
    <w:rsid w:val="00F100E5"/>
    <w:rsid w:val="00F20EAD"/>
    <w:rsid w:val="00F21558"/>
    <w:rsid w:val="00F31B50"/>
    <w:rsid w:val="00F35BF5"/>
    <w:rsid w:val="00F436A1"/>
    <w:rsid w:val="00F81C0B"/>
    <w:rsid w:val="00FC6B7B"/>
    <w:rsid w:val="00FC6C7D"/>
    <w:rsid w:val="00FE47E8"/>
    <w:rsid w:val="012515C4"/>
    <w:rsid w:val="01260BCB"/>
    <w:rsid w:val="01323CE1"/>
    <w:rsid w:val="015A016E"/>
    <w:rsid w:val="015B6D94"/>
    <w:rsid w:val="01655E65"/>
    <w:rsid w:val="01782C45"/>
    <w:rsid w:val="018F2EE2"/>
    <w:rsid w:val="01D24269"/>
    <w:rsid w:val="01D4135C"/>
    <w:rsid w:val="01F82835"/>
    <w:rsid w:val="021A09FD"/>
    <w:rsid w:val="021C29FD"/>
    <w:rsid w:val="027B3BCA"/>
    <w:rsid w:val="02915136"/>
    <w:rsid w:val="029A7D90"/>
    <w:rsid w:val="02B014E5"/>
    <w:rsid w:val="02C97482"/>
    <w:rsid w:val="02D037B2"/>
    <w:rsid w:val="02D277CC"/>
    <w:rsid w:val="03173087"/>
    <w:rsid w:val="03914CEF"/>
    <w:rsid w:val="03AF786B"/>
    <w:rsid w:val="03BA5782"/>
    <w:rsid w:val="03BF6CEB"/>
    <w:rsid w:val="03E71ADC"/>
    <w:rsid w:val="040C4483"/>
    <w:rsid w:val="04531FA4"/>
    <w:rsid w:val="0466617C"/>
    <w:rsid w:val="04727855"/>
    <w:rsid w:val="048E56D2"/>
    <w:rsid w:val="048E7480"/>
    <w:rsid w:val="04D357DE"/>
    <w:rsid w:val="04D831EF"/>
    <w:rsid w:val="04D94B9F"/>
    <w:rsid w:val="054D2E98"/>
    <w:rsid w:val="061248F6"/>
    <w:rsid w:val="061C1B1C"/>
    <w:rsid w:val="06624721"/>
    <w:rsid w:val="069227DA"/>
    <w:rsid w:val="06BA630B"/>
    <w:rsid w:val="06CB2B6B"/>
    <w:rsid w:val="06E67100"/>
    <w:rsid w:val="07155C37"/>
    <w:rsid w:val="072504DB"/>
    <w:rsid w:val="07443D1F"/>
    <w:rsid w:val="0754675F"/>
    <w:rsid w:val="07920CB3"/>
    <w:rsid w:val="083A27B3"/>
    <w:rsid w:val="08585DDB"/>
    <w:rsid w:val="085F328E"/>
    <w:rsid w:val="08803584"/>
    <w:rsid w:val="08966904"/>
    <w:rsid w:val="08B9254E"/>
    <w:rsid w:val="08E21B49"/>
    <w:rsid w:val="08E25FED"/>
    <w:rsid w:val="09066C2F"/>
    <w:rsid w:val="0928110D"/>
    <w:rsid w:val="093B655A"/>
    <w:rsid w:val="09556D98"/>
    <w:rsid w:val="09B41187"/>
    <w:rsid w:val="09DC0C8E"/>
    <w:rsid w:val="0A2F5665"/>
    <w:rsid w:val="0A41453F"/>
    <w:rsid w:val="0AB71772"/>
    <w:rsid w:val="0AB74923"/>
    <w:rsid w:val="0B462863"/>
    <w:rsid w:val="0B5D195B"/>
    <w:rsid w:val="0B73117E"/>
    <w:rsid w:val="0BB02112"/>
    <w:rsid w:val="0BB924C7"/>
    <w:rsid w:val="0BC55E7E"/>
    <w:rsid w:val="0BF36A19"/>
    <w:rsid w:val="0C012C2E"/>
    <w:rsid w:val="0C2B6FA8"/>
    <w:rsid w:val="0C4924D9"/>
    <w:rsid w:val="0CB673C8"/>
    <w:rsid w:val="0CE95B9C"/>
    <w:rsid w:val="0D077DD0"/>
    <w:rsid w:val="0D1C7D1F"/>
    <w:rsid w:val="0D440D18"/>
    <w:rsid w:val="0DB071DF"/>
    <w:rsid w:val="0DBC505E"/>
    <w:rsid w:val="0E093B35"/>
    <w:rsid w:val="0E2D56E7"/>
    <w:rsid w:val="0E303356"/>
    <w:rsid w:val="0E372DD1"/>
    <w:rsid w:val="0E75080A"/>
    <w:rsid w:val="0E8811B2"/>
    <w:rsid w:val="0E941B37"/>
    <w:rsid w:val="0E9953A0"/>
    <w:rsid w:val="0ED10695"/>
    <w:rsid w:val="0EED1247"/>
    <w:rsid w:val="0F4461B6"/>
    <w:rsid w:val="0F983DDA"/>
    <w:rsid w:val="0FC46E00"/>
    <w:rsid w:val="101F18D4"/>
    <w:rsid w:val="102173FB"/>
    <w:rsid w:val="105B405A"/>
    <w:rsid w:val="10667503"/>
    <w:rsid w:val="10863702"/>
    <w:rsid w:val="111D66D2"/>
    <w:rsid w:val="11623881"/>
    <w:rsid w:val="11D81D3B"/>
    <w:rsid w:val="123D3ED5"/>
    <w:rsid w:val="124D421E"/>
    <w:rsid w:val="12881C51"/>
    <w:rsid w:val="129550E3"/>
    <w:rsid w:val="12D469A6"/>
    <w:rsid w:val="12FC7CAB"/>
    <w:rsid w:val="132F270C"/>
    <w:rsid w:val="133D1E75"/>
    <w:rsid w:val="1347448C"/>
    <w:rsid w:val="13714576"/>
    <w:rsid w:val="13820ABC"/>
    <w:rsid w:val="13C46A1B"/>
    <w:rsid w:val="13F217DA"/>
    <w:rsid w:val="145F5D86"/>
    <w:rsid w:val="14691370"/>
    <w:rsid w:val="14C24A94"/>
    <w:rsid w:val="14CB0968"/>
    <w:rsid w:val="1505553D"/>
    <w:rsid w:val="1525798D"/>
    <w:rsid w:val="15282FD9"/>
    <w:rsid w:val="153C6CA9"/>
    <w:rsid w:val="154716B1"/>
    <w:rsid w:val="15511EAE"/>
    <w:rsid w:val="155A67CD"/>
    <w:rsid w:val="15A969F7"/>
    <w:rsid w:val="15F15EE9"/>
    <w:rsid w:val="16304BFA"/>
    <w:rsid w:val="16482053"/>
    <w:rsid w:val="16751FB2"/>
    <w:rsid w:val="168E679E"/>
    <w:rsid w:val="16A61FF3"/>
    <w:rsid w:val="17274D61"/>
    <w:rsid w:val="17AD33AA"/>
    <w:rsid w:val="17C444A6"/>
    <w:rsid w:val="188128B0"/>
    <w:rsid w:val="18BD71C7"/>
    <w:rsid w:val="191F56A4"/>
    <w:rsid w:val="19410B0E"/>
    <w:rsid w:val="19726F19"/>
    <w:rsid w:val="198E2836"/>
    <w:rsid w:val="19D038C4"/>
    <w:rsid w:val="1A302807"/>
    <w:rsid w:val="1A325C56"/>
    <w:rsid w:val="1A7A3479"/>
    <w:rsid w:val="1AA2738A"/>
    <w:rsid w:val="1AAF7880"/>
    <w:rsid w:val="1AC84601"/>
    <w:rsid w:val="1B065B6B"/>
    <w:rsid w:val="1B0A28A8"/>
    <w:rsid w:val="1B0F0EC3"/>
    <w:rsid w:val="1B46240B"/>
    <w:rsid w:val="1B501924"/>
    <w:rsid w:val="1B6A60FA"/>
    <w:rsid w:val="1B9A25C0"/>
    <w:rsid w:val="1BAB226E"/>
    <w:rsid w:val="1BF332BB"/>
    <w:rsid w:val="1BF33F8E"/>
    <w:rsid w:val="1BF6647D"/>
    <w:rsid w:val="1CD90C70"/>
    <w:rsid w:val="1D233BF2"/>
    <w:rsid w:val="1D442708"/>
    <w:rsid w:val="1D9D475C"/>
    <w:rsid w:val="1DAD6772"/>
    <w:rsid w:val="1DC755CC"/>
    <w:rsid w:val="1DD71A40"/>
    <w:rsid w:val="1DD7245C"/>
    <w:rsid w:val="1DE5446B"/>
    <w:rsid w:val="1DEA2BA8"/>
    <w:rsid w:val="1DFD512F"/>
    <w:rsid w:val="1E0F2643"/>
    <w:rsid w:val="1E1660C5"/>
    <w:rsid w:val="1E2C1658"/>
    <w:rsid w:val="1E2F6AC2"/>
    <w:rsid w:val="1E42335E"/>
    <w:rsid w:val="1F372797"/>
    <w:rsid w:val="1F980D5B"/>
    <w:rsid w:val="1F9F033C"/>
    <w:rsid w:val="1FA37E2C"/>
    <w:rsid w:val="1FC87893"/>
    <w:rsid w:val="1FCD6551"/>
    <w:rsid w:val="20014B53"/>
    <w:rsid w:val="203D5140"/>
    <w:rsid w:val="20735055"/>
    <w:rsid w:val="208F1FFE"/>
    <w:rsid w:val="20A0611A"/>
    <w:rsid w:val="20A83338"/>
    <w:rsid w:val="20D44015"/>
    <w:rsid w:val="21091F11"/>
    <w:rsid w:val="21095879"/>
    <w:rsid w:val="219C0FD7"/>
    <w:rsid w:val="21EA1D42"/>
    <w:rsid w:val="222D3CB6"/>
    <w:rsid w:val="22491370"/>
    <w:rsid w:val="22511DC1"/>
    <w:rsid w:val="225418B2"/>
    <w:rsid w:val="22843E76"/>
    <w:rsid w:val="22CC58EC"/>
    <w:rsid w:val="22DA1DB7"/>
    <w:rsid w:val="232474D6"/>
    <w:rsid w:val="23360FB7"/>
    <w:rsid w:val="234C7D15"/>
    <w:rsid w:val="23612891"/>
    <w:rsid w:val="236553F8"/>
    <w:rsid w:val="239B0E1A"/>
    <w:rsid w:val="23AA394B"/>
    <w:rsid w:val="248527BC"/>
    <w:rsid w:val="248F097F"/>
    <w:rsid w:val="24973CD7"/>
    <w:rsid w:val="24A81A41"/>
    <w:rsid w:val="24D12D46"/>
    <w:rsid w:val="24EA3E07"/>
    <w:rsid w:val="250B47F3"/>
    <w:rsid w:val="25445C0D"/>
    <w:rsid w:val="25581F6D"/>
    <w:rsid w:val="25744C7A"/>
    <w:rsid w:val="25BA5ED0"/>
    <w:rsid w:val="25BB6A45"/>
    <w:rsid w:val="25DE1BBE"/>
    <w:rsid w:val="25EE2BBE"/>
    <w:rsid w:val="2629095F"/>
    <w:rsid w:val="263537A8"/>
    <w:rsid w:val="26413EFB"/>
    <w:rsid w:val="26630315"/>
    <w:rsid w:val="26690E8D"/>
    <w:rsid w:val="266B4318"/>
    <w:rsid w:val="267D495D"/>
    <w:rsid w:val="267F591B"/>
    <w:rsid w:val="26B40EF8"/>
    <w:rsid w:val="26B470DC"/>
    <w:rsid w:val="26ED5E31"/>
    <w:rsid w:val="26EE4083"/>
    <w:rsid w:val="26F913DC"/>
    <w:rsid w:val="26FA7386"/>
    <w:rsid w:val="270345EF"/>
    <w:rsid w:val="271B0BF0"/>
    <w:rsid w:val="27230718"/>
    <w:rsid w:val="27421CD9"/>
    <w:rsid w:val="27532138"/>
    <w:rsid w:val="275B2D9A"/>
    <w:rsid w:val="27977369"/>
    <w:rsid w:val="27A07774"/>
    <w:rsid w:val="27B064F4"/>
    <w:rsid w:val="27B563DF"/>
    <w:rsid w:val="27B626C7"/>
    <w:rsid w:val="27DF1C1D"/>
    <w:rsid w:val="280C1053"/>
    <w:rsid w:val="28164F13"/>
    <w:rsid w:val="283F446A"/>
    <w:rsid w:val="297B5976"/>
    <w:rsid w:val="29E76B67"/>
    <w:rsid w:val="29E928DF"/>
    <w:rsid w:val="2A003FEA"/>
    <w:rsid w:val="2A086EA4"/>
    <w:rsid w:val="2A5266D7"/>
    <w:rsid w:val="2A5A37DD"/>
    <w:rsid w:val="2A6C1556"/>
    <w:rsid w:val="2A73489F"/>
    <w:rsid w:val="2A7F3244"/>
    <w:rsid w:val="2A9B0BBA"/>
    <w:rsid w:val="2AA64C74"/>
    <w:rsid w:val="2AAC711C"/>
    <w:rsid w:val="2ABC7FF4"/>
    <w:rsid w:val="2AD2079B"/>
    <w:rsid w:val="2B1D7053"/>
    <w:rsid w:val="2BBD2BE2"/>
    <w:rsid w:val="2BCD04ED"/>
    <w:rsid w:val="2BF116F8"/>
    <w:rsid w:val="2C1F5429"/>
    <w:rsid w:val="2C21182C"/>
    <w:rsid w:val="2C3712E3"/>
    <w:rsid w:val="2C4E15E8"/>
    <w:rsid w:val="2C5543BC"/>
    <w:rsid w:val="2C8114F5"/>
    <w:rsid w:val="2CCB09C2"/>
    <w:rsid w:val="2CD07D87"/>
    <w:rsid w:val="2CD51841"/>
    <w:rsid w:val="2D03163E"/>
    <w:rsid w:val="2D552912"/>
    <w:rsid w:val="2E0A2C26"/>
    <w:rsid w:val="2E1D3A94"/>
    <w:rsid w:val="2E6B5FB9"/>
    <w:rsid w:val="2E993029"/>
    <w:rsid w:val="2FA572A9"/>
    <w:rsid w:val="301E7ABA"/>
    <w:rsid w:val="30471E1A"/>
    <w:rsid w:val="30AD0B0B"/>
    <w:rsid w:val="30D85720"/>
    <w:rsid w:val="30D94593"/>
    <w:rsid w:val="30E0182F"/>
    <w:rsid w:val="30F073BE"/>
    <w:rsid w:val="30F36874"/>
    <w:rsid w:val="30FF50DE"/>
    <w:rsid w:val="310821E5"/>
    <w:rsid w:val="31440D43"/>
    <w:rsid w:val="314D7BF8"/>
    <w:rsid w:val="31E71DFA"/>
    <w:rsid w:val="31EA61B5"/>
    <w:rsid w:val="31FF02B5"/>
    <w:rsid w:val="323D45F5"/>
    <w:rsid w:val="32D322F7"/>
    <w:rsid w:val="330977FD"/>
    <w:rsid w:val="330E33B7"/>
    <w:rsid w:val="331838AD"/>
    <w:rsid w:val="336F02F9"/>
    <w:rsid w:val="337F1766"/>
    <w:rsid w:val="33AF4B9A"/>
    <w:rsid w:val="33C5616B"/>
    <w:rsid w:val="33E21336"/>
    <w:rsid w:val="33EF31E8"/>
    <w:rsid w:val="34873874"/>
    <w:rsid w:val="34B47F8E"/>
    <w:rsid w:val="34C65624"/>
    <w:rsid w:val="34DB0EE5"/>
    <w:rsid w:val="3501637C"/>
    <w:rsid w:val="355A28E3"/>
    <w:rsid w:val="357C3C3D"/>
    <w:rsid w:val="35C661CB"/>
    <w:rsid w:val="36985ABE"/>
    <w:rsid w:val="36A13002"/>
    <w:rsid w:val="36F30FAF"/>
    <w:rsid w:val="370945C1"/>
    <w:rsid w:val="373830F8"/>
    <w:rsid w:val="37584046"/>
    <w:rsid w:val="37CB70D4"/>
    <w:rsid w:val="37CE052A"/>
    <w:rsid w:val="37FE341F"/>
    <w:rsid w:val="382A0C93"/>
    <w:rsid w:val="383B4C4E"/>
    <w:rsid w:val="38AE1920"/>
    <w:rsid w:val="38D64977"/>
    <w:rsid w:val="39203E44"/>
    <w:rsid w:val="392E6561"/>
    <w:rsid w:val="39C26CA9"/>
    <w:rsid w:val="3A10210A"/>
    <w:rsid w:val="3A13493F"/>
    <w:rsid w:val="3AAA60BB"/>
    <w:rsid w:val="3B4D1007"/>
    <w:rsid w:val="3B581673"/>
    <w:rsid w:val="3B5E683B"/>
    <w:rsid w:val="3B893F22"/>
    <w:rsid w:val="3BA0002B"/>
    <w:rsid w:val="3BCE5349"/>
    <w:rsid w:val="3C081F77"/>
    <w:rsid w:val="3C0C3B79"/>
    <w:rsid w:val="3C2659C9"/>
    <w:rsid w:val="3C3420E0"/>
    <w:rsid w:val="3C607BB2"/>
    <w:rsid w:val="3C713708"/>
    <w:rsid w:val="3C9F11E4"/>
    <w:rsid w:val="3CB90837"/>
    <w:rsid w:val="3CDA7DA7"/>
    <w:rsid w:val="3CEC4769"/>
    <w:rsid w:val="3D0F3EF4"/>
    <w:rsid w:val="3D6D0E3E"/>
    <w:rsid w:val="3D7316C3"/>
    <w:rsid w:val="3DAC214A"/>
    <w:rsid w:val="3DB159B2"/>
    <w:rsid w:val="3E043D34"/>
    <w:rsid w:val="3E1321C9"/>
    <w:rsid w:val="3E1675C3"/>
    <w:rsid w:val="3EA13331"/>
    <w:rsid w:val="3EA44807"/>
    <w:rsid w:val="3EB25891"/>
    <w:rsid w:val="3EBD5BD8"/>
    <w:rsid w:val="3EEB1561"/>
    <w:rsid w:val="3EF94F1B"/>
    <w:rsid w:val="3F80767C"/>
    <w:rsid w:val="40F260C6"/>
    <w:rsid w:val="412C13AF"/>
    <w:rsid w:val="41377F7D"/>
    <w:rsid w:val="41540B2E"/>
    <w:rsid w:val="41752D86"/>
    <w:rsid w:val="41801923"/>
    <w:rsid w:val="4185518C"/>
    <w:rsid w:val="41BE244C"/>
    <w:rsid w:val="4202058A"/>
    <w:rsid w:val="425C5EED"/>
    <w:rsid w:val="42AC4C98"/>
    <w:rsid w:val="42CF5E08"/>
    <w:rsid w:val="42DF267A"/>
    <w:rsid w:val="42EE0B0F"/>
    <w:rsid w:val="43015590"/>
    <w:rsid w:val="432875DB"/>
    <w:rsid w:val="433724B6"/>
    <w:rsid w:val="435B2648"/>
    <w:rsid w:val="43A44054"/>
    <w:rsid w:val="43B813FA"/>
    <w:rsid w:val="43DD0127"/>
    <w:rsid w:val="43E443EC"/>
    <w:rsid w:val="442E78A4"/>
    <w:rsid w:val="448E041B"/>
    <w:rsid w:val="449F0313"/>
    <w:rsid w:val="44CF71AB"/>
    <w:rsid w:val="44DE52DF"/>
    <w:rsid w:val="455224EF"/>
    <w:rsid w:val="45605CF4"/>
    <w:rsid w:val="456E790D"/>
    <w:rsid w:val="465813F9"/>
    <w:rsid w:val="467D28D5"/>
    <w:rsid w:val="46AA57A4"/>
    <w:rsid w:val="46DD3374"/>
    <w:rsid w:val="46E12CF9"/>
    <w:rsid w:val="46F64B3C"/>
    <w:rsid w:val="47215957"/>
    <w:rsid w:val="472D7CD5"/>
    <w:rsid w:val="473C5E6F"/>
    <w:rsid w:val="47460F19"/>
    <w:rsid w:val="478B548C"/>
    <w:rsid w:val="479F062A"/>
    <w:rsid w:val="485776FB"/>
    <w:rsid w:val="48A57EC2"/>
    <w:rsid w:val="48C742DC"/>
    <w:rsid w:val="48CB3695"/>
    <w:rsid w:val="49161FCD"/>
    <w:rsid w:val="493E5A50"/>
    <w:rsid w:val="495F62C2"/>
    <w:rsid w:val="4A080708"/>
    <w:rsid w:val="4A742241"/>
    <w:rsid w:val="4A78472D"/>
    <w:rsid w:val="4A977666"/>
    <w:rsid w:val="4AB03279"/>
    <w:rsid w:val="4AC02575"/>
    <w:rsid w:val="4ADA02F6"/>
    <w:rsid w:val="4B047121"/>
    <w:rsid w:val="4B3B7172"/>
    <w:rsid w:val="4B583122"/>
    <w:rsid w:val="4B5C0D0B"/>
    <w:rsid w:val="4B61303D"/>
    <w:rsid w:val="4C0373D9"/>
    <w:rsid w:val="4C7A11B2"/>
    <w:rsid w:val="4CA02851"/>
    <w:rsid w:val="4CA74208"/>
    <w:rsid w:val="4CB25BB2"/>
    <w:rsid w:val="4CD86AB8"/>
    <w:rsid w:val="4D203FBB"/>
    <w:rsid w:val="4D227D33"/>
    <w:rsid w:val="4D2D62EB"/>
    <w:rsid w:val="4DB30286"/>
    <w:rsid w:val="4DC80690"/>
    <w:rsid w:val="4DCB2178"/>
    <w:rsid w:val="4E067654"/>
    <w:rsid w:val="4E233CC7"/>
    <w:rsid w:val="4E347D1E"/>
    <w:rsid w:val="4E4C1BC0"/>
    <w:rsid w:val="4E5464E9"/>
    <w:rsid w:val="4E6B01F9"/>
    <w:rsid w:val="4E9D6F7A"/>
    <w:rsid w:val="4EC62187"/>
    <w:rsid w:val="4ECD0E52"/>
    <w:rsid w:val="4F4F0174"/>
    <w:rsid w:val="4F5C1A98"/>
    <w:rsid w:val="4F631E3A"/>
    <w:rsid w:val="4FCB3ED2"/>
    <w:rsid w:val="4FE45773"/>
    <w:rsid w:val="50194384"/>
    <w:rsid w:val="50210B9D"/>
    <w:rsid w:val="50414974"/>
    <w:rsid w:val="50A93D7F"/>
    <w:rsid w:val="50B52F1C"/>
    <w:rsid w:val="50FC37C6"/>
    <w:rsid w:val="52AA5CD1"/>
    <w:rsid w:val="52AD4542"/>
    <w:rsid w:val="530E2C43"/>
    <w:rsid w:val="537D3403"/>
    <w:rsid w:val="539471F4"/>
    <w:rsid w:val="53A72A2E"/>
    <w:rsid w:val="5439504B"/>
    <w:rsid w:val="5497342C"/>
    <w:rsid w:val="54CA318A"/>
    <w:rsid w:val="550348EE"/>
    <w:rsid w:val="55241026"/>
    <w:rsid w:val="55452810"/>
    <w:rsid w:val="555B0286"/>
    <w:rsid w:val="55997370"/>
    <w:rsid w:val="55C93FCF"/>
    <w:rsid w:val="55E55DA1"/>
    <w:rsid w:val="562B5EAA"/>
    <w:rsid w:val="563D798B"/>
    <w:rsid w:val="565D1FD4"/>
    <w:rsid w:val="56830C54"/>
    <w:rsid w:val="56A4672B"/>
    <w:rsid w:val="56CB4F97"/>
    <w:rsid w:val="56D4209E"/>
    <w:rsid w:val="571C2263"/>
    <w:rsid w:val="571E59B2"/>
    <w:rsid w:val="577D2E0C"/>
    <w:rsid w:val="57D06AC5"/>
    <w:rsid w:val="5806097D"/>
    <w:rsid w:val="581B0B5B"/>
    <w:rsid w:val="582708F3"/>
    <w:rsid w:val="58A14202"/>
    <w:rsid w:val="58C4295D"/>
    <w:rsid w:val="58ED38EB"/>
    <w:rsid w:val="58EE31BF"/>
    <w:rsid w:val="590B0102"/>
    <w:rsid w:val="593B0062"/>
    <w:rsid w:val="59523468"/>
    <w:rsid w:val="59957FBD"/>
    <w:rsid w:val="59F3675B"/>
    <w:rsid w:val="59F9457A"/>
    <w:rsid w:val="5A117165"/>
    <w:rsid w:val="5A1530F9"/>
    <w:rsid w:val="5A5C0D28"/>
    <w:rsid w:val="5A5F4374"/>
    <w:rsid w:val="5A6C02AB"/>
    <w:rsid w:val="5A712825"/>
    <w:rsid w:val="5ABD553F"/>
    <w:rsid w:val="5ACC4194"/>
    <w:rsid w:val="5AF251E8"/>
    <w:rsid w:val="5AFD5F2C"/>
    <w:rsid w:val="5B1037CF"/>
    <w:rsid w:val="5B120AE5"/>
    <w:rsid w:val="5B1B00D4"/>
    <w:rsid w:val="5B23040F"/>
    <w:rsid w:val="5BB46942"/>
    <w:rsid w:val="5BC65441"/>
    <w:rsid w:val="5C0C5E32"/>
    <w:rsid w:val="5C4A0A05"/>
    <w:rsid w:val="5C4C26D6"/>
    <w:rsid w:val="5C641D0B"/>
    <w:rsid w:val="5C7120A1"/>
    <w:rsid w:val="5C920C16"/>
    <w:rsid w:val="5C933840"/>
    <w:rsid w:val="5CB52971"/>
    <w:rsid w:val="5CE4729D"/>
    <w:rsid w:val="5CE60D7D"/>
    <w:rsid w:val="5D331E48"/>
    <w:rsid w:val="5D3E3C36"/>
    <w:rsid w:val="5D7E711E"/>
    <w:rsid w:val="5D8D14F0"/>
    <w:rsid w:val="5DC42740"/>
    <w:rsid w:val="5DE51034"/>
    <w:rsid w:val="5DE74CCE"/>
    <w:rsid w:val="5E0A2DD7"/>
    <w:rsid w:val="5E4F64AE"/>
    <w:rsid w:val="5E7447FD"/>
    <w:rsid w:val="5EBD3D5F"/>
    <w:rsid w:val="5EFC6636"/>
    <w:rsid w:val="5F1871E8"/>
    <w:rsid w:val="5F884D39"/>
    <w:rsid w:val="5F953C77"/>
    <w:rsid w:val="60065292"/>
    <w:rsid w:val="60123C37"/>
    <w:rsid w:val="60541093"/>
    <w:rsid w:val="60682594"/>
    <w:rsid w:val="60996106"/>
    <w:rsid w:val="609C372E"/>
    <w:rsid w:val="60AA0313"/>
    <w:rsid w:val="60EF5D26"/>
    <w:rsid w:val="60F36463"/>
    <w:rsid w:val="611250CC"/>
    <w:rsid w:val="6131633F"/>
    <w:rsid w:val="61393B3F"/>
    <w:rsid w:val="61406582"/>
    <w:rsid w:val="61642270"/>
    <w:rsid w:val="616B6179"/>
    <w:rsid w:val="61AD0D5E"/>
    <w:rsid w:val="61B14BB9"/>
    <w:rsid w:val="61D4389A"/>
    <w:rsid w:val="62375BD7"/>
    <w:rsid w:val="623C4F9B"/>
    <w:rsid w:val="624778AB"/>
    <w:rsid w:val="62992709"/>
    <w:rsid w:val="62A25746"/>
    <w:rsid w:val="62B965EC"/>
    <w:rsid w:val="62CA0BBD"/>
    <w:rsid w:val="62D458C9"/>
    <w:rsid w:val="63286B48"/>
    <w:rsid w:val="635C3B47"/>
    <w:rsid w:val="63604CB9"/>
    <w:rsid w:val="638C7C76"/>
    <w:rsid w:val="63F93FEA"/>
    <w:rsid w:val="644F7C2D"/>
    <w:rsid w:val="64B60A0D"/>
    <w:rsid w:val="65C03A28"/>
    <w:rsid w:val="65C24883"/>
    <w:rsid w:val="65D46374"/>
    <w:rsid w:val="65F00576"/>
    <w:rsid w:val="660C3FCA"/>
    <w:rsid w:val="66316617"/>
    <w:rsid w:val="66455A01"/>
    <w:rsid w:val="66636F9A"/>
    <w:rsid w:val="6692113B"/>
    <w:rsid w:val="67810CC4"/>
    <w:rsid w:val="67AB6E4B"/>
    <w:rsid w:val="67F02AB0"/>
    <w:rsid w:val="68030A35"/>
    <w:rsid w:val="68354966"/>
    <w:rsid w:val="690B3AB6"/>
    <w:rsid w:val="691F66E4"/>
    <w:rsid w:val="69342E70"/>
    <w:rsid w:val="69401815"/>
    <w:rsid w:val="698E0152"/>
    <w:rsid w:val="69C95A2B"/>
    <w:rsid w:val="69E327B4"/>
    <w:rsid w:val="69ED082E"/>
    <w:rsid w:val="6A5F3F1C"/>
    <w:rsid w:val="6A640604"/>
    <w:rsid w:val="6A9A1BC1"/>
    <w:rsid w:val="6ABE22E6"/>
    <w:rsid w:val="6AF1726A"/>
    <w:rsid w:val="6AF91C7B"/>
    <w:rsid w:val="6B0A032C"/>
    <w:rsid w:val="6B6A4927"/>
    <w:rsid w:val="6B7B6B34"/>
    <w:rsid w:val="6B9A1F88"/>
    <w:rsid w:val="6B9A60E0"/>
    <w:rsid w:val="6BAE10C9"/>
    <w:rsid w:val="6BD12EE8"/>
    <w:rsid w:val="6BD3071E"/>
    <w:rsid w:val="6BEE37AA"/>
    <w:rsid w:val="6BF13192"/>
    <w:rsid w:val="6C1B0562"/>
    <w:rsid w:val="6C2C42D2"/>
    <w:rsid w:val="6C6C46CF"/>
    <w:rsid w:val="6C7F2654"/>
    <w:rsid w:val="6C951E6A"/>
    <w:rsid w:val="6CA12731"/>
    <w:rsid w:val="6D1E3BFA"/>
    <w:rsid w:val="6D602485"/>
    <w:rsid w:val="6D6E0D1C"/>
    <w:rsid w:val="6D9711A5"/>
    <w:rsid w:val="6D9D5488"/>
    <w:rsid w:val="6E37629C"/>
    <w:rsid w:val="6E3A48D9"/>
    <w:rsid w:val="6E423939"/>
    <w:rsid w:val="6E5B2C4D"/>
    <w:rsid w:val="6E9A19C7"/>
    <w:rsid w:val="6E9F2B3A"/>
    <w:rsid w:val="6EB72579"/>
    <w:rsid w:val="6EE439DB"/>
    <w:rsid w:val="6F061C4A"/>
    <w:rsid w:val="6F5D06C0"/>
    <w:rsid w:val="6F6A1E3C"/>
    <w:rsid w:val="6F6A75EB"/>
    <w:rsid w:val="6F7E4E45"/>
    <w:rsid w:val="6FE07C8E"/>
    <w:rsid w:val="70223A22"/>
    <w:rsid w:val="70C745CA"/>
    <w:rsid w:val="70DA5030"/>
    <w:rsid w:val="71146099"/>
    <w:rsid w:val="712F4B55"/>
    <w:rsid w:val="71AB4182"/>
    <w:rsid w:val="71C11A27"/>
    <w:rsid w:val="71DE7E1D"/>
    <w:rsid w:val="71EF5B86"/>
    <w:rsid w:val="7231619E"/>
    <w:rsid w:val="724E59C0"/>
    <w:rsid w:val="726522EC"/>
    <w:rsid w:val="729B7ABC"/>
    <w:rsid w:val="72AF0B33"/>
    <w:rsid w:val="72CD11DC"/>
    <w:rsid w:val="72D113CA"/>
    <w:rsid w:val="72D4602B"/>
    <w:rsid w:val="732C6966"/>
    <w:rsid w:val="73920EBF"/>
    <w:rsid w:val="73A15581"/>
    <w:rsid w:val="73B479A5"/>
    <w:rsid w:val="74177616"/>
    <w:rsid w:val="744707EA"/>
    <w:rsid w:val="7454695B"/>
    <w:rsid w:val="745D14CD"/>
    <w:rsid w:val="74844CAB"/>
    <w:rsid w:val="74911176"/>
    <w:rsid w:val="74946DD3"/>
    <w:rsid w:val="749869A9"/>
    <w:rsid w:val="74B82BA7"/>
    <w:rsid w:val="74D86DA5"/>
    <w:rsid w:val="753C5586"/>
    <w:rsid w:val="75630344"/>
    <w:rsid w:val="75823D9F"/>
    <w:rsid w:val="75C846BC"/>
    <w:rsid w:val="75F66D43"/>
    <w:rsid w:val="76133913"/>
    <w:rsid w:val="76234AC5"/>
    <w:rsid w:val="76650013"/>
    <w:rsid w:val="76725D72"/>
    <w:rsid w:val="768947FB"/>
    <w:rsid w:val="76894F0E"/>
    <w:rsid w:val="768A0573"/>
    <w:rsid w:val="768B296B"/>
    <w:rsid w:val="76C5384D"/>
    <w:rsid w:val="76F771B9"/>
    <w:rsid w:val="776B1857"/>
    <w:rsid w:val="77CA19FC"/>
    <w:rsid w:val="77F7390B"/>
    <w:rsid w:val="7801371C"/>
    <w:rsid w:val="78527D56"/>
    <w:rsid w:val="7856695F"/>
    <w:rsid w:val="788B7878"/>
    <w:rsid w:val="78BF6E20"/>
    <w:rsid w:val="78CE2999"/>
    <w:rsid w:val="79052188"/>
    <w:rsid w:val="79254583"/>
    <w:rsid w:val="794137C7"/>
    <w:rsid w:val="797341AE"/>
    <w:rsid w:val="797A48CF"/>
    <w:rsid w:val="79AD59A6"/>
    <w:rsid w:val="79C478F8"/>
    <w:rsid w:val="79D264B9"/>
    <w:rsid w:val="79DE4E5E"/>
    <w:rsid w:val="79F678F1"/>
    <w:rsid w:val="7A26093C"/>
    <w:rsid w:val="7A3525A4"/>
    <w:rsid w:val="7A546ECE"/>
    <w:rsid w:val="7AA37E55"/>
    <w:rsid w:val="7B580521"/>
    <w:rsid w:val="7B7D06A6"/>
    <w:rsid w:val="7B9616BF"/>
    <w:rsid w:val="7BB31275"/>
    <w:rsid w:val="7BC235E6"/>
    <w:rsid w:val="7BCD518A"/>
    <w:rsid w:val="7BD83B2F"/>
    <w:rsid w:val="7BDA78A7"/>
    <w:rsid w:val="7BE9195B"/>
    <w:rsid w:val="7C090B35"/>
    <w:rsid w:val="7C2F35C5"/>
    <w:rsid w:val="7C457B16"/>
    <w:rsid w:val="7C484810"/>
    <w:rsid w:val="7C584387"/>
    <w:rsid w:val="7C5E2286"/>
    <w:rsid w:val="7CC61311"/>
    <w:rsid w:val="7D006E99"/>
    <w:rsid w:val="7D32101D"/>
    <w:rsid w:val="7D50514A"/>
    <w:rsid w:val="7D6B2EAC"/>
    <w:rsid w:val="7D6E23FE"/>
    <w:rsid w:val="7D6F58DC"/>
    <w:rsid w:val="7D722672"/>
    <w:rsid w:val="7DA97EE3"/>
    <w:rsid w:val="7DBD5EEA"/>
    <w:rsid w:val="7DD005ED"/>
    <w:rsid w:val="7DE0507F"/>
    <w:rsid w:val="7DE72FFE"/>
    <w:rsid w:val="7E500CA2"/>
    <w:rsid w:val="7E5576B9"/>
    <w:rsid w:val="7E703A6D"/>
    <w:rsid w:val="7EA66957"/>
    <w:rsid w:val="7EAA17B2"/>
    <w:rsid w:val="7EFC742E"/>
    <w:rsid w:val="7F0F5AB9"/>
    <w:rsid w:val="7F720DDC"/>
    <w:rsid w:val="7FBB354B"/>
    <w:rsid w:val="7FF501B8"/>
    <w:rsid w:val="7FFC2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qFormat="1" w:uiPriority="39" w:name="toc 4"/>
    <w:lsdException w:qFormat="1"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25"/>
    <w:semiHidden/>
    <w:unhideWhenUsed/>
    <w:qFormat/>
    <w:uiPriority w:val="99"/>
    <w:pPr>
      <w:jc w:val="left"/>
    </w:pPr>
  </w:style>
  <w:style w:type="paragraph" w:styleId="4">
    <w:name w:val="toc 5"/>
    <w:basedOn w:val="1"/>
    <w:next w:val="1"/>
    <w:semiHidden/>
    <w:unhideWhenUsed/>
    <w:qFormat/>
    <w:uiPriority w:val="39"/>
    <w:pPr>
      <w:ind w:left="1680" w:leftChars="800"/>
    </w:pPr>
  </w:style>
  <w:style w:type="paragraph" w:styleId="5">
    <w:name w:val="toc 3"/>
    <w:basedOn w:val="1"/>
    <w:next w:val="1"/>
    <w:semiHidden/>
    <w:unhideWhenUsed/>
    <w:qFormat/>
    <w:uiPriority w:val="39"/>
    <w:pPr>
      <w:ind w:left="840" w:leftChars="400"/>
    </w:pPr>
  </w:style>
  <w:style w:type="paragraph" w:styleId="6">
    <w:name w:val="Balloon Text"/>
    <w:basedOn w:val="1"/>
    <w:link w:val="22"/>
    <w:semiHidden/>
    <w:unhideWhenUsed/>
    <w:qFormat/>
    <w:uiPriority w:val="99"/>
    <w:rPr>
      <w:sz w:val="18"/>
      <w:szCs w:val="18"/>
    </w:rPr>
  </w:style>
  <w:style w:type="paragraph" w:styleId="7">
    <w:name w:val="footer"/>
    <w:basedOn w:val="1"/>
    <w:link w:val="21"/>
    <w:unhideWhenUsed/>
    <w:qFormat/>
    <w:uiPriority w:val="99"/>
    <w:pPr>
      <w:tabs>
        <w:tab w:val="center" w:pos="4153"/>
        <w:tab w:val="right" w:pos="8306"/>
      </w:tabs>
      <w:snapToGrid w:val="0"/>
      <w:jc w:val="left"/>
    </w:pPr>
    <w:rPr>
      <w:sz w:val="18"/>
      <w:szCs w:val="18"/>
    </w:rPr>
  </w:style>
  <w:style w:type="paragraph" w:styleId="8">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nhideWhenUsed/>
    <w:qFormat/>
    <w:uiPriority w:val="39"/>
  </w:style>
  <w:style w:type="paragraph" w:styleId="10">
    <w:name w:val="toc 4"/>
    <w:basedOn w:val="1"/>
    <w:next w:val="1"/>
    <w:semiHidden/>
    <w:unhideWhenUsed/>
    <w:qFormat/>
    <w:uiPriority w:val="39"/>
    <w:pPr>
      <w:ind w:left="1260" w:leftChars="600"/>
    </w:pPr>
  </w:style>
  <w:style w:type="paragraph" w:styleId="11">
    <w:name w:val="toc 2"/>
    <w:basedOn w:val="1"/>
    <w:next w:val="1"/>
    <w:semiHidden/>
    <w:unhideWhenUsed/>
    <w:qFormat/>
    <w:uiPriority w:val="39"/>
    <w:pPr>
      <w:ind w:left="420" w:leftChars="200"/>
    </w:pPr>
  </w:style>
  <w:style w:type="paragraph" w:styleId="12">
    <w:name w:val="Normal (Web)"/>
    <w:basedOn w:val="1"/>
    <w:semiHidden/>
    <w:unhideWhenUsed/>
    <w:qFormat/>
    <w:uiPriority w:val="99"/>
    <w:pPr>
      <w:spacing w:before="50" w:after="50"/>
      <w:jc w:val="left"/>
    </w:pPr>
    <w:rPr>
      <w:kern w:val="0"/>
      <w:sz w:val="24"/>
    </w:rPr>
  </w:style>
  <w:style w:type="paragraph" w:styleId="13">
    <w:name w:val="annotation subject"/>
    <w:basedOn w:val="3"/>
    <w:next w:val="3"/>
    <w:link w:val="26"/>
    <w:semiHidden/>
    <w:unhideWhenUsed/>
    <w:qFormat/>
    <w:uiPriority w:val="99"/>
    <w:rPr>
      <w:b/>
      <w:bCs/>
    </w:rPr>
  </w:style>
  <w:style w:type="table" w:styleId="15">
    <w:name w:val="Table Grid"/>
    <w:basedOn w:val="14"/>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7">
    <w:name w:val="Strong"/>
    <w:basedOn w:val="16"/>
    <w:qFormat/>
    <w:uiPriority w:val="22"/>
    <w:rPr>
      <w:b/>
    </w:rPr>
  </w:style>
  <w:style w:type="character" w:styleId="18">
    <w:name w:val="annotation reference"/>
    <w:basedOn w:val="16"/>
    <w:semiHidden/>
    <w:unhideWhenUsed/>
    <w:qFormat/>
    <w:uiPriority w:val="99"/>
    <w:rPr>
      <w:sz w:val="21"/>
      <w:szCs w:val="21"/>
    </w:rPr>
  </w:style>
  <w:style w:type="paragraph" w:styleId="19">
    <w:name w:val="List Paragraph"/>
    <w:basedOn w:val="1"/>
    <w:qFormat/>
    <w:uiPriority w:val="34"/>
    <w:pPr>
      <w:ind w:firstLine="420" w:firstLineChars="200"/>
    </w:pPr>
  </w:style>
  <w:style w:type="character" w:customStyle="1" w:styleId="20">
    <w:name w:val="页眉 字符"/>
    <w:basedOn w:val="16"/>
    <w:link w:val="8"/>
    <w:qFormat/>
    <w:uiPriority w:val="99"/>
    <w:rPr>
      <w:rFonts w:ascii="Times New Roman" w:hAnsi="Times New Roman" w:eastAsia="宋体" w:cs="Times New Roman"/>
      <w:kern w:val="2"/>
      <w:sz w:val="18"/>
      <w:szCs w:val="18"/>
    </w:rPr>
  </w:style>
  <w:style w:type="character" w:customStyle="1" w:styleId="21">
    <w:name w:val="页脚 字符"/>
    <w:basedOn w:val="16"/>
    <w:link w:val="7"/>
    <w:qFormat/>
    <w:uiPriority w:val="99"/>
    <w:rPr>
      <w:rFonts w:ascii="Times New Roman" w:hAnsi="Times New Roman" w:eastAsia="宋体" w:cs="Times New Roman"/>
      <w:kern w:val="2"/>
      <w:sz w:val="18"/>
      <w:szCs w:val="18"/>
    </w:rPr>
  </w:style>
  <w:style w:type="character" w:customStyle="1" w:styleId="22">
    <w:name w:val="批注框文本 字符"/>
    <w:basedOn w:val="16"/>
    <w:link w:val="6"/>
    <w:semiHidden/>
    <w:qFormat/>
    <w:uiPriority w:val="99"/>
    <w:rPr>
      <w:rFonts w:ascii="Times New Roman" w:hAnsi="Times New Roman" w:eastAsia="宋体" w:cs="Times New Roman"/>
      <w:kern w:val="2"/>
      <w:sz w:val="18"/>
      <w:szCs w:val="18"/>
    </w:rPr>
  </w:style>
  <w:style w:type="table" w:customStyle="1" w:styleId="23">
    <w:name w:val="Table Normal"/>
    <w:semiHidden/>
    <w:unhideWhenUsed/>
    <w:qFormat/>
    <w:uiPriority w:val="0"/>
    <w:tblPr>
      <w:tblCellMar>
        <w:top w:w="0" w:type="dxa"/>
        <w:left w:w="0" w:type="dxa"/>
        <w:bottom w:w="0" w:type="dxa"/>
        <w:right w:w="0" w:type="dxa"/>
      </w:tblCellMar>
    </w:tblPr>
  </w:style>
  <w:style w:type="paragraph" w:customStyle="1" w:styleId="24">
    <w:name w:val="Table Text"/>
    <w:basedOn w:val="1"/>
    <w:semiHidden/>
    <w:qFormat/>
    <w:uiPriority w:val="0"/>
    <w:rPr>
      <w:rFonts w:ascii="Arial" w:hAnsi="Arial" w:eastAsia="Arial" w:cs="Arial"/>
      <w:szCs w:val="21"/>
      <w:lang w:eastAsia="en-US"/>
    </w:rPr>
  </w:style>
  <w:style w:type="character" w:customStyle="1" w:styleId="25">
    <w:name w:val="批注文字 字符"/>
    <w:basedOn w:val="16"/>
    <w:link w:val="3"/>
    <w:semiHidden/>
    <w:qFormat/>
    <w:uiPriority w:val="99"/>
    <w:rPr>
      <w:kern w:val="2"/>
      <w:sz w:val="21"/>
      <w:szCs w:val="24"/>
    </w:rPr>
  </w:style>
  <w:style w:type="character" w:customStyle="1" w:styleId="26">
    <w:name w:val="批注主题 字符"/>
    <w:basedOn w:val="25"/>
    <w:link w:val="13"/>
    <w:semiHidden/>
    <w:qFormat/>
    <w:uiPriority w:val="99"/>
    <w:rPr>
      <w:b/>
      <w:bCs/>
      <w:kern w:val="2"/>
      <w:sz w:val="21"/>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神州网信技术有限公司</Company>
  <Pages>11</Pages>
  <Words>4772</Words>
  <Characters>5222</Characters>
  <Lines>49</Lines>
  <Paragraphs>13</Paragraphs>
  <TotalTime>30</TotalTime>
  <ScaleCrop>false</ScaleCrop>
  <LinksUpToDate>false</LinksUpToDate>
  <CharactersWithSpaces>5256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2021-12-13T07:59:00Z</dcterms:created>
  <dc:creator>陈慧毅</dc:creator>
  <cp:lastModifiedBy>郑生伟</cp:lastModifiedBy>
  <dcterms:modified xsi:type="dcterms:W3CDTF">2024-02-04T05:09:16Z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5ABDB8AA9AC4496E984A498E9B59D66B</vt:lpwstr>
  </property>
</Properties>
</file>