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8859C" w14:textId="77777777" w:rsidR="00EB4030" w:rsidRDefault="00EB4030">
      <w:pPr>
        <w:overflowPunct w:val="0"/>
        <w:spacing w:line="560" w:lineRule="exact"/>
        <w:jc w:val="left"/>
        <w:rPr>
          <w:rFonts w:ascii="黑体" w:eastAsia="黑体" w:hAnsi="黑体" w:cs="Times New Roman"/>
          <w:sz w:val="32"/>
          <w:szCs w:val="32"/>
        </w:rPr>
      </w:pPr>
      <w:bookmarkStart w:id="0" w:name="_GoBack"/>
      <w:bookmarkEnd w:id="0"/>
    </w:p>
    <w:p w14:paraId="589A7794" w14:textId="53CBB858" w:rsidR="00EB4030" w:rsidRDefault="00514C25">
      <w:pPr>
        <w:overflowPunct w:val="0"/>
        <w:spacing w:line="56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hint="eastAsia"/>
          <w:sz w:val="44"/>
          <w:szCs w:val="44"/>
        </w:rPr>
        <w:t>射频、</w:t>
      </w:r>
      <w:r>
        <w:rPr>
          <w:rFonts w:ascii="Times New Roman" w:eastAsia="方正小标宋简体" w:hAnsi="Times New Roman" w:cs="Times New Roman"/>
          <w:sz w:val="44"/>
          <w:szCs w:val="44"/>
        </w:rPr>
        <w:t>微波</w:t>
      </w:r>
      <w:r>
        <w:rPr>
          <w:rFonts w:ascii="Times New Roman" w:eastAsia="方正小标宋简体" w:hAnsi="Times New Roman" w:cs="Times New Roman" w:hint="eastAsia"/>
          <w:sz w:val="44"/>
          <w:szCs w:val="44"/>
        </w:rPr>
        <w:t>消融</w:t>
      </w:r>
      <w:r w:rsidR="00734DAD">
        <w:rPr>
          <w:rFonts w:ascii="Times New Roman" w:eastAsia="方正小标宋简体" w:hAnsi="Times New Roman" w:cs="Times New Roman" w:hint="eastAsia"/>
          <w:sz w:val="44"/>
          <w:szCs w:val="44"/>
        </w:rPr>
        <w:t>设备</w:t>
      </w:r>
      <w:r w:rsidR="00E652E2">
        <w:rPr>
          <w:rFonts w:ascii="Times New Roman" w:eastAsia="方正小标宋简体" w:hAnsi="Times New Roman" w:cs="Times New Roman" w:hint="eastAsia"/>
          <w:sz w:val="44"/>
          <w:szCs w:val="44"/>
        </w:rPr>
        <w:t>同品种</w:t>
      </w:r>
      <w:r>
        <w:rPr>
          <w:rFonts w:ascii="Times New Roman" w:eastAsia="方正小标宋简体" w:hAnsi="Times New Roman" w:cs="Times New Roman" w:hint="eastAsia"/>
          <w:sz w:val="44"/>
          <w:szCs w:val="44"/>
        </w:rPr>
        <w:t>临床评价注册审查指导原则</w:t>
      </w:r>
    </w:p>
    <w:p w14:paraId="38EA54AA" w14:textId="77777777" w:rsidR="00EB4030" w:rsidRDefault="00EB4030">
      <w:pPr>
        <w:overflowPunct w:val="0"/>
        <w:spacing w:line="560" w:lineRule="exact"/>
        <w:jc w:val="center"/>
        <w:rPr>
          <w:rFonts w:ascii="Times New Roman" w:eastAsia="方正小标宋简体" w:hAnsi="Times New Roman" w:cs="Times New Roman"/>
          <w:sz w:val="44"/>
          <w:szCs w:val="44"/>
        </w:rPr>
      </w:pPr>
    </w:p>
    <w:p w14:paraId="10BEC6D1" w14:textId="5D43EAD0" w:rsidR="00EB4030" w:rsidRDefault="00514C25" w:rsidP="0042468E">
      <w:pPr>
        <w:overflowPunct w:val="0"/>
        <w:spacing w:line="520" w:lineRule="exact"/>
        <w:ind w:rightChars="-27" w:right="-57" w:firstLineChars="200" w:firstLine="640"/>
        <w:jc w:val="left"/>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为进一步规范射频、微波消融</w:t>
      </w:r>
      <w:r w:rsidR="00734DAD">
        <w:rPr>
          <w:rFonts w:ascii="Times New Roman" w:eastAsia="仿宋_GB2312" w:hAnsi="Times New Roman" w:cs="Times New Roman" w:hint="eastAsia"/>
          <w:kern w:val="0"/>
          <w:sz w:val="32"/>
          <w:szCs w:val="32"/>
        </w:rPr>
        <w:t>设备</w:t>
      </w:r>
      <w:r>
        <w:rPr>
          <w:rFonts w:ascii="Times New Roman" w:eastAsia="仿宋_GB2312" w:hAnsi="Times New Roman" w:cs="Times New Roman" w:hint="eastAsia"/>
          <w:kern w:val="0"/>
          <w:sz w:val="32"/>
          <w:szCs w:val="32"/>
        </w:rPr>
        <w:t>的同品种临床评价，撰写本指导原则。旨在</w:t>
      </w:r>
      <w:r>
        <w:rPr>
          <w:rFonts w:ascii="Times New Roman" w:eastAsia="仿宋_GB2312" w:hAnsi="Times New Roman" w:cs="Times New Roman"/>
          <w:kern w:val="0"/>
          <w:sz w:val="32"/>
          <w:szCs w:val="32"/>
        </w:rPr>
        <w:t>指导注册申请人对</w:t>
      </w:r>
      <w:r>
        <w:rPr>
          <w:rFonts w:ascii="Times New Roman" w:eastAsia="仿宋_GB2312" w:hAnsi="Times New Roman" w:cs="Times New Roman" w:hint="eastAsia"/>
          <w:kern w:val="0"/>
          <w:sz w:val="32"/>
          <w:szCs w:val="32"/>
        </w:rPr>
        <w:t>射频、微波</w:t>
      </w:r>
      <w:r>
        <w:rPr>
          <w:rFonts w:ascii="Times New Roman" w:eastAsia="仿宋_GB2312" w:hAnsi="Times New Roman" w:cs="Times New Roman"/>
          <w:kern w:val="0"/>
          <w:sz w:val="32"/>
          <w:szCs w:val="32"/>
        </w:rPr>
        <w:t>消融</w:t>
      </w:r>
      <w:r w:rsidR="00734DAD">
        <w:rPr>
          <w:rFonts w:ascii="Times New Roman" w:eastAsia="仿宋_GB2312" w:hAnsi="Times New Roman" w:cs="Times New Roman"/>
          <w:kern w:val="0"/>
          <w:sz w:val="32"/>
          <w:szCs w:val="32"/>
        </w:rPr>
        <w:t>设备</w:t>
      </w:r>
      <w:r>
        <w:rPr>
          <w:rFonts w:ascii="Times New Roman" w:eastAsia="仿宋_GB2312" w:hAnsi="Times New Roman" w:cs="Times New Roman"/>
          <w:kern w:val="0"/>
          <w:sz w:val="32"/>
          <w:szCs w:val="32"/>
        </w:rPr>
        <w:t>开展同品种临床评价，同时也为技术审评部门审评</w:t>
      </w:r>
      <w:r>
        <w:rPr>
          <w:rFonts w:ascii="Times New Roman" w:eastAsia="仿宋_GB2312" w:hAnsi="Times New Roman" w:cs="Times New Roman" w:hint="eastAsia"/>
          <w:kern w:val="0"/>
          <w:sz w:val="32"/>
          <w:szCs w:val="32"/>
        </w:rPr>
        <w:t>射频、微波</w:t>
      </w:r>
      <w:r>
        <w:rPr>
          <w:rFonts w:ascii="Times New Roman" w:eastAsia="仿宋_GB2312" w:hAnsi="Times New Roman" w:cs="Times New Roman"/>
          <w:kern w:val="0"/>
          <w:sz w:val="32"/>
          <w:szCs w:val="32"/>
        </w:rPr>
        <w:t>消融</w:t>
      </w:r>
      <w:r w:rsidR="00734DAD">
        <w:rPr>
          <w:rFonts w:ascii="Times New Roman" w:eastAsia="仿宋_GB2312" w:hAnsi="Times New Roman" w:cs="Times New Roman"/>
          <w:kern w:val="0"/>
          <w:sz w:val="32"/>
          <w:szCs w:val="32"/>
        </w:rPr>
        <w:t>设备</w:t>
      </w:r>
      <w:r>
        <w:rPr>
          <w:rFonts w:ascii="Times New Roman" w:eastAsia="仿宋_GB2312" w:hAnsi="Times New Roman" w:cs="Times New Roman"/>
          <w:kern w:val="0"/>
          <w:sz w:val="32"/>
          <w:szCs w:val="32"/>
        </w:rPr>
        <w:t>同品种临床评价资料提供参考。</w:t>
      </w:r>
    </w:p>
    <w:p w14:paraId="01DDF73A" w14:textId="77777777" w:rsidR="00EB4030" w:rsidRDefault="00514C25" w:rsidP="0042468E">
      <w:pPr>
        <w:overflowPunct w:val="0"/>
        <w:autoSpaceDE w:val="0"/>
        <w:autoSpaceDN w:val="0"/>
        <w:adjustRightInd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14:paraId="3B62217F" w14:textId="77777777" w:rsidR="00EB4030" w:rsidRDefault="00514C25" w:rsidP="0042468E">
      <w:pPr>
        <w:overflowPunct w:val="0"/>
        <w:autoSpaceDE w:val="0"/>
        <w:autoSpaceDN w:val="0"/>
        <w:adjustRightInd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本指导原则是在现行法规和标准体系以及当前认知水平下制定的，随着法规和标准的不断完善，以及科学技术的不断发展，本指导原则的相关内容也将进行适时的调整。</w:t>
      </w:r>
    </w:p>
    <w:p w14:paraId="3EABCC2C" w14:textId="77777777" w:rsidR="00EB4030" w:rsidRDefault="00514C25" w:rsidP="0042468E">
      <w:pPr>
        <w:overflowPunct w:val="0"/>
        <w:spacing w:line="52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一、适用范围</w:t>
      </w:r>
    </w:p>
    <w:p w14:paraId="5FC485F4" w14:textId="46890F37" w:rsidR="00EB4030" w:rsidRDefault="00514C25" w:rsidP="0042468E">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射频</w:t>
      </w:r>
      <w:r>
        <w:rPr>
          <w:rFonts w:eastAsia="仿宋_GB2312"/>
          <w:color w:val="000000" w:themeColor="text1"/>
          <w:sz w:val="32"/>
          <w:szCs w:val="32"/>
        </w:rPr>
        <w:t>消融设备分类编码为</w:t>
      </w:r>
      <w:r>
        <w:rPr>
          <w:rFonts w:eastAsia="仿宋_GB2312" w:hint="eastAsia"/>
          <w:color w:val="000000" w:themeColor="text1"/>
          <w:sz w:val="32"/>
          <w:szCs w:val="32"/>
        </w:rPr>
        <w:t>0</w:t>
      </w:r>
      <w:r>
        <w:rPr>
          <w:rFonts w:eastAsia="仿宋_GB2312"/>
          <w:color w:val="000000" w:themeColor="text1"/>
          <w:sz w:val="32"/>
          <w:szCs w:val="32"/>
        </w:rPr>
        <w:t>1-03-02</w:t>
      </w:r>
      <w:r>
        <w:rPr>
          <w:rFonts w:eastAsia="仿宋_GB2312" w:hint="eastAsia"/>
          <w:color w:val="000000" w:themeColor="text1"/>
          <w:sz w:val="32"/>
          <w:szCs w:val="32"/>
        </w:rPr>
        <w:t>，微波</w:t>
      </w:r>
      <w:r>
        <w:rPr>
          <w:rFonts w:eastAsia="仿宋_GB2312"/>
          <w:color w:val="000000" w:themeColor="text1"/>
          <w:sz w:val="32"/>
          <w:szCs w:val="32"/>
        </w:rPr>
        <w:t>消融设备分类编码为</w:t>
      </w:r>
      <w:r>
        <w:rPr>
          <w:rFonts w:eastAsia="仿宋_GB2312" w:hint="eastAsia"/>
          <w:color w:val="000000" w:themeColor="text1"/>
          <w:sz w:val="32"/>
          <w:szCs w:val="32"/>
        </w:rPr>
        <w:t>01</w:t>
      </w:r>
      <w:r>
        <w:rPr>
          <w:rFonts w:eastAsia="仿宋_GB2312"/>
          <w:color w:val="000000" w:themeColor="text1"/>
          <w:sz w:val="32"/>
          <w:szCs w:val="32"/>
        </w:rPr>
        <w:t>-04-01</w:t>
      </w:r>
      <w:r>
        <w:rPr>
          <w:rFonts w:eastAsia="仿宋_GB2312" w:hint="eastAsia"/>
          <w:color w:val="000000" w:themeColor="text1"/>
          <w:sz w:val="32"/>
          <w:szCs w:val="32"/>
        </w:rPr>
        <w:t>。</w:t>
      </w:r>
      <w:r>
        <w:rPr>
          <w:rFonts w:ascii="Times New Roman" w:eastAsia="仿宋_GB2312" w:hAnsi="Times New Roman" w:cs="Times New Roman"/>
          <w:kern w:val="0"/>
          <w:sz w:val="32"/>
          <w:szCs w:val="32"/>
        </w:rPr>
        <w:t xml:space="preserve"> </w:t>
      </w:r>
      <w:r>
        <w:rPr>
          <w:rFonts w:ascii="Times New Roman" w:eastAsia="仿宋_GB2312" w:hAnsi="Times New Roman" w:cs="Times New Roman" w:hint="eastAsia"/>
          <w:kern w:val="0"/>
          <w:sz w:val="32"/>
          <w:szCs w:val="32"/>
        </w:rPr>
        <w:t>本指导原则基于《医疗器械临床评价技术指导原则》（下文简称通则）并结合消融类产品的特点制定，适用于射频、微波消融类</w:t>
      </w:r>
      <w:r w:rsidR="00734DAD">
        <w:rPr>
          <w:rFonts w:ascii="Times New Roman" w:eastAsia="仿宋_GB2312" w:hAnsi="Times New Roman" w:cs="Times New Roman" w:hint="eastAsia"/>
          <w:kern w:val="0"/>
          <w:sz w:val="32"/>
          <w:szCs w:val="32"/>
        </w:rPr>
        <w:t>设备</w:t>
      </w:r>
      <w:r>
        <w:rPr>
          <w:rFonts w:ascii="Times New Roman" w:eastAsia="仿宋_GB2312" w:hAnsi="Times New Roman" w:cs="Times New Roman" w:hint="eastAsia"/>
          <w:kern w:val="0"/>
          <w:sz w:val="32"/>
          <w:szCs w:val="32"/>
        </w:rPr>
        <w:t>的临床评价工作。</w:t>
      </w:r>
    </w:p>
    <w:p w14:paraId="1153D6E8" w14:textId="32858C31" w:rsidR="00EB4030" w:rsidRDefault="00514C25" w:rsidP="0042468E">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射频</w:t>
      </w:r>
      <w:r>
        <w:rPr>
          <w:rFonts w:eastAsia="仿宋_GB2312"/>
          <w:color w:val="000000" w:themeColor="text1"/>
          <w:sz w:val="32"/>
          <w:szCs w:val="32"/>
        </w:rPr>
        <w:t>消融</w:t>
      </w:r>
      <w:r w:rsidR="00E652E2">
        <w:rPr>
          <w:rFonts w:eastAsia="仿宋_GB2312" w:hint="eastAsia"/>
          <w:color w:val="000000" w:themeColor="text1"/>
          <w:sz w:val="32"/>
          <w:szCs w:val="32"/>
        </w:rPr>
        <w:t>是</w:t>
      </w:r>
      <w:r>
        <w:rPr>
          <w:rFonts w:eastAsia="仿宋_GB2312"/>
          <w:color w:val="000000" w:themeColor="text1"/>
          <w:sz w:val="32"/>
          <w:szCs w:val="32"/>
        </w:rPr>
        <w:t>通过与射频</w:t>
      </w:r>
      <w:r>
        <w:rPr>
          <w:rFonts w:eastAsia="仿宋_GB2312" w:hint="eastAsia"/>
          <w:color w:val="000000" w:themeColor="text1"/>
          <w:sz w:val="32"/>
          <w:szCs w:val="32"/>
        </w:rPr>
        <w:t>消融</w:t>
      </w:r>
      <w:r>
        <w:rPr>
          <w:rFonts w:eastAsia="仿宋_GB2312"/>
          <w:color w:val="000000" w:themeColor="text1"/>
          <w:sz w:val="32"/>
          <w:szCs w:val="32"/>
        </w:rPr>
        <w:t>主机相连的</w:t>
      </w:r>
      <w:r>
        <w:rPr>
          <w:rFonts w:eastAsia="仿宋_GB2312" w:hint="eastAsia"/>
          <w:sz w:val="32"/>
          <w:szCs w:val="32"/>
        </w:rPr>
        <w:t>射频</w:t>
      </w:r>
      <w:r w:rsidR="00E652E2">
        <w:rPr>
          <w:rFonts w:eastAsia="仿宋_GB2312" w:hint="eastAsia"/>
          <w:sz w:val="32"/>
          <w:szCs w:val="32"/>
        </w:rPr>
        <w:t>消融电极</w:t>
      </w:r>
      <w:r>
        <w:rPr>
          <w:rFonts w:eastAsia="仿宋_GB2312" w:hint="eastAsia"/>
          <w:sz w:val="32"/>
          <w:szCs w:val="32"/>
        </w:rPr>
        <w:t>传输频率大于</w:t>
      </w:r>
      <w:r w:rsidR="00E705AD">
        <w:rPr>
          <w:rFonts w:eastAsia="仿宋_GB2312"/>
          <w:sz w:val="32"/>
          <w:szCs w:val="32"/>
        </w:rPr>
        <w:t>1</w:t>
      </w:r>
      <w:r>
        <w:rPr>
          <w:rFonts w:eastAsia="仿宋_GB2312" w:hint="eastAsia"/>
          <w:sz w:val="32"/>
          <w:szCs w:val="32"/>
        </w:rPr>
        <w:t>00</w:t>
      </w:r>
      <w:r w:rsidRPr="007740AC">
        <w:rPr>
          <w:rFonts w:ascii="Times New Roman" w:eastAsia="仿宋_GB2312" w:hAnsi="Times New Roman" w:cs="Times New Roman"/>
          <w:sz w:val="32"/>
          <w:szCs w:val="32"/>
        </w:rPr>
        <w:t>KHZ</w:t>
      </w:r>
      <w:r>
        <w:rPr>
          <w:rFonts w:eastAsia="仿宋_GB2312" w:hint="eastAsia"/>
          <w:sz w:val="32"/>
          <w:szCs w:val="32"/>
        </w:rPr>
        <w:t>但不超过</w:t>
      </w:r>
      <w:r w:rsidR="00E705AD">
        <w:rPr>
          <w:rFonts w:eastAsia="仿宋_GB2312"/>
          <w:sz w:val="32"/>
          <w:szCs w:val="32"/>
        </w:rPr>
        <w:t>5</w:t>
      </w:r>
      <w:r w:rsidR="00E705AD" w:rsidRPr="007740AC">
        <w:rPr>
          <w:rFonts w:ascii="Times New Roman" w:eastAsia="仿宋_GB2312" w:hAnsi="Times New Roman" w:cs="Times New Roman"/>
          <w:sz w:val="32"/>
          <w:szCs w:val="32"/>
        </w:rPr>
        <w:t>M</w:t>
      </w:r>
      <w:r w:rsidR="00E705AD" w:rsidRPr="007740AC">
        <w:rPr>
          <w:rFonts w:ascii="Times New Roman" w:eastAsia="仿宋_GB2312" w:hAnsi="Times New Roman" w:cs="Times New Roman" w:hint="eastAsia"/>
          <w:sz w:val="32"/>
          <w:szCs w:val="32"/>
        </w:rPr>
        <w:t>Hz</w:t>
      </w:r>
      <w:r>
        <w:rPr>
          <w:rFonts w:eastAsia="仿宋_GB2312" w:hint="eastAsia"/>
          <w:sz w:val="32"/>
          <w:szCs w:val="32"/>
        </w:rPr>
        <w:t>的电磁波对</w:t>
      </w:r>
      <w:r>
        <w:rPr>
          <w:rFonts w:eastAsia="仿宋_GB2312"/>
          <w:color w:val="000000" w:themeColor="text1"/>
          <w:sz w:val="32"/>
          <w:szCs w:val="32"/>
        </w:rPr>
        <w:t>目标病变来进行</w:t>
      </w:r>
      <w:r>
        <w:rPr>
          <w:rFonts w:eastAsia="仿宋_GB2312" w:hint="eastAsia"/>
          <w:color w:val="000000" w:themeColor="text1"/>
          <w:sz w:val="32"/>
          <w:szCs w:val="32"/>
        </w:rPr>
        <w:t>消融</w:t>
      </w:r>
      <w:r>
        <w:rPr>
          <w:rFonts w:eastAsia="仿宋_GB2312"/>
          <w:color w:val="000000" w:themeColor="text1"/>
          <w:sz w:val="32"/>
          <w:szCs w:val="32"/>
        </w:rPr>
        <w:t>治疗。</w:t>
      </w:r>
      <w:r>
        <w:rPr>
          <w:rFonts w:eastAsia="仿宋_GB2312" w:hint="eastAsia"/>
          <w:sz w:val="32"/>
          <w:szCs w:val="32"/>
        </w:rPr>
        <w:t>微波消融是</w:t>
      </w:r>
      <w:r>
        <w:rPr>
          <w:rFonts w:eastAsia="仿宋_GB2312" w:hint="eastAsia"/>
          <w:spacing w:val="6"/>
          <w:sz w:val="32"/>
          <w:szCs w:val="32"/>
        </w:rPr>
        <w:t>通过</w:t>
      </w:r>
      <w:r>
        <w:rPr>
          <w:rFonts w:eastAsia="仿宋_GB2312"/>
          <w:color w:val="000000" w:themeColor="text1"/>
          <w:sz w:val="32"/>
          <w:szCs w:val="32"/>
        </w:rPr>
        <w:t>与</w:t>
      </w:r>
      <w:r>
        <w:rPr>
          <w:rFonts w:eastAsia="仿宋_GB2312" w:hint="eastAsia"/>
          <w:color w:val="000000" w:themeColor="text1"/>
          <w:sz w:val="32"/>
          <w:szCs w:val="32"/>
        </w:rPr>
        <w:t>微波消融</w:t>
      </w:r>
      <w:r>
        <w:rPr>
          <w:rFonts w:eastAsia="仿宋_GB2312"/>
          <w:color w:val="000000" w:themeColor="text1"/>
          <w:sz w:val="32"/>
          <w:szCs w:val="32"/>
        </w:rPr>
        <w:t>主机相连的</w:t>
      </w:r>
      <w:r>
        <w:rPr>
          <w:rFonts w:eastAsia="仿宋_GB2312" w:hint="eastAsia"/>
          <w:spacing w:val="6"/>
          <w:sz w:val="32"/>
          <w:szCs w:val="32"/>
        </w:rPr>
        <w:t>微波消融针对</w:t>
      </w:r>
      <w:r>
        <w:rPr>
          <w:rFonts w:eastAsia="仿宋_GB2312" w:hint="eastAsia"/>
          <w:sz w:val="32"/>
          <w:szCs w:val="32"/>
        </w:rPr>
        <w:t>体内病变</w:t>
      </w:r>
      <w:r>
        <w:rPr>
          <w:rFonts w:eastAsia="仿宋_GB2312" w:hint="eastAsia"/>
          <w:spacing w:val="6"/>
          <w:sz w:val="32"/>
          <w:szCs w:val="32"/>
        </w:rPr>
        <w:t>组织传输频率大于</w:t>
      </w:r>
      <w:r>
        <w:rPr>
          <w:rFonts w:eastAsia="仿宋_GB2312"/>
          <w:spacing w:val="6"/>
          <w:sz w:val="32"/>
          <w:szCs w:val="32"/>
        </w:rPr>
        <w:t>300</w:t>
      </w:r>
      <w:r w:rsidRPr="007740AC">
        <w:rPr>
          <w:rFonts w:ascii="Times New Roman" w:eastAsia="仿宋_GB2312" w:hAnsi="Times New Roman" w:cs="Times New Roman"/>
          <w:sz w:val="32"/>
          <w:szCs w:val="32"/>
        </w:rPr>
        <w:t>MHz</w:t>
      </w:r>
      <w:r>
        <w:rPr>
          <w:rFonts w:eastAsia="仿宋_GB2312" w:hint="eastAsia"/>
          <w:spacing w:val="6"/>
          <w:sz w:val="32"/>
          <w:szCs w:val="32"/>
        </w:rPr>
        <w:t>但不超过</w:t>
      </w:r>
      <w:r>
        <w:rPr>
          <w:rFonts w:eastAsia="仿宋_GB2312"/>
          <w:spacing w:val="6"/>
          <w:sz w:val="32"/>
          <w:szCs w:val="32"/>
        </w:rPr>
        <w:t>30</w:t>
      </w:r>
      <w:r w:rsidRPr="007740AC">
        <w:rPr>
          <w:rFonts w:ascii="Times New Roman" w:eastAsia="仿宋_GB2312" w:hAnsi="Times New Roman" w:cs="Times New Roman"/>
          <w:sz w:val="32"/>
          <w:szCs w:val="32"/>
        </w:rPr>
        <w:t>GHz</w:t>
      </w:r>
      <w:r>
        <w:rPr>
          <w:rFonts w:eastAsia="仿宋_GB2312" w:hint="eastAsia"/>
          <w:spacing w:val="6"/>
          <w:sz w:val="32"/>
          <w:szCs w:val="32"/>
        </w:rPr>
        <w:t>的电磁波进行</w:t>
      </w:r>
      <w:r>
        <w:rPr>
          <w:rFonts w:eastAsia="仿宋_GB2312" w:hint="eastAsia"/>
          <w:sz w:val="32"/>
          <w:szCs w:val="32"/>
        </w:rPr>
        <w:t>消融治疗。</w:t>
      </w:r>
    </w:p>
    <w:p w14:paraId="58684005" w14:textId="360DEDCC" w:rsidR="00EB4030" w:rsidRDefault="00514C25" w:rsidP="0042468E">
      <w:pPr>
        <w:spacing w:line="520" w:lineRule="exact"/>
        <w:ind w:firstLine="630"/>
        <w:rPr>
          <w:rFonts w:eastAsia="仿宋_GB2312"/>
          <w:color w:val="000000"/>
          <w:sz w:val="32"/>
          <w:szCs w:val="32"/>
        </w:rPr>
      </w:pPr>
      <w:r>
        <w:rPr>
          <w:rFonts w:eastAsia="仿宋_GB2312" w:hint="eastAsia"/>
          <w:color w:val="000000"/>
          <w:sz w:val="32"/>
          <w:szCs w:val="32"/>
        </w:rPr>
        <w:lastRenderedPageBreak/>
        <w:t>本指导原则涵盖的</w:t>
      </w:r>
      <w:r>
        <w:rPr>
          <w:rFonts w:eastAsia="仿宋_GB2312" w:hint="eastAsia"/>
          <w:sz w:val="32"/>
          <w:szCs w:val="32"/>
        </w:rPr>
        <w:t>射频和微波</w:t>
      </w:r>
      <w:r>
        <w:rPr>
          <w:rFonts w:eastAsia="仿宋_GB2312"/>
          <w:sz w:val="32"/>
          <w:szCs w:val="32"/>
        </w:rPr>
        <w:t>消融</w:t>
      </w:r>
      <w:r w:rsidR="00734DAD">
        <w:rPr>
          <w:rFonts w:eastAsia="仿宋_GB2312"/>
          <w:sz w:val="32"/>
          <w:szCs w:val="32"/>
        </w:rPr>
        <w:t>设备</w:t>
      </w:r>
      <w:r>
        <w:rPr>
          <w:rFonts w:eastAsia="仿宋_GB2312" w:hint="eastAsia"/>
          <w:sz w:val="32"/>
          <w:szCs w:val="32"/>
        </w:rPr>
        <w:t>适用范围主要包括</w:t>
      </w:r>
      <w:r>
        <w:rPr>
          <w:rFonts w:eastAsia="仿宋_GB2312" w:hint="eastAsia"/>
          <w:color w:val="000000"/>
          <w:sz w:val="32"/>
          <w:szCs w:val="32"/>
        </w:rPr>
        <w:t>治疗肝脏肿瘤、甲状腺良性结节。</w:t>
      </w:r>
      <w:r w:rsidR="00651FE1">
        <w:rPr>
          <w:rFonts w:eastAsia="仿宋_GB2312" w:hint="eastAsia"/>
          <w:color w:val="000000"/>
          <w:sz w:val="32"/>
          <w:szCs w:val="32"/>
        </w:rPr>
        <w:t>本指导原则不包括用于心脏消融的设备，用于静脉消融的设备可参考该导则中的适用部分。</w:t>
      </w:r>
    </w:p>
    <w:p w14:paraId="326CF36F" w14:textId="77777777" w:rsidR="00EB4030" w:rsidRDefault="00514C25" w:rsidP="0042468E">
      <w:pPr>
        <w:overflowPunct w:val="0"/>
        <w:spacing w:line="520" w:lineRule="exact"/>
        <w:ind w:firstLineChars="200" w:firstLine="640"/>
        <w:rPr>
          <w:rFonts w:eastAsia="仿宋_GB2312"/>
          <w:color w:val="000000"/>
          <w:sz w:val="32"/>
          <w:szCs w:val="32"/>
        </w:rPr>
      </w:pPr>
      <w:r>
        <w:rPr>
          <w:rFonts w:eastAsia="仿宋_GB2312" w:hint="eastAsia"/>
          <w:color w:val="000000"/>
          <w:sz w:val="32"/>
          <w:szCs w:val="32"/>
        </w:rPr>
        <w:t>若拟申报产品或拟申报产品的某种关键器件具有全新的技术特性（如采用了全新的工作原理、设计等），或拟申报产品具有全新的临床适用范围，且已有临床数据无法证明拟申报产品安全有效的，需要</w:t>
      </w:r>
      <w:r>
        <w:rPr>
          <w:rFonts w:eastAsia="仿宋_GB2312"/>
          <w:color w:val="000000"/>
          <w:sz w:val="32"/>
          <w:szCs w:val="32"/>
        </w:rPr>
        <w:t>考虑通过临床试验来获得临床</w:t>
      </w:r>
      <w:r>
        <w:rPr>
          <w:rFonts w:eastAsia="仿宋_GB2312" w:hint="eastAsia"/>
          <w:color w:val="000000"/>
          <w:sz w:val="32"/>
          <w:szCs w:val="32"/>
        </w:rPr>
        <w:t>数据。</w:t>
      </w:r>
    </w:p>
    <w:p w14:paraId="18C3A738" w14:textId="786483BA" w:rsidR="00EB4030" w:rsidRDefault="00514C25" w:rsidP="0042468E">
      <w:pPr>
        <w:overflowPunct w:val="0"/>
        <w:spacing w:line="520" w:lineRule="exact"/>
        <w:ind w:firstLineChars="200" w:firstLine="640"/>
        <w:rPr>
          <w:rFonts w:ascii="Times New Roman" w:eastAsia="仿宋_GB2312" w:hAnsi="Times New Roman" w:cs="Times New Roman"/>
          <w:color w:val="000000" w:themeColor="text1"/>
          <w:sz w:val="32"/>
          <w:szCs w:val="32"/>
        </w:rPr>
      </w:pPr>
      <w:r>
        <w:rPr>
          <w:rFonts w:eastAsia="仿宋_GB2312" w:hint="eastAsia"/>
          <w:color w:val="000000"/>
          <w:sz w:val="32"/>
          <w:szCs w:val="32"/>
        </w:rPr>
        <w:t>本指导</w:t>
      </w:r>
      <w:r>
        <w:rPr>
          <w:rFonts w:eastAsia="仿宋_GB2312"/>
          <w:color w:val="000000"/>
          <w:sz w:val="32"/>
          <w:szCs w:val="32"/>
        </w:rPr>
        <w:t>原则</w:t>
      </w:r>
      <w:r>
        <w:rPr>
          <w:rFonts w:eastAsia="仿宋_GB2312" w:hint="eastAsia"/>
          <w:color w:val="000000"/>
          <w:sz w:val="32"/>
          <w:szCs w:val="32"/>
        </w:rPr>
        <w:t>定义的临床评</w:t>
      </w:r>
      <w:r>
        <w:rPr>
          <w:rFonts w:ascii="Times New Roman" w:eastAsia="仿宋_GB2312" w:hAnsi="Times New Roman" w:cs="Times New Roman" w:hint="eastAsia"/>
          <w:color w:val="000000" w:themeColor="text1"/>
          <w:sz w:val="32"/>
          <w:szCs w:val="32"/>
        </w:rPr>
        <w:t>价方式是在</w:t>
      </w:r>
      <w:r>
        <w:rPr>
          <w:rFonts w:ascii="Times New Roman" w:eastAsia="仿宋_GB2312" w:hAnsi="Times New Roman" w:cs="Times New Roman" w:hint="eastAsia"/>
          <w:bCs/>
          <w:color w:val="000000" w:themeColor="text1"/>
          <w:sz w:val="32"/>
          <w:szCs w:val="32"/>
        </w:rPr>
        <w:t>通则《医疗器械</w:t>
      </w:r>
      <w:r>
        <w:rPr>
          <w:rFonts w:ascii="Times New Roman" w:eastAsia="仿宋_GB2312" w:hAnsi="Times New Roman" w:cs="Times New Roman"/>
          <w:bCs/>
          <w:color w:val="000000" w:themeColor="text1"/>
          <w:sz w:val="32"/>
          <w:szCs w:val="32"/>
        </w:rPr>
        <w:t>临床评价技术指导原则</w:t>
      </w:r>
      <w:r>
        <w:rPr>
          <w:rFonts w:ascii="Times New Roman" w:eastAsia="仿宋_GB2312" w:hAnsi="Times New Roman" w:cs="Times New Roman" w:hint="eastAsia"/>
          <w:bCs/>
          <w:color w:val="000000" w:themeColor="text1"/>
          <w:sz w:val="32"/>
          <w:szCs w:val="32"/>
        </w:rPr>
        <w:t>》</w:t>
      </w:r>
      <w:r>
        <w:rPr>
          <w:rFonts w:ascii="Times New Roman" w:eastAsia="仿宋_GB2312" w:hAnsi="Times New Roman" w:cs="Times New Roman"/>
          <w:color w:val="000000" w:themeColor="text1"/>
          <w:sz w:val="32"/>
          <w:szCs w:val="32"/>
        </w:rPr>
        <w:t>的</w:t>
      </w:r>
      <w:r>
        <w:rPr>
          <w:rFonts w:ascii="Times New Roman" w:eastAsia="仿宋_GB2312" w:hAnsi="Times New Roman" w:cs="Times New Roman" w:hint="eastAsia"/>
          <w:color w:val="000000" w:themeColor="text1"/>
          <w:sz w:val="32"/>
          <w:szCs w:val="32"/>
        </w:rPr>
        <w:t>框架和</w:t>
      </w:r>
      <w:r>
        <w:rPr>
          <w:rFonts w:ascii="Times New Roman" w:eastAsia="仿宋_GB2312" w:hAnsi="Times New Roman" w:cs="Times New Roman"/>
          <w:color w:val="000000" w:themeColor="text1"/>
          <w:sz w:val="32"/>
          <w:szCs w:val="32"/>
        </w:rPr>
        <w:t>基础上</w:t>
      </w:r>
      <w:r>
        <w:rPr>
          <w:rFonts w:ascii="Times New Roman" w:eastAsia="仿宋_GB2312" w:hAnsi="Times New Roman" w:cs="Times New Roman" w:hint="eastAsia"/>
          <w:color w:val="000000" w:themeColor="text1"/>
          <w:sz w:val="32"/>
          <w:szCs w:val="32"/>
        </w:rPr>
        <w:t>，针对射频消融和</w:t>
      </w:r>
      <w:r>
        <w:rPr>
          <w:rFonts w:ascii="Times New Roman" w:eastAsia="仿宋_GB2312" w:hAnsi="Times New Roman" w:cs="Times New Roman"/>
          <w:color w:val="000000" w:themeColor="text1"/>
          <w:sz w:val="32"/>
          <w:szCs w:val="32"/>
        </w:rPr>
        <w:t>微波消融</w:t>
      </w:r>
      <w:r w:rsidR="00734DAD">
        <w:rPr>
          <w:rFonts w:ascii="Times New Roman" w:eastAsia="仿宋_GB2312" w:hAnsi="Times New Roman" w:cs="Times New Roman"/>
          <w:color w:val="000000" w:themeColor="text1"/>
          <w:sz w:val="32"/>
          <w:szCs w:val="32"/>
        </w:rPr>
        <w:t>设备</w:t>
      </w:r>
      <w:r>
        <w:rPr>
          <w:rFonts w:ascii="Times New Roman" w:eastAsia="仿宋_GB2312" w:hAnsi="Times New Roman" w:cs="Times New Roman" w:hint="eastAsia"/>
          <w:color w:val="000000" w:themeColor="text1"/>
          <w:sz w:val="32"/>
          <w:szCs w:val="32"/>
        </w:rPr>
        <w:t>同品种比对的技术审查要求进行细化</w:t>
      </w:r>
      <w:r>
        <w:rPr>
          <w:rFonts w:ascii="Times New Roman" w:eastAsia="仿宋_GB2312" w:hAnsi="Times New Roman" w:cs="Times New Roman"/>
          <w:color w:val="000000" w:themeColor="text1"/>
          <w:sz w:val="32"/>
          <w:szCs w:val="32"/>
        </w:rPr>
        <w:t>。</w:t>
      </w:r>
    </w:p>
    <w:p w14:paraId="24F2C42C" w14:textId="77777777" w:rsidR="00EB4030" w:rsidRDefault="00514C25" w:rsidP="0042468E">
      <w:pPr>
        <w:overflowPunct w:val="0"/>
        <w:spacing w:line="52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二</w:t>
      </w:r>
      <w:r>
        <w:rPr>
          <w:rFonts w:ascii="黑体" w:eastAsia="黑体" w:hAnsi="黑体" w:cs="Times New Roman"/>
          <w:bCs/>
          <w:sz w:val="32"/>
          <w:szCs w:val="32"/>
        </w:rPr>
        <w:t>、</w:t>
      </w:r>
      <w:r>
        <w:rPr>
          <w:rFonts w:ascii="黑体" w:eastAsia="黑体" w:hAnsi="黑体" w:cs="Times New Roman" w:hint="eastAsia"/>
          <w:bCs/>
          <w:sz w:val="32"/>
          <w:szCs w:val="32"/>
        </w:rPr>
        <w:t>同品种临床</w:t>
      </w:r>
      <w:r>
        <w:rPr>
          <w:rFonts w:ascii="黑体" w:eastAsia="黑体" w:hAnsi="黑体" w:cs="Times New Roman"/>
          <w:bCs/>
          <w:sz w:val="32"/>
          <w:szCs w:val="32"/>
        </w:rPr>
        <w:t>评价</w:t>
      </w:r>
      <w:r>
        <w:rPr>
          <w:rFonts w:ascii="黑体" w:eastAsia="黑体" w:hAnsi="黑体" w:cs="Times New Roman" w:hint="eastAsia"/>
          <w:bCs/>
          <w:sz w:val="32"/>
          <w:szCs w:val="32"/>
        </w:rPr>
        <w:t>项目</w:t>
      </w:r>
      <w:r>
        <w:rPr>
          <w:rFonts w:ascii="黑体" w:eastAsia="黑体" w:hAnsi="黑体" w:cs="Times New Roman"/>
          <w:bCs/>
          <w:sz w:val="32"/>
          <w:szCs w:val="32"/>
        </w:rPr>
        <w:t>及</w:t>
      </w:r>
      <w:r>
        <w:rPr>
          <w:rFonts w:ascii="黑体" w:eastAsia="黑体" w:hAnsi="黑体" w:cs="Times New Roman" w:hint="eastAsia"/>
          <w:bCs/>
          <w:sz w:val="32"/>
          <w:szCs w:val="32"/>
        </w:rPr>
        <w:t>要求</w:t>
      </w:r>
    </w:p>
    <w:p w14:paraId="105C81A3" w14:textId="77777777" w:rsidR="00EB4030" w:rsidRDefault="00514C25" w:rsidP="0042468E">
      <w:pPr>
        <w:spacing w:line="520" w:lineRule="exact"/>
        <w:ind w:firstLineChars="200" w:firstLine="640"/>
        <w:outlineLvl w:val="1"/>
        <w:rPr>
          <w:rFonts w:ascii="楷体" w:eastAsia="楷体" w:hAnsi="楷体"/>
          <w:sz w:val="32"/>
          <w:szCs w:val="32"/>
        </w:rPr>
      </w:pPr>
      <w:bookmarkStart w:id="1" w:name="_Toc498607710"/>
      <w:r>
        <w:rPr>
          <w:rFonts w:ascii="楷体" w:eastAsia="楷体" w:hAnsi="楷体" w:hint="eastAsia"/>
          <w:bCs/>
          <w:sz w:val="32"/>
          <w:szCs w:val="32"/>
        </w:rPr>
        <w:t>（一）</w:t>
      </w:r>
      <w:bookmarkEnd w:id="1"/>
      <w:r>
        <w:rPr>
          <w:rFonts w:ascii="楷体" w:eastAsia="楷体" w:hAnsi="楷体" w:hint="eastAsia"/>
          <w:sz w:val="32"/>
          <w:szCs w:val="32"/>
        </w:rPr>
        <w:t>同品种产品的选择</w:t>
      </w:r>
    </w:p>
    <w:p w14:paraId="47E5FFCA" w14:textId="431E6E9B"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注册申请人通过同品种比对方式开展射频和微波</w:t>
      </w:r>
      <w:r>
        <w:rPr>
          <w:rFonts w:ascii="仿宋_GB2312" w:eastAsia="仿宋_GB2312" w:hAnsi="Times New Roman"/>
          <w:color w:val="000000" w:themeColor="text1"/>
          <w:sz w:val="32"/>
          <w:szCs w:val="32"/>
        </w:rPr>
        <w:t>消融</w:t>
      </w:r>
      <w:r w:rsidR="00734DAD">
        <w:rPr>
          <w:rFonts w:ascii="仿宋_GB2312" w:eastAsia="仿宋_GB2312" w:hAnsi="Times New Roman" w:hint="eastAsia"/>
          <w:color w:val="000000" w:themeColor="text1"/>
          <w:sz w:val="32"/>
          <w:szCs w:val="32"/>
        </w:rPr>
        <w:t>设备</w:t>
      </w:r>
      <w:r>
        <w:rPr>
          <w:rFonts w:ascii="仿宋_GB2312" w:eastAsia="仿宋_GB2312" w:hAnsi="Times New Roman" w:hint="eastAsia"/>
          <w:color w:val="000000" w:themeColor="text1"/>
          <w:sz w:val="32"/>
          <w:szCs w:val="32"/>
        </w:rPr>
        <w:t>的临床评价时，可选用一个或多个同品种产品进行比对，宜优先选择与申报产品适用范围相同、技术特征相同或相似的产品作为同品种产品。</w:t>
      </w:r>
    </w:p>
    <w:p w14:paraId="5D92BD5A" w14:textId="77777777" w:rsidR="00EB4030" w:rsidRDefault="00514C25" w:rsidP="0042468E">
      <w:pPr>
        <w:spacing w:line="520" w:lineRule="exact"/>
        <w:ind w:firstLineChars="200" w:firstLine="640"/>
        <w:rPr>
          <w:rFonts w:ascii="楷体_GB2312" w:eastAsia="楷体_GB2312" w:hAnsi="楷体"/>
          <w:sz w:val="32"/>
          <w:szCs w:val="32"/>
        </w:rPr>
      </w:pPr>
      <w:r>
        <w:rPr>
          <w:rFonts w:ascii="楷体_GB2312" w:eastAsia="楷体_GB2312" w:hAnsi="楷体" w:hint="eastAsia"/>
          <w:sz w:val="32"/>
          <w:szCs w:val="32"/>
        </w:rPr>
        <w:t>（二）适用范围及临床使用相关信息的对比</w:t>
      </w:r>
    </w:p>
    <w:p w14:paraId="6176FEC9" w14:textId="77777777"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对比申报产品和同品种产品在适用范围以及临床使用相关信息的相同性和差异性。</w:t>
      </w:r>
    </w:p>
    <w:p w14:paraId="2D193DBC" w14:textId="73A3208F" w:rsidR="00EB4030" w:rsidRDefault="00514C25" w:rsidP="0042468E">
      <w:pPr>
        <w:overflowPunct w:val="0"/>
        <w:spacing w:line="520" w:lineRule="exact"/>
        <w:ind w:firstLineChars="200" w:firstLine="640"/>
        <w:rPr>
          <w:rFonts w:eastAsia="仿宋_GB2312"/>
          <w:sz w:val="32"/>
          <w:szCs w:val="32"/>
        </w:rPr>
      </w:pPr>
      <w:r>
        <w:rPr>
          <w:rFonts w:eastAsia="仿宋_GB2312" w:hint="eastAsia"/>
          <w:sz w:val="32"/>
          <w:szCs w:val="32"/>
        </w:rPr>
        <w:t>适用范围通常按照配合器械加适应证的方式进行规范。如用于</w:t>
      </w:r>
      <w:r>
        <w:rPr>
          <w:rFonts w:eastAsia="仿宋_GB2312"/>
          <w:sz w:val="32"/>
          <w:szCs w:val="32"/>
        </w:rPr>
        <w:t>肝脏</w:t>
      </w:r>
      <w:r>
        <w:rPr>
          <w:rFonts w:eastAsia="仿宋_GB2312" w:hint="eastAsia"/>
          <w:sz w:val="32"/>
          <w:szCs w:val="32"/>
        </w:rPr>
        <w:t>消融</w:t>
      </w:r>
      <w:r>
        <w:rPr>
          <w:rFonts w:eastAsia="仿宋_GB2312"/>
          <w:sz w:val="32"/>
          <w:szCs w:val="32"/>
        </w:rPr>
        <w:t>的射频消融</w:t>
      </w:r>
      <w:r>
        <w:rPr>
          <w:rFonts w:eastAsia="仿宋_GB2312" w:hint="eastAsia"/>
          <w:sz w:val="32"/>
          <w:szCs w:val="32"/>
        </w:rPr>
        <w:t>主机适用范围建议规范为：</w:t>
      </w:r>
      <w:r>
        <w:rPr>
          <w:rFonts w:eastAsia="仿宋_GB2312"/>
          <w:sz w:val="32"/>
          <w:szCs w:val="32"/>
        </w:rPr>
        <w:t>与本公司生产的</w:t>
      </w:r>
      <w:r>
        <w:rPr>
          <w:rFonts w:eastAsia="仿宋_GB2312" w:hint="eastAsia"/>
          <w:sz w:val="32"/>
          <w:szCs w:val="32"/>
        </w:rPr>
        <w:t>内冷或注水</w:t>
      </w:r>
      <w:r>
        <w:rPr>
          <w:rFonts w:eastAsia="仿宋_GB2312"/>
          <w:sz w:val="32"/>
          <w:szCs w:val="32"/>
        </w:rPr>
        <w:t>消融</w:t>
      </w:r>
      <w:r w:rsidR="00215A9E">
        <w:rPr>
          <w:rFonts w:eastAsia="仿宋_GB2312"/>
          <w:sz w:val="32"/>
          <w:szCs w:val="32"/>
        </w:rPr>
        <w:t>电极</w:t>
      </w:r>
      <w:r>
        <w:rPr>
          <w:rFonts w:eastAsia="仿宋_GB2312"/>
          <w:sz w:val="32"/>
          <w:szCs w:val="32"/>
        </w:rPr>
        <w:t>配合使用，用于人体肝脏肿瘤组织的消融</w:t>
      </w:r>
      <w:r>
        <w:rPr>
          <w:rFonts w:eastAsia="仿宋_GB2312" w:hint="eastAsia"/>
          <w:sz w:val="32"/>
          <w:szCs w:val="32"/>
        </w:rPr>
        <w:t>。</w:t>
      </w:r>
    </w:p>
    <w:p w14:paraId="5EA2A2DB" w14:textId="0E34A5FF" w:rsidR="00EB4030" w:rsidRDefault="00514C25" w:rsidP="0042468E">
      <w:pPr>
        <w:spacing w:line="520" w:lineRule="exact"/>
        <w:ind w:firstLineChars="200" w:firstLine="640"/>
        <w:rPr>
          <w:rFonts w:eastAsia="仿宋_GB2312"/>
          <w:sz w:val="32"/>
          <w:szCs w:val="32"/>
        </w:rPr>
      </w:pPr>
      <w:r>
        <w:rPr>
          <w:rFonts w:eastAsia="仿宋_GB2312" w:hint="eastAsia"/>
          <w:sz w:val="32"/>
          <w:szCs w:val="32"/>
        </w:rPr>
        <w:t>说明书需结合临床评价资料和诊疗指南</w:t>
      </w:r>
      <w:r>
        <w:rPr>
          <w:rFonts w:eastAsia="仿宋_GB2312"/>
          <w:sz w:val="32"/>
          <w:szCs w:val="32"/>
        </w:rPr>
        <w:t>进一步明确</w:t>
      </w:r>
      <w:r w:rsidR="00734DAD">
        <w:rPr>
          <w:rFonts w:eastAsia="仿宋_GB2312" w:hint="eastAsia"/>
          <w:sz w:val="32"/>
          <w:szCs w:val="32"/>
        </w:rPr>
        <w:t>适</w:t>
      </w:r>
      <w:r>
        <w:rPr>
          <w:rFonts w:eastAsia="仿宋_GB2312"/>
          <w:sz w:val="32"/>
          <w:szCs w:val="32"/>
        </w:rPr>
        <w:lastRenderedPageBreak/>
        <w:t>用的消融组织的大小、位置等信息</w:t>
      </w:r>
      <w:r>
        <w:rPr>
          <w:rFonts w:eastAsia="仿宋_GB2312" w:hint="eastAsia"/>
          <w:sz w:val="32"/>
          <w:szCs w:val="32"/>
        </w:rPr>
        <w:t>。例</w:t>
      </w:r>
      <w:r>
        <w:rPr>
          <w:rFonts w:eastAsia="仿宋_GB2312"/>
          <w:sz w:val="32"/>
          <w:szCs w:val="32"/>
        </w:rPr>
        <w:t>如适用于部分或完全消融不能</w:t>
      </w:r>
      <w:r w:rsidR="00E705AD">
        <w:rPr>
          <w:rFonts w:eastAsia="仿宋_GB2312" w:hint="eastAsia"/>
          <w:sz w:val="32"/>
          <w:szCs w:val="32"/>
        </w:rPr>
        <w:t>进</w:t>
      </w:r>
      <w:r>
        <w:rPr>
          <w:rFonts w:eastAsia="仿宋_GB2312"/>
          <w:sz w:val="32"/>
          <w:szCs w:val="32"/>
        </w:rPr>
        <w:t>行切除的肝脏肿瘤，病灶直径</w:t>
      </w:r>
      <w:r>
        <w:rPr>
          <w:rFonts w:eastAsia="仿宋_GB2312" w:hint="eastAsia"/>
          <w:sz w:val="32"/>
          <w:szCs w:val="32"/>
        </w:rPr>
        <w:t>≤</w:t>
      </w:r>
      <w:r>
        <w:rPr>
          <w:rFonts w:ascii="仿宋_GB2312" w:eastAsia="仿宋_GB2312" w:hAnsi="仿宋_GB2312"/>
          <w:sz w:val="32"/>
          <w:szCs w:val="32"/>
        </w:rPr>
        <w:t>3cm</w:t>
      </w:r>
      <w:r>
        <w:rPr>
          <w:rFonts w:ascii="仿宋_GB2312" w:eastAsia="仿宋_GB2312" w:hAnsi="仿宋_GB2312" w:hint="eastAsia"/>
          <w:sz w:val="32"/>
          <w:szCs w:val="32"/>
        </w:rPr>
        <w:t>，</w:t>
      </w:r>
      <w:r>
        <w:rPr>
          <w:rFonts w:ascii="仿宋_GB2312" w:eastAsia="仿宋_GB2312" w:hAnsi="仿宋_GB2312"/>
          <w:sz w:val="32"/>
          <w:szCs w:val="32"/>
        </w:rPr>
        <w:t>病灶距</w:t>
      </w:r>
      <w:r>
        <w:rPr>
          <w:rFonts w:ascii="仿宋_GB2312" w:eastAsia="仿宋_GB2312" w:hAnsi="仿宋_GB2312" w:hint="eastAsia"/>
          <w:sz w:val="32"/>
          <w:szCs w:val="32"/>
        </w:rPr>
        <w:t>肝门</w:t>
      </w:r>
      <w:r>
        <w:rPr>
          <w:rFonts w:ascii="仿宋_GB2312" w:eastAsia="仿宋_GB2312" w:hAnsi="仿宋_GB2312"/>
          <w:sz w:val="32"/>
          <w:szCs w:val="32"/>
        </w:rPr>
        <w:t>、胆囊、肠道应不小于</w:t>
      </w:r>
      <w:r>
        <w:rPr>
          <w:rFonts w:ascii="仿宋_GB2312" w:eastAsia="仿宋_GB2312" w:hAnsi="仿宋_GB2312" w:hint="eastAsia"/>
          <w:sz w:val="32"/>
          <w:szCs w:val="32"/>
        </w:rPr>
        <w:t>1.5</w:t>
      </w:r>
      <w:r>
        <w:rPr>
          <w:rFonts w:ascii="仿宋_GB2312" w:eastAsia="仿宋_GB2312" w:hAnsi="仿宋_GB2312"/>
          <w:sz w:val="32"/>
          <w:szCs w:val="32"/>
        </w:rPr>
        <w:t>cm，</w:t>
      </w:r>
      <w:r>
        <w:rPr>
          <w:rFonts w:ascii="仿宋_GB2312" w:eastAsia="仿宋_GB2312" w:hAnsi="仿宋_GB2312" w:hint="eastAsia"/>
          <w:sz w:val="32"/>
          <w:szCs w:val="32"/>
        </w:rPr>
        <w:t>并与</w:t>
      </w:r>
      <w:r>
        <w:rPr>
          <w:rFonts w:ascii="仿宋_GB2312" w:eastAsia="仿宋_GB2312" w:hAnsi="仿宋_GB2312"/>
          <w:sz w:val="32"/>
          <w:szCs w:val="32"/>
        </w:rPr>
        <w:t>膈面应无粘连</w:t>
      </w:r>
      <w:r>
        <w:rPr>
          <w:rFonts w:ascii="仿宋_GB2312" w:eastAsia="仿宋_GB2312" w:hAnsi="仿宋_GB2312" w:hint="eastAsia"/>
          <w:sz w:val="32"/>
          <w:szCs w:val="32"/>
        </w:rPr>
        <w:t>；用于甲状腺良性结节，结节直径≥2cm，实性＞80%、进行性增大、出现压迫症状。</w:t>
      </w:r>
      <w:r>
        <w:rPr>
          <w:rFonts w:ascii="仿宋_GB2312" w:eastAsia="仿宋_GB2312" w:hAnsi="Times New Roman" w:hint="eastAsia"/>
          <w:color w:val="000000" w:themeColor="text1"/>
          <w:sz w:val="32"/>
          <w:szCs w:val="32"/>
        </w:rPr>
        <w:t>对比申报产品和同品种产品在适用范围以及临床使用相关信息的相同性和差异性。</w:t>
      </w:r>
      <w:r>
        <w:rPr>
          <w:rFonts w:eastAsia="仿宋_GB2312" w:hint="eastAsia"/>
          <w:sz w:val="32"/>
          <w:szCs w:val="32"/>
        </w:rPr>
        <w:t>建议重点</w:t>
      </w:r>
      <w:r>
        <w:rPr>
          <w:rFonts w:eastAsia="仿宋_GB2312"/>
          <w:sz w:val="32"/>
          <w:szCs w:val="32"/>
        </w:rPr>
        <w:t>关注以下几点：</w:t>
      </w:r>
    </w:p>
    <w:p w14:paraId="204E85C6" w14:textId="4F687F07" w:rsidR="00EB4030" w:rsidRDefault="00514C25" w:rsidP="0042468E">
      <w:pPr>
        <w:overflowPunct w:val="0"/>
        <w:spacing w:line="520" w:lineRule="exact"/>
        <w:ind w:firstLineChars="200" w:firstLine="640"/>
        <w:rPr>
          <w:rFonts w:eastAsia="仿宋_GB2312"/>
          <w:sz w:val="32"/>
          <w:szCs w:val="32"/>
        </w:rPr>
      </w:pPr>
      <w:r>
        <w:rPr>
          <w:rFonts w:ascii="仿宋_GB2312" w:eastAsia="仿宋_GB2312" w:hAnsi="仿宋_GB2312" w:hint="eastAsia"/>
          <w:sz w:val="32"/>
          <w:szCs w:val="32"/>
        </w:rPr>
        <w:t>1. 适应证：</w:t>
      </w:r>
      <w:r>
        <w:rPr>
          <w:rFonts w:eastAsia="仿宋_GB2312" w:hint="eastAsia"/>
          <w:sz w:val="32"/>
          <w:szCs w:val="32"/>
        </w:rPr>
        <w:t>如疾病的类型、严重程度等，若适用范围包括多个适应证，</w:t>
      </w:r>
      <w:r w:rsidR="008277E5">
        <w:rPr>
          <w:rFonts w:eastAsia="仿宋_GB2312" w:hint="eastAsia"/>
          <w:sz w:val="32"/>
          <w:szCs w:val="32"/>
        </w:rPr>
        <w:t>需</w:t>
      </w:r>
      <w:r>
        <w:rPr>
          <w:rFonts w:eastAsia="仿宋_GB2312" w:hint="eastAsia"/>
          <w:sz w:val="32"/>
          <w:szCs w:val="32"/>
        </w:rPr>
        <w:t>明确每个适应证对应的消融针型号；</w:t>
      </w:r>
    </w:p>
    <w:p w14:paraId="7F6ECB14" w14:textId="76DE1A2A" w:rsidR="00EB4030" w:rsidRDefault="00514C25" w:rsidP="0042468E">
      <w:pPr>
        <w:spacing w:line="520" w:lineRule="exact"/>
        <w:rPr>
          <w:rFonts w:ascii="仿宋_GB2312" w:eastAsia="仿宋_GB2312" w:hAnsi="仿宋_GB2312"/>
          <w:sz w:val="32"/>
          <w:szCs w:val="32"/>
        </w:rPr>
      </w:pPr>
      <w:r>
        <w:rPr>
          <w:rFonts w:ascii="仿宋_GB2312" w:eastAsia="仿宋_GB2312" w:hAnsi="仿宋_GB2312" w:hint="eastAsia"/>
          <w:sz w:val="32"/>
          <w:szCs w:val="32"/>
        </w:rPr>
        <w:t xml:space="preserve">  </w:t>
      </w:r>
      <w:r>
        <w:rPr>
          <w:rFonts w:ascii="仿宋_GB2312" w:eastAsia="仿宋_GB2312" w:hAnsi="仿宋_GB2312"/>
          <w:sz w:val="32"/>
          <w:szCs w:val="32"/>
        </w:rPr>
        <w:t xml:space="preserve">  2.</w:t>
      </w:r>
      <w:r>
        <w:rPr>
          <w:rFonts w:ascii="仿宋_GB2312" w:eastAsia="仿宋_GB2312" w:hAnsi="仿宋_GB2312" w:hint="eastAsia"/>
          <w:sz w:val="32"/>
          <w:szCs w:val="32"/>
        </w:rPr>
        <w:t xml:space="preserve"> 适用部位：</w:t>
      </w:r>
      <w:r w:rsidR="008277E5">
        <w:rPr>
          <w:rFonts w:eastAsia="仿宋_GB2312" w:hint="eastAsia"/>
          <w:sz w:val="32"/>
          <w:szCs w:val="32"/>
        </w:rPr>
        <w:t>需</w:t>
      </w:r>
      <w:r>
        <w:rPr>
          <w:rFonts w:eastAsia="仿宋_GB2312" w:hint="eastAsia"/>
          <w:sz w:val="32"/>
          <w:szCs w:val="32"/>
        </w:rPr>
        <w:t>提供详细信息，包括消融部位、病变尺寸、数量、与周围组织的位置关系等。消融部位：例如</w:t>
      </w:r>
      <w:r w:rsidR="00734DAD">
        <w:rPr>
          <w:rFonts w:eastAsia="仿宋_GB2312"/>
          <w:sz w:val="32"/>
          <w:szCs w:val="32"/>
        </w:rPr>
        <w:t>不能</w:t>
      </w:r>
      <w:r w:rsidR="00734DAD">
        <w:rPr>
          <w:rFonts w:eastAsia="仿宋_GB2312" w:hint="eastAsia"/>
          <w:sz w:val="32"/>
          <w:szCs w:val="32"/>
        </w:rPr>
        <w:t>进</w:t>
      </w:r>
      <w:r w:rsidR="00734DAD">
        <w:rPr>
          <w:rFonts w:eastAsia="仿宋_GB2312"/>
          <w:sz w:val="32"/>
          <w:szCs w:val="32"/>
        </w:rPr>
        <w:t>行切除的肝脏肿瘤</w:t>
      </w:r>
      <w:r>
        <w:rPr>
          <w:rFonts w:ascii="仿宋_GB2312" w:eastAsia="仿宋_GB2312" w:hAnsi="仿宋_GB2312" w:hint="eastAsia"/>
          <w:sz w:val="32"/>
          <w:szCs w:val="32"/>
        </w:rPr>
        <w:t>；病变尺寸</w:t>
      </w:r>
      <w:r>
        <w:rPr>
          <w:rFonts w:eastAsia="仿宋_GB2312" w:hint="eastAsia"/>
          <w:sz w:val="32"/>
          <w:szCs w:val="32"/>
        </w:rPr>
        <w:t>、数量、与周围组织的位置关系</w:t>
      </w:r>
      <w:r>
        <w:rPr>
          <w:rFonts w:ascii="仿宋_GB2312" w:eastAsia="仿宋_GB2312" w:hAnsi="仿宋_GB2312" w:hint="eastAsia"/>
          <w:sz w:val="32"/>
          <w:szCs w:val="32"/>
        </w:rPr>
        <w:t>：</w:t>
      </w:r>
      <w:r>
        <w:rPr>
          <w:rFonts w:eastAsia="仿宋_GB2312" w:hint="eastAsia"/>
          <w:sz w:val="32"/>
          <w:szCs w:val="32"/>
        </w:rPr>
        <w:t>例</w:t>
      </w:r>
      <w:r>
        <w:rPr>
          <w:rFonts w:ascii="仿宋_GB2312" w:eastAsia="仿宋_GB2312" w:hAnsi="仿宋_GB2312" w:hint="eastAsia"/>
          <w:sz w:val="32"/>
          <w:szCs w:val="32"/>
        </w:rPr>
        <w:t>如不适合手术切除的直径≤</w:t>
      </w:r>
      <w:r>
        <w:rPr>
          <w:rFonts w:ascii="仿宋_GB2312" w:eastAsia="仿宋_GB2312" w:hAnsi="仿宋_GB2312"/>
          <w:sz w:val="32"/>
          <w:szCs w:val="32"/>
        </w:rPr>
        <w:t>3cm</w:t>
      </w:r>
      <w:r>
        <w:rPr>
          <w:rFonts w:ascii="仿宋_GB2312" w:eastAsia="仿宋_GB2312" w:hAnsi="仿宋_GB2312" w:hint="eastAsia"/>
          <w:sz w:val="32"/>
          <w:szCs w:val="32"/>
        </w:rPr>
        <w:t>的肿瘤，</w:t>
      </w:r>
      <w:r>
        <w:rPr>
          <w:rFonts w:ascii="仿宋_GB2312" w:eastAsia="仿宋_GB2312" w:hAnsi="仿宋_GB2312"/>
          <w:sz w:val="32"/>
          <w:szCs w:val="32"/>
        </w:rPr>
        <w:t>病灶距</w:t>
      </w:r>
      <w:r>
        <w:rPr>
          <w:rFonts w:ascii="仿宋_GB2312" w:eastAsia="仿宋_GB2312" w:hAnsi="仿宋_GB2312" w:hint="eastAsia"/>
          <w:sz w:val="32"/>
          <w:szCs w:val="32"/>
        </w:rPr>
        <w:t>肝门</w:t>
      </w:r>
      <w:r>
        <w:rPr>
          <w:rFonts w:ascii="仿宋_GB2312" w:eastAsia="仿宋_GB2312" w:hAnsi="仿宋_GB2312"/>
          <w:sz w:val="32"/>
          <w:szCs w:val="32"/>
        </w:rPr>
        <w:t>、胆囊、肠道应不小于</w:t>
      </w:r>
      <w:r>
        <w:rPr>
          <w:rFonts w:ascii="仿宋_GB2312" w:eastAsia="仿宋_GB2312" w:hAnsi="仿宋_GB2312" w:hint="eastAsia"/>
          <w:sz w:val="32"/>
          <w:szCs w:val="32"/>
        </w:rPr>
        <w:t>1.5</w:t>
      </w:r>
      <w:r>
        <w:rPr>
          <w:rFonts w:ascii="仿宋_GB2312" w:eastAsia="仿宋_GB2312" w:hAnsi="仿宋_GB2312"/>
          <w:sz w:val="32"/>
          <w:szCs w:val="32"/>
        </w:rPr>
        <w:t>cm，</w:t>
      </w:r>
      <w:r>
        <w:rPr>
          <w:rFonts w:ascii="仿宋_GB2312" w:eastAsia="仿宋_GB2312" w:hAnsi="仿宋_GB2312" w:hint="eastAsia"/>
          <w:sz w:val="32"/>
          <w:szCs w:val="32"/>
        </w:rPr>
        <w:t>并与</w:t>
      </w:r>
      <w:r>
        <w:rPr>
          <w:rFonts w:ascii="仿宋_GB2312" w:eastAsia="仿宋_GB2312" w:hAnsi="仿宋_GB2312"/>
          <w:sz w:val="32"/>
          <w:szCs w:val="32"/>
        </w:rPr>
        <w:t>膈面应无粘连</w:t>
      </w:r>
      <w:r>
        <w:rPr>
          <w:rFonts w:ascii="仿宋_GB2312" w:eastAsia="仿宋_GB2312" w:hAnsi="仿宋_GB2312" w:hint="eastAsia"/>
          <w:sz w:val="32"/>
          <w:szCs w:val="32"/>
        </w:rPr>
        <w:t>；</w:t>
      </w:r>
    </w:p>
    <w:p w14:paraId="5871A969" w14:textId="7ED1EC79" w:rsidR="00EB4030" w:rsidRDefault="00514C25" w:rsidP="0042468E">
      <w:pPr>
        <w:spacing w:line="520" w:lineRule="exact"/>
        <w:ind w:firstLineChars="200" w:firstLine="640"/>
        <w:rPr>
          <w:rFonts w:eastAsia="仿宋_GB2312"/>
          <w:color w:val="000000"/>
          <w:sz w:val="32"/>
          <w:szCs w:val="32"/>
        </w:rPr>
      </w:pPr>
      <w:r w:rsidRPr="007C6B11">
        <w:rPr>
          <w:rFonts w:ascii="仿宋_GB2312" w:eastAsia="仿宋_GB2312" w:hAnsi="仿宋_GB2312"/>
          <w:sz w:val="32"/>
          <w:szCs w:val="32"/>
        </w:rPr>
        <w:t xml:space="preserve">3. </w:t>
      </w:r>
      <w:r>
        <w:rPr>
          <w:rFonts w:eastAsia="仿宋_GB2312"/>
          <w:color w:val="000000"/>
          <w:sz w:val="32"/>
          <w:szCs w:val="32"/>
        </w:rPr>
        <w:t>使用方法：</w:t>
      </w:r>
      <w:r w:rsidR="008277E5">
        <w:rPr>
          <w:rFonts w:eastAsia="仿宋_GB2312" w:hint="eastAsia"/>
          <w:color w:val="000000"/>
          <w:sz w:val="32"/>
          <w:szCs w:val="32"/>
        </w:rPr>
        <w:t>需</w:t>
      </w:r>
      <w:r>
        <w:rPr>
          <w:rFonts w:eastAsia="仿宋_GB2312" w:hint="eastAsia"/>
          <w:color w:val="000000"/>
          <w:sz w:val="32"/>
          <w:szCs w:val="32"/>
        </w:rPr>
        <w:t>明确消融针的消融路径（例如，经皮、经内窥镜或开腹）以及</w:t>
      </w:r>
      <w:r>
        <w:rPr>
          <w:rFonts w:eastAsia="仿宋_GB2312" w:hint="eastAsia"/>
          <w:sz w:val="32"/>
          <w:szCs w:val="32"/>
        </w:rPr>
        <w:t>可支持的影像引导方式</w:t>
      </w:r>
      <w:r>
        <w:rPr>
          <w:rFonts w:eastAsia="仿宋_GB2312" w:hint="eastAsia"/>
          <w:color w:val="000000"/>
          <w:sz w:val="32"/>
          <w:szCs w:val="32"/>
        </w:rPr>
        <w:t>（例如，超声引导、</w:t>
      </w:r>
      <w:r>
        <w:rPr>
          <w:rFonts w:eastAsia="仿宋_GB2312" w:hint="eastAsia"/>
          <w:color w:val="000000"/>
          <w:sz w:val="32"/>
          <w:szCs w:val="32"/>
        </w:rPr>
        <w:t>CT</w:t>
      </w:r>
      <w:r>
        <w:rPr>
          <w:rFonts w:eastAsia="仿宋_GB2312" w:hint="eastAsia"/>
          <w:color w:val="000000"/>
          <w:sz w:val="32"/>
          <w:szCs w:val="32"/>
        </w:rPr>
        <w:t>引导</w:t>
      </w:r>
      <w:r w:rsidR="00734DAD">
        <w:rPr>
          <w:rFonts w:eastAsia="仿宋_GB2312" w:hint="eastAsia"/>
          <w:color w:val="000000"/>
          <w:sz w:val="32"/>
          <w:szCs w:val="32"/>
        </w:rPr>
        <w:t>或</w:t>
      </w:r>
      <w:r>
        <w:rPr>
          <w:rFonts w:eastAsia="仿宋_GB2312" w:hint="eastAsia"/>
          <w:color w:val="000000"/>
          <w:sz w:val="32"/>
          <w:szCs w:val="32"/>
        </w:rPr>
        <w:t>MRI</w:t>
      </w:r>
      <w:r>
        <w:rPr>
          <w:rFonts w:eastAsia="仿宋_GB2312" w:hint="eastAsia"/>
          <w:color w:val="000000"/>
          <w:sz w:val="32"/>
          <w:szCs w:val="32"/>
        </w:rPr>
        <w:t>引导），如涉及多针消融还</w:t>
      </w:r>
      <w:r w:rsidR="008277E5">
        <w:rPr>
          <w:rFonts w:eastAsia="仿宋_GB2312" w:hint="eastAsia"/>
          <w:color w:val="000000"/>
          <w:sz w:val="32"/>
          <w:szCs w:val="32"/>
        </w:rPr>
        <w:t>需</w:t>
      </w:r>
      <w:r>
        <w:rPr>
          <w:rFonts w:eastAsia="仿宋_GB2312" w:hint="eastAsia"/>
          <w:color w:val="000000"/>
          <w:sz w:val="32"/>
          <w:szCs w:val="32"/>
        </w:rPr>
        <w:t>对消融针的排布提供指导信息；</w:t>
      </w:r>
    </w:p>
    <w:p w14:paraId="1B7D17C2" w14:textId="4AFDAD46" w:rsidR="00EB4030" w:rsidRDefault="00514C25" w:rsidP="0042468E">
      <w:pPr>
        <w:pStyle w:val="af2"/>
        <w:spacing w:line="520" w:lineRule="exact"/>
        <w:ind w:left="709" w:firstLineChars="0" w:firstLine="0"/>
        <w:rPr>
          <w:rFonts w:eastAsia="仿宋_GB2312"/>
          <w:sz w:val="32"/>
          <w:szCs w:val="32"/>
        </w:rPr>
      </w:pPr>
      <w:r>
        <w:rPr>
          <w:rFonts w:ascii="仿宋_GB2312" w:eastAsia="仿宋_GB2312" w:hAnsi="仿宋_GB2312" w:hint="eastAsia"/>
          <w:sz w:val="32"/>
          <w:szCs w:val="32"/>
        </w:rPr>
        <w:t xml:space="preserve">4. </w:t>
      </w:r>
      <w:r>
        <w:rPr>
          <w:rFonts w:eastAsia="仿宋_GB2312" w:hint="eastAsia"/>
          <w:sz w:val="32"/>
          <w:szCs w:val="32"/>
        </w:rPr>
        <w:t>禁忌证、警告及预防措施等</w:t>
      </w:r>
      <w:r w:rsidR="00734DAD">
        <w:rPr>
          <w:rFonts w:eastAsia="仿宋_GB2312" w:hint="eastAsia"/>
          <w:sz w:val="32"/>
          <w:szCs w:val="32"/>
        </w:rPr>
        <w:t>；</w:t>
      </w:r>
    </w:p>
    <w:p w14:paraId="2905358F" w14:textId="77777777" w:rsidR="00EB4030" w:rsidRDefault="00514C25" w:rsidP="0042468E">
      <w:pPr>
        <w:pStyle w:val="af2"/>
        <w:spacing w:line="520" w:lineRule="exact"/>
        <w:ind w:left="567" w:firstLineChars="0" w:firstLine="0"/>
        <w:rPr>
          <w:rFonts w:ascii="楷体_GB2312" w:eastAsia="楷体_GB2312" w:hAnsi="楷体"/>
          <w:sz w:val="32"/>
          <w:szCs w:val="32"/>
        </w:rPr>
      </w:pPr>
      <w:r>
        <w:rPr>
          <w:rFonts w:ascii="楷体_GB2312" w:eastAsia="楷体_GB2312" w:hAnsi="楷体" w:hint="eastAsia"/>
          <w:sz w:val="32"/>
          <w:szCs w:val="32"/>
        </w:rPr>
        <w:t>（三）技术特征的对比</w:t>
      </w:r>
    </w:p>
    <w:p w14:paraId="47E47EBF" w14:textId="77777777"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申报产品与同品种产品技术特征的具体对比项目，建议重点考虑以下内容（包括但不限于）：</w:t>
      </w:r>
    </w:p>
    <w:p w14:paraId="23DF5063" w14:textId="77777777"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1. 结构组成</w:t>
      </w:r>
    </w:p>
    <w:p w14:paraId="491BA820" w14:textId="77777777"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对比申报产品与同品种产品的结构组成、工作原理（例如，明确</w:t>
      </w:r>
      <w:r>
        <w:rPr>
          <w:rFonts w:ascii="仿宋_GB2312" w:eastAsia="仿宋_GB2312" w:hAnsi="Times New Roman"/>
          <w:color w:val="000000" w:themeColor="text1"/>
          <w:sz w:val="32"/>
          <w:szCs w:val="32"/>
        </w:rPr>
        <w:t>反馈机制</w:t>
      </w:r>
      <w:r>
        <w:rPr>
          <w:rFonts w:ascii="仿宋_GB2312" w:eastAsia="仿宋_GB2312" w:hAnsi="Times New Roman" w:hint="eastAsia"/>
          <w:color w:val="000000" w:themeColor="text1"/>
          <w:sz w:val="32"/>
          <w:szCs w:val="32"/>
        </w:rPr>
        <w:t>）、性能等，特别是关键组件。</w:t>
      </w:r>
    </w:p>
    <w:p w14:paraId="450DBC60" w14:textId="13199982" w:rsidR="00EB4030" w:rsidRDefault="00514C25" w:rsidP="0042468E">
      <w:pPr>
        <w:spacing w:line="520" w:lineRule="exact"/>
        <w:ind w:firstLineChars="200" w:firstLine="640"/>
        <w:rPr>
          <w:rFonts w:eastAsia="仿宋_GB2312"/>
          <w:sz w:val="32"/>
          <w:szCs w:val="32"/>
        </w:rPr>
      </w:pPr>
      <w:r>
        <w:rPr>
          <w:rFonts w:eastAsia="仿宋_GB2312" w:hint="eastAsia"/>
          <w:sz w:val="32"/>
          <w:szCs w:val="32"/>
        </w:rPr>
        <w:t>射频</w:t>
      </w:r>
      <w:r>
        <w:rPr>
          <w:rFonts w:eastAsia="仿宋_GB2312"/>
          <w:sz w:val="32"/>
          <w:szCs w:val="32"/>
        </w:rPr>
        <w:t>消融</w:t>
      </w:r>
      <w:r w:rsidR="00B76462">
        <w:rPr>
          <w:rFonts w:eastAsia="仿宋_GB2312" w:hint="eastAsia"/>
          <w:sz w:val="32"/>
          <w:szCs w:val="32"/>
        </w:rPr>
        <w:t>设备</w:t>
      </w:r>
      <w:r>
        <w:rPr>
          <w:rFonts w:eastAsia="仿宋_GB2312" w:hint="eastAsia"/>
          <w:sz w:val="32"/>
          <w:szCs w:val="32"/>
        </w:rPr>
        <w:t>通常</w:t>
      </w:r>
      <w:r>
        <w:rPr>
          <w:rFonts w:eastAsia="仿宋_GB2312"/>
          <w:sz w:val="32"/>
          <w:szCs w:val="32"/>
        </w:rPr>
        <w:t>包括</w:t>
      </w:r>
      <w:r>
        <w:rPr>
          <w:rFonts w:eastAsia="仿宋_GB2312" w:hint="eastAsia"/>
          <w:sz w:val="32"/>
          <w:szCs w:val="32"/>
        </w:rPr>
        <w:t>主机</w:t>
      </w:r>
      <w:r>
        <w:rPr>
          <w:rFonts w:eastAsia="仿宋_GB2312"/>
          <w:sz w:val="32"/>
          <w:szCs w:val="32"/>
        </w:rPr>
        <w:t>、</w:t>
      </w:r>
      <w:r w:rsidR="00734DAD">
        <w:rPr>
          <w:rFonts w:eastAsia="仿宋_GB2312"/>
          <w:sz w:val="32"/>
          <w:szCs w:val="32"/>
        </w:rPr>
        <w:t>射频消融电极</w:t>
      </w:r>
      <w:r w:rsidR="00734DAD">
        <w:rPr>
          <w:rFonts w:eastAsia="仿宋_GB2312" w:hint="eastAsia"/>
          <w:sz w:val="32"/>
          <w:szCs w:val="32"/>
        </w:rPr>
        <w:t>、</w:t>
      </w:r>
      <w:r>
        <w:rPr>
          <w:rFonts w:eastAsia="仿宋_GB2312"/>
          <w:sz w:val="32"/>
          <w:szCs w:val="32"/>
        </w:rPr>
        <w:t>灌注</w:t>
      </w:r>
      <w:r>
        <w:rPr>
          <w:rFonts w:eastAsia="仿宋_GB2312"/>
          <w:sz w:val="32"/>
          <w:szCs w:val="32"/>
        </w:rPr>
        <w:lastRenderedPageBreak/>
        <w:t>泵</w:t>
      </w:r>
      <w:r>
        <w:rPr>
          <w:rFonts w:eastAsia="仿宋_GB2312" w:hint="eastAsia"/>
          <w:sz w:val="32"/>
          <w:szCs w:val="32"/>
        </w:rPr>
        <w:t>（如适用）</w:t>
      </w:r>
      <w:r>
        <w:rPr>
          <w:rFonts w:eastAsia="仿宋_GB2312"/>
          <w:sz w:val="32"/>
          <w:szCs w:val="32"/>
        </w:rPr>
        <w:t>、线缆、连接器</w:t>
      </w:r>
      <w:r>
        <w:rPr>
          <w:rFonts w:ascii="仿宋_GB2312" w:eastAsia="仿宋_GB2312" w:hAnsi="Times New Roman" w:hint="eastAsia"/>
          <w:color w:val="000000" w:themeColor="text1"/>
          <w:sz w:val="32"/>
          <w:szCs w:val="32"/>
        </w:rPr>
        <w:t>、通道（如适用）、脚踏开关</w:t>
      </w:r>
      <w:r>
        <w:rPr>
          <w:rFonts w:eastAsia="仿宋_GB2312" w:hint="eastAsia"/>
          <w:sz w:val="32"/>
          <w:szCs w:val="32"/>
        </w:rPr>
        <w:t>等部件。</w:t>
      </w:r>
      <w:r>
        <w:rPr>
          <w:rFonts w:eastAsia="仿宋_GB2312"/>
          <w:sz w:val="32"/>
          <w:szCs w:val="32"/>
        </w:rPr>
        <w:t>射频消融电极</w:t>
      </w:r>
      <w:r>
        <w:rPr>
          <w:rFonts w:eastAsia="仿宋_GB2312" w:hint="eastAsia"/>
          <w:sz w:val="32"/>
          <w:szCs w:val="32"/>
        </w:rPr>
        <w:t>还需</w:t>
      </w:r>
      <w:r>
        <w:rPr>
          <w:rFonts w:eastAsia="仿宋_GB2312"/>
          <w:sz w:val="32"/>
          <w:szCs w:val="32"/>
        </w:rPr>
        <w:t>明确单双</w:t>
      </w:r>
      <w:r>
        <w:rPr>
          <w:rFonts w:eastAsia="仿宋_GB2312" w:hint="eastAsia"/>
          <w:sz w:val="32"/>
          <w:szCs w:val="32"/>
        </w:rPr>
        <w:t>极</w:t>
      </w:r>
      <w:r>
        <w:rPr>
          <w:rFonts w:eastAsia="仿宋_GB2312"/>
          <w:sz w:val="32"/>
          <w:szCs w:val="32"/>
        </w:rPr>
        <w:t>、电极形状</w:t>
      </w:r>
      <w:r>
        <w:rPr>
          <w:rFonts w:eastAsia="仿宋_GB2312" w:hint="eastAsia"/>
          <w:sz w:val="32"/>
          <w:szCs w:val="32"/>
        </w:rPr>
        <w:t>、</w:t>
      </w:r>
      <w:r>
        <w:rPr>
          <w:rFonts w:eastAsia="仿宋_GB2312"/>
          <w:sz w:val="32"/>
          <w:szCs w:val="32"/>
        </w:rPr>
        <w:t>热电偶（</w:t>
      </w:r>
      <w:r>
        <w:rPr>
          <w:rFonts w:eastAsia="仿宋_GB2312" w:hint="eastAsia"/>
          <w:sz w:val="32"/>
          <w:szCs w:val="32"/>
        </w:rPr>
        <w:t>如适用</w:t>
      </w:r>
      <w:r>
        <w:rPr>
          <w:rFonts w:eastAsia="仿宋_GB2312"/>
          <w:sz w:val="32"/>
          <w:szCs w:val="32"/>
        </w:rPr>
        <w:t>）</w:t>
      </w:r>
      <w:r>
        <w:rPr>
          <w:rFonts w:eastAsia="仿宋_GB2312" w:hint="eastAsia"/>
          <w:sz w:val="32"/>
          <w:szCs w:val="32"/>
        </w:rPr>
        <w:t>、</w:t>
      </w:r>
      <w:r>
        <w:rPr>
          <w:rFonts w:eastAsia="仿宋_GB2312"/>
          <w:sz w:val="32"/>
          <w:szCs w:val="32"/>
        </w:rPr>
        <w:t>多针尖伸展性、冷循环</w:t>
      </w:r>
      <w:r>
        <w:rPr>
          <w:rFonts w:eastAsia="仿宋_GB2312" w:hint="eastAsia"/>
          <w:sz w:val="32"/>
          <w:szCs w:val="32"/>
        </w:rPr>
        <w:t>型</w:t>
      </w:r>
      <w:r>
        <w:rPr>
          <w:rFonts w:eastAsia="仿宋_GB2312"/>
          <w:sz w:val="32"/>
          <w:szCs w:val="32"/>
        </w:rPr>
        <w:t>或者灌注型</w:t>
      </w:r>
      <w:r>
        <w:rPr>
          <w:rFonts w:eastAsia="仿宋_GB2312" w:hint="eastAsia"/>
          <w:sz w:val="32"/>
          <w:szCs w:val="32"/>
        </w:rPr>
        <w:t>等，</w:t>
      </w:r>
      <w:r>
        <w:rPr>
          <w:rFonts w:eastAsia="仿宋_GB2312" w:hint="eastAsia"/>
          <w:color w:val="000000"/>
          <w:sz w:val="32"/>
          <w:szCs w:val="32"/>
        </w:rPr>
        <w:t>建议以提供剖面或三维结构图的形式说明射频消融电极的结构。</w:t>
      </w:r>
    </w:p>
    <w:p w14:paraId="3B00862B" w14:textId="5822D29D" w:rsidR="00EB4030" w:rsidRDefault="00514C25" w:rsidP="0042468E">
      <w:pPr>
        <w:overflowPunct w:val="0"/>
        <w:spacing w:line="520" w:lineRule="exact"/>
        <w:ind w:firstLineChars="200" w:firstLine="640"/>
        <w:rPr>
          <w:rFonts w:eastAsia="仿宋_GB2312"/>
          <w:color w:val="0000FF"/>
          <w:sz w:val="32"/>
          <w:szCs w:val="32"/>
        </w:rPr>
      </w:pPr>
      <w:r>
        <w:rPr>
          <w:rFonts w:eastAsia="仿宋_GB2312" w:hint="eastAsia"/>
          <w:color w:val="000000"/>
          <w:sz w:val="32"/>
          <w:szCs w:val="32"/>
        </w:rPr>
        <w:t>微波消融</w:t>
      </w:r>
      <w:r w:rsidR="00B76462">
        <w:rPr>
          <w:rFonts w:eastAsia="仿宋_GB2312" w:hint="eastAsia"/>
          <w:color w:val="000000"/>
          <w:sz w:val="32"/>
          <w:szCs w:val="32"/>
        </w:rPr>
        <w:t>设备</w:t>
      </w:r>
      <w:r>
        <w:rPr>
          <w:rFonts w:eastAsia="仿宋_GB2312" w:hint="eastAsia"/>
          <w:color w:val="000000"/>
          <w:sz w:val="32"/>
          <w:szCs w:val="32"/>
        </w:rPr>
        <w:t>通常包括主机（含微波源）、微波消融针（含微波辐射区）、输出线缆、测温针（如适用）、脚踏开关等部件，建议以提供剖面或三维结构图的形式说明微波消融针的结构。</w:t>
      </w:r>
    </w:p>
    <w:p w14:paraId="1E27EA8D" w14:textId="77777777"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2. 产品性能、功能及其他关键技术特征</w:t>
      </w:r>
    </w:p>
    <w:p w14:paraId="7C5DEF46" w14:textId="1A8387EC"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eastAsia="仿宋_GB2312" w:hint="eastAsia"/>
          <w:sz w:val="32"/>
          <w:szCs w:val="32"/>
        </w:rPr>
        <w:t xml:space="preserve"> </w:t>
      </w:r>
      <w:r w:rsidR="008277E5">
        <w:rPr>
          <w:rFonts w:eastAsia="仿宋_GB2312" w:hint="eastAsia"/>
          <w:sz w:val="32"/>
          <w:szCs w:val="32"/>
        </w:rPr>
        <w:t>需</w:t>
      </w:r>
      <w:r>
        <w:rPr>
          <w:rFonts w:eastAsia="仿宋_GB2312" w:hint="eastAsia"/>
          <w:sz w:val="32"/>
          <w:szCs w:val="32"/>
        </w:rPr>
        <w:t>以</w:t>
      </w:r>
      <w:r>
        <w:rPr>
          <w:rFonts w:eastAsia="仿宋_GB2312"/>
          <w:sz w:val="32"/>
          <w:szCs w:val="32"/>
        </w:rPr>
        <w:t>“</w:t>
      </w:r>
      <w:r>
        <w:rPr>
          <w:rFonts w:eastAsia="仿宋_GB2312" w:hint="eastAsia"/>
          <w:sz w:val="32"/>
          <w:szCs w:val="32"/>
        </w:rPr>
        <w:t>主机</w:t>
      </w:r>
      <w:r>
        <w:rPr>
          <w:rFonts w:eastAsia="仿宋_GB2312"/>
          <w:sz w:val="32"/>
          <w:szCs w:val="32"/>
        </w:rPr>
        <w:t>+</w:t>
      </w:r>
      <w:r>
        <w:rPr>
          <w:rFonts w:eastAsia="仿宋_GB2312" w:hint="eastAsia"/>
          <w:sz w:val="32"/>
          <w:szCs w:val="32"/>
        </w:rPr>
        <w:t>附件</w:t>
      </w:r>
      <w:r>
        <w:rPr>
          <w:rFonts w:eastAsia="仿宋_GB2312"/>
          <w:sz w:val="32"/>
          <w:szCs w:val="32"/>
        </w:rPr>
        <w:t>”</w:t>
      </w:r>
      <w:r>
        <w:rPr>
          <w:rFonts w:eastAsia="仿宋_GB2312" w:hint="eastAsia"/>
          <w:sz w:val="32"/>
          <w:szCs w:val="32"/>
        </w:rPr>
        <w:t>方式评价全部输出模式，每一输出模式</w:t>
      </w:r>
      <w:r w:rsidR="008277E5">
        <w:rPr>
          <w:rFonts w:eastAsia="仿宋_GB2312" w:hint="eastAsia"/>
          <w:sz w:val="32"/>
          <w:szCs w:val="32"/>
        </w:rPr>
        <w:t>需</w:t>
      </w:r>
      <w:r>
        <w:rPr>
          <w:rFonts w:eastAsia="仿宋_GB2312" w:hint="eastAsia"/>
          <w:sz w:val="32"/>
          <w:szCs w:val="32"/>
        </w:rPr>
        <w:t>单独评价，即每一种输出模式的安全有效性均</w:t>
      </w:r>
      <w:r w:rsidR="008277E5">
        <w:rPr>
          <w:rFonts w:eastAsia="仿宋_GB2312" w:hint="eastAsia"/>
          <w:sz w:val="32"/>
          <w:szCs w:val="32"/>
        </w:rPr>
        <w:t>需</w:t>
      </w:r>
      <w:r>
        <w:rPr>
          <w:rFonts w:eastAsia="仿宋_GB2312" w:hint="eastAsia"/>
          <w:sz w:val="32"/>
          <w:szCs w:val="32"/>
        </w:rPr>
        <w:t>得到验证。性能比对建议重点考虑以下内容的适</w:t>
      </w:r>
      <w:r>
        <w:rPr>
          <w:rFonts w:ascii="仿宋_GB2312" w:eastAsia="仿宋_GB2312" w:hAnsi="Times New Roman" w:hint="eastAsia"/>
          <w:color w:val="000000" w:themeColor="text1"/>
          <w:sz w:val="32"/>
          <w:szCs w:val="32"/>
        </w:rPr>
        <w:t>用项：</w:t>
      </w:r>
    </w:p>
    <w:p w14:paraId="3AB13848" w14:textId="2FF45B0D" w:rsidR="00EB4030" w:rsidRDefault="00514C25" w:rsidP="0042468E">
      <w:pPr>
        <w:numPr>
          <w:ilvl w:val="255"/>
          <w:numId w:val="0"/>
        </w:num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（1）主机性能：射频消融主机需关注工作频率、射频输出功率范围及精度</w:t>
      </w:r>
      <w:r w:rsidR="005A2482">
        <w:rPr>
          <w:rFonts w:ascii="仿宋_GB2312" w:eastAsia="仿宋_GB2312" w:hAnsi="Times New Roman" w:hint="eastAsia"/>
          <w:color w:val="000000" w:themeColor="text1"/>
          <w:sz w:val="32"/>
          <w:szCs w:val="32"/>
        </w:rPr>
        <w:t>（如适用）</w:t>
      </w:r>
      <w:r>
        <w:rPr>
          <w:rFonts w:ascii="仿宋_GB2312" w:eastAsia="仿宋_GB2312" w:hAnsi="Times New Roman" w:hint="eastAsia"/>
          <w:color w:val="000000" w:themeColor="text1"/>
          <w:sz w:val="32"/>
          <w:szCs w:val="32"/>
        </w:rPr>
        <w:t>、功率曲线、峰值系数</w:t>
      </w:r>
      <w:r w:rsidR="005A2482">
        <w:rPr>
          <w:rFonts w:ascii="仿宋_GB2312" w:eastAsia="仿宋_GB2312" w:hAnsi="Times New Roman" w:hint="eastAsia"/>
          <w:color w:val="000000" w:themeColor="text1"/>
          <w:sz w:val="32"/>
          <w:szCs w:val="32"/>
        </w:rPr>
        <w:t>（如适用）</w:t>
      </w:r>
      <w:r>
        <w:rPr>
          <w:rFonts w:ascii="仿宋_GB2312" w:eastAsia="仿宋_GB2312" w:hAnsi="Times New Roman" w:hint="eastAsia"/>
          <w:color w:val="000000" w:themeColor="text1"/>
          <w:sz w:val="32"/>
          <w:szCs w:val="32"/>
        </w:rPr>
        <w:t>、最大输出功率、每通道最大输出功率（如适用）、最大输出电压、温度测量范围及精度（针杆温度、组织温度）、温度控制范围及精度（针杆温度、组织温度）、时间设定范围及精度、冷却或灌注系统（如适用）、阻抗测量范围和精度、脉宽控制范围和精度（如适用）、额定负载</w:t>
      </w:r>
      <w:r w:rsidR="00103C8B">
        <w:rPr>
          <w:rFonts w:ascii="仿宋_GB2312" w:eastAsia="仿宋_GB2312" w:hAnsi="Times New Roman" w:hint="eastAsia"/>
          <w:color w:val="000000" w:themeColor="text1"/>
          <w:sz w:val="32"/>
          <w:szCs w:val="32"/>
        </w:rPr>
        <w:t>及</w:t>
      </w:r>
      <w:r>
        <w:rPr>
          <w:rFonts w:ascii="仿宋_GB2312" w:eastAsia="仿宋_GB2312" w:hAnsi="Times New Roman" w:hint="eastAsia"/>
          <w:color w:val="000000" w:themeColor="text1"/>
          <w:sz w:val="32"/>
          <w:szCs w:val="32"/>
        </w:rPr>
        <w:t>负载范围、</w:t>
      </w:r>
      <w:r w:rsidR="007740AC">
        <w:rPr>
          <w:rFonts w:ascii="仿宋_GB2312" w:eastAsia="仿宋_GB2312" w:hAnsi="Times New Roman" w:hint="eastAsia"/>
          <w:color w:val="000000" w:themeColor="text1"/>
          <w:sz w:val="32"/>
          <w:szCs w:val="32"/>
        </w:rPr>
        <w:t>温升速率</w:t>
      </w:r>
      <w:r w:rsidR="007740AC">
        <w:rPr>
          <w:rFonts w:ascii="仿宋_GB2312" w:eastAsia="仿宋_GB2312" w:hAnsi="Times New Roman"/>
          <w:color w:val="000000" w:themeColor="text1"/>
          <w:sz w:val="32"/>
          <w:szCs w:val="32"/>
        </w:rPr>
        <w:t>、</w:t>
      </w:r>
      <w:r>
        <w:rPr>
          <w:rFonts w:ascii="仿宋_GB2312" w:eastAsia="仿宋_GB2312" w:hAnsi="Times New Roman" w:hint="eastAsia"/>
          <w:color w:val="000000" w:themeColor="text1"/>
          <w:sz w:val="32"/>
          <w:szCs w:val="32"/>
        </w:rPr>
        <w:t>脉冲射频频率（如适用）和脉冲持续时间（如适用）等；</w:t>
      </w:r>
    </w:p>
    <w:p w14:paraId="3BC8F2B4" w14:textId="4385B04E" w:rsidR="00EB4030" w:rsidRDefault="00514C25" w:rsidP="0042468E">
      <w:pPr>
        <w:overflowPunct w:val="0"/>
        <w:spacing w:line="520" w:lineRule="exact"/>
        <w:ind w:firstLineChars="200" w:firstLine="640"/>
        <w:rPr>
          <w:rFonts w:ascii="仿宋_GB2312" w:eastAsia="仿宋_GB2312" w:hAnsi="Times New Roman"/>
          <w:color w:val="000000" w:themeColor="text1"/>
          <w:sz w:val="32"/>
          <w:szCs w:val="32"/>
        </w:rPr>
      </w:pPr>
      <w:r>
        <w:rPr>
          <w:rFonts w:ascii="仿宋_GB2312" w:eastAsia="仿宋_GB2312" w:hAnsi="Times New Roman" w:hint="eastAsia"/>
          <w:color w:val="000000" w:themeColor="text1"/>
          <w:sz w:val="32"/>
          <w:szCs w:val="32"/>
        </w:rPr>
        <w:t>微波消融主机主要关注工作频率、输出功率范围及精度</w:t>
      </w:r>
      <w:r w:rsidR="00E705AD">
        <w:rPr>
          <w:rFonts w:ascii="仿宋_GB2312" w:eastAsia="仿宋_GB2312" w:hAnsi="Times New Roman" w:hint="eastAsia"/>
          <w:color w:val="000000" w:themeColor="text1"/>
          <w:sz w:val="32"/>
          <w:szCs w:val="32"/>
        </w:rPr>
        <w:t>（如适用）</w:t>
      </w:r>
      <w:r>
        <w:rPr>
          <w:rFonts w:ascii="仿宋_GB2312" w:eastAsia="仿宋_GB2312" w:hAnsi="Times New Roman" w:hint="eastAsia"/>
          <w:color w:val="000000" w:themeColor="text1"/>
          <w:sz w:val="32"/>
          <w:szCs w:val="32"/>
        </w:rPr>
        <w:t>、</w:t>
      </w:r>
      <w:r w:rsidR="00103C8B">
        <w:rPr>
          <w:rFonts w:ascii="仿宋_GB2312" w:eastAsia="仿宋_GB2312" w:hAnsi="Times New Roman" w:hint="eastAsia"/>
          <w:color w:val="000000" w:themeColor="text1"/>
          <w:sz w:val="32"/>
          <w:szCs w:val="32"/>
        </w:rPr>
        <w:t>额定负载</w:t>
      </w:r>
      <w:r>
        <w:rPr>
          <w:rFonts w:ascii="仿宋_GB2312" w:eastAsia="仿宋_GB2312" w:hAnsi="Times New Roman" w:hint="eastAsia"/>
          <w:color w:val="000000" w:themeColor="text1"/>
          <w:sz w:val="32"/>
          <w:szCs w:val="32"/>
        </w:rPr>
        <w:t>、定时器设定范围和精度、冷却系统、温度测量范围及精度（针杆温度、组织温度）、温度控制范围及精度（针杆温度、组织温度）、</w:t>
      </w:r>
      <w:r w:rsidR="007740AC">
        <w:rPr>
          <w:rFonts w:ascii="仿宋_GB2312" w:eastAsia="仿宋_GB2312" w:hAnsi="Times New Roman" w:hint="eastAsia"/>
          <w:color w:val="000000" w:themeColor="text1"/>
          <w:sz w:val="32"/>
          <w:szCs w:val="32"/>
        </w:rPr>
        <w:t>温升速率</w:t>
      </w:r>
      <w:r w:rsidR="007740AC">
        <w:rPr>
          <w:rFonts w:ascii="仿宋_GB2312" w:eastAsia="仿宋_GB2312" w:hAnsi="Times New Roman"/>
          <w:color w:val="000000" w:themeColor="text1"/>
          <w:sz w:val="32"/>
          <w:szCs w:val="32"/>
        </w:rPr>
        <w:t>、</w:t>
      </w:r>
      <w:r>
        <w:rPr>
          <w:rFonts w:ascii="仿宋_GB2312" w:eastAsia="仿宋_GB2312" w:hAnsi="Times New Roman" w:hint="eastAsia"/>
          <w:color w:val="000000" w:themeColor="text1"/>
          <w:sz w:val="32"/>
          <w:szCs w:val="32"/>
        </w:rPr>
        <w:t>超温保护等。</w:t>
      </w:r>
    </w:p>
    <w:p w14:paraId="2713C759" w14:textId="7CBF0272" w:rsidR="00EB4030" w:rsidRDefault="00514C25" w:rsidP="0042468E">
      <w:pPr>
        <w:spacing w:line="520" w:lineRule="exact"/>
        <w:ind w:firstLineChars="200" w:firstLine="640"/>
        <w:rPr>
          <w:rFonts w:eastAsia="仿宋_GB2312"/>
          <w:sz w:val="32"/>
          <w:szCs w:val="32"/>
        </w:rPr>
      </w:pPr>
      <w:r>
        <w:rPr>
          <w:rFonts w:ascii="仿宋_GB2312" w:eastAsia="仿宋_GB2312" w:hAnsi="Times New Roman" w:hint="eastAsia"/>
          <w:color w:val="000000" w:themeColor="text1"/>
          <w:sz w:val="32"/>
          <w:szCs w:val="32"/>
        </w:rPr>
        <w:t>（2）电极性能：射频消融电极需关注物理尺寸（包括长</w:t>
      </w:r>
      <w:r>
        <w:rPr>
          <w:rFonts w:ascii="仿宋_GB2312" w:eastAsia="仿宋_GB2312" w:hAnsi="Times New Roman" w:hint="eastAsia"/>
          <w:color w:val="000000" w:themeColor="text1"/>
          <w:sz w:val="32"/>
          <w:szCs w:val="32"/>
        </w:rPr>
        <w:lastRenderedPageBreak/>
        <w:t>度、裸露</w:t>
      </w:r>
      <w:r w:rsidR="00734DAD">
        <w:rPr>
          <w:rFonts w:ascii="仿宋_GB2312" w:eastAsia="仿宋_GB2312" w:hAnsi="Times New Roman" w:hint="eastAsia"/>
          <w:color w:val="000000" w:themeColor="text1"/>
          <w:sz w:val="32"/>
          <w:szCs w:val="32"/>
        </w:rPr>
        <w:t>区</w:t>
      </w:r>
      <w:r>
        <w:rPr>
          <w:rFonts w:ascii="仿宋_GB2312" w:eastAsia="仿宋_GB2312" w:hAnsi="Times New Roman" w:hint="eastAsia"/>
          <w:color w:val="000000" w:themeColor="text1"/>
          <w:sz w:val="32"/>
          <w:szCs w:val="32"/>
        </w:rPr>
        <w:t>长度、外径等）、传导电阻</w:t>
      </w:r>
      <w:r>
        <w:rPr>
          <w:rFonts w:eastAsia="仿宋_GB2312"/>
          <w:sz w:val="32"/>
          <w:szCs w:val="32"/>
        </w:rPr>
        <w:t>、热电偶精确度</w:t>
      </w:r>
      <w:r>
        <w:rPr>
          <w:rFonts w:eastAsia="仿宋_GB2312" w:hint="eastAsia"/>
          <w:sz w:val="32"/>
          <w:szCs w:val="32"/>
        </w:rPr>
        <w:t>（如适用）、</w:t>
      </w:r>
      <w:r>
        <w:rPr>
          <w:rFonts w:eastAsia="仿宋_GB2312"/>
          <w:sz w:val="32"/>
          <w:szCs w:val="32"/>
        </w:rPr>
        <w:t>材料（</w:t>
      </w:r>
      <w:r>
        <w:rPr>
          <w:rFonts w:eastAsia="仿宋_GB2312" w:hint="eastAsia"/>
          <w:sz w:val="32"/>
          <w:szCs w:val="32"/>
        </w:rPr>
        <w:t>针杆材料、绝缘材料</w:t>
      </w:r>
      <w:r>
        <w:rPr>
          <w:rFonts w:eastAsia="仿宋_GB2312"/>
          <w:sz w:val="32"/>
          <w:szCs w:val="32"/>
        </w:rPr>
        <w:t>、涂层等）</w:t>
      </w:r>
      <w:r>
        <w:rPr>
          <w:rFonts w:eastAsia="仿宋_GB2312" w:hint="eastAsia"/>
          <w:sz w:val="32"/>
          <w:szCs w:val="32"/>
        </w:rPr>
        <w:t>、</w:t>
      </w:r>
      <w:r>
        <w:rPr>
          <w:rFonts w:eastAsia="仿宋_GB2312"/>
          <w:sz w:val="32"/>
          <w:szCs w:val="32"/>
        </w:rPr>
        <w:t>导电</w:t>
      </w:r>
      <w:r>
        <w:rPr>
          <w:rFonts w:eastAsia="仿宋_GB2312" w:hint="eastAsia"/>
          <w:sz w:val="32"/>
          <w:szCs w:val="32"/>
        </w:rPr>
        <w:t>性、中性电极</w:t>
      </w:r>
      <w:r>
        <w:rPr>
          <w:rFonts w:eastAsia="仿宋_GB2312"/>
          <w:sz w:val="32"/>
          <w:szCs w:val="32"/>
        </w:rPr>
        <w:t>电容性</w:t>
      </w:r>
      <w:r>
        <w:rPr>
          <w:rFonts w:eastAsia="仿宋_GB2312" w:hint="eastAsia"/>
          <w:sz w:val="32"/>
          <w:szCs w:val="32"/>
        </w:rPr>
        <w:t>（如适用）、</w:t>
      </w:r>
      <w:r>
        <w:rPr>
          <w:rFonts w:eastAsia="仿宋_GB2312"/>
          <w:sz w:val="32"/>
          <w:szCs w:val="32"/>
        </w:rPr>
        <w:t>布针</w:t>
      </w:r>
      <w:r>
        <w:rPr>
          <w:rFonts w:eastAsia="仿宋_GB2312" w:hint="eastAsia"/>
          <w:sz w:val="32"/>
          <w:szCs w:val="32"/>
        </w:rPr>
        <w:t>（如适用）、额定附件电压等；</w:t>
      </w:r>
    </w:p>
    <w:p w14:paraId="3CD360A6" w14:textId="6065FC97" w:rsidR="00EB4030" w:rsidRDefault="00514C25" w:rsidP="0042468E">
      <w:pPr>
        <w:spacing w:line="520" w:lineRule="exact"/>
        <w:ind w:firstLineChars="200" w:firstLine="640"/>
        <w:rPr>
          <w:rFonts w:eastAsia="仿宋_GB2312"/>
          <w:strike/>
          <w:color w:val="5B9BD5" w:themeColor="accent1"/>
          <w:sz w:val="32"/>
          <w:szCs w:val="32"/>
        </w:rPr>
      </w:pPr>
      <w:r>
        <w:rPr>
          <w:rFonts w:eastAsia="仿宋_GB2312" w:hint="eastAsia"/>
          <w:sz w:val="32"/>
          <w:szCs w:val="32"/>
        </w:rPr>
        <w:t>微波消融针需</w:t>
      </w:r>
      <w:r>
        <w:rPr>
          <w:rFonts w:eastAsia="仿宋_GB2312"/>
          <w:sz w:val="32"/>
          <w:szCs w:val="32"/>
        </w:rPr>
        <w:t>关注</w:t>
      </w:r>
      <w:r>
        <w:rPr>
          <w:rFonts w:eastAsia="仿宋_GB2312" w:hint="eastAsia"/>
          <w:color w:val="000000"/>
          <w:sz w:val="32"/>
          <w:szCs w:val="32"/>
        </w:rPr>
        <w:t>物理尺寸（包括长度、微波辐射区尺寸、外径等）、可耐受最大输出功率、消融针材料和涂层（包括天线、针杆和微波辐射区）、杆温检测等；</w:t>
      </w:r>
    </w:p>
    <w:p w14:paraId="7E45511F" w14:textId="6158EF6D" w:rsidR="00EB4030" w:rsidRDefault="00514C25" w:rsidP="0042468E">
      <w:pPr>
        <w:spacing w:line="520" w:lineRule="exact"/>
        <w:ind w:firstLineChars="200" w:firstLine="640"/>
        <w:rPr>
          <w:rFonts w:eastAsia="仿宋_GB2312"/>
          <w:strike/>
          <w:color w:val="5B9BD5" w:themeColor="accent1"/>
          <w:sz w:val="32"/>
          <w:szCs w:val="32"/>
        </w:rPr>
      </w:pPr>
      <w:r>
        <w:rPr>
          <w:rFonts w:eastAsia="仿宋_GB2312" w:hint="eastAsia"/>
          <w:sz w:val="32"/>
          <w:szCs w:val="32"/>
        </w:rPr>
        <w:t>（</w:t>
      </w:r>
      <w:r>
        <w:rPr>
          <w:rFonts w:eastAsia="仿宋_GB2312"/>
          <w:sz w:val="32"/>
          <w:szCs w:val="32"/>
        </w:rPr>
        <w:t>3</w:t>
      </w:r>
      <w:r>
        <w:rPr>
          <w:rFonts w:eastAsia="仿宋_GB2312" w:hint="eastAsia"/>
          <w:sz w:val="32"/>
          <w:szCs w:val="32"/>
        </w:rPr>
        <w:t>）灌注泵</w:t>
      </w:r>
      <w:r>
        <w:rPr>
          <w:rFonts w:eastAsia="仿宋_GB2312"/>
          <w:sz w:val="32"/>
          <w:szCs w:val="32"/>
        </w:rPr>
        <w:t>和线缆（</w:t>
      </w:r>
      <w:r>
        <w:rPr>
          <w:rFonts w:eastAsia="仿宋_GB2312" w:hint="eastAsia"/>
          <w:sz w:val="32"/>
          <w:szCs w:val="32"/>
        </w:rPr>
        <w:t>如适用</w:t>
      </w:r>
      <w:r>
        <w:rPr>
          <w:rFonts w:eastAsia="仿宋_GB2312"/>
          <w:sz w:val="32"/>
          <w:szCs w:val="32"/>
        </w:rPr>
        <w:t>）</w:t>
      </w:r>
      <w:r>
        <w:rPr>
          <w:rFonts w:eastAsia="仿宋_GB2312" w:hint="eastAsia"/>
          <w:sz w:val="32"/>
          <w:szCs w:val="32"/>
        </w:rPr>
        <w:t>：流量、流速（如适用）、压力（如适用）；</w:t>
      </w:r>
    </w:p>
    <w:p w14:paraId="2C420CF1" w14:textId="77777777" w:rsidR="001B33CE" w:rsidRDefault="00514C25" w:rsidP="0042468E">
      <w:pPr>
        <w:overflowPunct w:val="0"/>
        <w:spacing w:line="520" w:lineRule="exact"/>
        <w:ind w:firstLineChars="200" w:firstLine="640"/>
        <w:rPr>
          <w:rFonts w:eastAsia="仿宋_GB2312"/>
          <w:color w:val="000000"/>
          <w:sz w:val="32"/>
          <w:szCs w:val="32"/>
        </w:rPr>
      </w:pPr>
      <w:r>
        <w:rPr>
          <w:rFonts w:eastAsia="仿宋_GB2312" w:hint="eastAsia"/>
          <w:sz w:val="32"/>
          <w:szCs w:val="32"/>
        </w:rPr>
        <w:t>（</w:t>
      </w:r>
      <w:r w:rsidR="00E705AD">
        <w:rPr>
          <w:rFonts w:eastAsia="仿宋_GB2312"/>
          <w:sz w:val="32"/>
          <w:szCs w:val="32"/>
        </w:rPr>
        <w:t>4</w:t>
      </w:r>
      <w:r>
        <w:rPr>
          <w:rFonts w:eastAsia="仿宋_GB2312" w:hint="eastAsia"/>
          <w:sz w:val="32"/>
          <w:szCs w:val="32"/>
        </w:rPr>
        <w:t>）软件核心功能：</w:t>
      </w:r>
      <w:r>
        <w:rPr>
          <w:rFonts w:eastAsia="仿宋_GB2312" w:hint="eastAsia"/>
          <w:color w:val="000000"/>
          <w:sz w:val="32"/>
          <w:szCs w:val="32"/>
        </w:rPr>
        <w:t>软件一般涉及输出能量的调节和控制，如有其他软件核心功能，建议注册申请人提供申报产品与同品种医疗器械的相关比对信息如算法原理等；</w:t>
      </w:r>
    </w:p>
    <w:p w14:paraId="74539200" w14:textId="749E5776" w:rsidR="003077FE" w:rsidRDefault="001B33CE" w:rsidP="0042468E">
      <w:pPr>
        <w:spacing w:line="520" w:lineRule="exact"/>
        <w:ind w:firstLineChars="200" w:firstLine="640"/>
        <w:rPr>
          <w:rFonts w:eastAsia="仿宋_GB2312"/>
          <w:sz w:val="32"/>
          <w:szCs w:val="32"/>
        </w:rPr>
      </w:pPr>
      <w:r>
        <w:rPr>
          <w:rFonts w:eastAsia="仿宋_GB2312" w:hint="eastAsia"/>
          <w:color w:val="000000"/>
          <w:sz w:val="32"/>
          <w:szCs w:val="32"/>
        </w:rPr>
        <w:t>（</w:t>
      </w:r>
      <w:r>
        <w:rPr>
          <w:rFonts w:eastAsia="仿宋_GB2312" w:hint="eastAsia"/>
          <w:color w:val="000000"/>
          <w:sz w:val="32"/>
          <w:szCs w:val="32"/>
        </w:rPr>
        <w:t>5</w:t>
      </w:r>
      <w:r>
        <w:rPr>
          <w:rFonts w:eastAsia="仿宋_GB2312" w:hint="eastAsia"/>
          <w:color w:val="000000"/>
          <w:sz w:val="32"/>
          <w:szCs w:val="32"/>
        </w:rPr>
        <w:t>）</w:t>
      </w:r>
      <w:r w:rsidR="00514C25">
        <w:rPr>
          <w:rFonts w:eastAsia="仿宋_GB2312" w:hint="eastAsia"/>
          <w:sz w:val="32"/>
          <w:szCs w:val="32"/>
        </w:rPr>
        <w:t xml:space="preserve"> </w:t>
      </w:r>
      <w:r w:rsidR="003077FE">
        <w:rPr>
          <w:rFonts w:eastAsia="仿宋_GB2312" w:hint="eastAsia"/>
          <w:sz w:val="32"/>
          <w:szCs w:val="32"/>
        </w:rPr>
        <w:t>离体组织比对：对于每一种输出模式，需提供其在离体组织上申报产品和同品种产品的消融量效关系比对。不同输出模式在进行试验时</w:t>
      </w:r>
      <w:r w:rsidR="008277E5">
        <w:rPr>
          <w:rFonts w:eastAsia="仿宋_GB2312" w:hint="eastAsia"/>
          <w:sz w:val="32"/>
          <w:szCs w:val="32"/>
        </w:rPr>
        <w:t>需</w:t>
      </w:r>
      <w:r w:rsidR="003077FE">
        <w:rPr>
          <w:rFonts w:eastAsia="仿宋_GB2312" w:hint="eastAsia"/>
          <w:sz w:val="32"/>
          <w:szCs w:val="32"/>
        </w:rPr>
        <w:t>选择与该输出模式所匹配的一种或几种最典型射频消融电极或微波消融针。射频消融</w:t>
      </w:r>
      <w:r w:rsidR="00215A9E">
        <w:rPr>
          <w:rFonts w:eastAsia="仿宋_GB2312" w:hint="eastAsia"/>
          <w:sz w:val="32"/>
          <w:szCs w:val="32"/>
        </w:rPr>
        <w:t>电极</w:t>
      </w:r>
      <w:r w:rsidR="003077FE">
        <w:rPr>
          <w:rFonts w:eastAsia="仿宋_GB2312" w:hint="eastAsia"/>
          <w:sz w:val="32"/>
          <w:szCs w:val="32"/>
        </w:rPr>
        <w:t>典型性选择</w:t>
      </w:r>
      <w:r w:rsidR="008277E5">
        <w:rPr>
          <w:rFonts w:eastAsia="仿宋_GB2312" w:hint="eastAsia"/>
          <w:sz w:val="32"/>
          <w:szCs w:val="32"/>
        </w:rPr>
        <w:t>需</w:t>
      </w:r>
      <w:r w:rsidR="003077FE">
        <w:rPr>
          <w:rFonts w:eastAsia="仿宋_GB2312" w:hint="eastAsia"/>
          <w:sz w:val="32"/>
          <w:szCs w:val="32"/>
        </w:rPr>
        <w:t>考虑直径、阻抗和裸露</w:t>
      </w:r>
      <w:r w:rsidR="00734DAD">
        <w:rPr>
          <w:rFonts w:eastAsia="仿宋_GB2312" w:hint="eastAsia"/>
          <w:sz w:val="32"/>
          <w:szCs w:val="32"/>
        </w:rPr>
        <w:t>区</w:t>
      </w:r>
      <w:r w:rsidR="003077FE">
        <w:rPr>
          <w:rFonts w:eastAsia="仿宋_GB2312" w:hint="eastAsia"/>
          <w:sz w:val="32"/>
          <w:szCs w:val="32"/>
        </w:rPr>
        <w:t>尺寸，微波消融针典型性选择</w:t>
      </w:r>
      <w:r w:rsidR="008277E5">
        <w:rPr>
          <w:rFonts w:eastAsia="仿宋_GB2312" w:hint="eastAsia"/>
          <w:sz w:val="32"/>
          <w:szCs w:val="32"/>
        </w:rPr>
        <w:t>需</w:t>
      </w:r>
      <w:r w:rsidR="003077FE">
        <w:rPr>
          <w:rFonts w:eastAsia="仿宋_GB2312" w:hint="eastAsia"/>
          <w:sz w:val="32"/>
          <w:szCs w:val="32"/>
        </w:rPr>
        <w:t>考虑直径、微波辐射区尺寸。离体组织试验可选择最大和典型输出治疗参数下进行试验，其对应的消融时间</w:t>
      </w:r>
      <w:r w:rsidR="008277E5">
        <w:rPr>
          <w:rFonts w:eastAsia="仿宋_GB2312" w:hint="eastAsia"/>
          <w:sz w:val="32"/>
          <w:szCs w:val="32"/>
        </w:rPr>
        <w:t>需</w:t>
      </w:r>
      <w:r w:rsidR="003077FE">
        <w:rPr>
          <w:rFonts w:eastAsia="仿宋_GB2312" w:hint="eastAsia"/>
          <w:sz w:val="32"/>
          <w:szCs w:val="32"/>
        </w:rPr>
        <w:t>能反应临床上使用的推荐时间，如有多个时间，</w:t>
      </w:r>
      <w:r w:rsidR="008277E5">
        <w:rPr>
          <w:rFonts w:eastAsia="仿宋_GB2312" w:hint="eastAsia"/>
          <w:sz w:val="32"/>
          <w:szCs w:val="32"/>
        </w:rPr>
        <w:t>需</w:t>
      </w:r>
      <w:r w:rsidR="003077FE">
        <w:rPr>
          <w:rFonts w:eastAsia="仿宋_GB2312" w:hint="eastAsia"/>
          <w:sz w:val="32"/>
          <w:szCs w:val="32"/>
        </w:rPr>
        <w:t>选择典型时间和最大时间。</w:t>
      </w:r>
    </w:p>
    <w:p w14:paraId="4514F12D" w14:textId="77777777" w:rsidR="003077FE" w:rsidRDefault="003077FE" w:rsidP="0042468E">
      <w:pPr>
        <w:spacing w:line="520" w:lineRule="exact"/>
        <w:ind w:firstLineChars="200" w:firstLine="640"/>
        <w:rPr>
          <w:rFonts w:eastAsia="仿宋_GB2312"/>
          <w:sz w:val="32"/>
          <w:szCs w:val="32"/>
        </w:rPr>
      </w:pPr>
      <w:r>
        <w:rPr>
          <w:rFonts w:eastAsia="仿宋_GB2312" w:hint="eastAsia"/>
          <w:sz w:val="32"/>
          <w:szCs w:val="32"/>
        </w:rPr>
        <w:t>在离体组织上进行的对比，代表性离体组织的选择需评价消融治疗对于拟选代表性离体组织和目标组织的等效性，如适应证为肝脏的消融可考虑选择新鲜的动物肝脏或有合理理由的话也可以选择其他组织进行实验。</w:t>
      </w:r>
      <w:r>
        <w:rPr>
          <w:rFonts w:eastAsia="仿宋_GB2312" w:hint="eastAsia"/>
          <w:sz w:val="32"/>
          <w:szCs w:val="32"/>
        </w:rPr>
        <w:t xml:space="preserve">  </w:t>
      </w:r>
    </w:p>
    <w:p w14:paraId="4F7529D5" w14:textId="530795F9" w:rsidR="003077FE" w:rsidRDefault="003077FE" w:rsidP="0042468E">
      <w:pPr>
        <w:spacing w:line="520" w:lineRule="exact"/>
        <w:ind w:firstLineChars="200" w:firstLine="640"/>
        <w:rPr>
          <w:rFonts w:eastAsia="仿宋_GB2312"/>
          <w:bCs/>
          <w:sz w:val="32"/>
          <w:szCs w:val="32"/>
        </w:rPr>
      </w:pPr>
      <w:r>
        <w:rPr>
          <w:rFonts w:eastAsia="仿宋_GB2312" w:hint="eastAsia"/>
          <w:sz w:val="32"/>
          <w:szCs w:val="32"/>
        </w:rPr>
        <w:t>离体组织试验</w:t>
      </w:r>
      <w:r w:rsidR="008277E5">
        <w:rPr>
          <w:rFonts w:eastAsia="仿宋_GB2312" w:hint="eastAsia"/>
          <w:sz w:val="32"/>
          <w:szCs w:val="32"/>
        </w:rPr>
        <w:t>需</w:t>
      </w:r>
      <w:r>
        <w:rPr>
          <w:rFonts w:eastAsia="仿宋_GB2312" w:hint="eastAsia"/>
          <w:sz w:val="32"/>
          <w:szCs w:val="32"/>
        </w:rPr>
        <w:t>根据实际配用情况</w:t>
      </w:r>
      <w:r>
        <w:rPr>
          <w:rFonts w:eastAsia="仿宋_GB2312" w:hint="eastAsia"/>
          <w:bCs/>
          <w:sz w:val="32"/>
          <w:szCs w:val="32"/>
        </w:rPr>
        <w:t>对申报产品和同品</w:t>
      </w:r>
      <w:r>
        <w:rPr>
          <w:rFonts w:eastAsia="仿宋_GB2312" w:hint="eastAsia"/>
          <w:bCs/>
          <w:sz w:val="32"/>
          <w:szCs w:val="32"/>
        </w:rPr>
        <w:lastRenderedPageBreak/>
        <w:t>种产品分别开展。试验操作</w:t>
      </w:r>
      <w:r w:rsidR="008277E5">
        <w:rPr>
          <w:rFonts w:eastAsia="仿宋_GB2312" w:hint="eastAsia"/>
          <w:bCs/>
          <w:sz w:val="32"/>
          <w:szCs w:val="32"/>
        </w:rPr>
        <w:t>需</w:t>
      </w:r>
      <w:r>
        <w:rPr>
          <w:rFonts w:eastAsia="仿宋_GB2312" w:hint="eastAsia"/>
          <w:bCs/>
          <w:sz w:val="32"/>
          <w:szCs w:val="32"/>
        </w:rPr>
        <w:t>尽可能模拟临床真实使用，例如测温针的排布。</w:t>
      </w:r>
      <w:r w:rsidR="008277E5">
        <w:rPr>
          <w:rFonts w:eastAsia="仿宋_GB2312" w:hint="eastAsia"/>
          <w:bCs/>
          <w:sz w:val="32"/>
          <w:szCs w:val="32"/>
        </w:rPr>
        <w:t>需</w:t>
      </w:r>
      <w:r>
        <w:rPr>
          <w:rFonts w:eastAsia="仿宋_GB2312" w:hint="eastAsia"/>
          <w:bCs/>
          <w:sz w:val="32"/>
          <w:szCs w:val="32"/>
        </w:rPr>
        <w:t>选择消融范围尽可能相似的产品作为对比器械。对于支持多路同时输出的设备，除上述研究外，还</w:t>
      </w:r>
      <w:r w:rsidR="008277E5">
        <w:rPr>
          <w:rFonts w:eastAsia="仿宋_GB2312" w:hint="eastAsia"/>
          <w:bCs/>
          <w:sz w:val="32"/>
          <w:szCs w:val="32"/>
        </w:rPr>
        <w:t>需</w:t>
      </w:r>
      <w:r>
        <w:rPr>
          <w:rFonts w:eastAsia="仿宋_GB2312" w:hint="eastAsia"/>
          <w:bCs/>
          <w:sz w:val="32"/>
          <w:szCs w:val="32"/>
        </w:rPr>
        <w:t>针对在相同布针条件下多针的消融方式进行</w:t>
      </w:r>
      <w:r>
        <w:rPr>
          <w:rFonts w:ascii="仿宋_GB2312" w:eastAsia="仿宋_GB2312" w:hAnsi="Times New Roman" w:hint="eastAsia"/>
          <w:sz w:val="32"/>
          <w:szCs w:val="32"/>
        </w:rPr>
        <w:t>离体组织试验</w:t>
      </w:r>
      <w:r>
        <w:rPr>
          <w:rFonts w:eastAsia="仿宋_GB2312" w:hint="eastAsia"/>
          <w:bCs/>
          <w:sz w:val="32"/>
          <w:szCs w:val="32"/>
        </w:rPr>
        <w:t>，以判断多针消融时所产生的消融区域的尺寸和形态差异。</w:t>
      </w:r>
    </w:p>
    <w:p w14:paraId="22104568" w14:textId="62464281" w:rsidR="00EB4030" w:rsidRDefault="003077FE" w:rsidP="0042468E">
      <w:pPr>
        <w:spacing w:line="520" w:lineRule="exact"/>
        <w:ind w:firstLineChars="200" w:firstLine="640"/>
        <w:rPr>
          <w:rFonts w:eastAsia="仿宋_GB2312"/>
          <w:sz w:val="32"/>
          <w:szCs w:val="32"/>
        </w:rPr>
      </w:pPr>
      <w:r>
        <w:rPr>
          <w:rFonts w:eastAsia="仿宋_GB2312" w:hint="eastAsia"/>
          <w:bCs/>
          <w:sz w:val="32"/>
          <w:szCs w:val="32"/>
        </w:rPr>
        <w:t>记录消融区域的尺寸（一般记录最大消融切面的长径、短径和前冲距离）和形态（通常为球形或椭球型），</w:t>
      </w:r>
      <w:r>
        <w:rPr>
          <w:rFonts w:eastAsia="仿宋_GB2312" w:hint="eastAsia"/>
          <w:sz w:val="32"/>
          <w:szCs w:val="32"/>
        </w:rPr>
        <w:t>比对申报产品和同品种产品消融范围与</w:t>
      </w:r>
      <w:r>
        <w:rPr>
          <w:rFonts w:eastAsia="仿宋_GB2312" w:hint="eastAsia"/>
          <w:bCs/>
          <w:sz w:val="32"/>
          <w:szCs w:val="32"/>
        </w:rPr>
        <w:t>输出能量、作用时间和温度（如适用）的量效关系。试验过程中</w:t>
      </w:r>
      <w:r w:rsidR="008277E5">
        <w:rPr>
          <w:rFonts w:eastAsia="仿宋_GB2312" w:hint="eastAsia"/>
          <w:bCs/>
          <w:sz w:val="32"/>
          <w:szCs w:val="32"/>
        </w:rPr>
        <w:t>需</w:t>
      </w:r>
      <w:r>
        <w:rPr>
          <w:rFonts w:eastAsia="仿宋_GB2312" w:hint="eastAsia"/>
          <w:bCs/>
          <w:sz w:val="32"/>
          <w:szCs w:val="32"/>
        </w:rPr>
        <w:t>观察消融针是否出现黏连及断针情况。</w:t>
      </w:r>
      <w:r>
        <w:rPr>
          <w:rFonts w:ascii="Times New Roman" w:eastAsia="仿宋_GB2312" w:hAnsi="Times New Roman" w:cs="Times New Roman" w:hint="eastAsia"/>
          <w:bCs/>
          <w:sz w:val="32"/>
          <w:szCs w:val="32"/>
        </w:rPr>
        <w:t>测试结果</w:t>
      </w:r>
      <w:r w:rsidR="008277E5">
        <w:rPr>
          <w:rFonts w:ascii="Times New Roman" w:eastAsia="仿宋_GB2312" w:hAnsi="Times New Roman" w:cs="Times New Roman" w:hint="eastAsia"/>
          <w:bCs/>
          <w:sz w:val="32"/>
          <w:szCs w:val="32"/>
        </w:rPr>
        <w:t>需</w:t>
      </w:r>
      <w:r>
        <w:rPr>
          <w:rFonts w:ascii="Times New Roman" w:eastAsia="仿宋_GB2312" w:hAnsi="Times New Roman" w:cs="Times New Roman" w:hint="eastAsia"/>
          <w:bCs/>
          <w:sz w:val="32"/>
          <w:szCs w:val="32"/>
        </w:rPr>
        <w:t>尽量通过病理检测并辅以带尺寸测量的图片进行展示，并通过合理的接受标准对测试结果进行充分分析。</w:t>
      </w:r>
      <w:r w:rsidR="00514C25">
        <w:rPr>
          <w:rFonts w:eastAsia="仿宋_GB2312" w:hint="eastAsia"/>
          <w:sz w:val="32"/>
          <w:szCs w:val="32"/>
        </w:rPr>
        <w:t xml:space="preserve">                                                                                                                                                                                                                                                                                                                                                                                                                                                                                                                                                                                                                                                                                                                                                                                                                                                                                                                                                                                                                                                                                                                                                                                                                                                                                                                                                                                                                                                                                                                                                                                                                                                                                                                                                                                                                                                 </w:t>
      </w:r>
    </w:p>
    <w:p w14:paraId="65435EC0" w14:textId="77777777" w:rsidR="00EB4030" w:rsidRDefault="00514C25" w:rsidP="0042468E">
      <w:pPr>
        <w:spacing w:line="520" w:lineRule="exact"/>
        <w:ind w:firstLineChars="133" w:firstLine="426"/>
        <w:rPr>
          <w:rFonts w:ascii="楷体_GB2312" w:eastAsia="楷体_GB2312" w:hAnsi="楷体"/>
          <w:sz w:val="32"/>
          <w:szCs w:val="32"/>
        </w:rPr>
      </w:pPr>
      <w:r>
        <w:rPr>
          <w:rFonts w:ascii="楷体_GB2312" w:eastAsia="楷体_GB2312" w:hAnsi="楷体" w:hint="eastAsia"/>
          <w:sz w:val="32"/>
          <w:szCs w:val="32"/>
        </w:rPr>
        <w:t>（四）差异性部分的安全有效性证据</w:t>
      </w:r>
    </w:p>
    <w:p w14:paraId="0B17F623" w14:textId="4578A8F8" w:rsidR="00EB4030" w:rsidRDefault="00514C25" w:rsidP="0042468E">
      <w:pPr>
        <w:spacing w:line="52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注册申请人可将申报产品与一个或多个同品种产品进行对比，详述二者的相同性和差异性。针对差异性，提交差异不对申报产品的安全有效性产生不利影响的支持资料，从而论证申报产品的安全有效性。</w:t>
      </w:r>
    </w:p>
    <w:p w14:paraId="40F70185" w14:textId="78AB0343" w:rsidR="00734236" w:rsidRPr="00734236" w:rsidRDefault="009D1B6E" w:rsidP="0042468E">
      <w:pPr>
        <w:spacing w:line="520" w:lineRule="exact"/>
        <w:ind w:firstLineChars="200" w:firstLine="640"/>
        <w:rPr>
          <w:rFonts w:ascii="仿宋_GB2312" w:eastAsia="仿宋_GB2312" w:hAnsi="Times New Roman"/>
          <w:sz w:val="32"/>
          <w:szCs w:val="32"/>
        </w:rPr>
      </w:pPr>
      <w:r>
        <w:rPr>
          <w:rFonts w:ascii="仿宋_GB2312" w:eastAsia="仿宋_GB2312" w:hAnsi="Times New Roman"/>
          <w:sz w:val="32"/>
          <w:szCs w:val="32"/>
        </w:rPr>
        <w:t>1.</w:t>
      </w:r>
      <w:r w:rsidR="00734236">
        <w:rPr>
          <w:rFonts w:ascii="仿宋_GB2312" w:eastAsia="仿宋_GB2312" w:hAnsi="Times New Roman" w:hint="eastAsia"/>
          <w:sz w:val="32"/>
          <w:szCs w:val="32"/>
        </w:rPr>
        <w:t>在申报产品与同品种产品的关键设计结构（例如</w:t>
      </w:r>
      <w:r w:rsidR="006F598C">
        <w:rPr>
          <w:rFonts w:ascii="仿宋_GB2312" w:eastAsia="仿宋_GB2312" w:hAnsi="Times New Roman" w:hint="eastAsia"/>
          <w:sz w:val="32"/>
          <w:szCs w:val="32"/>
        </w:rPr>
        <w:t>射频消融</w:t>
      </w:r>
      <w:r w:rsidR="00215A9E">
        <w:rPr>
          <w:rFonts w:ascii="仿宋_GB2312" w:eastAsia="仿宋_GB2312" w:hAnsi="Times New Roman" w:hint="eastAsia"/>
          <w:sz w:val="32"/>
          <w:szCs w:val="32"/>
        </w:rPr>
        <w:t>电极</w:t>
      </w:r>
      <w:r w:rsidR="006F598C">
        <w:rPr>
          <w:rFonts w:ascii="仿宋_GB2312" w:eastAsia="仿宋_GB2312" w:hAnsi="Times New Roman" w:hint="eastAsia"/>
          <w:sz w:val="32"/>
          <w:szCs w:val="32"/>
        </w:rPr>
        <w:t>的裸露</w:t>
      </w:r>
      <w:r w:rsidR="00734DAD">
        <w:rPr>
          <w:rFonts w:ascii="仿宋_GB2312" w:eastAsia="仿宋_GB2312" w:hAnsi="Times New Roman" w:hint="eastAsia"/>
          <w:sz w:val="32"/>
          <w:szCs w:val="32"/>
        </w:rPr>
        <w:t>区</w:t>
      </w:r>
      <w:r w:rsidR="006F598C">
        <w:rPr>
          <w:rFonts w:ascii="仿宋_GB2312" w:eastAsia="仿宋_GB2312" w:hAnsi="Times New Roman" w:hint="eastAsia"/>
          <w:sz w:val="32"/>
          <w:szCs w:val="32"/>
        </w:rPr>
        <w:t>设计，</w:t>
      </w:r>
      <w:r w:rsidR="00734236">
        <w:rPr>
          <w:rFonts w:ascii="仿宋_GB2312" w:eastAsia="仿宋_GB2312" w:hAnsi="Times New Roman" w:hint="eastAsia"/>
          <w:sz w:val="32"/>
          <w:szCs w:val="32"/>
        </w:rPr>
        <w:t>微波消融针微波辐射区设计）、软件核心功能、适用范围和使用方法不存在差异的前提下：</w:t>
      </w:r>
    </w:p>
    <w:p w14:paraId="314A5B0E" w14:textId="199598ED" w:rsidR="00EB4030" w:rsidRDefault="00514C25" w:rsidP="0042468E">
      <w:pPr>
        <w:spacing w:line="520" w:lineRule="exact"/>
        <w:ind w:firstLineChars="200" w:firstLine="640"/>
        <w:rPr>
          <w:rFonts w:ascii="仿宋_GB2312" w:eastAsia="仿宋_GB2312" w:hAnsi="Times New Roman"/>
          <w:sz w:val="32"/>
          <w:szCs w:val="32"/>
        </w:rPr>
      </w:pPr>
      <w:bookmarkStart w:id="2" w:name="OLE_LINK1"/>
      <w:r>
        <w:rPr>
          <w:rFonts w:ascii="仿宋_GB2312" w:eastAsia="仿宋_GB2312" w:hAnsi="Times New Roman" w:hint="eastAsia"/>
          <w:sz w:val="32"/>
          <w:szCs w:val="32"/>
        </w:rPr>
        <w:t>（1）</w:t>
      </w:r>
      <w:r w:rsidR="00734236">
        <w:rPr>
          <w:rFonts w:ascii="仿宋_GB2312" w:eastAsia="仿宋_GB2312" w:hAnsi="Times New Roman" w:hint="eastAsia"/>
          <w:sz w:val="32"/>
          <w:szCs w:val="32"/>
        </w:rPr>
        <w:t>申报产品的主要输出能量特性（例如，针对射频消融</w:t>
      </w:r>
      <w:r w:rsidR="00734DAD">
        <w:rPr>
          <w:rFonts w:ascii="仿宋_GB2312" w:eastAsia="仿宋_GB2312" w:hAnsi="Times New Roman" w:hint="eastAsia"/>
          <w:sz w:val="32"/>
          <w:szCs w:val="32"/>
        </w:rPr>
        <w:t>设备</w:t>
      </w:r>
      <w:r w:rsidR="00734236">
        <w:rPr>
          <w:rFonts w:ascii="仿宋_GB2312" w:eastAsia="仿宋_GB2312" w:hAnsi="Times New Roman" w:hint="eastAsia"/>
          <w:sz w:val="32"/>
          <w:szCs w:val="32"/>
        </w:rPr>
        <w:t>，包括但不限于工作频率、功率曲线、额定</w:t>
      </w:r>
      <w:r w:rsidR="00103C8B">
        <w:rPr>
          <w:rFonts w:ascii="仿宋_GB2312" w:eastAsia="仿宋_GB2312" w:hAnsi="Times New Roman" w:hint="eastAsia"/>
          <w:sz w:val="32"/>
          <w:szCs w:val="32"/>
        </w:rPr>
        <w:t>负载</w:t>
      </w:r>
      <w:r w:rsidR="00734236">
        <w:rPr>
          <w:rFonts w:ascii="仿宋_GB2312" w:eastAsia="仿宋_GB2312" w:hAnsi="Times New Roman" w:hint="eastAsia"/>
          <w:sz w:val="32"/>
          <w:szCs w:val="32"/>
        </w:rPr>
        <w:t>、控制方式；针对微波消融</w:t>
      </w:r>
      <w:r w:rsidR="00734DAD">
        <w:rPr>
          <w:rFonts w:ascii="仿宋_GB2312" w:eastAsia="仿宋_GB2312" w:hAnsi="Times New Roman" w:hint="eastAsia"/>
          <w:sz w:val="32"/>
          <w:szCs w:val="32"/>
        </w:rPr>
        <w:t>设备</w:t>
      </w:r>
      <w:r w:rsidR="00734236">
        <w:rPr>
          <w:rFonts w:ascii="仿宋_GB2312" w:eastAsia="仿宋_GB2312" w:hAnsi="Times New Roman" w:hint="eastAsia"/>
          <w:sz w:val="32"/>
          <w:szCs w:val="32"/>
        </w:rPr>
        <w:t>，包括但不限于输出功率、工作频率、驻波比）与同品种产品一致，</w:t>
      </w:r>
      <w:r w:rsidR="003077FE">
        <w:rPr>
          <w:rFonts w:ascii="仿宋_GB2312" w:eastAsia="仿宋_GB2312" w:hAnsi="Times New Roman" w:hint="eastAsia"/>
          <w:sz w:val="32"/>
          <w:szCs w:val="32"/>
        </w:rPr>
        <w:t>同时</w:t>
      </w:r>
      <w:r>
        <w:rPr>
          <w:rFonts w:ascii="仿宋_GB2312" w:eastAsia="仿宋_GB2312" w:hAnsi="Times New Roman" w:hint="eastAsia"/>
          <w:sz w:val="32"/>
          <w:szCs w:val="32"/>
          <w:lang w:bidi="ar"/>
        </w:rPr>
        <w:t>申报产品的</w:t>
      </w:r>
      <w:r>
        <w:rPr>
          <w:rFonts w:ascii="仿宋_GB2312" w:eastAsia="仿宋_GB2312" w:hAnsi="Times New Roman" w:hint="eastAsia"/>
          <w:sz w:val="32"/>
          <w:szCs w:val="32"/>
        </w:rPr>
        <w:t>离体组织试验中最大消融</w:t>
      </w:r>
      <w:r w:rsidR="00215A9E">
        <w:rPr>
          <w:rFonts w:ascii="仿宋_GB2312" w:eastAsia="仿宋_GB2312" w:hAnsi="Times New Roman" w:hint="eastAsia"/>
          <w:sz w:val="32"/>
          <w:szCs w:val="32"/>
        </w:rPr>
        <w:t>区域</w:t>
      </w:r>
      <w:r w:rsidR="001B33CE">
        <w:rPr>
          <w:rFonts w:ascii="仿宋_GB2312" w:eastAsia="仿宋_GB2312" w:hAnsi="Times New Roman" w:hint="eastAsia"/>
          <w:sz w:val="32"/>
          <w:szCs w:val="32"/>
        </w:rPr>
        <w:t>尺寸</w:t>
      </w:r>
      <w:r w:rsidR="003077FE">
        <w:rPr>
          <w:rFonts w:ascii="仿宋_GB2312" w:eastAsia="仿宋_GB2312" w:hAnsi="Times New Roman" w:hint="eastAsia"/>
          <w:sz w:val="32"/>
          <w:szCs w:val="32"/>
        </w:rPr>
        <w:t>不大于同品种产品</w:t>
      </w:r>
      <w:r w:rsidR="001B33CE">
        <w:rPr>
          <w:rFonts w:ascii="仿宋_GB2312" w:eastAsia="仿宋_GB2312" w:hAnsi="Times New Roman" w:hint="eastAsia"/>
          <w:sz w:val="32"/>
          <w:szCs w:val="32"/>
        </w:rPr>
        <w:t>、</w:t>
      </w:r>
      <w:r w:rsidR="003077FE">
        <w:rPr>
          <w:rFonts w:ascii="仿宋_GB2312" w:eastAsia="仿宋_GB2312" w:hAnsi="Times New Roman" w:hint="eastAsia"/>
          <w:sz w:val="32"/>
          <w:szCs w:val="32"/>
        </w:rPr>
        <w:t>最大消融</w:t>
      </w:r>
      <w:r w:rsidR="00215A9E">
        <w:rPr>
          <w:rFonts w:ascii="仿宋_GB2312" w:eastAsia="仿宋_GB2312" w:hAnsi="Times New Roman" w:hint="eastAsia"/>
          <w:sz w:val="32"/>
          <w:szCs w:val="32"/>
        </w:rPr>
        <w:t>区域</w:t>
      </w:r>
      <w:r w:rsidR="001B33CE">
        <w:rPr>
          <w:rFonts w:ascii="仿宋_GB2312" w:eastAsia="仿宋_GB2312" w:hAnsi="Times New Roman" w:hint="eastAsia"/>
          <w:sz w:val="32"/>
          <w:szCs w:val="32"/>
        </w:rPr>
        <w:t>形</w:t>
      </w:r>
      <w:r w:rsidR="003077FE">
        <w:rPr>
          <w:rFonts w:ascii="仿宋_GB2312" w:eastAsia="仿宋_GB2312" w:hAnsi="Times New Roman" w:hint="eastAsia"/>
          <w:sz w:val="32"/>
          <w:szCs w:val="32"/>
        </w:rPr>
        <w:t>态和温升速率</w:t>
      </w:r>
      <w:r w:rsidR="006F1511">
        <w:rPr>
          <w:rFonts w:ascii="仿宋_GB2312" w:eastAsia="仿宋_GB2312" w:hAnsi="Times New Roman" w:hint="eastAsia"/>
          <w:sz w:val="32"/>
          <w:szCs w:val="32"/>
        </w:rPr>
        <w:t>与</w:t>
      </w:r>
      <w:r>
        <w:rPr>
          <w:rFonts w:ascii="仿宋_GB2312" w:eastAsia="仿宋_GB2312" w:hAnsi="Times New Roman" w:hint="eastAsia"/>
          <w:sz w:val="32"/>
          <w:szCs w:val="32"/>
        </w:rPr>
        <w:t>同品种产品</w:t>
      </w:r>
      <w:r w:rsidR="00234FBF">
        <w:rPr>
          <w:rFonts w:ascii="仿宋_GB2312" w:eastAsia="仿宋_GB2312" w:hAnsi="Times New Roman" w:hint="eastAsia"/>
          <w:sz w:val="32"/>
          <w:szCs w:val="32"/>
        </w:rPr>
        <w:t>一致</w:t>
      </w:r>
      <w:r w:rsidR="0086395F">
        <w:rPr>
          <w:rFonts w:ascii="仿宋_GB2312" w:eastAsia="仿宋_GB2312" w:hAnsi="Times New Roman" w:hint="eastAsia"/>
          <w:sz w:val="32"/>
          <w:szCs w:val="32"/>
        </w:rPr>
        <w:t>，可不考虑进行动物试</w:t>
      </w:r>
      <w:r w:rsidR="0086395F">
        <w:rPr>
          <w:rFonts w:ascii="仿宋_GB2312" w:eastAsia="仿宋_GB2312" w:hAnsi="Times New Roman" w:hint="eastAsia"/>
          <w:sz w:val="32"/>
          <w:szCs w:val="32"/>
        </w:rPr>
        <w:lastRenderedPageBreak/>
        <w:t>验</w:t>
      </w:r>
      <w:r>
        <w:rPr>
          <w:rFonts w:ascii="仿宋_GB2312" w:eastAsia="仿宋_GB2312" w:hAnsi="Times New Roman" w:hint="eastAsia"/>
          <w:sz w:val="32"/>
          <w:szCs w:val="32"/>
        </w:rPr>
        <w:t xml:space="preserve">。针对其他性能参数，注册申请人还需结合同类产品在临床使用中的具体情况论述相关参数设置的合理性，并提供该性能参数下有效性的数据如同类产品使用的临床数据等。 </w:t>
      </w:r>
    </w:p>
    <w:p w14:paraId="0C9406B9" w14:textId="160F6E76" w:rsidR="00EB4030" w:rsidRDefault="00234FBF" w:rsidP="0042468E">
      <w:pPr>
        <w:spacing w:line="520" w:lineRule="exact"/>
        <w:ind w:firstLineChars="200" w:firstLine="640"/>
        <w:rPr>
          <w:rFonts w:ascii="Times New Roman" w:eastAsia="仿宋_GB2312" w:hAnsi="Times New Roman" w:cs="仿宋_GB2312"/>
          <w:bCs/>
          <w:sz w:val="32"/>
          <w:szCs w:val="32"/>
          <w:lang w:bidi="ar"/>
        </w:rPr>
      </w:pPr>
      <w:r>
        <w:rPr>
          <w:rFonts w:ascii="仿宋_GB2312" w:eastAsia="仿宋_GB2312" w:hAnsi="Times New Roman" w:hint="eastAsia"/>
          <w:sz w:val="32"/>
          <w:szCs w:val="32"/>
        </w:rPr>
        <w:t>（</w:t>
      </w:r>
      <w:r w:rsidR="003077FE">
        <w:rPr>
          <w:rFonts w:ascii="仿宋_GB2312" w:eastAsia="仿宋_GB2312" w:hAnsi="Times New Roman"/>
          <w:sz w:val="32"/>
          <w:szCs w:val="32"/>
        </w:rPr>
        <w:t>2</w:t>
      </w:r>
      <w:r>
        <w:rPr>
          <w:rFonts w:ascii="仿宋_GB2312" w:eastAsia="仿宋_GB2312" w:hAnsi="Times New Roman" w:hint="eastAsia"/>
          <w:sz w:val="32"/>
          <w:szCs w:val="32"/>
        </w:rPr>
        <w:t>）申报产品的</w:t>
      </w:r>
      <w:r w:rsidR="00514C25">
        <w:rPr>
          <w:rFonts w:ascii="仿宋_GB2312" w:eastAsia="仿宋_GB2312" w:hAnsi="Times New Roman" w:hint="eastAsia"/>
          <w:sz w:val="32"/>
          <w:szCs w:val="32"/>
          <w:lang w:bidi="ar"/>
        </w:rPr>
        <w:t>主要能量输出特性</w:t>
      </w:r>
      <w:r w:rsidR="00514C25">
        <w:rPr>
          <w:rFonts w:ascii="仿宋_GB2312" w:eastAsia="仿宋_GB2312" w:hAnsi="Times New Roman" w:hint="eastAsia"/>
          <w:sz w:val="32"/>
          <w:szCs w:val="32"/>
        </w:rPr>
        <w:t>（例如，针对射频消融</w:t>
      </w:r>
      <w:r w:rsidR="00734DAD">
        <w:rPr>
          <w:rFonts w:ascii="仿宋_GB2312" w:eastAsia="仿宋_GB2312" w:hAnsi="Times New Roman" w:hint="eastAsia"/>
          <w:sz w:val="32"/>
          <w:szCs w:val="32"/>
        </w:rPr>
        <w:t>设备</w:t>
      </w:r>
      <w:r w:rsidR="00514C25">
        <w:rPr>
          <w:rFonts w:ascii="仿宋_GB2312" w:eastAsia="仿宋_GB2312" w:hAnsi="Times New Roman" w:hint="eastAsia"/>
          <w:sz w:val="32"/>
          <w:szCs w:val="32"/>
        </w:rPr>
        <w:t>，申报产品与同品种产品如工作频率、功率曲线、额定阻抗、控制方式；针对微波消融</w:t>
      </w:r>
      <w:r w:rsidR="00734DAD">
        <w:rPr>
          <w:rFonts w:ascii="仿宋_GB2312" w:eastAsia="仿宋_GB2312" w:hAnsi="Times New Roman" w:hint="eastAsia"/>
          <w:sz w:val="32"/>
          <w:szCs w:val="32"/>
        </w:rPr>
        <w:t>设备</w:t>
      </w:r>
      <w:r w:rsidR="00514C25">
        <w:rPr>
          <w:rFonts w:ascii="仿宋_GB2312" w:eastAsia="仿宋_GB2312" w:hAnsi="Times New Roman" w:hint="eastAsia"/>
          <w:sz w:val="32"/>
          <w:szCs w:val="32"/>
        </w:rPr>
        <w:t>，申报产品与同品种产品如工作频率、驻波比）</w:t>
      </w:r>
      <w:r w:rsidR="003077FE">
        <w:rPr>
          <w:rFonts w:ascii="仿宋_GB2312" w:eastAsia="仿宋_GB2312" w:hAnsi="Times New Roman" w:hint="eastAsia"/>
          <w:sz w:val="32"/>
          <w:szCs w:val="32"/>
        </w:rPr>
        <w:t>与同品种产品存在一定差异</w:t>
      </w:r>
      <w:r w:rsidR="00514C25">
        <w:rPr>
          <w:rFonts w:ascii="仿宋_GB2312" w:eastAsia="仿宋_GB2312" w:hAnsi="Times New Roman" w:hint="eastAsia"/>
          <w:sz w:val="32"/>
          <w:szCs w:val="32"/>
          <w:lang w:bidi="ar"/>
        </w:rPr>
        <w:t>或申报产品的</w:t>
      </w:r>
      <w:r w:rsidR="00514C25">
        <w:rPr>
          <w:rFonts w:ascii="仿宋_GB2312" w:eastAsia="仿宋_GB2312" w:hAnsi="Times New Roman" w:hint="eastAsia"/>
          <w:sz w:val="32"/>
          <w:szCs w:val="32"/>
        </w:rPr>
        <w:t>离体组织试验最大消融</w:t>
      </w:r>
      <w:r w:rsidR="00215A9E">
        <w:rPr>
          <w:rFonts w:ascii="仿宋_GB2312" w:eastAsia="仿宋_GB2312" w:hAnsi="Times New Roman" w:hint="eastAsia"/>
          <w:sz w:val="32"/>
          <w:szCs w:val="32"/>
        </w:rPr>
        <w:t>区域</w:t>
      </w:r>
      <w:r w:rsidR="00103C8B">
        <w:rPr>
          <w:rFonts w:ascii="仿宋_GB2312" w:eastAsia="仿宋_GB2312" w:hAnsi="Times New Roman" w:hint="eastAsia"/>
          <w:sz w:val="32"/>
          <w:szCs w:val="32"/>
        </w:rPr>
        <w:t>尺寸</w:t>
      </w:r>
      <w:r w:rsidR="00514C25">
        <w:rPr>
          <w:rFonts w:ascii="仿宋_GB2312" w:eastAsia="仿宋_GB2312" w:hAnsi="Times New Roman" w:hint="eastAsia"/>
          <w:sz w:val="32"/>
          <w:szCs w:val="32"/>
        </w:rPr>
        <w:t>大于同品种产品</w:t>
      </w:r>
      <w:r w:rsidR="00103C8B">
        <w:rPr>
          <w:rFonts w:ascii="仿宋_GB2312" w:eastAsia="仿宋_GB2312" w:hAnsi="Times New Roman" w:hint="eastAsia"/>
          <w:sz w:val="32"/>
          <w:szCs w:val="32"/>
        </w:rPr>
        <w:t>或最大消融</w:t>
      </w:r>
      <w:r w:rsidR="00215A9E">
        <w:rPr>
          <w:rFonts w:ascii="仿宋_GB2312" w:eastAsia="仿宋_GB2312" w:hAnsi="Times New Roman" w:hint="eastAsia"/>
          <w:sz w:val="32"/>
          <w:szCs w:val="32"/>
        </w:rPr>
        <w:t>区域</w:t>
      </w:r>
      <w:r w:rsidR="00103C8B">
        <w:rPr>
          <w:rFonts w:ascii="仿宋_GB2312" w:eastAsia="仿宋_GB2312" w:hAnsi="Times New Roman" w:hint="eastAsia"/>
          <w:sz w:val="32"/>
          <w:szCs w:val="32"/>
        </w:rPr>
        <w:t>形态与同品种产品不一致或</w:t>
      </w:r>
      <w:r>
        <w:rPr>
          <w:rFonts w:ascii="仿宋_GB2312" w:eastAsia="仿宋_GB2312" w:hAnsi="Times New Roman" w:hint="eastAsia"/>
          <w:sz w:val="32"/>
          <w:szCs w:val="32"/>
        </w:rPr>
        <w:t>温升速率不一致</w:t>
      </w:r>
      <w:r w:rsidR="00514C25">
        <w:rPr>
          <w:rFonts w:ascii="仿宋_GB2312" w:eastAsia="仿宋_GB2312" w:hAnsi="Times New Roman" w:hint="eastAsia"/>
          <w:sz w:val="32"/>
          <w:szCs w:val="32"/>
        </w:rPr>
        <w:t>，则</w:t>
      </w:r>
      <w:r w:rsidR="00514C25">
        <w:rPr>
          <w:rFonts w:ascii="Times New Roman" w:eastAsia="仿宋_GB2312" w:hAnsi="Times New Roman" w:cs="仿宋_GB2312" w:hint="eastAsia"/>
          <w:bCs/>
          <w:sz w:val="32"/>
          <w:szCs w:val="32"/>
          <w:lang w:bidi="ar"/>
        </w:rPr>
        <w:t>注册申请人在明确申报产品性能参数设定依据的</w:t>
      </w:r>
      <w:r w:rsidR="00514C25">
        <w:rPr>
          <w:rFonts w:ascii="Times New Roman" w:eastAsia="仿宋_GB2312" w:hAnsi="Times New Roman" w:cs="仿宋_GB2312"/>
          <w:bCs/>
          <w:sz w:val="32"/>
          <w:szCs w:val="32"/>
          <w:lang w:bidi="ar"/>
        </w:rPr>
        <w:t>基础上</w:t>
      </w:r>
      <w:r w:rsidR="00514C25">
        <w:rPr>
          <w:rFonts w:ascii="Times New Roman" w:eastAsia="仿宋_GB2312" w:hAnsi="Times New Roman" w:cs="仿宋_GB2312" w:hint="eastAsia"/>
          <w:bCs/>
          <w:sz w:val="32"/>
          <w:szCs w:val="32"/>
          <w:lang w:bidi="ar"/>
        </w:rPr>
        <w:t>，</w:t>
      </w:r>
      <w:r w:rsidR="00B27213" w:rsidRPr="00B27213">
        <w:rPr>
          <w:rFonts w:ascii="Times New Roman" w:eastAsia="仿宋_GB2312" w:hAnsi="Times New Roman" w:cs="仿宋_GB2312" w:hint="eastAsia"/>
          <w:bCs/>
          <w:sz w:val="32"/>
          <w:szCs w:val="32"/>
          <w:lang w:bidi="ar"/>
        </w:rPr>
        <w:t>根据《医疗器械动物试验研究注册审查指导原则第一部分：决策原则》进行分析开展动物试验的必要性，</w:t>
      </w:r>
      <w:r w:rsidR="00514C25">
        <w:rPr>
          <w:rFonts w:ascii="仿宋_GB2312" w:eastAsia="仿宋_GB2312" w:hAnsi="Times New Roman" w:hint="eastAsia"/>
          <w:sz w:val="32"/>
          <w:szCs w:val="32"/>
        </w:rPr>
        <w:t>进一步</w:t>
      </w:r>
      <w:r w:rsidR="00514C25">
        <w:rPr>
          <w:rFonts w:ascii="Times New Roman" w:eastAsia="仿宋_GB2312" w:hAnsi="Times New Roman" w:cs="仿宋_GB2312" w:hint="eastAsia"/>
          <w:bCs/>
          <w:sz w:val="32"/>
          <w:szCs w:val="32"/>
          <w:lang w:bidi="ar"/>
        </w:rPr>
        <w:t>提供申报产品动物试验数据。</w:t>
      </w:r>
    </w:p>
    <w:bookmarkEnd w:id="2"/>
    <w:p w14:paraId="668A95FA" w14:textId="076D6F16" w:rsidR="009D1B6E" w:rsidRPr="00103C8B" w:rsidRDefault="009D1B6E" w:rsidP="0042468E">
      <w:pPr>
        <w:spacing w:line="520" w:lineRule="exact"/>
        <w:ind w:firstLineChars="200" w:firstLine="640"/>
        <w:rPr>
          <w:rFonts w:eastAsia="仿宋_GB2312"/>
          <w:sz w:val="32"/>
          <w:szCs w:val="32"/>
        </w:rPr>
      </w:pPr>
      <w:r>
        <w:rPr>
          <w:rFonts w:ascii="Times New Roman" w:eastAsia="仿宋_GB2312" w:hAnsi="Times New Roman" w:cs="仿宋_GB2312" w:hint="eastAsia"/>
          <w:bCs/>
          <w:sz w:val="32"/>
          <w:szCs w:val="32"/>
          <w:lang w:bidi="ar"/>
        </w:rPr>
        <w:t>2</w:t>
      </w:r>
      <w:r>
        <w:rPr>
          <w:rFonts w:ascii="Times New Roman" w:eastAsia="仿宋_GB2312" w:hAnsi="Times New Roman" w:cs="仿宋_GB2312"/>
          <w:bCs/>
          <w:sz w:val="32"/>
          <w:szCs w:val="32"/>
          <w:lang w:bidi="ar"/>
        </w:rPr>
        <w:t>.</w:t>
      </w:r>
      <w:r w:rsidRPr="009D1B6E">
        <w:rPr>
          <w:rFonts w:eastAsia="仿宋_GB2312" w:hint="eastAsia"/>
          <w:sz w:val="32"/>
          <w:szCs w:val="32"/>
        </w:rPr>
        <w:t xml:space="preserve"> </w:t>
      </w:r>
      <w:r>
        <w:rPr>
          <w:rFonts w:eastAsia="仿宋_GB2312" w:hint="eastAsia"/>
          <w:bCs/>
          <w:sz w:val="32"/>
          <w:szCs w:val="32"/>
        </w:rPr>
        <w:t>动物试验要求</w:t>
      </w:r>
    </w:p>
    <w:p w14:paraId="25D2AA7F" w14:textId="6F21D127" w:rsidR="00EB4030" w:rsidRDefault="007740AC" w:rsidP="0042468E">
      <w:pPr>
        <w:spacing w:line="52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注册申请人</w:t>
      </w:r>
      <w:r w:rsidR="00514C25">
        <w:rPr>
          <w:rFonts w:ascii="仿宋_GB2312" w:eastAsia="仿宋_GB2312" w:hAnsi="Times New Roman" w:hint="eastAsia"/>
          <w:sz w:val="32"/>
          <w:szCs w:val="32"/>
        </w:rPr>
        <w:t>在</w:t>
      </w:r>
      <w:r w:rsidR="00514C25">
        <w:rPr>
          <w:rFonts w:eastAsia="仿宋_GB2312" w:hint="eastAsia"/>
          <w:sz w:val="32"/>
          <w:szCs w:val="32"/>
        </w:rPr>
        <w:t>性能和</w:t>
      </w:r>
      <w:r w:rsidR="00734DAD">
        <w:rPr>
          <w:rFonts w:eastAsia="仿宋_GB2312" w:hint="eastAsia"/>
          <w:sz w:val="32"/>
          <w:szCs w:val="32"/>
        </w:rPr>
        <w:t>离体组织</w:t>
      </w:r>
      <w:r w:rsidR="00514C25">
        <w:rPr>
          <w:rFonts w:eastAsia="仿宋_GB2312" w:hint="eastAsia"/>
          <w:sz w:val="32"/>
          <w:szCs w:val="32"/>
        </w:rPr>
        <w:t>比对的基础上</w:t>
      </w:r>
      <w:r>
        <w:rPr>
          <w:rFonts w:ascii="仿宋_GB2312" w:eastAsia="仿宋_GB2312" w:hAnsi="Times New Roman"/>
          <w:sz w:val="32"/>
          <w:szCs w:val="32"/>
        </w:rPr>
        <w:t>通过</w:t>
      </w:r>
      <w:r>
        <w:rPr>
          <w:rFonts w:ascii="仿宋_GB2312" w:eastAsia="仿宋_GB2312" w:hAnsi="Times New Roman" w:hint="eastAsia"/>
          <w:sz w:val="32"/>
          <w:szCs w:val="32"/>
        </w:rPr>
        <w:t>动物试验</w:t>
      </w:r>
      <w:r w:rsidR="00514C25">
        <w:rPr>
          <w:rFonts w:eastAsia="仿宋_GB2312" w:hint="eastAsia"/>
          <w:sz w:val="32"/>
          <w:szCs w:val="32"/>
        </w:rPr>
        <w:t>提供申报</w:t>
      </w:r>
      <w:r w:rsidR="00734DAD">
        <w:rPr>
          <w:rFonts w:eastAsia="仿宋_GB2312" w:hint="eastAsia"/>
          <w:sz w:val="32"/>
          <w:szCs w:val="32"/>
        </w:rPr>
        <w:t>产品</w:t>
      </w:r>
      <w:r w:rsidR="00514C25">
        <w:rPr>
          <w:rFonts w:eastAsia="仿宋_GB2312" w:hint="eastAsia"/>
          <w:sz w:val="32"/>
          <w:szCs w:val="32"/>
        </w:rPr>
        <w:t>的安全有效性证据。</w:t>
      </w:r>
      <w:r>
        <w:rPr>
          <w:rFonts w:eastAsia="仿宋_GB2312" w:hint="eastAsia"/>
          <w:sz w:val="32"/>
          <w:szCs w:val="32"/>
        </w:rPr>
        <w:t>在</w:t>
      </w:r>
      <w:r w:rsidR="00514C25">
        <w:rPr>
          <w:rFonts w:eastAsia="仿宋_GB2312" w:hint="eastAsia"/>
          <w:sz w:val="32"/>
          <w:szCs w:val="32"/>
        </w:rPr>
        <w:t>动物试验</w:t>
      </w:r>
      <w:r>
        <w:rPr>
          <w:rFonts w:eastAsia="仿宋_GB2312" w:hint="eastAsia"/>
          <w:sz w:val="32"/>
          <w:szCs w:val="32"/>
        </w:rPr>
        <w:t>中</w:t>
      </w:r>
      <w:r w:rsidR="00514C25">
        <w:rPr>
          <w:rFonts w:eastAsia="仿宋_GB2312" w:hint="eastAsia"/>
          <w:sz w:val="32"/>
          <w:szCs w:val="32"/>
        </w:rPr>
        <w:t>推荐设立对照组，建议选用同品种产品作为对照产品，试验组和对照组可各消融同一动物同一器官部位互不影响</w:t>
      </w:r>
      <w:r w:rsidR="00514C25">
        <w:rPr>
          <w:rFonts w:eastAsia="仿宋_GB2312"/>
          <w:sz w:val="32"/>
          <w:szCs w:val="32"/>
        </w:rPr>
        <w:t>的</w:t>
      </w:r>
      <w:r w:rsidR="00514C25">
        <w:rPr>
          <w:rFonts w:eastAsia="仿宋_GB2312" w:hint="eastAsia"/>
          <w:sz w:val="32"/>
          <w:szCs w:val="32"/>
        </w:rPr>
        <w:t>消融点，也可</w:t>
      </w:r>
      <w:r w:rsidR="00514C25">
        <w:rPr>
          <w:rFonts w:eastAsia="仿宋_GB2312"/>
          <w:sz w:val="32"/>
          <w:szCs w:val="32"/>
        </w:rPr>
        <w:t>消融不同动物相同</w:t>
      </w:r>
      <w:r w:rsidR="00514C25">
        <w:rPr>
          <w:rFonts w:eastAsia="仿宋_GB2312" w:hint="eastAsia"/>
          <w:sz w:val="32"/>
          <w:szCs w:val="32"/>
        </w:rPr>
        <w:t>部位</w:t>
      </w:r>
      <w:r w:rsidR="00514C25">
        <w:rPr>
          <w:rFonts w:eastAsia="仿宋_GB2312"/>
          <w:sz w:val="32"/>
          <w:szCs w:val="32"/>
        </w:rPr>
        <w:t>的消融点</w:t>
      </w:r>
      <w:r w:rsidR="00514C25">
        <w:rPr>
          <w:rFonts w:eastAsia="仿宋_GB2312" w:hint="eastAsia"/>
          <w:sz w:val="32"/>
          <w:szCs w:val="32"/>
        </w:rPr>
        <w:t>，消融点</w:t>
      </w:r>
      <w:r w:rsidR="00514C25">
        <w:rPr>
          <w:rFonts w:eastAsia="仿宋_GB2312"/>
          <w:sz w:val="32"/>
          <w:szCs w:val="32"/>
        </w:rPr>
        <w:t>至少各选一个</w:t>
      </w:r>
      <w:r w:rsidR="00514C25">
        <w:rPr>
          <w:rFonts w:eastAsia="仿宋_GB2312" w:hint="eastAsia"/>
          <w:sz w:val="32"/>
          <w:szCs w:val="32"/>
        </w:rPr>
        <w:t>。</w:t>
      </w:r>
      <w:r w:rsidR="008277E5">
        <w:rPr>
          <w:rFonts w:eastAsia="仿宋_GB2312" w:hint="eastAsia"/>
          <w:sz w:val="32"/>
          <w:szCs w:val="32"/>
        </w:rPr>
        <w:t>需</w:t>
      </w:r>
      <w:r w:rsidR="00514C25">
        <w:rPr>
          <w:rFonts w:eastAsia="仿宋_GB2312" w:hint="eastAsia"/>
          <w:sz w:val="32"/>
          <w:szCs w:val="32"/>
        </w:rPr>
        <w:t>选择</w:t>
      </w:r>
      <w:r w:rsidR="00B27213" w:rsidRPr="00B27213">
        <w:rPr>
          <w:rFonts w:eastAsia="仿宋_GB2312" w:hint="eastAsia"/>
          <w:sz w:val="32"/>
          <w:szCs w:val="32"/>
        </w:rPr>
        <w:t>可</w:t>
      </w:r>
      <w:r w:rsidR="00734DAD">
        <w:rPr>
          <w:rFonts w:eastAsia="仿宋_GB2312" w:hint="eastAsia"/>
          <w:sz w:val="32"/>
          <w:szCs w:val="32"/>
        </w:rPr>
        <w:t>能</w:t>
      </w:r>
      <w:r w:rsidR="00B27213" w:rsidRPr="00B27213">
        <w:rPr>
          <w:rFonts w:eastAsia="仿宋_GB2312" w:hint="eastAsia"/>
          <w:sz w:val="32"/>
          <w:szCs w:val="32"/>
        </w:rPr>
        <w:t>引起额外风险的模式（例如离体组织最大消融</w:t>
      </w:r>
      <w:r w:rsidR="00215A9E">
        <w:rPr>
          <w:rFonts w:eastAsia="仿宋_GB2312" w:hint="eastAsia"/>
          <w:sz w:val="32"/>
          <w:szCs w:val="32"/>
        </w:rPr>
        <w:t>区域</w:t>
      </w:r>
      <w:r w:rsidR="00734DAD">
        <w:rPr>
          <w:rFonts w:eastAsia="仿宋_GB2312" w:hint="eastAsia"/>
          <w:sz w:val="32"/>
          <w:szCs w:val="32"/>
        </w:rPr>
        <w:t>尺寸</w:t>
      </w:r>
      <w:r w:rsidR="00B27213" w:rsidRPr="00B27213">
        <w:rPr>
          <w:rFonts w:eastAsia="仿宋_GB2312" w:hint="eastAsia"/>
          <w:sz w:val="32"/>
          <w:szCs w:val="32"/>
        </w:rPr>
        <w:t>大于同品种的模式）以及该模式下的典型输出参数进行</w:t>
      </w:r>
      <w:r w:rsidR="00514C25">
        <w:rPr>
          <w:rFonts w:eastAsia="仿宋_GB2312" w:hint="eastAsia"/>
          <w:sz w:val="32"/>
          <w:szCs w:val="32"/>
        </w:rPr>
        <w:t>动物</w:t>
      </w:r>
      <w:r w:rsidR="00734DAD">
        <w:rPr>
          <w:rFonts w:eastAsia="仿宋_GB2312" w:hint="eastAsia"/>
          <w:sz w:val="32"/>
          <w:szCs w:val="32"/>
        </w:rPr>
        <w:t>试</w:t>
      </w:r>
      <w:r w:rsidR="00514C25">
        <w:rPr>
          <w:rFonts w:eastAsia="仿宋_GB2312" w:hint="eastAsia"/>
          <w:sz w:val="32"/>
          <w:szCs w:val="32"/>
        </w:rPr>
        <w:t>验。动物试验设计</w:t>
      </w:r>
      <w:r w:rsidR="008277E5">
        <w:rPr>
          <w:rFonts w:eastAsia="仿宋_GB2312" w:hint="eastAsia"/>
          <w:sz w:val="32"/>
          <w:szCs w:val="32"/>
        </w:rPr>
        <w:t>需</w:t>
      </w:r>
      <w:r w:rsidR="00514C25">
        <w:rPr>
          <w:rFonts w:eastAsia="仿宋_GB2312" w:hint="eastAsia"/>
          <w:sz w:val="32"/>
          <w:szCs w:val="32"/>
        </w:rPr>
        <w:t>能证明申报产品在体内应用的安全有效性，若</w:t>
      </w:r>
      <w:r>
        <w:rPr>
          <w:rFonts w:eastAsia="仿宋_GB2312" w:hint="eastAsia"/>
          <w:sz w:val="32"/>
          <w:szCs w:val="32"/>
        </w:rPr>
        <w:t>注册</w:t>
      </w:r>
      <w:r w:rsidR="00514C25">
        <w:rPr>
          <w:rFonts w:eastAsia="仿宋_GB2312" w:hint="eastAsia"/>
          <w:sz w:val="32"/>
          <w:szCs w:val="32"/>
        </w:rPr>
        <w:t>申请人宣称申报产品需配合其他</w:t>
      </w:r>
      <w:r w:rsidR="00514C25">
        <w:rPr>
          <w:rFonts w:ascii="仿宋_GB2312" w:eastAsia="仿宋_GB2312" w:hAnsi="Times New Roman" w:hint="eastAsia"/>
          <w:sz w:val="32"/>
          <w:szCs w:val="32"/>
        </w:rPr>
        <w:t>器械使用，应按临床实际使用情况开展验证</w:t>
      </w:r>
      <w:r w:rsidR="008277E5">
        <w:rPr>
          <w:rFonts w:ascii="仿宋_GB2312" w:eastAsia="仿宋_GB2312" w:hAnsi="Times New Roman" w:hint="eastAsia"/>
          <w:sz w:val="32"/>
          <w:szCs w:val="32"/>
        </w:rPr>
        <w:t>确认</w:t>
      </w:r>
      <w:r w:rsidR="00514C25">
        <w:rPr>
          <w:rFonts w:ascii="仿宋_GB2312" w:eastAsia="仿宋_GB2312" w:hAnsi="Times New Roman" w:hint="eastAsia"/>
          <w:sz w:val="32"/>
          <w:szCs w:val="32"/>
        </w:rPr>
        <w:t>。</w:t>
      </w:r>
      <w:r w:rsidR="00514C25">
        <w:rPr>
          <w:rFonts w:ascii="仿宋_GB2312" w:eastAsia="仿宋_GB2312" w:hAnsi="Times New Roman"/>
          <w:sz w:val="32"/>
          <w:szCs w:val="32"/>
        </w:rPr>
        <w:t xml:space="preserve"> </w:t>
      </w:r>
    </w:p>
    <w:p w14:paraId="1DE381F6" w14:textId="0BDB812D" w:rsidR="00EB4030" w:rsidRDefault="008277E5" w:rsidP="0042468E">
      <w:pPr>
        <w:overflowPunct w:val="0"/>
        <w:spacing w:line="520" w:lineRule="exact"/>
        <w:ind w:firstLine="636"/>
        <w:rPr>
          <w:rFonts w:ascii="仿宋_GB2312" w:eastAsia="仿宋_GB2312" w:hAnsi="Times New Roman"/>
          <w:sz w:val="32"/>
          <w:szCs w:val="32"/>
        </w:rPr>
      </w:pPr>
      <w:r>
        <w:rPr>
          <w:rFonts w:ascii="仿宋_GB2312" w:eastAsia="仿宋_GB2312" w:hAnsi="Times New Roman" w:hint="eastAsia"/>
          <w:sz w:val="32"/>
          <w:szCs w:val="32"/>
        </w:rPr>
        <w:t>注册</w:t>
      </w:r>
      <w:r w:rsidR="00514C25">
        <w:rPr>
          <w:rFonts w:ascii="仿宋_GB2312" w:eastAsia="仿宋_GB2312" w:hAnsi="Times New Roman" w:hint="eastAsia"/>
          <w:sz w:val="32"/>
          <w:szCs w:val="32"/>
        </w:rPr>
        <w:t>申请人</w:t>
      </w:r>
      <w:r>
        <w:rPr>
          <w:rFonts w:ascii="仿宋_GB2312" w:eastAsia="仿宋_GB2312" w:hAnsi="Times New Roman" w:hint="eastAsia"/>
          <w:sz w:val="32"/>
          <w:szCs w:val="32"/>
        </w:rPr>
        <w:t>需</w:t>
      </w:r>
      <w:r w:rsidR="00514C25">
        <w:rPr>
          <w:rFonts w:ascii="仿宋_GB2312" w:eastAsia="仿宋_GB2312" w:hAnsi="Times New Roman" w:hint="eastAsia"/>
          <w:sz w:val="32"/>
          <w:szCs w:val="32"/>
        </w:rPr>
        <w:t>考虑选取动物模型的代表性和合理性，一般可选择大</w:t>
      </w:r>
      <w:r w:rsidR="00B27213">
        <w:rPr>
          <w:rFonts w:ascii="仿宋_GB2312" w:eastAsia="仿宋_GB2312" w:hAnsi="Times New Roman" w:hint="eastAsia"/>
          <w:sz w:val="32"/>
          <w:szCs w:val="32"/>
        </w:rPr>
        <w:t>型</w:t>
      </w:r>
      <w:r w:rsidR="00514C25">
        <w:rPr>
          <w:rFonts w:ascii="仿宋_GB2312" w:eastAsia="仿宋_GB2312" w:hAnsi="Times New Roman" w:hint="eastAsia"/>
          <w:sz w:val="32"/>
          <w:szCs w:val="32"/>
        </w:rPr>
        <w:t>动物如猪、犬作为试验动物。</w:t>
      </w:r>
      <w:r w:rsidR="007740AC">
        <w:rPr>
          <w:rFonts w:ascii="仿宋_GB2312" w:eastAsia="仿宋_GB2312" w:hAnsi="Times New Roman" w:hint="eastAsia"/>
          <w:sz w:val="32"/>
          <w:szCs w:val="32"/>
        </w:rPr>
        <w:t>注册申请人</w:t>
      </w:r>
      <w:r w:rsidR="00514C25">
        <w:rPr>
          <w:rFonts w:ascii="仿宋_GB2312" w:eastAsia="仿宋_GB2312" w:hAnsi="Times New Roman" w:hint="eastAsia"/>
          <w:sz w:val="32"/>
          <w:szCs w:val="32"/>
        </w:rPr>
        <w:t>需</w:t>
      </w:r>
      <w:r w:rsidR="007740AC">
        <w:rPr>
          <w:rFonts w:ascii="仿宋_GB2312" w:eastAsia="仿宋_GB2312" w:hAnsi="Times New Roman" w:hint="eastAsia"/>
          <w:sz w:val="32"/>
          <w:szCs w:val="32"/>
        </w:rPr>
        <w:t>在</w:t>
      </w:r>
      <w:r w:rsidR="007740AC">
        <w:rPr>
          <w:rFonts w:ascii="仿宋_GB2312" w:eastAsia="仿宋_GB2312" w:hAnsi="Times New Roman" w:hint="eastAsia"/>
          <w:sz w:val="32"/>
          <w:szCs w:val="32"/>
        </w:rPr>
        <w:lastRenderedPageBreak/>
        <w:t>动物试验中</w:t>
      </w:r>
      <w:r w:rsidR="007740AC">
        <w:rPr>
          <w:rFonts w:ascii="仿宋_GB2312" w:eastAsia="仿宋_GB2312" w:hAnsi="Times New Roman"/>
          <w:sz w:val="32"/>
          <w:szCs w:val="32"/>
        </w:rPr>
        <w:t>考虑</w:t>
      </w:r>
      <w:r w:rsidR="00514C25">
        <w:rPr>
          <w:rFonts w:ascii="仿宋_GB2312" w:eastAsia="仿宋_GB2312" w:hAnsi="Times New Roman" w:hint="eastAsia"/>
          <w:sz w:val="32"/>
          <w:szCs w:val="32"/>
        </w:rPr>
        <w:t>根据适用范围选取对应的组织和部位，动物研究可不构建病理模型。动物数量宜充分保证试验结果具有可靠性，且符合3R原则。适当时，可在同一只动物多个组织部位使用器械。如有多个观察时间点，每一观察点的动物数量均</w:t>
      </w:r>
      <w:r>
        <w:rPr>
          <w:rFonts w:ascii="仿宋_GB2312" w:eastAsia="仿宋_GB2312" w:hAnsi="Times New Roman" w:hint="eastAsia"/>
          <w:sz w:val="32"/>
          <w:szCs w:val="32"/>
        </w:rPr>
        <w:t>需</w:t>
      </w:r>
      <w:r w:rsidR="00514C25">
        <w:rPr>
          <w:rFonts w:ascii="仿宋_GB2312" w:eastAsia="仿宋_GB2312" w:hAnsi="Times New Roman" w:hint="eastAsia"/>
          <w:sz w:val="32"/>
          <w:szCs w:val="32"/>
        </w:rPr>
        <w:t>保证试验结果具有可靠性。</w:t>
      </w:r>
    </w:p>
    <w:p w14:paraId="3BFD7A35" w14:textId="52DD2277" w:rsidR="00EB4030" w:rsidRDefault="007740AC" w:rsidP="0042468E">
      <w:pPr>
        <w:overflowPunct w:val="0"/>
        <w:spacing w:line="520" w:lineRule="exact"/>
        <w:ind w:firstLine="636"/>
        <w:rPr>
          <w:rFonts w:eastAsia="仿宋_GB2312"/>
          <w:sz w:val="32"/>
          <w:szCs w:val="32"/>
        </w:rPr>
      </w:pPr>
      <w:r>
        <w:rPr>
          <w:rFonts w:ascii="仿宋_GB2312" w:eastAsia="仿宋_GB2312" w:hAnsi="Times New Roman" w:hint="eastAsia"/>
          <w:sz w:val="32"/>
          <w:szCs w:val="32"/>
        </w:rPr>
        <w:t>注册申请人</w:t>
      </w:r>
      <w:r w:rsidR="00B27213" w:rsidRPr="00B27213">
        <w:rPr>
          <w:rFonts w:ascii="仿宋_GB2312" w:eastAsia="仿宋_GB2312" w:hAnsi="Times New Roman" w:hint="eastAsia"/>
          <w:sz w:val="32"/>
          <w:szCs w:val="32"/>
        </w:rPr>
        <w:t>需根据试验目的设定</w:t>
      </w:r>
      <w:r w:rsidRPr="00B27213">
        <w:rPr>
          <w:rFonts w:ascii="仿宋_GB2312" w:eastAsia="仿宋_GB2312" w:hAnsi="Times New Roman" w:hint="eastAsia"/>
          <w:sz w:val="32"/>
          <w:szCs w:val="32"/>
        </w:rPr>
        <w:t>动物试验</w:t>
      </w:r>
      <w:r w:rsidR="00B27213" w:rsidRPr="00B27213">
        <w:rPr>
          <w:rFonts w:ascii="仿宋_GB2312" w:eastAsia="仿宋_GB2312" w:hAnsi="Times New Roman" w:hint="eastAsia"/>
          <w:sz w:val="32"/>
          <w:szCs w:val="32"/>
        </w:rPr>
        <w:t>合理的观察周期，如术后即刻、术后7天（如适用），并提供相应的理由。以肝肿瘤、甲状腺良性结节为目的的消融，可以考虑术后即刻至一定时间的随访时间的临床不良反应（</w:t>
      </w:r>
      <w:r w:rsidR="00734DAD">
        <w:rPr>
          <w:rFonts w:ascii="仿宋_GB2312" w:eastAsia="仿宋_GB2312" w:hAnsi="Times New Roman" w:hint="eastAsia"/>
          <w:sz w:val="32"/>
          <w:szCs w:val="32"/>
        </w:rPr>
        <w:t>如</w:t>
      </w:r>
      <w:r w:rsidR="00B27213" w:rsidRPr="00B27213">
        <w:rPr>
          <w:rFonts w:ascii="仿宋_GB2312" w:eastAsia="仿宋_GB2312" w:hAnsi="Times New Roman" w:hint="eastAsia"/>
          <w:sz w:val="32"/>
          <w:szCs w:val="32"/>
        </w:rPr>
        <w:t>消融部位为肝脏可观察是否发生门脉血栓、胆道并发症、</w:t>
      </w:r>
      <w:r w:rsidR="00B27213">
        <w:rPr>
          <w:rFonts w:eastAsia="仿宋_GB2312" w:hint="eastAsia"/>
          <w:sz w:val="32"/>
          <w:szCs w:val="32"/>
        </w:rPr>
        <w:t>临近器官损伤</w:t>
      </w:r>
      <w:r w:rsidR="00B27213">
        <w:rPr>
          <w:rFonts w:ascii="仿宋_GB2312" w:eastAsia="仿宋_GB2312" w:hAnsi="Times New Roman" w:hint="eastAsia"/>
          <w:sz w:val="32"/>
          <w:szCs w:val="32"/>
        </w:rPr>
        <w:t>等症状</w:t>
      </w:r>
      <w:r w:rsidR="00B27213">
        <w:rPr>
          <w:rFonts w:eastAsia="仿宋_GB2312" w:hint="eastAsia"/>
          <w:sz w:val="32"/>
          <w:szCs w:val="32"/>
        </w:rPr>
        <w:t>；如消融部位为</w:t>
      </w:r>
      <w:r w:rsidR="00B27213">
        <w:rPr>
          <w:rFonts w:ascii="仿宋_GB2312" w:eastAsia="仿宋_GB2312" w:hAnsi="Times New Roman" w:hint="eastAsia"/>
          <w:sz w:val="32"/>
          <w:szCs w:val="32"/>
        </w:rPr>
        <w:t>甲状腺可观察</w:t>
      </w:r>
      <w:r w:rsidR="00B27213">
        <w:rPr>
          <w:rFonts w:eastAsia="仿宋_GB2312" w:hint="eastAsia"/>
          <w:sz w:val="32"/>
          <w:szCs w:val="32"/>
        </w:rPr>
        <w:t>是否发生</w:t>
      </w:r>
      <w:r w:rsidR="00E705AD">
        <w:rPr>
          <w:rFonts w:ascii="仿宋_GB2312" w:eastAsia="仿宋_GB2312" w:hAnsi="Times New Roman" w:hint="eastAsia"/>
          <w:sz w:val="32"/>
          <w:szCs w:val="32"/>
        </w:rPr>
        <w:t>呼吸不畅、声音嘶哑、</w:t>
      </w:r>
      <w:r w:rsidR="00B27213">
        <w:rPr>
          <w:rFonts w:ascii="仿宋_GB2312" w:eastAsia="仿宋_GB2312" w:hAnsi="Times New Roman" w:hint="eastAsia"/>
          <w:sz w:val="32"/>
          <w:szCs w:val="32"/>
        </w:rPr>
        <w:t>喉梗阻、喉返神经损伤、声带水肿和血管损伤等症状</w:t>
      </w:r>
      <w:r w:rsidR="00B27213" w:rsidRPr="00A869E7">
        <w:rPr>
          <w:rFonts w:ascii="仿宋_GB2312" w:eastAsia="仿宋_GB2312" w:hAnsi="Times New Roman" w:hint="eastAsia"/>
          <w:sz w:val="32"/>
          <w:szCs w:val="32"/>
        </w:rPr>
        <w:t>）</w:t>
      </w:r>
      <w:r w:rsidR="00B27213">
        <w:rPr>
          <w:rFonts w:eastAsia="仿宋_GB2312" w:hint="eastAsia"/>
          <w:sz w:val="32"/>
          <w:szCs w:val="32"/>
        </w:rPr>
        <w:t>、影像下消融范围、术后血常规血生化指标以及病理解剖等。如果涉及新的影像引导方式或新的消融</w:t>
      </w:r>
      <w:r w:rsidR="00215A9E">
        <w:rPr>
          <w:rFonts w:eastAsia="仿宋_GB2312" w:hint="eastAsia"/>
          <w:sz w:val="32"/>
          <w:szCs w:val="32"/>
        </w:rPr>
        <w:t>电极</w:t>
      </w:r>
      <w:r w:rsidR="00B27213">
        <w:rPr>
          <w:rFonts w:eastAsia="仿宋_GB2312" w:hint="eastAsia"/>
          <w:sz w:val="32"/>
          <w:szCs w:val="32"/>
        </w:rPr>
        <w:t>材料，也</w:t>
      </w:r>
      <w:r w:rsidR="008277E5">
        <w:rPr>
          <w:rFonts w:eastAsia="仿宋_GB2312" w:hint="eastAsia"/>
          <w:sz w:val="32"/>
          <w:szCs w:val="32"/>
        </w:rPr>
        <w:t>需</w:t>
      </w:r>
      <w:r w:rsidR="00B27213">
        <w:rPr>
          <w:rFonts w:eastAsia="仿宋_GB2312" w:hint="eastAsia"/>
          <w:sz w:val="32"/>
          <w:szCs w:val="32"/>
        </w:rPr>
        <w:t>在动物试验中评估影像下消融</w:t>
      </w:r>
      <w:r w:rsidR="00215A9E">
        <w:rPr>
          <w:rFonts w:eastAsia="仿宋_GB2312" w:hint="eastAsia"/>
          <w:sz w:val="32"/>
          <w:szCs w:val="32"/>
        </w:rPr>
        <w:t>电极</w:t>
      </w:r>
      <w:r w:rsidR="00B27213">
        <w:rPr>
          <w:rFonts w:eastAsia="仿宋_GB2312" w:hint="eastAsia"/>
          <w:sz w:val="32"/>
          <w:szCs w:val="32"/>
        </w:rPr>
        <w:t>的清晰度。</w:t>
      </w:r>
    </w:p>
    <w:p w14:paraId="3E17B3ED" w14:textId="77777777" w:rsidR="00EB4030" w:rsidRDefault="00514C25" w:rsidP="0042468E">
      <w:pPr>
        <w:pStyle w:val="20"/>
        <w:spacing w:after="0" w:line="520" w:lineRule="exact"/>
        <w:ind w:leftChars="0" w:left="0" w:firstLine="640"/>
        <w:rPr>
          <w:rFonts w:asciiTheme="minorHAnsi" w:eastAsia="仿宋_GB2312" w:hAnsiTheme="minorHAnsi" w:cstheme="minorBidi"/>
          <w:bCs w:val="0"/>
          <w:sz w:val="32"/>
          <w:szCs w:val="32"/>
        </w:rPr>
      </w:pPr>
      <w:r>
        <w:rPr>
          <w:rFonts w:asciiTheme="minorHAnsi" w:eastAsia="仿宋_GB2312" w:hAnsiTheme="minorHAnsi" w:cstheme="minorBidi" w:hint="eastAsia"/>
          <w:bCs w:val="0"/>
          <w:sz w:val="32"/>
          <w:szCs w:val="32"/>
        </w:rPr>
        <w:t>若申报产品的部分测试或研究结果与同品种产品存在差异，需结合申报产品的临床使用场景、已上市同类产品的情况、申报产品的临床数据（如有）、临床诊疗要求等资料，综合分析申报产品的临床可接受性，若已有数据无法证明申报产品安全有效，必要时提交自身临床数据。</w:t>
      </w:r>
    </w:p>
    <w:p w14:paraId="2E5E658A" w14:textId="77777777" w:rsidR="00EB4030" w:rsidRDefault="00514C25" w:rsidP="0042468E">
      <w:pPr>
        <w:spacing w:line="520" w:lineRule="exact"/>
        <w:ind w:firstLineChars="200" w:firstLine="640"/>
        <w:rPr>
          <w:rFonts w:eastAsia="仿宋_GB2312"/>
          <w:sz w:val="32"/>
          <w:szCs w:val="32"/>
        </w:rPr>
      </w:pPr>
      <w:r>
        <w:rPr>
          <w:rFonts w:eastAsia="仿宋_GB2312" w:hint="eastAsia"/>
          <w:sz w:val="32"/>
          <w:szCs w:val="32"/>
        </w:rPr>
        <w:t>（五）同品种产品的临床数据</w:t>
      </w:r>
    </w:p>
    <w:p w14:paraId="766A1BD2" w14:textId="77777777" w:rsidR="00EB4030" w:rsidRDefault="00514C25" w:rsidP="0042468E">
      <w:pPr>
        <w:spacing w:line="520" w:lineRule="exact"/>
        <w:ind w:firstLineChars="200" w:firstLine="640"/>
        <w:rPr>
          <w:rFonts w:eastAsia="仿宋_GB2312"/>
          <w:sz w:val="32"/>
          <w:szCs w:val="32"/>
        </w:rPr>
      </w:pPr>
      <w:r>
        <w:rPr>
          <w:rFonts w:eastAsia="仿宋_GB2312" w:hint="eastAsia"/>
          <w:sz w:val="32"/>
          <w:szCs w:val="32"/>
        </w:rPr>
        <w:t>建议参考《医疗器械临床评价技术指导原则》要求，提交同品种产品的临床数据；临床试验或临床使用获得的数据（以下简称临床数据）可来自中国境内和</w:t>
      </w:r>
      <w:r>
        <w:rPr>
          <w:rFonts w:eastAsia="仿宋_GB2312"/>
          <w:sz w:val="32"/>
          <w:szCs w:val="32"/>
        </w:rPr>
        <w:t>/</w:t>
      </w:r>
      <w:r>
        <w:rPr>
          <w:rFonts w:eastAsia="仿宋_GB2312" w:hint="eastAsia"/>
          <w:sz w:val="32"/>
          <w:szCs w:val="32"/>
        </w:rPr>
        <w:t>或境外公开发表的科学文献和合法获得的相应数据，包括临床试验数据、临床经验数据、临床文献数据等。</w:t>
      </w:r>
    </w:p>
    <w:p w14:paraId="5FBA4C6F" w14:textId="77777777" w:rsidR="00EB4030" w:rsidRDefault="00514C25" w:rsidP="0042468E">
      <w:pPr>
        <w:spacing w:line="520" w:lineRule="exact"/>
        <w:ind w:firstLineChars="45" w:firstLine="140"/>
        <w:rPr>
          <w:rFonts w:ascii="黑体" w:eastAsia="黑体" w:hAnsi="黑体" w:cs="Times New Roman"/>
          <w:bCs/>
          <w:sz w:val="32"/>
          <w:szCs w:val="32"/>
        </w:rPr>
      </w:pPr>
      <w:r>
        <w:rPr>
          <w:rFonts w:ascii="仿宋_GB2312" w:eastAsia="仿宋_GB2312" w:hAnsi="Times New Roman"/>
          <w:color w:val="000000" w:themeColor="text1"/>
          <w:spacing w:val="-4"/>
          <w:sz w:val="32"/>
          <w:szCs w:val="32"/>
        </w:rPr>
        <w:lastRenderedPageBreak/>
        <w:t xml:space="preserve">    </w:t>
      </w:r>
      <w:r>
        <w:rPr>
          <w:rFonts w:ascii="黑体" w:eastAsia="黑体" w:hAnsi="黑体" w:cs="Times New Roman" w:hint="eastAsia"/>
          <w:bCs/>
          <w:sz w:val="32"/>
          <w:szCs w:val="32"/>
        </w:rPr>
        <w:t>三、</w:t>
      </w:r>
      <w:bookmarkStart w:id="3" w:name="_Toc499275628"/>
      <w:r>
        <w:rPr>
          <w:rFonts w:ascii="黑体" w:eastAsia="黑体" w:hAnsi="黑体" w:cs="Times New Roman" w:hint="eastAsia"/>
          <w:bCs/>
          <w:sz w:val="32"/>
          <w:szCs w:val="32"/>
        </w:rPr>
        <w:t>说明书</w:t>
      </w:r>
      <w:r>
        <w:rPr>
          <w:rFonts w:ascii="黑体" w:eastAsia="黑体" w:hAnsi="黑体" w:cs="Times New Roman"/>
          <w:bCs/>
          <w:sz w:val="32"/>
          <w:szCs w:val="32"/>
        </w:rPr>
        <w:t>使用信息规范</w:t>
      </w:r>
    </w:p>
    <w:p w14:paraId="091335FD" w14:textId="3230D17D" w:rsidR="00EB4030" w:rsidRDefault="00514C25" w:rsidP="0042468E">
      <w:pPr>
        <w:pStyle w:val="a5"/>
        <w:tabs>
          <w:tab w:val="left" w:pos="1160"/>
        </w:tabs>
        <w:adjustRightInd w:val="0"/>
        <w:snapToGrid w:val="0"/>
        <w:spacing w:afterLines="50" w:after="156" w:line="520" w:lineRule="exact"/>
        <w:ind w:firstLineChars="181" w:firstLine="565"/>
        <w:rPr>
          <w:rFonts w:ascii="仿宋_GB2312" w:eastAsia="仿宋_GB2312" w:hAnsi="Times New Roman"/>
          <w:color w:val="000000" w:themeColor="text1"/>
          <w:spacing w:val="-4"/>
          <w:sz w:val="32"/>
          <w:szCs w:val="32"/>
        </w:rPr>
      </w:pPr>
      <w:r>
        <w:rPr>
          <w:rFonts w:ascii="仿宋_GB2312" w:eastAsia="仿宋_GB2312" w:hAnsi="Times New Roman" w:hint="eastAsia"/>
          <w:color w:val="000000" w:themeColor="text1"/>
          <w:spacing w:val="-4"/>
          <w:sz w:val="32"/>
          <w:szCs w:val="32"/>
        </w:rPr>
        <w:t>需</w:t>
      </w:r>
      <w:r>
        <w:rPr>
          <w:rFonts w:ascii="仿宋_GB2312" w:eastAsia="仿宋_GB2312" w:hAnsi="Times New Roman"/>
          <w:color w:val="000000" w:themeColor="text1"/>
          <w:spacing w:val="-4"/>
          <w:sz w:val="32"/>
          <w:szCs w:val="32"/>
        </w:rPr>
        <w:t>在</w:t>
      </w:r>
      <w:r>
        <w:rPr>
          <w:rFonts w:ascii="仿宋_GB2312" w:eastAsia="仿宋_GB2312" w:hAnsi="Times New Roman" w:hint="eastAsia"/>
          <w:color w:val="000000" w:themeColor="text1"/>
          <w:spacing w:val="-4"/>
          <w:sz w:val="32"/>
          <w:szCs w:val="32"/>
        </w:rPr>
        <w:t>说明书根据临床诊疗指南或专家共识规范</w:t>
      </w:r>
      <w:r w:rsidR="00E1391E">
        <w:rPr>
          <w:rFonts w:ascii="仿宋_GB2312" w:eastAsia="仿宋_GB2312" w:hAnsi="Times New Roman" w:hint="eastAsia"/>
          <w:color w:val="000000" w:themeColor="text1"/>
          <w:spacing w:val="-4"/>
          <w:sz w:val="32"/>
          <w:szCs w:val="32"/>
        </w:rPr>
        <w:t>适应证</w:t>
      </w:r>
      <w:r>
        <w:rPr>
          <w:rFonts w:ascii="仿宋_GB2312" w:eastAsia="仿宋_GB2312" w:hAnsi="Times New Roman" w:hint="eastAsia"/>
          <w:color w:val="000000" w:themeColor="text1"/>
          <w:spacing w:val="-4"/>
          <w:sz w:val="32"/>
          <w:szCs w:val="32"/>
        </w:rPr>
        <w:t>和</w:t>
      </w:r>
      <w:r w:rsidR="00E1391E">
        <w:rPr>
          <w:rFonts w:ascii="仿宋_GB2312" w:eastAsia="仿宋_GB2312" w:hAnsi="Times New Roman" w:hint="eastAsia"/>
          <w:color w:val="000000" w:themeColor="text1"/>
          <w:spacing w:val="-4"/>
          <w:sz w:val="32"/>
          <w:szCs w:val="32"/>
        </w:rPr>
        <w:t>禁忌证</w:t>
      </w:r>
      <w:r>
        <w:rPr>
          <w:rFonts w:ascii="仿宋_GB2312" w:eastAsia="仿宋_GB2312" w:hAnsi="Times New Roman" w:hint="eastAsia"/>
          <w:color w:val="000000" w:themeColor="text1"/>
          <w:spacing w:val="-4"/>
          <w:sz w:val="32"/>
          <w:szCs w:val="32"/>
        </w:rPr>
        <w:t>。</w:t>
      </w:r>
    </w:p>
    <w:p w14:paraId="410AE175" w14:textId="0F86AB5D" w:rsidR="00EB4030" w:rsidRDefault="00514C25" w:rsidP="0042468E">
      <w:pPr>
        <w:pStyle w:val="a5"/>
        <w:tabs>
          <w:tab w:val="left" w:pos="1160"/>
        </w:tabs>
        <w:adjustRightInd w:val="0"/>
        <w:snapToGrid w:val="0"/>
        <w:spacing w:afterLines="50" w:after="156" w:line="520" w:lineRule="exact"/>
        <w:ind w:firstLineChars="181" w:firstLine="565"/>
        <w:rPr>
          <w:rFonts w:ascii="仿宋_GB2312" w:eastAsia="仿宋_GB2312" w:hAnsi="Times New Roman"/>
          <w:color w:val="000000" w:themeColor="text1"/>
          <w:spacing w:val="-4"/>
          <w:sz w:val="32"/>
          <w:szCs w:val="32"/>
        </w:rPr>
      </w:pPr>
      <w:r>
        <w:rPr>
          <w:rFonts w:ascii="仿宋_GB2312" w:eastAsia="仿宋_GB2312" w:hAnsi="Times New Roman" w:hint="eastAsia"/>
          <w:color w:val="000000" w:themeColor="text1"/>
          <w:spacing w:val="-4"/>
          <w:sz w:val="32"/>
          <w:szCs w:val="32"/>
        </w:rPr>
        <w:t>需</w:t>
      </w:r>
      <w:r>
        <w:rPr>
          <w:rFonts w:ascii="仿宋_GB2312" w:eastAsia="仿宋_GB2312" w:hAnsi="Times New Roman"/>
          <w:color w:val="000000" w:themeColor="text1"/>
          <w:spacing w:val="-4"/>
          <w:sz w:val="32"/>
          <w:szCs w:val="32"/>
        </w:rPr>
        <w:t>在</w:t>
      </w:r>
      <w:r>
        <w:rPr>
          <w:rFonts w:ascii="仿宋_GB2312" w:eastAsia="仿宋_GB2312" w:hAnsi="Times New Roman" w:hint="eastAsia"/>
          <w:color w:val="000000" w:themeColor="text1"/>
          <w:spacing w:val="-4"/>
          <w:sz w:val="32"/>
          <w:szCs w:val="32"/>
        </w:rPr>
        <w:t>说明书</w:t>
      </w:r>
      <w:r>
        <w:rPr>
          <w:rFonts w:ascii="仿宋_GB2312" w:eastAsia="仿宋_GB2312" w:hAnsi="Times New Roman"/>
          <w:color w:val="000000" w:themeColor="text1"/>
          <w:spacing w:val="-4"/>
          <w:sz w:val="32"/>
          <w:szCs w:val="32"/>
        </w:rPr>
        <w:t>中</w:t>
      </w:r>
      <w:r>
        <w:rPr>
          <w:rFonts w:ascii="仿宋_GB2312" w:eastAsia="仿宋_GB2312" w:hAnsi="Times New Roman" w:hint="eastAsia"/>
          <w:color w:val="000000" w:themeColor="text1"/>
          <w:spacing w:val="-4"/>
          <w:sz w:val="32"/>
          <w:szCs w:val="32"/>
        </w:rPr>
        <w:t>公布</w:t>
      </w:r>
      <w:r w:rsidR="00734DAD">
        <w:rPr>
          <w:rFonts w:ascii="仿宋_GB2312" w:eastAsia="仿宋_GB2312" w:hAnsi="Times New Roman" w:hint="eastAsia"/>
          <w:color w:val="000000" w:themeColor="text1"/>
          <w:spacing w:val="-4"/>
          <w:sz w:val="32"/>
          <w:szCs w:val="32"/>
        </w:rPr>
        <w:t>离体组织和动物试验（如适用）</w:t>
      </w:r>
      <w:r>
        <w:rPr>
          <w:rFonts w:ascii="仿宋_GB2312" w:eastAsia="仿宋_GB2312" w:hAnsi="Times New Roman" w:hint="eastAsia"/>
          <w:color w:val="000000" w:themeColor="text1"/>
          <w:spacing w:val="-4"/>
          <w:sz w:val="32"/>
          <w:szCs w:val="32"/>
        </w:rPr>
        <w:t>研究结果，及多针或重复消融的操作方法（包括如何在病灶中重新定位、布针间距等）</w:t>
      </w:r>
      <w:r w:rsidR="00734DAD">
        <w:rPr>
          <w:rFonts w:ascii="仿宋_GB2312" w:eastAsia="仿宋_GB2312" w:hAnsi="Times New Roman" w:hint="eastAsia"/>
          <w:color w:val="000000" w:themeColor="text1"/>
          <w:spacing w:val="-4"/>
          <w:sz w:val="32"/>
          <w:szCs w:val="32"/>
        </w:rPr>
        <w:t>，</w:t>
      </w:r>
      <w:r>
        <w:rPr>
          <w:rFonts w:ascii="仿宋_GB2312" w:eastAsia="仿宋_GB2312" w:hAnsi="Times New Roman" w:hint="eastAsia"/>
          <w:color w:val="000000" w:themeColor="text1"/>
          <w:spacing w:val="-4"/>
          <w:sz w:val="32"/>
          <w:szCs w:val="32"/>
        </w:rPr>
        <w:t>每一附件对应的典型功率和最大使用功率、器械的预期性能，以及</w:t>
      </w:r>
      <w:r>
        <w:rPr>
          <w:rFonts w:ascii="仿宋_GB2312" w:eastAsia="仿宋_GB2312" w:hAnsi="Times New Roman"/>
          <w:color w:val="000000" w:themeColor="text1"/>
          <w:spacing w:val="-4"/>
          <w:sz w:val="32"/>
          <w:szCs w:val="32"/>
        </w:rPr>
        <w:t>不同模式的</w:t>
      </w:r>
      <w:r>
        <w:rPr>
          <w:rFonts w:ascii="仿宋_GB2312" w:eastAsia="仿宋_GB2312" w:hAnsi="Times New Roman" w:hint="eastAsia"/>
          <w:color w:val="000000" w:themeColor="text1"/>
          <w:spacing w:val="-4"/>
          <w:sz w:val="32"/>
          <w:szCs w:val="32"/>
        </w:rPr>
        <w:t>使用场景、</w:t>
      </w:r>
      <w:r>
        <w:rPr>
          <w:rFonts w:ascii="仿宋_GB2312" w:eastAsia="仿宋_GB2312" w:hAnsi="Times New Roman"/>
          <w:color w:val="000000" w:themeColor="text1"/>
          <w:spacing w:val="-4"/>
          <w:sz w:val="32"/>
          <w:szCs w:val="32"/>
        </w:rPr>
        <w:t>使用</w:t>
      </w:r>
      <w:r>
        <w:rPr>
          <w:rFonts w:ascii="仿宋_GB2312" w:eastAsia="仿宋_GB2312" w:hAnsi="Times New Roman" w:hint="eastAsia"/>
          <w:color w:val="000000" w:themeColor="text1"/>
          <w:spacing w:val="-4"/>
          <w:sz w:val="32"/>
          <w:szCs w:val="32"/>
        </w:rPr>
        <w:t>方法</w:t>
      </w:r>
      <w:r>
        <w:rPr>
          <w:rFonts w:ascii="仿宋_GB2312" w:eastAsia="仿宋_GB2312" w:hAnsi="Times New Roman"/>
          <w:color w:val="000000" w:themeColor="text1"/>
          <w:spacing w:val="-4"/>
          <w:sz w:val="32"/>
          <w:szCs w:val="32"/>
        </w:rPr>
        <w:t>、</w:t>
      </w:r>
      <w:r>
        <w:rPr>
          <w:rFonts w:ascii="仿宋_GB2312" w:eastAsia="仿宋_GB2312" w:hAnsi="Times New Roman" w:hint="eastAsia"/>
          <w:color w:val="000000" w:themeColor="text1"/>
          <w:spacing w:val="-4"/>
          <w:sz w:val="32"/>
          <w:szCs w:val="32"/>
        </w:rPr>
        <w:t>使用注意</w:t>
      </w:r>
      <w:r>
        <w:rPr>
          <w:rFonts w:ascii="仿宋_GB2312" w:eastAsia="仿宋_GB2312" w:hAnsi="Times New Roman"/>
          <w:color w:val="000000" w:themeColor="text1"/>
          <w:spacing w:val="-4"/>
          <w:sz w:val="32"/>
          <w:szCs w:val="32"/>
        </w:rPr>
        <w:t>事项</w:t>
      </w:r>
      <w:r>
        <w:rPr>
          <w:rFonts w:ascii="仿宋_GB2312" w:eastAsia="仿宋_GB2312" w:hAnsi="Times New Roman" w:hint="eastAsia"/>
          <w:color w:val="000000" w:themeColor="text1"/>
          <w:spacing w:val="-4"/>
          <w:sz w:val="32"/>
          <w:szCs w:val="32"/>
        </w:rPr>
        <w:t>等。</w:t>
      </w:r>
    </w:p>
    <w:p w14:paraId="59782855" w14:textId="77777777" w:rsidR="00EB4030" w:rsidRDefault="00514C25" w:rsidP="0042468E">
      <w:pPr>
        <w:spacing w:line="52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四</w:t>
      </w:r>
      <w:r>
        <w:rPr>
          <w:rFonts w:ascii="黑体" w:eastAsia="黑体" w:hAnsi="黑体" w:cs="Times New Roman"/>
          <w:bCs/>
          <w:sz w:val="32"/>
          <w:szCs w:val="32"/>
        </w:rPr>
        <w:t>、</w:t>
      </w:r>
      <w:r>
        <w:rPr>
          <w:rFonts w:ascii="黑体" w:eastAsia="黑体" w:hAnsi="黑体" w:cs="Times New Roman" w:hint="eastAsia"/>
          <w:bCs/>
          <w:sz w:val="32"/>
          <w:szCs w:val="32"/>
        </w:rPr>
        <w:t>参考文献</w:t>
      </w:r>
      <w:bookmarkEnd w:id="3"/>
    </w:p>
    <w:p w14:paraId="71B0351E" w14:textId="77777777" w:rsidR="00EB4030" w:rsidRDefault="00514C25" w:rsidP="0042468E">
      <w:pPr>
        <w:overflowPunct w:val="0"/>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[1]《医疗器械临床评价技术指导原则》（20</w:t>
      </w:r>
      <w:r>
        <w:rPr>
          <w:rFonts w:ascii="仿宋_GB2312" w:eastAsia="仿宋_GB2312" w:hAnsi="仿宋_GB2312" w:cs="仿宋_GB2312"/>
          <w:sz w:val="32"/>
          <w:szCs w:val="32"/>
        </w:rPr>
        <w:t>21</w:t>
      </w:r>
      <w:r>
        <w:rPr>
          <w:rFonts w:ascii="仿宋_GB2312" w:eastAsia="仿宋_GB2312" w:hAnsi="仿宋_GB2312" w:cs="仿宋_GB2312" w:hint="eastAsia"/>
          <w:sz w:val="32"/>
          <w:szCs w:val="32"/>
        </w:rPr>
        <w:t>年第</w:t>
      </w:r>
      <w:r>
        <w:rPr>
          <w:rFonts w:ascii="仿宋_GB2312" w:eastAsia="仿宋_GB2312" w:hAnsi="仿宋_GB2312" w:cs="仿宋_GB2312"/>
          <w:sz w:val="32"/>
          <w:szCs w:val="32"/>
        </w:rPr>
        <w:t>73</w:t>
      </w:r>
      <w:r>
        <w:rPr>
          <w:rFonts w:ascii="仿宋_GB2312" w:eastAsia="仿宋_GB2312" w:hAnsi="仿宋_GB2312" w:cs="仿宋_GB2312" w:hint="eastAsia"/>
          <w:sz w:val="32"/>
          <w:szCs w:val="32"/>
        </w:rPr>
        <w:t>号通告）</w:t>
      </w:r>
    </w:p>
    <w:p w14:paraId="0FF2C3DA" w14:textId="77777777" w:rsidR="00EB4030" w:rsidRDefault="00514C25" w:rsidP="0042468E">
      <w:pPr>
        <w:overflowPunct w:val="0"/>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[2]《医疗器械临床试验质量管理规范》（国家药监局 国家卫生健康委 2022年第28号公告）</w:t>
      </w:r>
    </w:p>
    <w:p w14:paraId="6F5030B9" w14:textId="77777777" w:rsidR="00EB4030" w:rsidRDefault="00514C25" w:rsidP="0042468E">
      <w:pPr>
        <w:overflowPunct w:val="0"/>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kern w:val="0"/>
          <w:sz w:val="32"/>
          <w:szCs w:val="32"/>
        </w:rPr>
        <w:t>《医疗器械临床试验设计指导原则》</w:t>
      </w:r>
      <w:r>
        <w:rPr>
          <w:rFonts w:ascii="仿宋_GB2312" w:eastAsia="仿宋_GB2312" w:hAnsi="仿宋_GB2312" w:cs="仿宋_GB2312" w:hint="eastAsia"/>
          <w:sz w:val="32"/>
          <w:szCs w:val="32"/>
        </w:rPr>
        <w:t>（2018年第6号通告）</w:t>
      </w:r>
    </w:p>
    <w:p w14:paraId="726A21B0" w14:textId="77777777" w:rsidR="00EB4030" w:rsidRDefault="00514C25" w:rsidP="0042468E">
      <w:pPr>
        <w:overflowPunct w:val="0"/>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sz w:val="32"/>
          <w:szCs w:val="32"/>
        </w:rPr>
        <w:t>4</w:t>
      </w:r>
      <w:r>
        <w:rPr>
          <w:rFonts w:ascii="仿宋_GB2312" w:eastAsia="仿宋_GB2312" w:hAnsi="仿宋_GB2312" w:cs="仿宋_GB2312" w:hint="eastAsia"/>
          <w:sz w:val="32"/>
          <w:szCs w:val="32"/>
        </w:rPr>
        <w:t>]《医疗器械动物试验研究注册审查指导原则 第一部分：决策原则（2021年修订版）》（2021年第75号）</w:t>
      </w:r>
    </w:p>
    <w:p w14:paraId="6C9B6022" w14:textId="77777777" w:rsidR="00EB4030" w:rsidRDefault="00514C25" w:rsidP="0042468E">
      <w:pPr>
        <w:overflowPunct w:val="0"/>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]《医疗器械动物试验研究注册审查指导原则　第二部分：试验设计、实施质量保证》（2021年第75号）</w:t>
      </w:r>
    </w:p>
    <w:p w14:paraId="3CDBFF2D" w14:textId="77777777" w:rsidR="00EB4030" w:rsidRDefault="00EB4030">
      <w:pPr>
        <w:ind w:firstLineChars="150" w:firstLine="480"/>
        <w:rPr>
          <w:rFonts w:ascii="仿宋_GB2312" w:eastAsia="仿宋_GB2312" w:hAnsi="仿宋_GB2312" w:cs="仿宋_GB2312"/>
          <w:sz w:val="32"/>
          <w:szCs w:val="32"/>
        </w:rPr>
      </w:pPr>
    </w:p>
    <w:p w14:paraId="5ED935F1" w14:textId="77777777" w:rsidR="00EB4030" w:rsidRDefault="00EB4030">
      <w:pPr>
        <w:adjustRightInd w:val="0"/>
        <w:snapToGrid w:val="0"/>
        <w:spacing w:afterLines="50" w:after="156" w:line="360" w:lineRule="auto"/>
        <w:rPr>
          <w:rFonts w:eastAsia="仿宋_GB2312"/>
          <w:sz w:val="32"/>
          <w:szCs w:val="32"/>
        </w:rPr>
      </w:pPr>
    </w:p>
    <w:sectPr w:rsidR="00EB4030">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B3E85" w16cid:durableId="294237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FD247" w14:textId="77777777" w:rsidR="003B0572" w:rsidRDefault="003B0572" w:rsidP="005A2482">
      <w:r>
        <w:separator/>
      </w:r>
    </w:p>
  </w:endnote>
  <w:endnote w:type="continuationSeparator" w:id="0">
    <w:p w14:paraId="439E7319" w14:textId="77777777" w:rsidR="003B0572" w:rsidRDefault="003B0572" w:rsidP="005A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008CE" w14:textId="77777777" w:rsidR="003B0572" w:rsidRDefault="003B0572" w:rsidP="005A2482">
      <w:r>
        <w:separator/>
      </w:r>
    </w:p>
  </w:footnote>
  <w:footnote w:type="continuationSeparator" w:id="0">
    <w:p w14:paraId="779E95ED" w14:textId="77777777" w:rsidR="003B0572" w:rsidRDefault="003B0572" w:rsidP="005A2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revisionView w:markup="0"/>
  <w:trackRevisions/>
  <w:defaultTabStop w:val="420"/>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JmOTA5ODc5ZjNjMTI3MWJkMjc1ZDVmMDAzZTIwYWQifQ=="/>
  </w:docVars>
  <w:rsids>
    <w:rsidRoot w:val="001B37FD"/>
    <w:rsid w:val="00011D20"/>
    <w:rsid w:val="00016FB2"/>
    <w:rsid w:val="00027CCD"/>
    <w:rsid w:val="00030F42"/>
    <w:rsid w:val="0003166C"/>
    <w:rsid w:val="00031F07"/>
    <w:rsid w:val="0004292E"/>
    <w:rsid w:val="00044264"/>
    <w:rsid w:val="00065486"/>
    <w:rsid w:val="00084057"/>
    <w:rsid w:val="00091C9F"/>
    <w:rsid w:val="00091D67"/>
    <w:rsid w:val="00096FA1"/>
    <w:rsid w:val="00097B89"/>
    <w:rsid w:val="000B0B95"/>
    <w:rsid w:val="000B0F88"/>
    <w:rsid w:val="000B1075"/>
    <w:rsid w:val="000B4A04"/>
    <w:rsid w:val="000E108D"/>
    <w:rsid w:val="000E4AD7"/>
    <w:rsid w:val="000E4B42"/>
    <w:rsid w:val="000E51B6"/>
    <w:rsid w:val="000E60BC"/>
    <w:rsid w:val="000E7992"/>
    <w:rsid w:val="000F0D49"/>
    <w:rsid w:val="000F5DA2"/>
    <w:rsid w:val="0010257F"/>
    <w:rsid w:val="00103C8B"/>
    <w:rsid w:val="0013399B"/>
    <w:rsid w:val="001364B5"/>
    <w:rsid w:val="001431C5"/>
    <w:rsid w:val="0016182C"/>
    <w:rsid w:val="00171D2A"/>
    <w:rsid w:val="00190727"/>
    <w:rsid w:val="001975E8"/>
    <w:rsid w:val="001A695B"/>
    <w:rsid w:val="001B33CE"/>
    <w:rsid w:val="001B37FD"/>
    <w:rsid w:val="001B61B1"/>
    <w:rsid w:val="001C04B1"/>
    <w:rsid w:val="001D3336"/>
    <w:rsid w:val="001E0281"/>
    <w:rsid w:val="001E2761"/>
    <w:rsid w:val="001E28F7"/>
    <w:rsid w:val="001E35B3"/>
    <w:rsid w:val="001E598D"/>
    <w:rsid w:val="001F3C75"/>
    <w:rsid w:val="00202F59"/>
    <w:rsid w:val="00206E16"/>
    <w:rsid w:val="00214709"/>
    <w:rsid w:val="00215A9E"/>
    <w:rsid w:val="002177C9"/>
    <w:rsid w:val="00227052"/>
    <w:rsid w:val="0023471E"/>
    <w:rsid w:val="00234FBF"/>
    <w:rsid w:val="002365F3"/>
    <w:rsid w:val="00262AC7"/>
    <w:rsid w:val="002754DF"/>
    <w:rsid w:val="00282765"/>
    <w:rsid w:val="002A4877"/>
    <w:rsid w:val="002B0435"/>
    <w:rsid w:val="002B63C0"/>
    <w:rsid w:val="002B7ADF"/>
    <w:rsid w:val="002C0A7C"/>
    <w:rsid w:val="002C1408"/>
    <w:rsid w:val="002C5966"/>
    <w:rsid w:val="002D6C51"/>
    <w:rsid w:val="002E3E01"/>
    <w:rsid w:val="0030635D"/>
    <w:rsid w:val="003077FE"/>
    <w:rsid w:val="00314762"/>
    <w:rsid w:val="00321CF2"/>
    <w:rsid w:val="003247EC"/>
    <w:rsid w:val="0034114D"/>
    <w:rsid w:val="00351335"/>
    <w:rsid w:val="00353FB2"/>
    <w:rsid w:val="00361457"/>
    <w:rsid w:val="00364142"/>
    <w:rsid w:val="00367ABA"/>
    <w:rsid w:val="0038792D"/>
    <w:rsid w:val="00392164"/>
    <w:rsid w:val="00395EFE"/>
    <w:rsid w:val="003B0572"/>
    <w:rsid w:val="003B1507"/>
    <w:rsid w:val="003B550E"/>
    <w:rsid w:val="003B7ED5"/>
    <w:rsid w:val="003C0776"/>
    <w:rsid w:val="003D41D5"/>
    <w:rsid w:val="003F32A7"/>
    <w:rsid w:val="003F7AAE"/>
    <w:rsid w:val="004107F0"/>
    <w:rsid w:val="00413F6D"/>
    <w:rsid w:val="00415D61"/>
    <w:rsid w:val="0042468E"/>
    <w:rsid w:val="00426B64"/>
    <w:rsid w:val="004304D1"/>
    <w:rsid w:val="00435ECF"/>
    <w:rsid w:val="004375D0"/>
    <w:rsid w:val="0044754C"/>
    <w:rsid w:val="00456F9C"/>
    <w:rsid w:val="0046619C"/>
    <w:rsid w:val="0048365C"/>
    <w:rsid w:val="0048647B"/>
    <w:rsid w:val="004A481F"/>
    <w:rsid w:val="004B1A53"/>
    <w:rsid w:val="004B452D"/>
    <w:rsid w:val="004B5645"/>
    <w:rsid w:val="004D357D"/>
    <w:rsid w:val="004E297C"/>
    <w:rsid w:val="004E78D6"/>
    <w:rsid w:val="004F6852"/>
    <w:rsid w:val="004F6F12"/>
    <w:rsid w:val="00505BF5"/>
    <w:rsid w:val="00514C25"/>
    <w:rsid w:val="00533E5A"/>
    <w:rsid w:val="00534579"/>
    <w:rsid w:val="00546648"/>
    <w:rsid w:val="0055386B"/>
    <w:rsid w:val="00561054"/>
    <w:rsid w:val="005652A9"/>
    <w:rsid w:val="0057398B"/>
    <w:rsid w:val="0057666F"/>
    <w:rsid w:val="005A2482"/>
    <w:rsid w:val="005A37F6"/>
    <w:rsid w:val="005E4652"/>
    <w:rsid w:val="005E4BD7"/>
    <w:rsid w:val="005F4FB8"/>
    <w:rsid w:val="00604904"/>
    <w:rsid w:val="0061451C"/>
    <w:rsid w:val="00617DF2"/>
    <w:rsid w:val="00651FE1"/>
    <w:rsid w:val="00657CA4"/>
    <w:rsid w:val="00663ECD"/>
    <w:rsid w:val="006715A3"/>
    <w:rsid w:val="0067690B"/>
    <w:rsid w:val="00676AE5"/>
    <w:rsid w:val="00683239"/>
    <w:rsid w:val="00691FD5"/>
    <w:rsid w:val="0069627D"/>
    <w:rsid w:val="00697F9B"/>
    <w:rsid w:val="006A4537"/>
    <w:rsid w:val="006B35C6"/>
    <w:rsid w:val="006B53E7"/>
    <w:rsid w:val="006B7FD9"/>
    <w:rsid w:val="006D3FAD"/>
    <w:rsid w:val="006E2884"/>
    <w:rsid w:val="006F1511"/>
    <w:rsid w:val="006F598C"/>
    <w:rsid w:val="00707084"/>
    <w:rsid w:val="00723C3F"/>
    <w:rsid w:val="00734236"/>
    <w:rsid w:val="007346DA"/>
    <w:rsid w:val="00734DAD"/>
    <w:rsid w:val="007447EC"/>
    <w:rsid w:val="00753E8C"/>
    <w:rsid w:val="00756DF9"/>
    <w:rsid w:val="00766B1B"/>
    <w:rsid w:val="007671F9"/>
    <w:rsid w:val="007740AC"/>
    <w:rsid w:val="00774C4D"/>
    <w:rsid w:val="00775202"/>
    <w:rsid w:val="007965C1"/>
    <w:rsid w:val="007A7F60"/>
    <w:rsid w:val="007C53EB"/>
    <w:rsid w:val="007C5B15"/>
    <w:rsid w:val="007C6B11"/>
    <w:rsid w:val="007D2206"/>
    <w:rsid w:val="007E7A10"/>
    <w:rsid w:val="008002AA"/>
    <w:rsid w:val="0081334C"/>
    <w:rsid w:val="008277E5"/>
    <w:rsid w:val="008278FB"/>
    <w:rsid w:val="0083638B"/>
    <w:rsid w:val="00853E6B"/>
    <w:rsid w:val="00855911"/>
    <w:rsid w:val="0085656F"/>
    <w:rsid w:val="0086395F"/>
    <w:rsid w:val="00871F8A"/>
    <w:rsid w:val="00875121"/>
    <w:rsid w:val="00875287"/>
    <w:rsid w:val="00877C8F"/>
    <w:rsid w:val="00877D6F"/>
    <w:rsid w:val="008848DF"/>
    <w:rsid w:val="00885900"/>
    <w:rsid w:val="008862E2"/>
    <w:rsid w:val="00890231"/>
    <w:rsid w:val="0089127C"/>
    <w:rsid w:val="008A3079"/>
    <w:rsid w:val="008A41DF"/>
    <w:rsid w:val="008B09D6"/>
    <w:rsid w:val="008B7C1C"/>
    <w:rsid w:val="008E3311"/>
    <w:rsid w:val="008E77F8"/>
    <w:rsid w:val="008F01D1"/>
    <w:rsid w:val="00903B03"/>
    <w:rsid w:val="00907966"/>
    <w:rsid w:val="00931755"/>
    <w:rsid w:val="009479CE"/>
    <w:rsid w:val="00956E16"/>
    <w:rsid w:val="00960E3F"/>
    <w:rsid w:val="009611FD"/>
    <w:rsid w:val="00973E5D"/>
    <w:rsid w:val="009D1B6E"/>
    <w:rsid w:val="009D33AB"/>
    <w:rsid w:val="009F01EA"/>
    <w:rsid w:val="00A03D88"/>
    <w:rsid w:val="00A065C8"/>
    <w:rsid w:val="00A228E1"/>
    <w:rsid w:val="00A332CE"/>
    <w:rsid w:val="00A34DA7"/>
    <w:rsid w:val="00A36774"/>
    <w:rsid w:val="00A45A77"/>
    <w:rsid w:val="00A5447B"/>
    <w:rsid w:val="00A56886"/>
    <w:rsid w:val="00A62E4B"/>
    <w:rsid w:val="00A72171"/>
    <w:rsid w:val="00A803CA"/>
    <w:rsid w:val="00A82443"/>
    <w:rsid w:val="00A869E7"/>
    <w:rsid w:val="00AA54A0"/>
    <w:rsid w:val="00AB0E0C"/>
    <w:rsid w:val="00AB1360"/>
    <w:rsid w:val="00AB7015"/>
    <w:rsid w:val="00AB7C66"/>
    <w:rsid w:val="00AC2215"/>
    <w:rsid w:val="00AC5405"/>
    <w:rsid w:val="00AD0446"/>
    <w:rsid w:val="00AD7761"/>
    <w:rsid w:val="00AF2751"/>
    <w:rsid w:val="00B05EF3"/>
    <w:rsid w:val="00B062C6"/>
    <w:rsid w:val="00B10D70"/>
    <w:rsid w:val="00B11893"/>
    <w:rsid w:val="00B13018"/>
    <w:rsid w:val="00B16DF6"/>
    <w:rsid w:val="00B24108"/>
    <w:rsid w:val="00B27213"/>
    <w:rsid w:val="00B33FB1"/>
    <w:rsid w:val="00B34546"/>
    <w:rsid w:val="00B36276"/>
    <w:rsid w:val="00B55AD3"/>
    <w:rsid w:val="00B57046"/>
    <w:rsid w:val="00B6759B"/>
    <w:rsid w:val="00B75DE8"/>
    <w:rsid w:val="00B76462"/>
    <w:rsid w:val="00B83D62"/>
    <w:rsid w:val="00B919F6"/>
    <w:rsid w:val="00B95AD7"/>
    <w:rsid w:val="00BA2B90"/>
    <w:rsid w:val="00BA418F"/>
    <w:rsid w:val="00BA5EAD"/>
    <w:rsid w:val="00BB4F85"/>
    <w:rsid w:val="00BB743F"/>
    <w:rsid w:val="00BC53EC"/>
    <w:rsid w:val="00BE0A7F"/>
    <w:rsid w:val="00BF0628"/>
    <w:rsid w:val="00C14B34"/>
    <w:rsid w:val="00C24796"/>
    <w:rsid w:val="00C2611C"/>
    <w:rsid w:val="00C27D77"/>
    <w:rsid w:val="00C66E3D"/>
    <w:rsid w:val="00C66E48"/>
    <w:rsid w:val="00C7009A"/>
    <w:rsid w:val="00C70713"/>
    <w:rsid w:val="00C7154B"/>
    <w:rsid w:val="00CA4184"/>
    <w:rsid w:val="00CD389B"/>
    <w:rsid w:val="00CD4DA8"/>
    <w:rsid w:val="00CD5A33"/>
    <w:rsid w:val="00CF32D4"/>
    <w:rsid w:val="00CF5BE7"/>
    <w:rsid w:val="00CF78AF"/>
    <w:rsid w:val="00D2135E"/>
    <w:rsid w:val="00D217D7"/>
    <w:rsid w:val="00D32CA3"/>
    <w:rsid w:val="00D3528E"/>
    <w:rsid w:val="00D354F9"/>
    <w:rsid w:val="00D35CED"/>
    <w:rsid w:val="00D50ED0"/>
    <w:rsid w:val="00D63177"/>
    <w:rsid w:val="00D71A0F"/>
    <w:rsid w:val="00D75223"/>
    <w:rsid w:val="00D82F13"/>
    <w:rsid w:val="00DA2109"/>
    <w:rsid w:val="00DB2E2A"/>
    <w:rsid w:val="00DD5295"/>
    <w:rsid w:val="00DE23AE"/>
    <w:rsid w:val="00DF260B"/>
    <w:rsid w:val="00DF59FD"/>
    <w:rsid w:val="00E057E4"/>
    <w:rsid w:val="00E10A45"/>
    <w:rsid w:val="00E12D53"/>
    <w:rsid w:val="00E13362"/>
    <w:rsid w:val="00E1391E"/>
    <w:rsid w:val="00E13B1A"/>
    <w:rsid w:val="00E20446"/>
    <w:rsid w:val="00E5616C"/>
    <w:rsid w:val="00E652E2"/>
    <w:rsid w:val="00E705AD"/>
    <w:rsid w:val="00E732A4"/>
    <w:rsid w:val="00E8129A"/>
    <w:rsid w:val="00E9141B"/>
    <w:rsid w:val="00EA452F"/>
    <w:rsid w:val="00EA7691"/>
    <w:rsid w:val="00EB0296"/>
    <w:rsid w:val="00EB4030"/>
    <w:rsid w:val="00EC2A1D"/>
    <w:rsid w:val="00ED0BFD"/>
    <w:rsid w:val="00EE5F7E"/>
    <w:rsid w:val="00EE71F0"/>
    <w:rsid w:val="00EF24BB"/>
    <w:rsid w:val="00EF73A2"/>
    <w:rsid w:val="00F0257F"/>
    <w:rsid w:val="00F02F57"/>
    <w:rsid w:val="00F03D1F"/>
    <w:rsid w:val="00F16866"/>
    <w:rsid w:val="00F23ED0"/>
    <w:rsid w:val="00F32763"/>
    <w:rsid w:val="00F36EBF"/>
    <w:rsid w:val="00F61607"/>
    <w:rsid w:val="00F650CB"/>
    <w:rsid w:val="00F859B2"/>
    <w:rsid w:val="00F8755B"/>
    <w:rsid w:val="00FA2F06"/>
    <w:rsid w:val="00FA5E15"/>
    <w:rsid w:val="00FA76F0"/>
    <w:rsid w:val="00FB2775"/>
    <w:rsid w:val="00FB2D47"/>
    <w:rsid w:val="00FB3CD0"/>
    <w:rsid w:val="00FF05E9"/>
    <w:rsid w:val="00FF59D7"/>
    <w:rsid w:val="010D1849"/>
    <w:rsid w:val="01655E65"/>
    <w:rsid w:val="01853E11"/>
    <w:rsid w:val="01C42B8B"/>
    <w:rsid w:val="02B726F0"/>
    <w:rsid w:val="03822CFE"/>
    <w:rsid w:val="04247911"/>
    <w:rsid w:val="05EE467B"/>
    <w:rsid w:val="062C51A3"/>
    <w:rsid w:val="067F3525"/>
    <w:rsid w:val="06AE7966"/>
    <w:rsid w:val="073C7668"/>
    <w:rsid w:val="07487DBA"/>
    <w:rsid w:val="0814739E"/>
    <w:rsid w:val="08161C67"/>
    <w:rsid w:val="088E3EF3"/>
    <w:rsid w:val="093C394F"/>
    <w:rsid w:val="09B96D4E"/>
    <w:rsid w:val="0A782765"/>
    <w:rsid w:val="0B016BFE"/>
    <w:rsid w:val="0B0E131B"/>
    <w:rsid w:val="0B1A7CC0"/>
    <w:rsid w:val="0B3568A8"/>
    <w:rsid w:val="0BBA6DAD"/>
    <w:rsid w:val="0DD00B0A"/>
    <w:rsid w:val="0DDE4FD5"/>
    <w:rsid w:val="0DFE7425"/>
    <w:rsid w:val="0E5B4877"/>
    <w:rsid w:val="0EF645A0"/>
    <w:rsid w:val="0F4E1CE6"/>
    <w:rsid w:val="0FA1275E"/>
    <w:rsid w:val="0FAB0C92"/>
    <w:rsid w:val="10060813"/>
    <w:rsid w:val="104F3F68"/>
    <w:rsid w:val="10E723F2"/>
    <w:rsid w:val="110A7E8F"/>
    <w:rsid w:val="11276C93"/>
    <w:rsid w:val="112F5B47"/>
    <w:rsid w:val="11847C41"/>
    <w:rsid w:val="1193257A"/>
    <w:rsid w:val="125E66E4"/>
    <w:rsid w:val="129C6C18"/>
    <w:rsid w:val="14AD07C2"/>
    <w:rsid w:val="14E31122"/>
    <w:rsid w:val="15FC6940"/>
    <w:rsid w:val="15FE4962"/>
    <w:rsid w:val="16AE5760"/>
    <w:rsid w:val="16F969DB"/>
    <w:rsid w:val="17072A8D"/>
    <w:rsid w:val="17161E2D"/>
    <w:rsid w:val="17E07B9B"/>
    <w:rsid w:val="18267CA4"/>
    <w:rsid w:val="184C3483"/>
    <w:rsid w:val="18616F6B"/>
    <w:rsid w:val="18853453"/>
    <w:rsid w:val="189746FE"/>
    <w:rsid w:val="18DE057F"/>
    <w:rsid w:val="18F7519C"/>
    <w:rsid w:val="19C257AA"/>
    <w:rsid w:val="1A587EBD"/>
    <w:rsid w:val="1A952EBF"/>
    <w:rsid w:val="1ADC289C"/>
    <w:rsid w:val="1B145966"/>
    <w:rsid w:val="1B925650"/>
    <w:rsid w:val="1BB11F7A"/>
    <w:rsid w:val="1C387FA6"/>
    <w:rsid w:val="1D036806"/>
    <w:rsid w:val="1D8B67FB"/>
    <w:rsid w:val="1E7352C5"/>
    <w:rsid w:val="1E761259"/>
    <w:rsid w:val="1F356A1F"/>
    <w:rsid w:val="1F407112"/>
    <w:rsid w:val="1F664E2A"/>
    <w:rsid w:val="1FA97BE3"/>
    <w:rsid w:val="1FC009DE"/>
    <w:rsid w:val="1FD91AA0"/>
    <w:rsid w:val="1FEA5A5B"/>
    <w:rsid w:val="20EA3839"/>
    <w:rsid w:val="20F3093F"/>
    <w:rsid w:val="213C6CDB"/>
    <w:rsid w:val="216C2CF2"/>
    <w:rsid w:val="21AE2AB8"/>
    <w:rsid w:val="22552F34"/>
    <w:rsid w:val="2265761B"/>
    <w:rsid w:val="22851A6B"/>
    <w:rsid w:val="22DA1DB7"/>
    <w:rsid w:val="230564EA"/>
    <w:rsid w:val="2419690F"/>
    <w:rsid w:val="243C4856"/>
    <w:rsid w:val="24A02B8C"/>
    <w:rsid w:val="24D10F97"/>
    <w:rsid w:val="25665B84"/>
    <w:rsid w:val="25965263"/>
    <w:rsid w:val="26094761"/>
    <w:rsid w:val="263712CE"/>
    <w:rsid w:val="26E66850"/>
    <w:rsid w:val="276A122F"/>
    <w:rsid w:val="279D33B3"/>
    <w:rsid w:val="28757E8C"/>
    <w:rsid w:val="290F6532"/>
    <w:rsid w:val="292D69B8"/>
    <w:rsid w:val="294066EC"/>
    <w:rsid w:val="29453D02"/>
    <w:rsid w:val="294A30C6"/>
    <w:rsid w:val="29927718"/>
    <w:rsid w:val="29C966E1"/>
    <w:rsid w:val="29DD03DE"/>
    <w:rsid w:val="2A41096D"/>
    <w:rsid w:val="2A590C14"/>
    <w:rsid w:val="2C574478"/>
    <w:rsid w:val="2D3227EF"/>
    <w:rsid w:val="2D4A18E7"/>
    <w:rsid w:val="2DA54823"/>
    <w:rsid w:val="2E132621"/>
    <w:rsid w:val="2EB77450"/>
    <w:rsid w:val="2F2820FC"/>
    <w:rsid w:val="307B625B"/>
    <w:rsid w:val="31D75713"/>
    <w:rsid w:val="31E56082"/>
    <w:rsid w:val="32382656"/>
    <w:rsid w:val="32D57EA5"/>
    <w:rsid w:val="33266952"/>
    <w:rsid w:val="33412313"/>
    <w:rsid w:val="3344502A"/>
    <w:rsid w:val="336B25B7"/>
    <w:rsid w:val="355B5F1E"/>
    <w:rsid w:val="35A149B6"/>
    <w:rsid w:val="35F76384"/>
    <w:rsid w:val="368D6CE8"/>
    <w:rsid w:val="37501A62"/>
    <w:rsid w:val="37533A8E"/>
    <w:rsid w:val="376B0DD8"/>
    <w:rsid w:val="37B54749"/>
    <w:rsid w:val="37DE3C9F"/>
    <w:rsid w:val="384C6E5B"/>
    <w:rsid w:val="38C904AC"/>
    <w:rsid w:val="38CE24B3"/>
    <w:rsid w:val="38FA0605"/>
    <w:rsid w:val="390C0398"/>
    <w:rsid w:val="39111E53"/>
    <w:rsid w:val="39833408"/>
    <w:rsid w:val="39AB1555"/>
    <w:rsid w:val="39C42A21"/>
    <w:rsid w:val="3A7E52C6"/>
    <w:rsid w:val="3A7E7074"/>
    <w:rsid w:val="3AEA64B7"/>
    <w:rsid w:val="3C145EE2"/>
    <w:rsid w:val="3D510111"/>
    <w:rsid w:val="3D516CC2"/>
    <w:rsid w:val="3D5642D8"/>
    <w:rsid w:val="3D62504C"/>
    <w:rsid w:val="3E353EED"/>
    <w:rsid w:val="3E573E64"/>
    <w:rsid w:val="3E9A6446"/>
    <w:rsid w:val="3EA3354D"/>
    <w:rsid w:val="3F010273"/>
    <w:rsid w:val="3F80563C"/>
    <w:rsid w:val="3FCE45FA"/>
    <w:rsid w:val="3FF51B86"/>
    <w:rsid w:val="4021669C"/>
    <w:rsid w:val="40CD48B1"/>
    <w:rsid w:val="40FB7670"/>
    <w:rsid w:val="41562AF9"/>
    <w:rsid w:val="419453CF"/>
    <w:rsid w:val="41D34149"/>
    <w:rsid w:val="425A3F23"/>
    <w:rsid w:val="428C60A6"/>
    <w:rsid w:val="42C615B8"/>
    <w:rsid w:val="42D9578F"/>
    <w:rsid w:val="42DD3A38"/>
    <w:rsid w:val="436F1C50"/>
    <w:rsid w:val="43B43043"/>
    <w:rsid w:val="43B92ECB"/>
    <w:rsid w:val="44BC0EC5"/>
    <w:rsid w:val="44D02BC2"/>
    <w:rsid w:val="45390767"/>
    <w:rsid w:val="45B44292"/>
    <w:rsid w:val="46401681"/>
    <w:rsid w:val="470D3C59"/>
    <w:rsid w:val="476E221E"/>
    <w:rsid w:val="477E0B25"/>
    <w:rsid w:val="481E1E96"/>
    <w:rsid w:val="49C12AD9"/>
    <w:rsid w:val="49E62540"/>
    <w:rsid w:val="4B35552D"/>
    <w:rsid w:val="4BD35DD0"/>
    <w:rsid w:val="4C60482B"/>
    <w:rsid w:val="4CAF22F3"/>
    <w:rsid w:val="4CB9218D"/>
    <w:rsid w:val="4D1D096E"/>
    <w:rsid w:val="4D616AAD"/>
    <w:rsid w:val="4DED20EF"/>
    <w:rsid w:val="4E37780E"/>
    <w:rsid w:val="4ECD3CCE"/>
    <w:rsid w:val="4F04385E"/>
    <w:rsid w:val="4F0A4F22"/>
    <w:rsid w:val="4F361976"/>
    <w:rsid w:val="50EE7CD8"/>
    <w:rsid w:val="51493AE0"/>
    <w:rsid w:val="518E3BE9"/>
    <w:rsid w:val="51CB6BEB"/>
    <w:rsid w:val="51E23F34"/>
    <w:rsid w:val="51F01F08"/>
    <w:rsid w:val="5245699D"/>
    <w:rsid w:val="526F1F4E"/>
    <w:rsid w:val="52CB19BF"/>
    <w:rsid w:val="537B1F4B"/>
    <w:rsid w:val="53A05E55"/>
    <w:rsid w:val="53B316E5"/>
    <w:rsid w:val="53C23AF9"/>
    <w:rsid w:val="54FC530D"/>
    <w:rsid w:val="55004DFD"/>
    <w:rsid w:val="55EE7D9A"/>
    <w:rsid w:val="56097CE2"/>
    <w:rsid w:val="56226FF5"/>
    <w:rsid w:val="56242D6E"/>
    <w:rsid w:val="56EA7B13"/>
    <w:rsid w:val="575B27BF"/>
    <w:rsid w:val="5765363E"/>
    <w:rsid w:val="57961A49"/>
    <w:rsid w:val="57E00F16"/>
    <w:rsid w:val="583F5C3D"/>
    <w:rsid w:val="58694A68"/>
    <w:rsid w:val="590D7AE9"/>
    <w:rsid w:val="591D5238"/>
    <w:rsid w:val="599A0645"/>
    <w:rsid w:val="59AF0BA0"/>
    <w:rsid w:val="59C04B5B"/>
    <w:rsid w:val="59FB5B93"/>
    <w:rsid w:val="5AB67D0C"/>
    <w:rsid w:val="5AD92379"/>
    <w:rsid w:val="5B152C85"/>
    <w:rsid w:val="5C341831"/>
    <w:rsid w:val="5C4B1054"/>
    <w:rsid w:val="5D7874FB"/>
    <w:rsid w:val="5F4B136B"/>
    <w:rsid w:val="5F4E49B7"/>
    <w:rsid w:val="5FA34D03"/>
    <w:rsid w:val="5FBE1B3D"/>
    <w:rsid w:val="60363DC9"/>
    <w:rsid w:val="603D128B"/>
    <w:rsid w:val="61483DB4"/>
    <w:rsid w:val="61720E31"/>
    <w:rsid w:val="61FA4982"/>
    <w:rsid w:val="62165C60"/>
    <w:rsid w:val="62606EDB"/>
    <w:rsid w:val="62CB2298"/>
    <w:rsid w:val="63950E07"/>
    <w:rsid w:val="64112ABA"/>
    <w:rsid w:val="64144421"/>
    <w:rsid w:val="64431CDE"/>
    <w:rsid w:val="645E569D"/>
    <w:rsid w:val="6461518D"/>
    <w:rsid w:val="66A80E51"/>
    <w:rsid w:val="67DF08A2"/>
    <w:rsid w:val="68466B73"/>
    <w:rsid w:val="687218D9"/>
    <w:rsid w:val="68B00491"/>
    <w:rsid w:val="68C31F72"/>
    <w:rsid w:val="69004F74"/>
    <w:rsid w:val="69502B8E"/>
    <w:rsid w:val="699D6C67"/>
    <w:rsid w:val="69B53FB1"/>
    <w:rsid w:val="69C02956"/>
    <w:rsid w:val="69D81A4D"/>
    <w:rsid w:val="6A1F767C"/>
    <w:rsid w:val="6A975464"/>
    <w:rsid w:val="6AA61B4B"/>
    <w:rsid w:val="6B5C220A"/>
    <w:rsid w:val="6B855C05"/>
    <w:rsid w:val="6BCF0C2E"/>
    <w:rsid w:val="6BE96194"/>
    <w:rsid w:val="6C276CBC"/>
    <w:rsid w:val="6C3F5DB4"/>
    <w:rsid w:val="6CDC1854"/>
    <w:rsid w:val="6D3B7744"/>
    <w:rsid w:val="6D9E4D5C"/>
    <w:rsid w:val="6DD438A4"/>
    <w:rsid w:val="6DDE15FC"/>
    <w:rsid w:val="6EB011EB"/>
    <w:rsid w:val="6F451933"/>
    <w:rsid w:val="6F5E79FA"/>
    <w:rsid w:val="704D0747"/>
    <w:rsid w:val="706978A3"/>
    <w:rsid w:val="719170B1"/>
    <w:rsid w:val="72204484"/>
    <w:rsid w:val="733028FA"/>
    <w:rsid w:val="7366631C"/>
    <w:rsid w:val="75181898"/>
    <w:rsid w:val="753366D1"/>
    <w:rsid w:val="760A5684"/>
    <w:rsid w:val="76465F91"/>
    <w:rsid w:val="76493E1C"/>
    <w:rsid w:val="76592168"/>
    <w:rsid w:val="767945B8"/>
    <w:rsid w:val="76A96C4B"/>
    <w:rsid w:val="76D161A2"/>
    <w:rsid w:val="77512E3F"/>
    <w:rsid w:val="77A45665"/>
    <w:rsid w:val="780600CD"/>
    <w:rsid w:val="78434E7D"/>
    <w:rsid w:val="785B3F75"/>
    <w:rsid w:val="78A70F68"/>
    <w:rsid w:val="78D80E4D"/>
    <w:rsid w:val="78DF4BA6"/>
    <w:rsid w:val="78F63C9E"/>
    <w:rsid w:val="793F3897"/>
    <w:rsid w:val="7992529F"/>
    <w:rsid w:val="79D40AF3"/>
    <w:rsid w:val="7B7728FA"/>
    <w:rsid w:val="7BC938EC"/>
    <w:rsid w:val="7BD83B2F"/>
    <w:rsid w:val="7C466CEA"/>
    <w:rsid w:val="7D1666BD"/>
    <w:rsid w:val="7D9A72EE"/>
    <w:rsid w:val="7E6D4A02"/>
    <w:rsid w:val="7EBE700C"/>
    <w:rsid w:val="7ECD724F"/>
    <w:rsid w:val="7EE50A3C"/>
    <w:rsid w:val="7F577D3E"/>
    <w:rsid w:val="7F7B314F"/>
    <w:rsid w:val="7FE02FB2"/>
    <w:rsid w:val="7FE4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0D6B0D"/>
  <w15:docId w15:val="{398D46A6-28C6-457B-9A33-8C4864DD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4">
    <w:name w:val="heading 4"/>
    <w:basedOn w:val="a"/>
    <w:next w:val="a"/>
    <w:link w:val="40"/>
    <w:uiPriority w:val="9"/>
    <w:unhideWhenUsed/>
    <w:qFormat/>
    <w:pPr>
      <w:ind w:left="800" w:hanging="360"/>
      <w:jc w:val="left"/>
      <w:outlineLvl w:val="3"/>
    </w:pPr>
    <w:rPr>
      <w:rFonts w:ascii="Times New Roman" w:eastAsia="宋体" w:hAnsi="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a6"/>
    <w:uiPriority w:val="99"/>
    <w:unhideWhenUsed/>
    <w:qFormat/>
    <w:pPr>
      <w:spacing w:after="120"/>
    </w:pPr>
  </w:style>
  <w:style w:type="paragraph" w:styleId="a7">
    <w:name w:val="Body Text Indent"/>
    <w:basedOn w:val="a"/>
    <w:link w:val="a8"/>
    <w:uiPriority w:val="99"/>
    <w:semiHidden/>
    <w:unhideWhenUsed/>
    <w:qFormat/>
    <w:pPr>
      <w:spacing w:after="120"/>
      <w:ind w:leftChars="200" w:left="42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semiHidden/>
    <w:unhideWhenUsed/>
    <w:qFormat/>
    <w:pPr>
      <w:spacing w:beforeAutospacing="1" w:afterAutospacing="1"/>
      <w:jc w:val="left"/>
    </w:pPr>
    <w:rPr>
      <w:rFonts w:cs="Times New Roman"/>
      <w:kern w:val="0"/>
      <w:sz w:val="24"/>
    </w:rPr>
  </w:style>
  <w:style w:type="paragraph" w:styleId="20">
    <w:name w:val="Body Text First Indent 2"/>
    <w:basedOn w:val="a7"/>
    <w:link w:val="21"/>
    <w:qFormat/>
    <w:pPr>
      <w:ind w:firstLineChars="200" w:firstLine="480"/>
    </w:pPr>
    <w:rPr>
      <w:rFonts w:ascii="宋体" w:eastAsia="等线" w:hAnsi="宋体" w:cs="Times New Roman"/>
      <w:bCs/>
      <w:sz w:val="24"/>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qFormat/>
    <w:rPr>
      <w:sz w:val="21"/>
      <w:szCs w:val="21"/>
    </w:rPr>
  </w:style>
  <w:style w:type="character" w:customStyle="1" w:styleId="a4">
    <w:name w:val="批注文字 字符"/>
    <w:basedOn w:val="a0"/>
    <w:link w:val="a3"/>
    <w:uiPriority w:val="99"/>
    <w:semiHidden/>
    <w:qFormat/>
  </w:style>
  <w:style w:type="character" w:customStyle="1" w:styleId="aa">
    <w:name w:val="批注框文本 字符"/>
    <w:basedOn w:val="a0"/>
    <w:link w:val="a9"/>
    <w:uiPriority w:val="99"/>
    <w:semiHidden/>
    <w:qFormat/>
    <w:rPr>
      <w:sz w:val="18"/>
      <w:szCs w:val="18"/>
    </w:rPr>
  </w:style>
  <w:style w:type="paragraph" w:styleId="af2">
    <w:name w:val="List Paragraph"/>
    <w:basedOn w:val="a"/>
    <w:uiPriority w:val="1"/>
    <w:qFormat/>
    <w:pPr>
      <w:ind w:firstLineChars="200" w:firstLine="420"/>
    </w:p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paragraph" w:customStyle="1" w:styleId="1">
    <w:name w:val="列出段落1"/>
    <w:basedOn w:val="a"/>
    <w:uiPriority w:val="34"/>
    <w:qFormat/>
    <w:pPr>
      <w:spacing w:after="15" w:line="600" w:lineRule="exact"/>
      <w:ind w:firstLineChars="200" w:firstLine="420"/>
    </w:pPr>
    <w:rPr>
      <w:rFonts w:ascii="Calibri" w:eastAsia="宋体" w:hAnsi="Calibri" w:cs="Times New Roman"/>
    </w:rPr>
  </w:style>
  <w:style w:type="character" w:customStyle="1" w:styleId="a8">
    <w:name w:val="正文文本缩进 字符"/>
    <w:basedOn w:val="a0"/>
    <w:link w:val="a7"/>
    <w:uiPriority w:val="99"/>
    <w:semiHidden/>
    <w:qFormat/>
  </w:style>
  <w:style w:type="character" w:customStyle="1" w:styleId="21">
    <w:name w:val="正文首行缩进 2 字符"/>
    <w:basedOn w:val="a8"/>
    <w:link w:val="20"/>
    <w:qFormat/>
    <w:rPr>
      <w:rFonts w:ascii="宋体" w:eastAsia="等线" w:hAnsi="宋体" w:cs="Times New Roman"/>
      <w:bCs/>
      <w:sz w:val="24"/>
    </w:rPr>
  </w:style>
  <w:style w:type="character" w:customStyle="1" w:styleId="a6">
    <w:name w:val="正文文本 字符"/>
    <w:basedOn w:val="a0"/>
    <w:link w:val="a5"/>
    <w:uiPriority w:val="99"/>
    <w:qFormat/>
  </w:style>
  <w:style w:type="character" w:customStyle="1" w:styleId="40">
    <w:name w:val="标题 4 字符"/>
    <w:basedOn w:val="a0"/>
    <w:link w:val="4"/>
    <w:uiPriority w:val="9"/>
    <w:qFormat/>
    <w:rPr>
      <w:rFonts w:ascii="Times New Roman" w:eastAsia="宋体" w:hAnsi="Times New Roman"/>
      <w:b/>
      <w:bCs/>
      <w:kern w:val="0"/>
      <w:sz w:val="24"/>
      <w:szCs w:val="24"/>
    </w:rPr>
  </w:style>
  <w:style w:type="paragraph" w:customStyle="1" w:styleId="10">
    <w:name w:val="修订1"/>
    <w:hidden/>
    <w:uiPriority w:val="99"/>
    <w:semiHidden/>
    <w:qFormat/>
    <w:rPr>
      <w:rFonts w:asciiTheme="minorHAnsi" w:eastAsiaTheme="minorEastAsia" w:hAnsiTheme="minorHAnsi" w:cstheme="minorBidi"/>
      <w:kern w:val="2"/>
      <w:sz w:val="21"/>
      <w:szCs w:val="22"/>
    </w:rPr>
  </w:style>
  <w:style w:type="paragraph" w:customStyle="1" w:styleId="22">
    <w:name w:val="修订2"/>
    <w:hidden/>
    <w:uiPriority w:val="99"/>
    <w:semiHidden/>
    <w:qFormat/>
    <w:rPr>
      <w:rFonts w:asciiTheme="minorHAnsi" w:eastAsiaTheme="minorEastAsia" w:hAnsiTheme="minorHAnsi" w:cstheme="minorBidi"/>
      <w:kern w:val="2"/>
      <w:sz w:val="21"/>
      <w:szCs w:val="22"/>
    </w:rPr>
  </w:style>
  <w:style w:type="paragraph" w:customStyle="1" w:styleId="3">
    <w:name w:val="修订3"/>
    <w:hidden/>
    <w:uiPriority w:val="99"/>
    <w:semiHidden/>
    <w:qFormat/>
    <w:rPr>
      <w:rFonts w:asciiTheme="minorHAnsi" w:eastAsiaTheme="minorEastAsia" w:hAnsiTheme="minorHAnsi" w:cstheme="minorBidi"/>
      <w:kern w:val="2"/>
      <w:sz w:val="21"/>
      <w:szCs w:val="22"/>
    </w:rPr>
  </w:style>
  <w:style w:type="paragraph" w:customStyle="1" w:styleId="41">
    <w:name w:val="修订4"/>
    <w:hidden/>
    <w:uiPriority w:val="99"/>
    <w:unhideWhenUsed/>
    <w:rPr>
      <w:rFonts w:asciiTheme="minorHAnsi" w:eastAsiaTheme="minorEastAsia" w:hAnsiTheme="minorHAnsi" w:cstheme="minorBidi"/>
      <w:kern w:val="2"/>
      <w:sz w:val="21"/>
      <w:szCs w:val="22"/>
    </w:rPr>
  </w:style>
  <w:style w:type="paragraph" w:styleId="af3">
    <w:name w:val="Revision"/>
    <w:hidden/>
    <w:uiPriority w:val="99"/>
    <w:semiHidden/>
    <w:rsid w:val="005A2482"/>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5B9B-B49D-461A-BD56-81DF1AB5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1040</Words>
  <Characters>5928</Characters>
  <Application>Microsoft Office Word</Application>
  <DocSecurity>0</DocSecurity>
  <Lines>49</Lines>
  <Paragraphs>13</Paragraphs>
  <ScaleCrop>false</ScaleCrop>
  <Company>神州网信技术有限公司</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王雅文</dc:creator>
  <cp:lastModifiedBy>王雅文</cp:lastModifiedBy>
  <cp:revision>3</cp:revision>
  <cp:lastPrinted>2023-07-24T10:51:00Z</cp:lastPrinted>
  <dcterms:created xsi:type="dcterms:W3CDTF">2024-02-07T08:41:00Z</dcterms:created>
  <dcterms:modified xsi:type="dcterms:W3CDTF">2024-02-07T08:41:00Z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99190536293B4DAC803CCB224FDAD93D_13</vt:lpwstr>
  </property>
</Properties>
</file>