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2CD" w:rsidRDefault="007022CD" w:rsidP="00C30981">
      <w:pPr>
        <w:spacing w:line="520" w:lineRule="exact"/>
        <w:jc w:val="left"/>
        <w:rPr>
          <w:rFonts w:eastAsia="黑体"/>
          <w:bCs/>
          <w:color w:val="000000"/>
          <w:kern w:val="0"/>
          <w:sz w:val="32"/>
          <w:szCs w:val="32"/>
        </w:rPr>
      </w:pPr>
      <w:bookmarkStart w:id="0" w:name="_Hlk106001961"/>
      <w:r w:rsidRPr="00C65822">
        <w:rPr>
          <w:rFonts w:ascii="黑体" w:eastAsia="黑体" w:hAnsi="黑体" w:hint="eastAsia"/>
          <w:bCs/>
          <w:color w:val="000000"/>
          <w:kern w:val="0"/>
          <w:sz w:val="32"/>
          <w:szCs w:val="32"/>
        </w:rPr>
        <w:t>附件</w:t>
      </w:r>
      <w:r w:rsidRPr="00C65822">
        <w:rPr>
          <w:rFonts w:eastAsia="黑体"/>
          <w:bCs/>
          <w:color w:val="000000"/>
          <w:kern w:val="0"/>
          <w:sz w:val="32"/>
          <w:szCs w:val="32"/>
        </w:rPr>
        <w:t>1</w:t>
      </w:r>
      <w:r>
        <w:rPr>
          <w:rFonts w:eastAsia="黑体" w:hint="eastAsia"/>
          <w:bCs/>
          <w:color w:val="000000"/>
          <w:kern w:val="0"/>
          <w:sz w:val="32"/>
          <w:szCs w:val="32"/>
        </w:rPr>
        <w:t>7</w:t>
      </w:r>
    </w:p>
    <w:p w:rsidR="00C30981" w:rsidRPr="00C30981" w:rsidRDefault="00C30981" w:rsidP="00C30981">
      <w:pPr>
        <w:pStyle w:val="a0"/>
        <w:spacing w:line="520" w:lineRule="exact"/>
      </w:pPr>
    </w:p>
    <w:p w:rsidR="00EF5DF8" w:rsidRDefault="00B51062" w:rsidP="00C30981">
      <w:pPr>
        <w:spacing w:line="520" w:lineRule="exact"/>
        <w:ind w:rightChars="-32" w:right="-67"/>
        <w:jc w:val="center"/>
        <w:rPr>
          <w:rFonts w:eastAsia="方正小标宋简体"/>
          <w:color w:val="000000" w:themeColor="text1"/>
          <w:sz w:val="44"/>
          <w:szCs w:val="44"/>
        </w:rPr>
      </w:pPr>
      <w:r>
        <w:rPr>
          <w:rFonts w:eastAsia="方正小标宋简体"/>
          <w:color w:val="000000" w:themeColor="text1"/>
          <w:sz w:val="44"/>
          <w:szCs w:val="44"/>
        </w:rPr>
        <w:t>革兰阴性杆菌鉴定试剂</w:t>
      </w:r>
      <w:bookmarkEnd w:id="0"/>
      <w:r>
        <w:rPr>
          <w:rFonts w:eastAsia="方正小标宋简体"/>
          <w:color w:val="000000" w:themeColor="text1"/>
          <w:sz w:val="44"/>
          <w:szCs w:val="44"/>
        </w:rPr>
        <w:t>注册审查指导原则</w:t>
      </w:r>
    </w:p>
    <w:p w:rsidR="00EF5DF8" w:rsidRDefault="00EF5DF8" w:rsidP="00C30981">
      <w:pPr>
        <w:spacing w:line="520" w:lineRule="exact"/>
        <w:rPr>
          <w:rFonts w:eastAsia="仿宋_GB2312"/>
          <w:bCs/>
          <w:color w:val="000000" w:themeColor="text1"/>
          <w:sz w:val="32"/>
          <w:szCs w:val="32"/>
        </w:rPr>
      </w:pP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本指导原则旨在</w:t>
      </w:r>
      <w:r>
        <w:rPr>
          <w:rFonts w:eastAsia="仿宋_GB2312"/>
          <w:color w:val="000000" w:themeColor="text1"/>
          <w:sz w:val="32"/>
          <w:szCs w:val="32"/>
        </w:rPr>
        <w:t>指导注册申请人对革兰阴性杆菌鉴定试剂注册申报资料的准备及撰写，同时也为技术审评部门审评注册申报资料提供参考。</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本指导原则是对革兰阴性杆菌鉴定试剂的一般要求，申请人应依据产品的具体特性确定其中内容是否适用，若不适用，需具体阐述理由及相应的科学依据，并依据产品的具体特性对注册申报资料内容进行充实和细化。</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研究资料和验证资料，相关人员应在遵循相关法规的前提下使用本指导原则。</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本指导原则是在现行法规、标准体系及当前认知水平下制定的，随着法规、标准体系不断完善及</w:t>
      </w:r>
      <w:r>
        <w:rPr>
          <w:rFonts w:eastAsia="仿宋_GB2312"/>
          <w:color w:val="000000" w:themeColor="text1"/>
          <w:sz w:val="32"/>
          <w:szCs w:val="32"/>
        </w:rPr>
        <w:t>科学技术不断发展</w:t>
      </w:r>
      <w:r>
        <w:rPr>
          <w:rFonts w:eastAsia="仿宋_GB2312"/>
          <w:bCs/>
          <w:color w:val="000000" w:themeColor="text1"/>
          <w:sz w:val="32"/>
          <w:szCs w:val="32"/>
        </w:rPr>
        <w:t>，本指导原则相关内容也将</w:t>
      </w:r>
      <w:r>
        <w:rPr>
          <w:rFonts w:eastAsia="仿宋_GB2312"/>
          <w:color w:val="000000" w:themeColor="text1"/>
          <w:sz w:val="32"/>
          <w:szCs w:val="32"/>
        </w:rPr>
        <w:t>适时进行</w:t>
      </w:r>
      <w:r>
        <w:rPr>
          <w:rFonts w:eastAsia="仿宋_GB2312"/>
          <w:bCs/>
          <w:color w:val="000000" w:themeColor="text1"/>
          <w:sz w:val="32"/>
          <w:szCs w:val="32"/>
        </w:rPr>
        <w:t>调整。</w:t>
      </w:r>
    </w:p>
    <w:p w:rsidR="00EF5DF8" w:rsidRDefault="00B51062">
      <w:pPr>
        <w:spacing w:line="520" w:lineRule="exact"/>
        <w:ind w:firstLineChars="200" w:firstLine="640"/>
        <w:outlineLvl w:val="0"/>
        <w:rPr>
          <w:rFonts w:eastAsia="黑体"/>
          <w:color w:val="000000" w:themeColor="text1"/>
          <w:sz w:val="32"/>
          <w:szCs w:val="32"/>
        </w:rPr>
      </w:pPr>
      <w:bookmarkStart w:id="1" w:name="_Toc342306958"/>
      <w:r>
        <w:rPr>
          <w:rFonts w:eastAsia="黑体" w:hint="eastAsia"/>
          <w:color w:val="000000" w:themeColor="text1"/>
          <w:sz w:val="32"/>
          <w:szCs w:val="32"/>
        </w:rPr>
        <w:t>一、</w:t>
      </w:r>
      <w:r>
        <w:rPr>
          <w:rFonts w:eastAsia="黑体"/>
          <w:color w:val="000000" w:themeColor="text1"/>
          <w:sz w:val="32"/>
          <w:szCs w:val="32"/>
        </w:rPr>
        <w:t>适用范围</w:t>
      </w:r>
      <w:bookmarkEnd w:id="1"/>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本指导原则适用于利用生化鉴定原理，鉴定临床医学相关的需氧型、兼性厌氧型、厌氧型革兰阴性杆菌的试剂（革兰阴性杆菌及其鉴定简介见</w:t>
      </w:r>
      <w:r>
        <w:rPr>
          <w:rFonts w:eastAsia="仿宋_GB2312" w:hint="eastAsia"/>
          <w:color w:val="000000" w:themeColor="text1"/>
          <w:sz w:val="32"/>
          <w:szCs w:val="32"/>
        </w:rPr>
        <w:t>附件</w:t>
      </w:r>
      <w:r>
        <w:rPr>
          <w:rFonts w:eastAsia="仿宋_GB2312"/>
          <w:color w:val="000000" w:themeColor="text1"/>
          <w:sz w:val="32"/>
          <w:szCs w:val="32"/>
        </w:rPr>
        <w:t>）；检测样本为从临床样本中分离的纯菌。</w:t>
      </w:r>
    </w:p>
    <w:p w:rsidR="00EF5DF8" w:rsidRDefault="00B51062">
      <w:pPr>
        <w:spacing w:line="520" w:lineRule="exact"/>
        <w:ind w:firstLineChars="200" w:firstLine="640"/>
        <w:rPr>
          <w:color w:val="000000" w:themeColor="text1"/>
        </w:rPr>
      </w:pPr>
      <w:r>
        <w:rPr>
          <w:rFonts w:eastAsia="仿宋_GB2312"/>
          <w:color w:val="000000" w:themeColor="text1"/>
          <w:sz w:val="32"/>
          <w:szCs w:val="32"/>
        </w:rPr>
        <w:lastRenderedPageBreak/>
        <w:t>对于其他方法，可能部分要求不适用或本文所述内容不够全面，申请人可以根据产品特性对适用部分进行评价或补充其他的评价资料进行相应性能的验证，但需阐述不适用的理由，并说明替代方法的科学合理性。</w:t>
      </w:r>
    </w:p>
    <w:p w:rsidR="00EF5DF8" w:rsidRDefault="00B51062">
      <w:pPr>
        <w:spacing w:line="520" w:lineRule="exact"/>
        <w:ind w:firstLineChars="200" w:firstLine="640"/>
        <w:outlineLvl w:val="0"/>
        <w:rPr>
          <w:rFonts w:eastAsia="黑体"/>
          <w:color w:val="000000" w:themeColor="text1"/>
          <w:sz w:val="32"/>
          <w:szCs w:val="32"/>
        </w:rPr>
      </w:pPr>
      <w:r>
        <w:rPr>
          <w:rFonts w:eastAsia="黑体" w:hint="eastAsia"/>
          <w:color w:val="000000" w:themeColor="text1"/>
          <w:sz w:val="32"/>
          <w:szCs w:val="32"/>
        </w:rPr>
        <w:t>二、</w:t>
      </w:r>
      <w:r>
        <w:rPr>
          <w:rFonts w:eastAsia="黑体"/>
          <w:color w:val="000000" w:themeColor="text1"/>
          <w:sz w:val="32"/>
          <w:szCs w:val="32"/>
        </w:rPr>
        <w:t>注册审查要点</w:t>
      </w:r>
    </w:p>
    <w:p w:rsidR="00EF5DF8" w:rsidRDefault="00B51062">
      <w:pPr>
        <w:pStyle w:val="Default"/>
        <w:spacing w:line="520" w:lineRule="exact"/>
        <w:ind w:firstLineChars="200" w:firstLine="640"/>
        <w:rPr>
          <w:rFonts w:ascii="Times New Roman" w:eastAsia="仿宋" w:hAnsi="Times New Roman" w:hint="default"/>
          <w:color w:val="000000" w:themeColor="text1"/>
          <w:sz w:val="32"/>
          <w:szCs w:val="32"/>
        </w:rPr>
      </w:pPr>
      <w:bookmarkStart w:id="2" w:name="_Toc355613815"/>
      <w:r>
        <w:rPr>
          <w:rFonts w:ascii="Times New Roman" w:eastAsia="楷体_GB2312" w:hAnsi="Times New Roman" w:hint="default"/>
          <w:color w:val="000000" w:themeColor="text1"/>
          <w:sz w:val="32"/>
          <w:szCs w:val="32"/>
        </w:rPr>
        <w:t>（一）监管信息</w:t>
      </w:r>
    </w:p>
    <w:p w:rsidR="00EF5DF8" w:rsidRDefault="00B51062">
      <w:pPr>
        <w:spacing w:line="520" w:lineRule="exact"/>
        <w:ind w:firstLineChars="200" w:firstLine="640"/>
        <w:rPr>
          <w:rFonts w:eastAsia="仿宋_GB2312"/>
          <w:bCs/>
          <w:color w:val="000000" w:themeColor="text1"/>
          <w:sz w:val="32"/>
          <w:szCs w:val="32"/>
        </w:rPr>
      </w:pPr>
      <w:r>
        <w:rPr>
          <w:rFonts w:eastAsia="仿宋_GB2312" w:hint="eastAsia"/>
          <w:bCs/>
          <w:color w:val="000000" w:themeColor="text1"/>
          <w:sz w:val="32"/>
          <w:szCs w:val="32"/>
        </w:rPr>
        <w:t>1.</w:t>
      </w:r>
      <w:r>
        <w:rPr>
          <w:rFonts w:eastAsia="仿宋_GB2312"/>
          <w:bCs/>
          <w:color w:val="000000" w:themeColor="text1"/>
          <w:sz w:val="32"/>
          <w:szCs w:val="32"/>
        </w:rPr>
        <w:t>产品名称及分类编码</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产品名称应符合《体外诊断试剂注册与备案管理办法》及相关法规的要求。根据《体外诊断试剂分类子目录》，该产品按照第二类体外诊断试剂管理，分类编码为</w:t>
      </w:r>
      <w:r>
        <w:rPr>
          <w:rFonts w:eastAsia="仿宋_GB2312"/>
          <w:bCs/>
          <w:color w:val="000000" w:themeColor="text1"/>
          <w:sz w:val="32"/>
          <w:szCs w:val="32"/>
        </w:rPr>
        <w:t>6840</w:t>
      </w:r>
      <w:r>
        <w:rPr>
          <w:rFonts w:eastAsia="仿宋_GB2312"/>
          <w:bCs/>
          <w:color w:val="000000" w:themeColor="text1"/>
          <w:sz w:val="32"/>
          <w:szCs w:val="32"/>
        </w:rPr>
        <w:t>。</w:t>
      </w:r>
    </w:p>
    <w:p w:rsidR="00EF5DF8" w:rsidRDefault="00B51062">
      <w:pPr>
        <w:spacing w:line="520" w:lineRule="exact"/>
        <w:ind w:firstLineChars="200" w:firstLine="640"/>
        <w:rPr>
          <w:rFonts w:eastAsia="仿宋_GB2312"/>
          <w:bCs/>
          <w:color w:val="000000" w:themeColor="text1"/>
          <w:sz w:val="32"/>
          <w:szCs w:val="32"/>
        </w:rPr>
      </w:pPr>
      <w:r>
        <w:rPr>
          <w:rFonts w:eastAsia="仿宋_GB2312" w:hint="eastAsia"/>
          <w:bCs/>
          <w:color w:val="000000" w:themeColor="text1"/>
          <w:sz w:val="32"/>
          <w:szCs w:val="32"/>
        </w:rPr>
        <w:t>2.</w:t>
      </w:r>
      <w:r>
        <w:rPr>
          <w:rFonts w:eastAsia="仿宋_GB2312"/>
          <w:bCs/>
          <w:color w:val="000000" w:themeColor="text1"/>
          <w:sz w:val="32"/>
          <w:szCs w:val="32"/>
        </w:rPr>
        <w:t>其他资料包括产品列表、关联文件、申报前与监管机构的联系情况和沟通记录以及符合性声明等文件。</w:t>
      </w:r>
    </w:p>
    <w:p w:rsidR="00EF5DF8" w:rsidRDefault="00B51062">
      <w:pPr>
        <w:pStyle w:val="Default"/>
        <w:spacing w:line="520" w:lineRule="exact"/>
        <w:ind w:firstLineChars="200" w:firstLine="640"/>
        <w:rPr>
          <w:rFonts w:ascii="Times New Roman" w:eastAsia="楷体" w:hAnsi="Times New Roman" w:hint="default"/>
          <w:color w:val="000000" w:themeColor="text1"/>
          <w:sz w:val="32"/>
          <w:szCs w:val="32"/>
        </w:rPr>
      </w:pPr>
      <w:r>
        <w:rPr>
          <w:rFonts w:ascii="Times New Roman" w:eastAsia="楷体" w:hAnsi="Times New Roman" w:hint="default"/>
          <w:color w:val="000000" w:themeColor="text1"/>
          <w:sz w:val="32"/>
          <w:szCs w:val="32"/>
        </w:rPr>
        <w:t>（二）</w:t>
      </w:r>
      <w:r>
        <w:rPr>
          <w:rFonts w:ascii="Times New Roman" w:eastAsia="楷体_GB2312" w:hAnsi="Times New Roman" w:hint="default"/>
          <w:color w:val="000000" w:themeColor="text1"/>
          <w:sz w:val="32"/>
          <w:szCs w:val="32"/>
        </w:rPr>
        <w:t>综述资料</w:t>
      </w:r>
    </w:p>
    <w:p w:rsidR="00EF5DF8" w:rsidRDefault="00B51062">
      <w:pPr>
        <w:spacing w:line="520" w:lineRule="exact"/>
        <w:ind w:firstLineChars="200" w:firstLine="640"/>
        <w:rPr>
          <w:rFonts w:eastAsia="仿宋_GB2312"/>
          <w:bCs/>
          <w:color w:val="000000" w:themeColor="text1"/>
          <w:sz w:val="32"/>
          <w:szCs w:val="32"/>
        </w:rPr>
      </w:pPr>
      <w:bookmarkStart w:id="3" w:name="_Toc355613819"/>
      <w:bookmarkEnd w:id="2"/>
      <w:r>
        <w:rPr>
          <w:rFonts w:eastAsia="仿宋_GB2312"/>
          <w:bCs/>
          <w:color w:val="000000" w:themeColor="text1"/>
          <w:sz w:val="32"/>
          <w:szCs w:val="32"/>
        </w:rPr>
        <w:t>综述资料主要包括概述、产品描述、预期用途、申报产品上市历史以及其他需要说明的内容。</w:t>
      </w:r>
    </w:p>
    <w:p w:rsidR="00EF5DF8" w:rsidRDefault="00B51062">
      <w:pPr>
        <w:spacing w:line="520" w:lineRule="exact"/>
        <w:ind w:firstLineChars="200" w:firstLine="640"/>
        <w:rPr>
          <w:rFonts w:eastAsia="仿宋_GB2312"/>
          <w:bCs/>
          <w:color w:val="000000" w:themeColor="text1"/>
          <w:sz w:val="32"/>
          <w:szCs w:val="32"/>
        </w:rPr>
      </w:pPr>
      <w:r>
        <w:rPr>
          <w:rFonts w:eastAsia="仿宋_GB2312" w:hint="eastAsia"/>
          <w:bCs/>
          <w:color w:val="000000" w:themeColor="text1"/>
          <w:sz w:val="32"/>
          <w:szCs w:val="32"/>
        </w:rPr>
        <w:t>1.</w:t>
      </w:r>
      <w:r>
        <w:rPr>
          <w:rFonts w:eastAsia="仿宋_GB2312"/>
          <w:bCs/>
          <w:color w:val="000000" w:themeColor="text1"/>
          <w:sz w:val="32"/>
          <w:szCs w:val="32"/>
        </w:rPr>
        <w:t>概述</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1.1</w:t>
      </w:r>
      <w:r>
        <w:rPr>
          <w:rFonts w:eastAsia="仿宋_GB2312"/>
          <w:bCs/>
          <w:color w:val="000000" w:themeColor="text1"/>
          <w:sz w:val="32"/>
          <w:szCs w:val="32"/>
        </w:rPr>
        <w:t>通用名称及确定依据</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根据《体外诊断试剂注册与备案管理办法》要求，体外诊断试剂的产品名称一般由被测物质名称、用途和方法</w:t>
      </w:r>
      <w:r>
        <w:rPr>
          <w:rFonts w:eastAsia="仿宋_GB2312"/>
          <w:bCs/>
          <w:color w:val="000000" w:themeColor="text1"/>
          <w:sz w:val="32"/>
          <w:szCs w:val="32"/>
        </w:rPr>
        <w:t>/</w:t>
      </w:r>
      <w:r>
        <w:rPr>
          <w:rFonts w:eastAsia="仿宋_GB2312"/>
          <w:bCs/>
          <w:color w:val="000000" w:themeColor="text1"/>
          <w:sz w:val="32"/>
          <w:szCs w:val="32"/>
        </w:rPr>
        <w:t>原理三部分组成，例如：本产品被测物为革兰阴性杆菌，用途为鉴定试剂（盒）或鉴定板</w:t>
      </w:r>
      <w:r>
        <w:rPr>
          <w:rFonts w:eastAsia="仿宋_GB2312"/>
          <w:bCs/>
          <w:color w:val="000000" w:themeColor="text1"/>
          <w:sz w:val="32"/>
          <w:szCs w:val="32"/>
        </w:rPr>
        <w:t>/</w:t>
      </w:r>
      <w:r>
        <w:rPr>
          <w:rFonts w:eastAsia="仿宋_GB2312"/>
          <w:bCs/>
          <w:color w:val="000000" w:themeColor="text1"/>
          <w:sz w:val="32"/>
          <w:szCs w:val="32"/>
        </w:rPr>
        <w:t>卡，检测方法</w:t>
      </w:r>
      <w:r>
        <w:rPr>
          <w:rFonts w:eastAsia="仿宋_GB2312"/>
          <w:bCs/>
          <w:color w:val="000000" w:themeColor="text1"/>
          <w:sz w:val="32"/>
          <w:szCs w:val="32"/>
        </w:rPr>
        <w:t>/</w:t>
      </w:r>
      <w:r>
        <w:rPr>
          <w:rFonts w:eastAsia="仿宋_GB2312"/>
          <w:bCs/>
          <w:color w:val="000000" w:themeColor="text1"/>
          <w:sz w:val="32"/>
          <w:szCs w:val="32"/>
        </w:rPr>
        <w:t>原理为生化法（包括比色法、比浊法），据此确定产品的通用名称为革兰阴性杆菌鉴定试剂盒（比色法</w:t>
      </w:r>
      <w:r>
        <w:rPr>
          <w:rFonts w:eastAsia="仿宋_GB2312"/>
          <w:bCs/>
          <w:color w:val="000000" w:themeColor="text1"/>
          <w:sz w:val="32"/>
          <w:szCs w:val="32"/>
        </w:rPr>
        <w:t>/</w:t>
      </w:r>
      <w:r>
        <w:rPr>
          <w:rFonts w:eastAsia="仿宋_GB2312"/>
          <w:bCs/>
          <w:color w:val="000000" w:themeColor="text1"/>
          <w:sz w:val="32"/>
          <w:szCs w:val="32"/>
        </w:rPr>
        <w:t>比浊法）或革兰阴性杆菌鉴定板</w:t>
      </w:r>
      <w:r>
        <w:rPr>
          <w:rFonts w:eastAsia="仿宋_GB2312"/>
          <w:bCs/>
          <w:color w:val="000000" w:themeColor="text1"/>
          <w:sz w:val="32"/>
          <w:szCs w:val="32"/>
        </w:rPr>
        <w:t>/</w:t>
      </w:r>
      <w:r>
        <w:rPr>
          <w:rFonts w:eastAsia="仿宋_GB2312"/>
          <w:bCs/>
          <w:color w:val="000000" w:themeColor="text1"/>
          <w:sz w:val="32"/>
          <w:szCs w:val="32"/>
        </w:rPr>
        <w:t>卡（比色法</w:t>
      </w:r>
      <w:r>
        <w:rPr>
          <w:rFonts w:eastAsia="仿宋_GB2312"/>
          <w:bCs/>
          <w:color w:val="000000" w:themeColor="text1"/>
          <w:sz w:val="32"/>
          <w:szCs w:val="32"/>
        </w:rPr>
        <w:t>/</w:t>
      </w:r>
      <w:r>
        <w:rPr>
          <w:rFonts w:eastAsia="仿宋_GB2312"/>
          <w:bCs/>
          <w:color w:val="000000" w:themeColor="text1"/>
          <w:sz w:val="32"/>
          <w:szCs w:val="32"/>
        </w:rPr>
        <w:t>比浊法）。</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1.2</w:t>
      </w:r>
      <w:r>
        <w:rPr>
          <w:rFonts w:eastAsia="仿宋_GB2312"/>
          <w:bCs/>
          <w:color w:val="000000" w:themeColor="text1"/>
          <w:sz w:val="32"/>
          <w:szCs w:val="32"/>
        </w:rPr>
        <w:t>描述申报产品预期用途。</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lastRenderedPageBreak/>
        <w:t>一般根据细菌对氧气的耐受性或镜下形态，将预期用途表述为：</w:t>
      </w:r>
    </w:p>
    <w:p w:rsidR="00EF5DF8" w:rsidRDefault="00B51062">
      <w:pPr>
        <w:spacing w:line="520" w:lineRule="exact"/>
        <w:ind w:firstLineChars="200" w:firstLine="640"/>
        <w:rPr>
          <w:rFonts w:eastAsia="仿宋_GB2312"/>
          <w:bCs/>
          <w:color w:val="000000" w:themeColor="text1"/>
          <w:sz w:val="32"/>
          <w:szCs w:val="32"/>
        </w:rPr>
      </w:pPr>
      <w:r>
        <w:rPr>
          <w:rFonts w:eastAsia="仿宋_GB2312"/>
          <w:bCs/>
          <w:color w:val="000000" w:themeColor="text1"/>
          <w:sz w:val="32"/>
          <w:szCs w:val="32"/>
        </w:rPr>
        <w:t>本产品用于需氧型革兰阴性杆菌的鉴定。</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本产品用于兼性厌氧型革兰阴性杆菌的鉴定。</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本产品用于需氧和兼性厌氧型革兰阴性杆菌的鉴定。</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本产品用于厌氧型革兰阴性杆菌的鉴定。</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本产品用于革兰阴性杆菌的鉴定。</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申请人可依据产品所涵盖的革兰阴性杆菌的具体特征对预期用途进行声称。</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1.3</w:t>
      </w:r>
      <w:r>
        <w:rPr>
          <w:rFonts w:ascii="Times New Roman" w:eastAsia="仿宋_GB2312" w:hAnsi="Times New Roman" w:hint="default"/>
          <w:color w:val="000000" w:themeColor="text1"/>
          <w:kern w:val="2"/>
          <w:sz w:val="32"/>
          <w:szCs w:val="32"/>
        </w:rPr>
        <w:t>如适用，描述有关申报产品的背景信息概述或特别细节，如：申报产品的历史概述、历次提交的信息，与其他经批准上市产品的关系等。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2.</w:t>
      </w:r>
      <w:r>
        <w:rPr>
          <w:rFonts w:ascii="Times New Roman" w:eastAsia="仿宋_GB2312" w:hAnsi="Times New Roman" w:hint="default"/>
          <w:color w:val="000000" w:themeColor="text1"/>
          <w:kern w:val="2"/>
          <w:sz w:val="32"/>
          <w:szCs w:val="32"/>
        </w:rPr>
        <w:t>产品描述</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2.1</w:t>
      </w:r>
      <w:r>
        <w:rPr>
          <w:rFonts w:ascii="Times New Roman" w:eastAsia="仿宋_GB2312" w:hAnsi="Times New Roman" w:hint="default"/>
          <w:color w:val="000000" w:themeColor="text1"/>
          <w:kern w:val="2"/>
          <w:sz w:val="32"/>
          <w:szCs w:val="32"/>
        </w:rPr>
        <w:t>产品综述</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2.1.1</w:t>
      </w:r>
      <w:r>
        <w:rPr>
          <w:rFonts w:ascii="Times New Roman" w:eastAsia="仿宋_GB2312" w:hAnsi="Times New Roman" w:hint="default"/>
          <w:color w:val="000000" w:themeColor="text1"/>
          <w:kern w:val="2"/>
          <w:sz w:val="32"/>
          <w:szCs w:val="32"/>
        </w:rPr>
        <w:t>描述产品所采用的技术原理，产品组成，原材料的来源及制备方法，主要生产工艺，检验方法。</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注：技术原理包括反应原理（如生化法），方法学（如比色法</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比浊法），信号处理方法，结果解读方式等。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2.1.2</w:t>
      </w:r>
      <w:r>
        <w:rPr>
          <w:rFonts w:ascii="Times New Roman" w:eastAsia="仿宋_GB2312" w:hAnsi="Times New Roman" w:hint="default"/>
          <w:color w:val="000000" w:themeColor="text1"/>
          <w:kern w:val="2"/>
          <w:sz w:val="32"/>
          <w:szCs w:val="32"/>
        </w:rPr>
        <w:t>描述产品主要研究结果的总结和评价，包括分析性能评估、阳性判断值、稳定性及临床评价等。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2.1.3</w:t>
      </w:r>
      <w:r>
        <w:rPr>
          <w:rFonts w:ascii="Times New Roman" w:eastAsia="仿宋_GB2312" w:hAnsi="Times New Roman" w:hint="default"/>
          <w:color w:val="000000" w:themeColor="text1"/>
          <w:kern w:val="2"/>
          <w:sz w:val="32"/>
          <w:szCs w:val="32"/>
        </w:rPr>
        <w:t>描述不同包装规格之间的差异。</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2.1.4</w:t>
      </w:r>
      <w:r>
        <w:rPr>
          <w:rFonts w:ascii="Times New Roman" w:eastAsia="仿宋_GB2312" w:hAnsi="Times New Roman" w:hint="default"/>
          <w:color w:val="000000" w:themeColor="text1"/>
          <w:kern w:val="2"/>
          <w:sz w:val="32"/>
          <w:szCs w:val="32"/>
        </w:rPr>
        <w:t>描述产品中使用的生物材料或衍生物（如适用）的生物学来源（如人、动物、病原体、重组或发酵产物）和（或）组织来源（如血液）。人源性材料（如适用）须对有关传染病（</w:t>
      </w:r>
      <w:r>
        <w:rPr>
          <w:rFonts w:ascii="Times New Roman" w:eastAsia="仿宋_GB2312" w:hAnsi="Times New Roman" w:hint="default"/>
          <w:color w:val="000000" w:themeColor="text1"/>
          <w:kern w:val="2"/>
          <w:sz w:val="32"/>
          <w:szCs w:val="32"/>
        </w:rPr>
        <w:t>HIV</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HBV</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HCV</w:t>
      </w:r>
      <w:r>
        <w:rPr>
          <w:rFonts w:ascii="Times New Roman" w:eastAsia="仿宋_GB2312" w:hAnsi="Times New Roman" w:hint="default"/>
          <w:color w:val="000000" w:themeColor="text1"/>
          <w:kern w:val="2"/>
          <w:sz w:val="32"/>
          <w:szCs w:val="32"/>
        </w:rPr>
        <w:t>等）病原体检测予以说明；其他动物源及</w:t>
      </w:r>
      <w:r>
        <w:rPr>
          <w:rFonts w:ascii="Times New Roman" w:eastAsia="仿宋_GB2312" w:hAnsi="Times New Roman" w:hint="default"/>
          <w:color w:val="000000" w:themeColor="text1"/>
          <w:kern w:val="2"/>
          <w:sz w:val="32"/>
          <w:szCs w:val="32"/>
        </w:rPr>
        <w:lastRenderedPageBreak/>
        <w:t>微生物来源的材料，应当说明其在产品运输、使用过程中对使用者和环境是安全的，并提供相关的文件。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2.2</w:t>
      </w:r>
      <w:r>
        <w:rPr>
          <w:rFonts w:ascii="Times New Roman" w:eastAsia="仿宋_GB2312" w:hAnsi="Times New Roman" w:hint="default"/>
          <w:color w:val="000000" w:themeColor="text1"/>
          <w:kern w:val="2"/>
          <w:sz w:val="32"/>
          <w:szCs w:val="32"/>
        </w:rPr>
        <w:t>包装描述</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描述试剂盒的各个组分、所有规格及不同规格的划分说明，试剂盒组分、外包装及组分包装所用的材质、包装的形状，外包装盒上面应包含产品名称、批号、生产日期及失效日期、注册人</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生产企业名称、生产地址、联系方式等信息。</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2.3</w:t>
      </w:r>
      <w:r>
        <w:rPr>
          <w:rFonts w:ascii="Times New Roman" w:eastAsia="仿宋_GB2312" w:hAnsi="Times New Roman" w:hint="default"/>
          <w:color w:val="000000" w:themeColor="text1"/>
          <w:kern w:val="2"/>
          <w:sz w:val="32"/>
          <w:szCs w:val="32"/>
        </w:rPr>
        <w:t>研发历程</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阐述申请注册产品的研发背景和目的。如有参考的同类产品或前代产品，应当提供同类产品或前代产品的信息，并说明选择其作为研发参考的原因。</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2.4</w:t>
      </w:r>
      <w:r>
        <w:rPr>
          <w:rFonts w:ascii="Times New Roman" w:eastAsia="仿宋_GB2312" w:hAnsi="Times New Roman" w:hint="default"/>
          <w:color w:val="000000" w:themeColor="text1"/>
          <w:kern w:val="2"/>
          <w:sz w:val="32"/>
          <w:szCs w:val="32"/>
        </w:rPr>
        <w:t>与同类和</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或前代产品的比较</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对已有同类产品和</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或前代产品上市，申请人应提供其产品名称、生产企业、注册情况，并列表比较申报产品与同类产品和</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或前代产品在技术原理、预期用途、使用方法、性能指标、临床应用情况等方面的异同。</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3.</w:t>
      </w:r>
      <w:r>
        <w:rPr>
          <w:rFonts w:ascii="Times New Roman" w:eastAsia="仿宋_GB2312" w:hAnsi="Times New Roman" w:hint="default"/>
          <w:color w:val="000000" w:themeColor="text1"/>
          <w:kern w:val="2"/>
          <w:sz w:val="32"/>
          <w:szCs w:val="32"/>
        </w:rPr>
        <w:t>预期用途及使用环境</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3.1</w:t>
      </w:r>
      <w:r>
        <w:rPr>
          <w:rFonts w:ascii="Times New Roman" w:eastAsia="仿宋_GB2312" w:hAnsi="Times New Roman" w:hint="default"/>
          <w:color w:val="000000" w:themeColor="text1"/>
          <w:kern w:val="2"/>
          <w:sz w:val="32"/>
          <w:szCs w:val="32"/>
        </w:rPr>
        <w:t>明确产品预期用途，写明适用仪器（如适用）、使用方法（自动</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半自动</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手工）、检测类型（定性）、样本类型（来源于临床样本分离的纯菌）等。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3.2</w:t>
      </w:r>
      <w:r>
        <w:rPr>
          <w:rFonts w:ascii="Times New Roman" w:eastAsia="仿宋_GB2312" w:hAnsi="Times New Roman" w:hint="default"/>
          <w:color w:val="000000" w:themeColor="text1"/>
          <w:kern w:val="2"/>
          <w:sz w:val="32"/>
          <w:szCs w:val="32"/>
        </w:rPr>
        <w:t>临床适应证、适用人群</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临床上，革兰阴性杆菌引起的感染呈多样性，究其原因为包含的细菌种类广泛，感染部位不同，病原菌的种类也千差万别，如细菌血流感染常检出的菌株有大肠埃希菌、鲍曼不动杆菌、肺炎克雷伯菌、铜绿假单胞菌等；呼吸道感染常检出的菌</w:t>
      </w:r>
      <w:r>
        <w:rPr>
          <w:rFonts w:ascii="Times New Roman" w:eastAsia="仿宋_GB2312" w:hAnsi="Times New Roman" w:hint="default"/>
          <w:color w:val="000000" w:themeColor="text1"/>
          <w:kern w:val="2"/>
          <w:sz w:val="32"/>
          <w:szCs w:val="32"/>
        </w:rPr>
        <w:lastRenderedPageBreak/>
        <w:t>株有鲍曼不动杆菌、铜绿假单胞菌、大肠埃希菌、肺炎克雷伯菌等；肠道感染常检出的菌株有痢疾志贺菌、大肠埃希菌、伤寒沙门菌；泌尿道感染常检出的菌株有大肠埃希菌、肺炎克雷伯菌、铜绿假单胞菌等；伤口脓液常检出的菌株有大肠埃希菌、铜绿假单胞菌、鲍曼不动杆菌等；颅内感染常检出的菌株有鲍曼不动杆菌、铜绿假单胞菌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写明产品需专业人员使用。明确产品在实验室中使用，如有可能会影响其安全性和有效性的环境条件（如温度、湿度、海拔）应注明。</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lang w:val="en-CA"/>
        </w:rPr>
      </w:pPr>
      <w:r>
        <w:rPr>
          <w:rFonts w:ascii="Times New Roman" w:eastAsia="仿宋_GB2312" w:hAnsi="Times New Roman"/>
          <w:color w:val="000000" w:themeColor="text1"/>
          <w:kern w:val="2"/>
          <w:sz w:val="32"/>
          <w:szCs w:val="32"/>
        </w:rPr>
        <w:t>4.</w:t>
      </w:r>
      <w:r>
        <w:rPr>
          <w:rFonts w:ascii="Times New Roman" w:eastAsia="仿宋_GB2312" w:hAnsi="Times New Roman" w:hint="default"/>
          <w:color w:val="000000" w:themeColor="text1"/>
          <w:kern w:val="2"/>
          <w:sz w:val="32"/>
          <w:szCs w:val="32"/>
        </w:rPr>
        <w:t>申报产品上市历史：</w:t>
      </w:r>
      <w:r>
        <w:rPr>
          <w:rFonts w:ascii="Times New Roman" w:eastAsia="仿宋_GB2312" w:hAnsi="Times New Roman" w:hint="default"/>
          <w:color w:val="000000" w:themeColor="text1"/>
          <w:kern w:val="2"/>
          <w:sz w:val="32"/>
          <w:szCs w:val="32"/>
          <w:lang w:val="en-CA"/>
        </w:rPr>
        <w:t>如适用，应当提交申报产品的下列资料：上市情况、不良事件和召回、销售</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lang w:val="en-CA"/>
        </w:rPr>
        <w:t>不良事件及召回率</w:t>
      </w:r>
      <w:r>
        <w:rPr>
          <w:rFonts w:ascii="Times New Roman" w:eastAsia="仿宋_GB2312" w:hAnsi="Times New Roman" w:hint="default"/>
          <w:color w:val="000000" w:themeColor="text1"/>
          <w:kern w:val="2"/>
          <w:sz w:val="32"/>
          <w:szCs w:val="32"/>
        </w:rPr>
        <w:t>。</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5.</w:t>
      </w:r>
      <w:r>
        <w:rPr>
          <w:rFonts w:ascii="Times New Roman" w:eastAsia="仿宋_GB2312" w:hAnsi="Times New Roman" w:hint="default"/>
          <w:color w:val="000000" w:themeColor="text1"/>
          <w:kern w:val="2"/>
          <w:sz w:val="32"/>
          <w:szCs w:val="32"/>
        </w:rPr>
        <w:t>其他需说明的内容</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5.1</w:t>
      </w:r>
      <w:r>
        <w:rPr>
          <w:rFonts w:ascii="Times New Roman" w:eastAsia="仿宋_GB2312" w:hAnsi="Times New Roman" w:hint="default"/>
          <w:color w:val="000000" w:themeColor="text1"/>
          <w:kern w:val="2"/>
          <w:sz w:val="32"/>
          <w:szCs w:val="32"/>
        </w:rPr>
        <w:t>除申报产品外，检测系统的其他组成部分，包括但不限于：适用仪器、质控菌株、独立软件等基本信息，及其在检测中发挥的作用，必要时应提交相应的说明书。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5.2</w:t>
      </w:r>
      <w:r>
        <w:rPr>
          <w:rFonts w:ascii="Times New Roman" w:eastAsia="仿宋_GB2312" w:hAnsi="Times New Roman" w:hint="default"/>
          <w:color w:val="000000" w:themeColor="text1"/>
          <w:kern w:val="2"/>
          <w:sz w:val="32"/>
          <w:szCs w:val="32"/>
        </w:rPr>
        <w:t>如适用，对于已获得批准的检测系统的其他组成部分，应当提供注册证编号和国家药监局官方网站公布的注册证信息。</w:t>
      </w:r>
    </w:p>
    <w:bookmarkEnd w:id="3"/>
    <w:p w:rsidR="00EF5DF8" w:rsidRDefault="00B51062">
      <w:pPr>
        <w:pStyle w:val="Default"/>
        <w:spacing w:line="520" w:lineRule="exact"/>
        <w:ind w:firstLineChars="200" w:firstLine="640"/>
        <w:rPr>
          <w:rFonts w:ascii="Times New Roman" w:eastAsia="楷体_GB2312" w:hAnsi="Times New Roman" w:hint="default"/>
          <w:color w:val="000000" w:themeColor="text1"/>
          <w:sz w:val="32"/>
          <w:szCs w:val="32"/>
        </w:rPr>
      </w:pPr>
      <w:r>
        <w:rPr>
          <w:rFonts w:ascii="Times New Roman" w:eastAsia="楷体_GB2312" w:hAnsi="Times New Roman" w:hint="default"/>
          <w:color w:val="000000" w:themeColor="text1"/>
          <w:sz w:val="32"/>
          <w:szCs w:val="32"/>
        </w:rPr>
        <w:t>（三）非临床资料</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w:t>
      </w:r>
      <w:r>
        <w:rPr>
          <w:rFonts w:ascii="Times New Roman" w:eastAsia="仿宋_GB2312" w:hAnsi="Times New Roman" w:hint="default"/>
          <w:color w:val="000000" w:themeColor="text1"/>
          <w:kern w:val="2"/>
          <w:sz w:val="32"/>
          <w:szCs w:val="32"/>
        </w:rPr>
        <w:t>产品风险管理资料</w:t>
      </w:r>
      <w:r>
        <w:rPr>
          <w:rFonts w:ascii="Times New Roman" w:eastAsia="仿宋_GB2312" w:hAnsi="Times New Roman" w:hint="default"/>
          <w:color w:val="000000" w:themeColor="text1"/>
          <w:kern w:val="2"/>
          <w:sz w:val="32"/>
          <w:szCs w:val="32"/>
        </w:rPr>
        <w:t xml:space="preserve">  </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申请人应考虑产品寿命周期的各个环节，从预期用途、可能的使用错误、与安全性有关的特征、已知可预见的危害等方面的判定，以及对患者风险的估计进行风险分析，应符合</w:t>
      </w:r>
      <w:r>
        <w:rPr>
          <w:rFonts w:ascii="Times New Roman" w:eastAsia="仿宋_GB2312" w:hAnsi="Times New Roman" w:hint="default"/>
          <w:color w:val="000000" w:themeColor="text1"/>
          <w:kern w:val="2"/>
          <w:sz w:val="32"/>
          <w:szCs w:val="32"/>
        </w:rPr>
        <w:t>GB/T 42062</w:t>
      </w:r>
      <w:r>
        <w:rPr>
          <w:rFonts w:ascii="Times New Roman" w:eastAsia="仿宋_GB2312" w:hAnsi="Times New Roman" w:hint="default"/>
          <w:color w:val="000000" w:themeColor="text1"/>
          <w:kern w:val="2"/>
          <w:sz w:val="32"/>
          <w:szCs w:val="32"/>
        </w:rPr>
        <w:t>《医疗器械风险管理对医疗器械的应用》的要求。</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风险管理资料应包含以下内容：</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1.1</w:t>
      </w:r>
      <w:r>
        <w:rPr>
          <w:rFonts w:ascii="Times New Roman" w:eastAsia="仿宋_GB2312" w:hAnsi="Times New Roman" w:hint="default"/>
          <w:color w:val="000000" w:themeColor="text1"/>
          <w:kern w:val="2"/>
          <w:sz w:val="32"/>
          <w:szCs w:val="32"/>
        </w:rPr>
        <w:t>概述：简要介绍风险管理资料的编制依据、适用范围、</w:t>
      </w:r>
      <w:r>
        <w:rPr>
          <w:rFonts w:ascii="Times New Roman" w:eastAsia="仿宋_GB2312" w:hAnsi="Times New Roman" w:hint="default"/>
          <w:color w:val="000000" w:themeColor="text1"/>
          <w:kern w:val="2"/>
          <w:sz w:val="32"/>
          <w:szCs w:val="32"/>
        </w:rPr>
        <w:lastRenderedPageBreak/>
        <w:t>产品描述（名称、用途、适用机型）、风险管理计划及实施情况等。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1.2</w:t>
      </w:r>
      <w:r>
        <w:rPr>
          <w:rFonts w:ascii="Times New Roman" w:eastAsia="仿宋_GB2312" w:hAnsi="Times New Roman" w:hint="default"/>
          <w:color w:val="000000" w:themeColor="text1"/>
          <w:kern w:val="2"/>
          <w:sz w:val="32"/>
          <w:szCs w:val="32"/>
        </w:rPr>
        <w:t>风险管理人员及其职责分工：明确风险管理小组成员及职责，制定风险管理流程图，明确风险管理活动的评审要求等。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1.3</w:t>
      </w:r>
      <w:r>
        <w:rPr>
          <w:rFonts w:ascii="Times New Roman" w:eastAsia="仿宋_GB2312" w:hAnsi="Times New Roman" w:hint="default"/>
          <w:color w:val="000000" w:themeColor="text1"/>
          <w:kern w:val="2"/>
          <w:sz w:val="32"/>
          <w:szCs w:val="32"/>
        </w:rPr>
        <w:t>风险来源分析：明确风险可能的来源（如产品故障、使用条件或环境差异、用户端风险、产品寿命等）。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1.4</w:t>
      </w:r>
      <w:r>
        <w:rPr>
          <w:rFonts w:ascii="Times New Roman" w:eastAsia="仿宋_GB2312" w:hAnsi="Times New Roman" w:hint="default"/>
          <w:color w:val="000000" w:themeColor="text1"/>
          <w:kern w:val="2"/>
          <w:sz w:val="32"/>
          <w:szCs w:val="32"/>
        </w:rPr>
        <w:t>预期用途和安全性有关特征的判定：以</w:t>
      </w:r>
      <w:r>
        <w:rPr>
          <w:rFonts w:ascii="Times New Roman" w:eastAsia="仿宋_GB2312" w:hAnsi="Times New Roman" w:hint="default"/>
          <w:color w:val="000000" w:themeColor="text1"/>
          <w:kern w:val="2"/>
          <w:sz w:val="32"/>
          <w:szCs w:val="32"/>
        </w:rPr>
        <w:t>GB/T 42062</w:t>
      </w:r>
      <w:r>
        <w:rPr>
          <w:rFonts w:ascii="Times New Roman" w:eastAsia="仿宋_GB2312" w:hAnsi="Times New Roman" w:hint="default"/>
          <w:color w:val="000000" w:themeColor="text1"/>
          <w:kern w:val="2"/>
          <w:sz w:val="32"/>
          <w:szCs w:val="32"/>
        </w:rPr>
        <w:t>附录</w:t>
      </w:r>
      <w:r>
        <w:rPr>
          <w:rFonts w:ascii="Times New Roman" w:eastAsia="仿宋_GB2312" w:hAnsi="Times New Roman" w:hint="default"/>
          <w:color w:val="000000" w:themeColor="text1"/>
          <w:kern w:val="2"/>
          <w:sz w:val="32"/>
          <w:szCs w:val="32"/>
        </w:rPr>
        <w:t>C</w:t>
      </w:r>
      <w:r>
        <w:rPr>
          <w:rFonts w:ascii="Times New Roman" w:eastAsia="仿宋_GB2312" w:hAnsi="Times New Roman" w:hint="default"/>
          <w:color w:val="000000" w:themeColor="text1"/>
          <w:kern w:val="2"/>
          <w:sz w:val="32"/>
          <w:szCs w:val="32"/>
        </w:rPr>
        <w:t>为基础，判定产品预期用途和与安全性有关的特性，判定已知和可预见的危害、对患者风险的评估，并形成问题清单。申请人可以根据产品特征确定其他可能危害，采取相应控制措施，确保产品风险降至可接受的程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1.5</w:t>
      </w:r>
      <w:r>
        <w:rPr>
          <w:rFonts w:ascii="Times New Roman" w:eastAsia="仿宋_GB2312" w:hAnsi="Times New Roman" w:hint="default"/>
          <w:color w:val="000000" w:themeColor="text1"/>
          <w:kern w:val="2"/>
          <w:sz w:val="32"/>
          <w:szCs w:val="32"/>
        </w:rPr>
        <w:t>风险分析、风险控制和风险控制措施：对每一判定为危害的不正确结果的风险进行分析，并制定相应的风险控制方案及措施。</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1.6</w:t>
      </w:r>
      <w:r>
        <w:rPr>
          <w:rFonts w:ascii="Times New Roman" w:eastAsia="仿宋_GB2312" w:hAnsi="Times New Roman" w:hint="default"/>
          <w:color w:val="000000" w:themeColor="text1"/>
          <w:kern w:val="2"/>
          <w:sz w:val="32"/>
          <w:szCs w:val="32"/>
        </w:rPr>
        <w:t>综合剩余风险的可接受性评价：对比采取风险控制措施前后的风险情况，对剩余风险的可接受性进行评价。</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1.7</w:t>
      </w:r>
      <w:r>
        <w:rPr>
          <w:rFonts w:ascii="Times New Roman" w:eastAsia="仿宋_GB2312" w:hAnsi="Times New Roman" w:hint="default"/>
          <w:color w:val="000000" w:themeColor="text1"/>
          <w:kern w:val="2"/>
          <w:sz w:val="32"/>
          <w:szCs w:val="32"/>
        </w:rPr>
        <w:t>风险控制措施验证：对风险控制措施的有效性进行验证分析。</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2.</w:t>
      </w:r>
      <w:r>
        <w:rPr>
          <w:rFonts w:ascii="Times New Roman" w:eastAsia="仿宋_GB2312" w:hAnsi="Times New Roman" w:hint="default"/>
          <w:color w:val="000000" w:themeColor="text1"/>
          <w:kern w:val="2"/>
          <w:sz w:val="32"/>
          <w:szCs w:val="32"/>
        </w:rPr>
        <w:t>体外诊断试剂安全和性能基本原则清单</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申请人需提供《体外诊断试剂安全和性能基本原则清单》，并说明产品为了符合适用的各项要求所采用的方法，以及证明其符合性的文件。对于不适用的各项要求，应说明理由。</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3.</w:t>
      </w:r>
      <w:r>
        <w:rPr>
          <w:rFonts w:ascii="Times New Roman" w:eastAsia="仿宋_GB2312" w:hAnsi="Times New Roman" w:hint="default"/>
          <w:color w:val="000000" w:themeColor="text1"/>
          <w:kern w:val="2"/>
          <w:sz w:val="32"/>
          <w:szCs w:val="32"/>
        </w:rPr>
        <w:t>产品技术要求及检验报告</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3.1</w:t>
      </w:r>
      <w:r>
        <w:rPr>
          <w:rFonts w:ascii="Times New Roman" w:eastAsia="仿宋_GB2312" w:hAnsi="Times New Roman" w:hint="default"/>
          <w:color w:val="000000" w:themeColor="text1"/>
          <w:kern w:val="2"/>
          <w:sz w:val="32"/>
          <w:szCs w:val="32"/>
        </w:rPr>
        <w:t>产品技术要求</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产品技术要求根据《医疗器械产品技术要求编写指导原则》</w:t>
      </w:r>
      <w:r>
        <w:rPr>
          <w:rFonts w:ascii="Times New Roman" w:eastAsia="仿宋_GB2312" w:hAnsi="Times New Roman" w:hint="default"/>
          <w:color w:val="000000" w:themeColor="text1"/>
          <w:kern w:val="2"/>
          <w:sz w:val="32"/>
          <w:szCs w:val="32"/>
        </w:rPr>
        <w:lastRenderedPageBreak/>
        <w:t>等规范性文件进行编制。产品技术要求主要包含包装规格及其划分说明、性能指标和检验方法，性能指标主要包括外观、准确性、重复性、批间差、</w:t>
      </w:r>
      <w:r>
        <w:rPr>
          <w:rFonts w:ascii="Times New Roman" w:eastAsia="仿宋_GB2312" w:hAnsi="Times New Roman" w:hint="default"/>
          <w:color w:val="000000" w:themeColor="text1"/>
          <w:kern w:val="2"/>
          <w:sz w:val="32"/>
          <w:szCs w:val="32"/>
        </w:rPr>
        <w:t>pH</w:t>
      </w:r>
      <w:r>
        <w:rPr>
          <w:rFonts w:ascii="Times New Roman" w:eastAsia="仿宋_GB2312" w:hAnsi="Times New Roman" w:hint="default"/>
          <w:color w:val="000000" w:themeColor="text1"/>
          <w:kern w:val="2"/>
          <w:sz w:val="32"/>
          <w:szCs w:val="32"/>
        </w:rPr>
        <w:t>值（如适用）、装量（如适用）等。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3.2</w:t>
      </w:r>
      <w:r>
        <w:rPr>
          <w:rFonts w:ascii="Times New Roman" w:eastAsia="仿宋_GB2312" w:hAnsi="Times New Roman" w:hint="default"/>
          <w:color w:val="000000" w:themeColor="text1"/>
          <w:kern w:val="2"/>
          <w:sz w:val="32"/>
          <w:szCs w:val="32"/>
        </w:rPr>
        <w:t>检验报告</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在保证产品原材料和生产工艺稳定可靠的基础上，采用在符合医疗器械质量管理体系相关要求的条件下生产的产品进行检验。可提交以下任一形式的检验报告：</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3.2.1</w:t>
      </w:r>
      <w:r>
        <w:rPr>
          <w:rFonts w:ascii="Times New Roman" w:eastAsia="仿宋_GB2312" w:hAnsi="Times New Roman" w:hint="default"/>
          <w:color w:val="000000" w:themeColor="text1"/>
          <w:kern w:val="2"/>
          <w:sz w:val="32"/>
          <w:szCs w:val="32"/>
        </w:rPr>
        <w:t>具有自检能力的注册申请人出具的注册自检报告，自检应符合《医疗器械注册自检管理规定》。</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3.2.2</w:t>
      </w:r>
      <w:r>
        <w:rPr>
          <w:rFonts w:ascii="Times New Roman" w:eastAsia="仿宋_GB2312" w:hAnsi="Times New Roman" w:hint="default"/>
          <w:color w:val="000000" w:themeColor="text1"/>
          <w:kern w:val="2"/>
          <w:sz w:val="32"/>
          <w:szCs w:val="32"/>
        </w:rPr>
        <w:t>委托有资质的医疗器械检验机构出具的检验报告。</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4.</w:t>
      </w:r>
      <w:r>
        <w:rPr>
          <w:rFonts w:ascii="Times New Roman" w:eastAsia="仿宋_GB2312" w:hAnsi="Times New Roman" w:hint="default"/>
          <w:color w:val="000000" w:themeColor="text1"/>
          <w:kern w:val="2"/>
          <w:sz w:val="32"/>
          <w:szCs w:val="32"/>
        </w:rPr>
        <w:t>分析性能研究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申请人应采用在生产质量管理体系下生产的试剂对分析性能进行研究，应当包括研究方案、数据、结果分析和总结，提供证据的总结及证据充分性的论证。</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如申报产品适用不同的机型，需要提交在不同机型上进行评估的资料。如申报产品包含不同的包装规格，需要对各包装规格进行分析或验证</w:t>
      </w:r>
      <w:r>
        <w:rPr>
          <w:rFonts w:ascii="Times New Roman" w:eastAsia="仿宋_GB2312" w:hAnsi="Times New Roman"/>
          <w:color w:val="000000" w:themeColor="text1"/>
          <w:kern w:val="2"/>
          <w:sz w:val="32"/>
          <w:szCs w:val="32"/>
          <w:lang w:val="en"/>
        </w:rPr>
        <w:t>：若</w:t>
      </w:r>
      <w:r>
        <w:rPr>
          <w:rFonts w:ascii="Times New Roman" w:eastAsia="仿宋_GB2312" w:hAnsi="Times New Roman" w:hint="default"/>
          <w:color w:val="000000" w:themeColor="text1"/>
          <w:kern w:val="2"/>
          <w:sz w:val="32"/>
          <w:szCs w:val="32"/>
        </w:rPr>
        <w:t>存在性能差异，需采用每个包装规格产品进行性能评估；</w:t>
      </w:r>
      <w:r>
        <w:rPr>
          <w:rFonts w:ascii="Times New Roman" w:eastAsia="仿宋_GB2312" w:hAnsi="Times New Roman"/>
          <w:color w:val="000000" w:themeColor="text1"/>
          <w:kern w:val="2"/>
          <w:sz w:val="32"/>
          <w:szCs w:val="32"/>
        </w:rPr>
        <w:t>若</w:t>
      </w:r>
      <w:r>
        <w:rPr>
          <w:rFonts w:ascii="Times New Roman" w:eastAsia="仿宋_GB2312" w:hAnsi="Times New Roman" w:hint="default"/>
          <w:color w:val="000000" w:themeColor="text1"/>
          <w:kern w:val="2"/>
          <w:sz w:val="32"/>
          <w:szCs w:val="32"/>
        </w:rPr>
        <w:t>不存在性能差异，需要详细说明各规格间的差别及可能产生的影响。</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分析性能研究中使用的菌株建议不超过</w:t>
      </w:r>
      <w:r>
        <w:rPr>
          <w:rFonts w:ascii="Times New Roman" w:eastAsia="仿宋_GB2312" w:hAnsi="Times New Roman" w:hint="default"/>
          <w:color w:val="000000" w:themeColor="text1"/>
          <w:kern w:val="2"/>
          <w:sz w:val="32"/>
          <w:szCs w:val="32"/>
        </w:rPr>
        <w:t>5</w:t>
      </w:r>
      <w:r>
        <w:rPr>
          <w:rFonts w:ascii="Times New Roman" w:eastAsia="仿宋_GB2312" w:hAnsi="Times New Roman" w:hint="default"/>
          <w:color w:val="000000" w:themeColor="text1"/>
          <w:kern w:val="2"/>
          <w:sz w:val="32"/>
          <w:szCs w:val="32"/>
        </w:rPr>
        <w:t>代，并对其来源进行说明。</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建议着重对以下性能进行研究：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4.1</w:t>
      </w:r>
      <w:r>
        <w:rPr>
          <w:rFonts w:ascii="Times New Roman" w:eastAsia="仿宋_GB2312" w:hAnsi="Times New Roman" w:hint="default"/>
          <w:color w:val="000000" w:themeColor="text1"/>
          <w:kern w:val="2"/>
          <w:sz w:val="32"/>
          <w:szCs w:val="32"/>
        </w:rPr>
        <w:t>适用的样本类型与样本稳定性</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本产品适用的样本类型为临床分离的纯菌，为了保证待测菌的活性，临床采</w:t>
      </w:r>
      <w:r>
        <w:rPr>
          <w:rFonts w:ascii="Times New Roman" w:eastAsia="仿宋_GB2312" w:hAnsi="Times New Roman"/>
          <w:color w:val="000000" w:themeColor="text1"/>
          <w:kern w:val="2"/>
          <w:sz w:val="32"/>
          <w:szCs w:val="32"/>
        </w:rPr>
        <w:t>样</w:t>
      </w:r>
      <w:r>
        <w:rPr>
          <w:rFonts w:ascii="Times New Roman" w:eastAsia="仿宋_GB2312" w:hAnsi="Times New Roman" w:hint="default"/>
          <w:color w:val="000000" w:themeColor="text1"/>
          <w:kern w:val="2"/>
          <w:sz w:val="32"/>
          <w:szCs w:val="32"/>
        </w:rPr>
        <w:t>后，建议立即接种纯化菌，应对制备的菌</w:t>
      </w:r>
      <w:r>
        <w:rPr>
          <w:rFonts w:ascii="Times New Roman" w:eastAsia="仿宋_GB2312" w:hAnsi="Times New Roman" w:hint="default"/>
          <w:color w:val="000000" w:themeColor="text1"/>
          <w:kern w:val="2"/>
          <w:sz w:val="32"/>
          <w:szCs w:val="32"/>
        </w:rPr>
        <w:lastRenderedPageBreak/>
        <w:t>悬液及纯化后菌株的保存条件</w:t>
      </w:r>
      <w:r>
        <w:rPr>
          <w:rFonts w:ascii="Times New Roman" w:eastAsia="仿宋_GB2312" w:hAnsi="Times New Roman"/>
          <w:color w:val="000000" w:themeColor="text1"/>
          <w:kern w:val="2"/>
          <w:sz w:val="32"/>
          <w:szCs w:val="32"/>
        </w:rPr>
        <w:t>、</w:t>
      </w:r>
      <w:r>
        <w:rPr>
          <w:rFonts w:ascii="Times New Roman" w:eastAsia="仿宋_GB2312" w:hAnsi="Times New Roman" w:hint="default"/>
          <w:color w:val="000000" w:themeColor="text1"/>
          <w:kern w:val="2"/>
          <w:sz w:val="32"/>
          <w:szCs w:val="32"/>
        </w:rPr>
        <w:t>保存期限</w:t>
      </w:r>
      <w:r>
        <w:rPr>
          <w:rFonts w:ascii="Times New Roman" w:eastAsia="仿宋_GB2312" w:hAnsi="Times New Roman"/>
          <w:color w:val="000000" w:themeColor="text1"/>
          <w:kern w:val="2"/>
          <w:sz w:val="32"/>
          <w:szCs w:val="32"/>
        </w:rPr>
        <w:t>和</w:t>
      </w:r>
      <w:r>
        <w:rPr>
          <w:rFonts w:ascii="Times New Roman" w:eastAsia="仿宋_GB2312" w:hAnsi="Times New Roman" w:hint="default"/>
          <w:color w:val="000000" w:themeColor="text1"/>
          <w:kern w:val="2"/>
          <w:sz w:val="32"/>
          <w:szCs w:val="32"/>
        </w:rPr>
        <w:t>接种浓度进行研究。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4.2 pH</w:t>
      </w:r>
      <w:r>
        <w:rPr>
          <w:rFonts w:ascii="Times New Roman" w:eastAsia="仿宋_GB2312" w:hAnsi="Times New Roman" w:hint="default"/>
          <w:color w:val="000000" w:themeColor="text1"/>
          <w:kern w:val="2"/>
          <w:sz w:val="32"/>
          <w:szCs w:val="32"/>
        </w:rPr>
        <w:t>值（如适用）</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根据产品特点，如培养基未包被在固体载物中时，鉴定培养液或鉴定稀释液对</w:t>
      </w:r>
      <w:r>
        <w:rPr>
          <w:rFonts w:ascii="Times New Roman" w:eastAsia="仿宋_GB2312" w:hAnsi="Times New Roman" w:hint="default"/>
          <w:color w:val="000000" w:themeColor="text1"/>
          <w:kern w:val="2"/>
          <w:sz w:val="32"/>
          <w:szCs w:val="32"/>
        </w:rPr>
        <w:t>pH</w:t>
      </w:r>
      <w:r>
        <w:rPr>
          <w:rFonts w:ascii="Times New Roman" w:eastAsia="仿宋_GB2312" w:hAnsi="Times New Roman" w:hint="default"/>
          <w:color w:val="000000" w:themeColor="text1"/>
          <w:kern w:val="2"/>
          <w:sz w:val="32"/>
          <w:szCs w:val="32"/>
        </w:rPr>
        <w:t>有特殊要求时，需要限定</w:t>
      </w:r>
      <w:r>
        <w:rPr>
          <w:rFonts w:ascii="Times New Roman" w:eastAsia="仿宋_GB2312" w:hAnsi="Times New Roman" w:hint="default"/>
          <w:color w:val="000000" w:themeColor="text1"/>
          <w:kern w:val="2"/>
          <w:sz w:val="32"/>
          <w:szCs w:val="32"/>
        </w:rPr>
        <w:t>pH</w:t>
      </w:r>
      <w:r>
        <w:rPr>
          <w:rFonts w:ascii="Times New Roman" w:eastAsia="仿宋_GB2312" w:hAnsi="Times New Roman" w:hint="default"/>
          <w:color w:val="000000" w:themeColor="text1"/>
          <w:kern w:val="2"/>
          <w:sz w:val="32"/>
          <w:szCs w:val="32"/>
        </w:rPr>
        <w:t>值，用</w:t>
      </w:r>
      <w:r>
        <w:rPr>
          <w:rFonts w:ascii="Times New Roman" w:eastAsia="仿宋_GB2312" w:hAnsi="Times New Roman" w:hint="default"/>
          <w:color w:val="000000" w:themeColor="text1"/>
          <w:kern w:val="2"/>
          <w:sz w:val="32"/>
          <w:szCs w:val="32"/>
        </w:rPr>
        <w:t>pH</w:t>
      </w:r>
      <w:r>
        <w:rPr>
          <w:rFonts w:ascii="Times New Roman" w:eastAsia="仿宋_GB2312" w:hAnsi="Times New Roman" w:hint="default"/>
          <w:color w:val="000000" w:themeColor="text1"/>
          <w:kern w:val="2"/>
          <w:sz w:val="32"/>
          <w:szCs w:val="32"/>
        </w:rPr>
        <w:t>计测定，结果应符合申请人设定的</w:t>
      </w:r>
      <w:r>
        <w:rPr>
          <w:rFonts w:ascii="Times New Roman" w:eastAsia="仿宋_GB2312" w:hAnsi="Times New Roman" w:hint="default"/>
          <w:color w:val="000000" w:themeColor="text1"/>
          <w:kern w:val="2"/>
          <w:sz w:val="32"/>
          <w:szCs w:val="32"/>
        </w:rPr>
        <w:t>pH</w:t>
      </w:r>
      <w:r>
        <w:rPr>
          <w:rFonts w:ascii="Times New Roman" w:eastAsia="仿宋_GB2312" w:hAnsi="Times New Roman" w:hint="default"/>
          <w:color w:val="000000" w:themeColor="text1"/>
          <w:kern w:val="2"/>
          <w:sz w:val="32"/>
          <w:szCs w:val="32"/>
        </w:rPr>
        <w:t>范围。</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4.3</w:t>
      </w:r>
      <w:r>
        <w:rPr>
          <w:rFonts w:ascii="Times New Roman" w:eastAsia="仿宋_GB2312" w:hAnsi="Times New Roman" w:hint="default"/>
          <w:color w:val="000000" w:themeColor="text1"/>
          <w:kern w:val="2"/>
          <w:sz w:val="32"/>
          <w:szCs w:val="32"/>
        </w:rPr>
        <w:t>准确性</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根据试剂板条鉴定范围，选取不少于</w:t>
      </w:r>
      <w:r>
        <w:rPr>
          <w:rFonts w:ascii="Times New Roman" w:eastAsia="仿宋_GB2312" w:hAnsi="Times New Roman" w:hint="default"/>
          <w:color w:val="000000" w:themeColor="text1"/>
          <w:kern w:val="2"/>
          <w:sz w:val="32"/>
          <w:szCs w:val="32"/>
        </w:rPr>
        <w:t>2</w:t>
      </w:r>
      <w:r>
        <w:rPr>
          <w:rFonts w:ascii="Times New Roman" w:eastAsia="仿宋_GB2312" w:hAnsi="Times New Roman" w:hint="default"/>
          <w:color w:val="000000" w:themeColor="text1"/>
          <w:kern w:val="2"/>
          <w:sz w:val="32"/>
          <w:szCs w:val="32"/>
        </w:rPr>
        <w:t>株的菌株进行准确性试验，菌株可使用标准菌株或临床菌株，如</w:t>
      </w:r>
      <w:r>
        <w:rPr>
          <w:rFonts w:ascii="Times New Roman" w:eastAsia="仿宋_GB2312" w:hAnsi="Times New Roman" w:hint="default"/>
          <w:color w:val="000000" w:themeColor="text1"/>
          <w:kern w:val="2"/>
          <w:sz w:val="32"/>
          <w:szCs w:val="32"/>
        </w:rPr>
        <w:t>ATCC</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CMCC</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CICC</w:t>
      </w:r>
      <w:r>
        <w:rPr>
          <w:rFonts w:ascii="Times New Roman" w:eastAsia="仿宋_GB2312" w:hAnsi="Times New Roman" w:hint="default"/>
          <w:color w:val="000000" w:themeColor="text1"/>
          <w:kern w:val="2"/>
          <w:sz w:val="32"/>
          <w:szCs w:val="32"/>
        </w:rPr>
        <w:t>的参考菌株等。窄谱（单菌属）鉴定板条选取至少</w:t>
      </w:r>
      <w:r>
        <w:rPr>
          <w:rFonts w:ascii="Times New Roman" w:eastAsia="仿宋_GB2312" w:hAnsi="Times New Roman" w:hint="default"/>
          <w:color w:val="000000" w:themeColor="text1"/>
          <w:kern w:val="2"/>
          <w:sz w:val="32"/>
          <w:szCs w:val="32"/>
        </w:rPr>
        <w:t>2</w:t>
      </w:r>
      <w:r>
        <w:rPr>
          <w:rFonts w:ascii="Times New Roman" w:eastAsia="仿宋_GB2312" w:hAnsi="Times New Roman" w:hint="default"/>
          <w:color w:val="000000" w:themeColor="text1"/>
          <w:kern w:val="2"/>
          <w:sz w:val="32"/>
          <w:szCs w:val="32"/>
        </w:rPr>
        <w:t>株；广谱板条以企业宣称为主，每属选取至少</w:t>
      </w:r>
      <w:r>
        <w:rPr>
          <w:rFonts w:ascii="Times New Roman" w:eastAsia="仿宋_GB2312" w:hAnsi="Times New Roman" w:hint="default"/>
          <w:color w:val="000000" w:themeColor="text1"/>
          <w:kern w:val="2"/>
          <w:sz w:val="32"/>
          <w:szCs w:val="32"/>
        </w:rPr>
        <w:t>1</w:t>
      </w:r>
      <w:r>
        <w:rPr>
          <w:rFonts w:ascii="Times New Roman" w:eastAsia="仿宋_GB2312" w:hAnsi="Times New Roman" w:hint="default"/>
          <w:color w:val="000000" w:themeColor="text1"/>
          <w:kern w:val="2"/>
          <w:sz w:val="32"/>
          <w:szCs w:val="32"/>
        </w:rPr>
        <w:t>株，鉴定结果应与已知菌相符。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临床常见或重要菌属（种）参考</w:t>
      </w:r>
      <w:r>
        <w:rPr>
          <w:rFonts w:ascii="Times New Roman" w:eastAsia="仿宋_GB2312" w:hAnsi="Times New Roman" w:hint="default"/>
          <w:color w:val="000000" w:themeColor="text1"/>
          <w:kern w:val="2"/>
          <w:sz w:val="32"/>
          <w:szCs w:val="32"/>
        </w:rPr>
        <w:t xml:space="preserve">YY/T 1531 </w:t>
      </w:r>
      <w:r>
        <w:rPr>
          <w:rFonts w:ascii="Times New Roman" w:eastAsia="仿宋_GB2312" w:hAnsi="Times New Roman" w:hint="default"/>
          <w:color w:val="000000" w:themeColor="text1"/>
          <w:kern w:val="2"/>
          <w:sz w:val="32"/>
          <w:szCs w:val="32"/>
        </w:rPr>
        <w:t>附录</w:t>
      </w:r>
      <w:r>
        <w:rPr>
          <w:rFonts w:ascii="Times New Roman" w:eastAsia="仿宋_GB2312" w:hAnsi="Times New Roman" w:hint="default"/>
          <w:color w:val="000000" w:themeColor="text1"/>
          <w:kern w:val="2"/>
          <w:sz w:val="32"/>
          <w:szCs w:val="32"/>
        </w:rPr>
        <w:t>A</w:t>
      </w:r>
      <w:r>
        <w:rPr>
          <w:rFonts w:ascii="Times New Roman" w:eastAsia="仿宋_GB2312" w:hAnsi="Times New Roman" w:hint="default"/>
          <w:color w:val="000000" w:themeColor="text1"/>
          <w:kern w:val="2"/>
          <w:sz w:val="32"/>
          <w:szCs w:val="32"/>
        </w:rPr>
        <w:t>：</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肠杆菌科鉴定：大肠埃希菌、肺炎克雷伯菌或产酸克雷伯菌、普通变形杆菌或奇异变形杆菌、阴沟肠杆菌或产气肠杆菌、黏质沙雷菌；</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非发酵菌鉴定：鲍曼不动杆菌、铜绿假单胞菌、嗜麦芽窄食单胞菌；</w:t>
      </w:r>
      <w:r>
        <w:rPr>
          <w:rFonts w:ascii="Times New Roman" w:eastAsia="仿宋_GB2312" w:hAnsi="Times New Roman" w:hint="default"/>
          <w:color w:val="000000" w:themeColor="text1"/>
          <w:kern w:val="2"/>
          <w:sz w:val="32"/>
          <w:szCs w:val="32"/>
        </w:rPr>
        <w:t xml:space="preserve"> </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嗜血杆菌鉴定：流感嗜血杆菌或副流感嗜血杆菌；</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厌氧菌鉴定：脆弱拟杆菌；</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苛养菌鉴定：流感嗜血杆菌。</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4.4</w:t>
      </w:r>
      <w:r>
        <w:rPr>
          <w:rFonts w:ascii="Times New Roman" w:eastAsia="仿宋_GB2312" w:hAnsi="Times New Roman" w:hint="default"/>
          <w:color w:val="000000" w:themeColor="text1"/>
          <w:kern w:val="2"/>
          <w:sz w:val="32"/>
          <w:szCs w:val="32"/>
        </w:rPr>
        <w:t>精密度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4.4.1</w:t>
      </w:r>
      <w:r>
        <w:rPr>
          <w:rFonts w:ascii="Times New Roman" w:eastAsia="仿宋_GB2312" w:hAnsi="Times New Roman" w:hint="default"/>
          <w:color w:val="000000" w:themeColor="text1"/>
          <w:kern w:val="2"/>
          <w:sz w:val="32"/>
          <w:szCs w:val="32"/>
        </w:rPr>
        <w:t>重复性</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重复性指在重复性条件下的精密度。申请人应根据试剂板条类别，选取菌株（可使用临床菌株，当临床菌株难以获取时，可以使用标准菌株）对同一批号试剂进行检测，重复检测不少</w:t>
      </w:r>
      <w:r>
        <w:rPr>
          <w:rFonts w:ascii="Times New Roman" w:eastAsia="仿宋_GB2312" w:hAnsi="Times New Roman" w:hint="default"/>
          <w:color w:val="000000" w:themeColor="text1"/>
          <w:kern w:val="2"/>
          <w:sz w:val="32"/>
          <w:szCs w:val="32"/>
        </w:rPr>
        <w:lastRenderedPageBreak/>
        <w:t>于</w:t>
      </w:r>
      <w:r>
        <w:rPr>
          <w:rFonts w:ascii="Times New Roman" w:eastAsia="仿宋_GB2312" w:hAnsi="Times New Roman" w:hint="default"/>
          <w:color w:val="000000" w:themeColor="text1"/>
          <w:kern w:val="2"/>
          <w:sz w:val="32"/>
          <w:szCs w:val="32"/>
        </w:rPr>
        <w:t>3</w:t>
      </w:r>
      <w:r>
        <w:rPr>
          <w:rFonts w:ascii="Times New Roman" w:eastAsia="仿宋_GB2312" w:hAnsi="Times New Roman" w:hint="default"/>
          <w:color w:val="000000" w:themeColor="text1"/>
          <w:kern w:val="2"/>
          <w:sz w:val="32"/>
          <w:szCs w:val="32"/>
        </w:rPr>
        <w:t>个板条，鉴定结果应与已知结果相符。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4.4.2</w:t>
      </w:r>
      <w:r>
        <w:rPr>
          <w:rFonts w:ascii="Times New Roman" w:eastAsia="仿宋_GB2312" w:hAnsi="Times New Roman" w:hint="default"/>
          <w:color w:val="000000" w:themeColor="text1"/>
          <w:kern w:val="2"/>
          <w:sz w:val="32"/>
          <w:szCs w:val="32"/>
        </w:rPr>
        <w:t>中间精密度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应考虑运行、时间、操作者、仪器和地点等影响精密度的条件，设计合理的精密度试验方案进行评价。</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批间精密度应用菌株（可使用临床菌株，当临床菌株难以获取时，可以使用标准菌株）对至少</w:t>
      </w:r>
      <w:r>
        <w:rPr>
          <w:rFonts w:ascii="Times New Roman" w:eastAsia="仿宋_GB2312" w:hAnsi="Times New Roman" w:hint="default"/>
          <w:color w:val="000000" w:themeColor="text1"/>
          <w:kern w:val="2"/>
          <w:sz w:val="32"/>
          <w:szCs w:val="32"/>
        </w:rPr>
        <w:t>3</w:t>
      </w:r>
      <w:r>
        <w:rPr>
          <w:rFonts w:ascii="Times New Roman" w:eastAsia="仿宋_GB2312" w:hAnsi="Times New Roman" w:hint="default"/>
          <w:color w:val="000000" w:themeColor="text1"/>
          <w:kern w:val="2"/>
          <w:sz w:val="32"/>
          <w:szCs w:val="32"/>
        </w:rPr>
        <w:t>个批号试剂进行检测，每一批号采用不少于</w:t>
      </w:r>
      <w:r>
        <w:rPr>
          <w:rFonts w:ascii="Times New Roman" w:eastAsia="仿宋_GB2312" w:hAnsi="Times New Roman" w:hint="default"/>
          <w:color w:val="000000" w:themeColor="text1"/>
          <w:kern w:val="2"/>
          <w:sz w:val="32"/>
          <w:szCs w:val="32"/>
        </w:rPr>
        <w:t>3</w:t>
      </w:r>
      <w:r>
        <w:rPr>
          <w:rFonts w:ascii="Times New Roman" w:eastAsia="仿宋_GB2312" w:hAnsi="Times New Roman" w:hint="default"/>
          <w:color w:val="000000" w:themeColor="text1"/>
          <w:kern w:val="2"/>
          <w:sz w:val="32"/>
          <w:szCs w:val="32"/>
        </w:rPr>
        <w:t>个鉴定板条进行检测，鉴定结果应与已知结果相符。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申请人应设定合理的精密度评价周期，具体方案可参考性能评价相关文件进行。</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用于精密度评价的临床菌株</w:t>
      </w:r>
      <w:r>
        <w:rPr>
          <w:rFonts w:ascii="Times New Roman" w:eastAsia="仿宋_GB2312" w:hAnsi="Times New Roman"/>
          <w:color w:val="000000" w:themeColor="text1"/>
          <w:kern w:val="2"/>
          <w:sz w:val="32"/>
          <w:szCs w:val="32"/>
        </w:rPr>
        <w:t>或</w:t>
      </w:r>
      <w:r>
        <w:rPr>
          <w:rFonts w:ascii="Times New Roman" w:eastAsia="仿宋_GB2312" w:hAnsi="Times New Roman" w:hint="default"/>
          <w:color w:val="000000" w:themeColor="text1"/>
          <w:kern w:val="2"/>
          <w:sz w:val="32"/>
          <w:szCs w:val="32"/>
        </w:rPr>
        <w:t>标准菌株应至少包含</w:t>
      </w:r>
      <w:r>
        <w:rPr>
          <w:rFonts w:ascii="Times New Roman" w:eastAsia="仿宋_GB2312" w:hAnsi="Times New Roman" w:hint="default"/>
          <w:color w:val="000000" w:themeColor="text1"/>
          <w:kern w:val="2"/>
          <w:sz w:val="32"/>
          <w:szCs w:val="32"/>
        </w:rPr>
        <w:t>3</w:t>
      </w:r>
      <w:r>
        <w:rPr>
          <w:rFonts w:ascii="Times New Roman" w:eastAsia="仿宋_GB2312" w:hAnsi="Times New Roman" w:hint="default"/>
          <w:color w:val="000000" w:themeColor="text1"/>
          <w:kern w:val="2"/>
          <w:sz w:val="32"/>
          <w:szCs w:val="32"/>
        </w:rPr>
        <w:t>个菌属（广谱）或菌株（窄谱）</w:t>
      </w:r>
      <w:r>
        <w:rPr>
          <w:rFonts w:ascii="Times New Roman" w:eastAsia="仿宋_GB2312" w:hAnsi="Times New Roman"/>
          <w:color w:val="000000" w:themeColor="text1"/>
          <w:kern w:val="2"/>
          <w:sz w:val="32"/>
          <w:szCs w:val="32"/>
        </w:rPr>
        <w:t>，每株检测至少</w:t>
      </w:r>
      <w:r>
        <w:rPr>
          <w:rFonts w:ascii="Times New Roman" w:eastAsia="仿宋_GB2312" w:hAnsi="Times New Roman"/>
          <w:color w:val="000000" w:themeColor="text1"/>
          <w:kern w:val="2"/>
          <w:sz w:val="32"/>
          <w:szCs w:val="32"/>
        </w:rPr>
        <w:t>20</w:t>
      </w:r>
      <w:r>
        <w:rPr>
          <w:rFonts w:ascii="Times New Roman" w:eastAsia="仿宋_GB2312" w:hAnsi="Times New Roman"/>
          <w:color w:val="000000" w:themeColor="text1"/>
          <w:kern w:val="2"/>
          <w:sz w:val="32"/>
          <w:szCs w:val="32"/>
        </w:rPr>
        <w:t>次，</w:t>
      </w:r>
      <w:r>
        <w:rPr>
          <w:rFonts w:ascii="Times New Roman" w:eastAsia="仿宋_GB2312" w:hAnsi="Times New Roman" w:hint="default"/>
          <w:color w:val="000000" w:themeColor="text1"/>
          <w:kern w:val="2"/>
          <w:sz w:val="32"/>
          <w:szCs w:val="32"/>
        </w:rPr>
        <w:t>鉴定结果应与所用菌属或菌株名称相符。</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5.</w:t>
      </w:r>
      <w:r>
        <w:rPr>
          <w:rFonts w:ascii="Times New Roman" w:eastAsia="仿宋_GB2312" w:hAnsi="Times New Roman" w:hint="default"/>
          <w:color w:val="000000" w:themeColor="text1"/>
          <w:kern w:val="2"/>
          <w:sz w:val="32"/>
          <w:szCs w:val="32"/>
        </w:rPr>
        <w:t>稳定性研究资料</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稳定性研究主要包括实时稳定性（货架有效期）、使用稳定性（如适用）、运输稳定性等，注册申请人可根据实际需要选择合理的稳定性研究方案。稳定性研究资料应包括研究方法的确定依据、具体的实施方案、详细的研究数据以及结论。对于实时稳定性研究，应提供至少三批样品在实际储存条件下保存至成品有效期后的研究资料。</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上述研究结果应在说明书【储存条件及有效期】项中载明。</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6.</w:t>
      </w:r>
      <w:r>
        <w:rPr>
          <w:rFonts w:ascii="Times New Roman" w:eastAsia="仿宋_GB2312" w:hAnsi="Times New Roman" w:hint="default"/>
          <w:color w:val="000000" w:themeColor="text1"/>
          <w:kern w:val="2"/>
          <w:sz w:val="32"/>
          <w:szCs w:val="32"/>
        </w:rPr>
        <w:t>阳性判断值研究</w:t>
      </w:r>
      <w:r>
        <w:rPr>
          <w:rFonts w:ascii="Times New Roman" w:eastAsia="仿宋_GB2312" w:hAnsi="Times New Roman" w:hint="default"/>
          <w:color w:val="000000" w:themeColor="text1"/>
          <w:kern w:val="2"/>
          <w:sz w:val="32"/>
          <w:szCs w:val="32"/>
        </w:rPr>
        <w:t xml:space="preserve"> </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生化鉴定涉及多个生化反应指标，其最终结果需要结合各个指标的结果进行综合判断，目前综合判断的方法主要包括双歧索引法（双歧分类法）、表解法和数值分类法等，申请人应</w:t>
      </w:r>
      <w:r>
        <w:rPr>
          <w:rFonts w:ascii="Times New Roman" w:eastAsia="仿宋_GB2312" w:hAnsi="Times New Roman" w:hint="default"/>
          <w:color w:val="000000" w:themeColor="text1"/>
          <w:kern w:val="2"/>
          <w:sz w:val="32"/>
          <w:szCs w:val="32"/>
        </w:rPr>
        <w:lastRenderedPageBreak/>
        <w:t>依据产品的特性建立合理的鉴定方法，并对相应的鉴定方法充分的论证。</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双歧索引法（双歧分类法）是根据细菌的主要特性和次要特性，按照</w:t>
      </w:r>
      <w:r>
        <w:rPr>
          <w:rFonts w:ascii="Times New Roman" w:eastAsia="仿宋_GB2312" w:hAnsi="Times New Roman"/>
          <w:color w:val="000000" w:themeColor="text1"/>
          <w:kern w:val="2"/>
          <w:sz w:val="32"/>
          <w:szCs w:val="32"/>
        </w:rPr>
        <w:t>“</w:t>
      </w:r>
      <w:r>
        <w:rPr>
          <w:rFonts w:ascii="Times New Roman" w:eastAsia="仿宋_GB2312" w:hAnsi="Times New Roman" w:hint="default"/>
          <w:color w:val="000000" w:themeColor="text1"/>
          <w:kern w:val="2"/>
          <w:sz w:val="32"/>
          <w:szCs w:val="32"/>
        </w:rPr>
        <w:t>非此即彼</w:t>
      </w:r>
      <w:r>
        <w:rPr>
          <w:rFonts w:ascii="Times New Roman" w:eastAsia="仿宋_GB2312" w:hAnsi="Times New Roman"/>
          <w:color w:val="000000" w:themeColor="text1"/>
          <w:kern w:val="2"/>
          <w:sz w:val="32"/>
          <w:szCs w:val="32"/>
        </w:rPr>
        <w:t>”</w:t>
      </w:r>
      <w:r>
        <w:rPr>
          <w:rFonts w:ascii="Times New Roman" w:eastAsia="仿宋_GB2312" w:hAnsi="Times New Roman" w:hint="default"/>
          <w:color w:val="000000" w:themeColor="text1"/>
          <w:kern w:val="2"/>
          <w:sz w:val="32"/>
          <w:szCs w:val="32"/>
        </w:rPr>
        <w:t>的原则依次往下区分，直至将细菌准确区分到最小鉴定单位；表解法是通过表格的形式，列出有一定关联性的细菌进行相同生化试验的结果；数值分类法是以细菌的各种特性和反应是同等重要的为理论基础，根据每种生化反应在不同细菌中出现的概率进行全面分析而得出结果。</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如采用数值分类法建立鉴定可信度，应考虑菌株的不同类别。鉴定可信度指生化鉴定结果的可信赖程度，即待测菌生化反应谱与数据库中建库菌生化反应谱的匹配程度，匹配程度越高，结果越可信，申请人应考虑鉴定结果的可信度，可根据待测菌与数据库匹配度给出一定的阈值，明确参数确定的依据。</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本指导原则适用于临床样本中分离的纯菌的鉴定，纯菌的生化特征是明确的。对于手工检测的产品，可直接将检测结果与比色卡进行对比，从而判断鉴定结果。</w:t>
      </w:r>
      <w:bookmarkStart w:id="4" w:name="_Toc355613817"/>
    </w:p>
    <w:p w:rsidR="00EF5DF8" w:rsidRDefault="00B51062">
      <w:pPr>
        <w:pStyle w:val="Default"/>
        <w:spacing w:line="520" w:lineRule="exact"/>
        <w:ind w:firstLineChars="200" w:firstLine="640"/>
        <w:rPr>
          <w:rFonts w:ascii="Times New Roman" w:eastAsia="楷体_GB2312" w:hAnsi="Times New Roman" w:hint="default"/>
          <w:color w:val="000000" w:themeColor="text1"/>
          <w:sz w:val="32"/>
          <w:szCs w:val="32"/>
        </w:rPr>
      </w:pPr>
      <w:r>
        <w:rPr>
          <w:rFonts w:ascii="Times New Roman" w:eastAsia="楷体_GB2312" w:hAnsi="Times New Roman" w:hint="default"/>
          <w:color w:val="000000" w:themeColor="text1"/>
          <w:sz w:val="32"/>
          <w:szCs w:val="32"/>
        </w:rPr>
        <w:t>（四）临床评价资料</w:t>
      </w:r>
    </w:p>
    <w:p w:rsidR="00EF5DF8" w:rsidRDefault="00B51062">
      <w:pPr>
        <w:overflowPunct w:val="0"/>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该产品列入《免于临床试验体外诊断试剂目录》，申请人应按照《免于临床试验的体外诊断试剂临床评价技术指导原则》提交临床评价资料。如免临床试验的相关指导原则有更新，应符合相应的指导原则要求。</w:t>
      </w:r>
    </w:p>
    <w:p w:rsidR="00EF5DF8" w:rsidRDefault="00B51062">
      <w:pPr>
        <w:spacing w:line="520" w:lineRule="exact"/>
        <w:ind w:firstLineChars="200" w:firstLine="640"/>
        <w:jc w:val="left"/>
        <w:rPr>
          <w:rFonts w:eastAsia="仿宋_GB2312"/>
          <w:color w:val="000000" w:themeColor="text1"/>
          <w:sz w:val="32"/>
          <w:szCs w:val="32"/>
        </w:rPr>
      </w:pPr>
      <w:r>
        <w:rPr>
          <w:rFonts w:eastAsia="仿宋_GB2312"/>
          <w:color w:val="000000" w:themeColor="text1"/>
          <w:sz w:val="32"/>
          <w:szCs w:val="32"/>
        </w:rPr>
        <w:t>申请人可将待评价试剂与境内已上市产品进行比对，证明待评价试剂与已上市产品实质等同，或与参考测量程序</w:t>
      </w:r>
      <w:r>
        <w:rPr>
          <w:rFonts w:eastAsia="仿宋_GB2312"/>
          <w:color w:val="000000" w:themeColor="text1"/>
          <w:sz w:val="32"/>
          <w:szCs w:val="32"/>
        </w:rPr>
        <w:t>/</w:t>
      </w:r>
      <w:r>
        <w:rPr>
          <w:rFonts w:eastAsia="仿宋_GB2312"/>
          <w:color w:val="000000" w:themeColor="text1"/>
          <w:sz w:val="32"/>
          <w:szCs w:val="32"/>
        </w:rPr>
        <w:t>诊断准确度标准检测结果具有良好的一致性。此处所述实质性等同，</w:t>
      </w:r>
      <w:r>
        <w:rPr>
          <w:rFonts w:eastAsia="仿宋_GB2312"/>
          <w:color w:val="000000" w:themeColor="text1"/>
          <w:sz w:val="32"/>
          <w:szCs w:val="32"/>
        </w:rPr>
        <w:lastRenderedPageBreak/>
        <w:t>指预期用途相同，且具有相同的安全性与有效性。</w:t>
      </w:r>
    </w:p>
    <w:p w:rsidR="00EF5DF8" w:rsidRDefault="00B51062">
      <w:pPr>
        <w:pStyle w:val="a0"/>
        <w:spacing w:line="520" w:lineRule="exact"/>
        <w:ind w:firstLineChars="200" w:firstLine="640"/>
        <w:rPr>
          <w:rFonts w:ascii="Times New Roman" w:eastAsia="仿宋_GB2312" w:hAnsi="Times New Roman"/>
          <w:color w:val="000000" w:themeColor="text1"/>
          <w:kern w:val="2"/>
          <w:sz w:val="32"/>
          <w:szCs w:val="32"/>
        </w:rPr>
      </w:pPr>
      <w:r>
        <w:rPr>
          <w:rFonts w:ascii="Times New Roman" w:eastAsia="仿宋_GB2312" w:hAnsi="Times New Roman"/>
          <w:color w:val="000000" w:themeColor="text1"/>
          <w:kern w:val="2"/>
          <w:sz w:val="32"/>
          <w:szCs w:val="32"/>
        </w:rPr>
        <w:t>申请人也可通过临床试验的方式进行临床评价，临床试验的伦理、方案的制定以及报告的撰写等临床试验资料均应符合《体外诊断试剂临床试验技术指导原则》的要求，相关资料签章应符合《医疗器械临床试验质量管理规范》的要求。</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1.</w:t>
      </w:r>
      <w:r>
        <w:rPr>
          <w:rFonts w:ascii="Times New Roman" w:eastAsia="仿宋_GB2312" w:hAnsi="Times New Roman" w:hint="default"/>
          <w:color w:val="000000" w:themeColor="text1"/>
          <w:kern w:val="2"/>
          <w:sz w:val="32"/>
          <w:szCs w:val="32"/>
        </w:rPr>
        <w:t>对比试剂的选择</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免于临床试验的体外诊断试剂，如采用《免于临床试验的体外诊断试剂临床评价技术指导原则》所述方式进行方法学对比，应通过比对分析确定与待评价试剂相适宜的境内已上市产品作为对比试剂</w:t>
      </w:r>
      <w:r>
        <w:rPr>
          <w:rFonts w:ascii="Times New Roman" w:eastAsia="仿宋_GB2312" w:hAnsi="Times New Roman"/>
          <w:color w:val="000000" w:themeColor="text1"/>
          <w:kern w:val="2"/>
          <w:sz w:val="32"/>
          <w:szCs w:val="32"/>
        </w:rPr>
        <w:t>。待评价试剂与对比试剂的比对分析</w:t>
      </w:r>
      <w:r>
        <w:rPr>
          <w:rFonts w:ascii="Times New Roman" w:eastAsia="仿宋_GB2312" w:hAnsi="Times New Roman" w:hint="default"/>
          <w:color w:val="000000" w:themeColor="text1"/>
          <w:kern w:val="2"/>
          <w:sz w:val="32"/>
          <w:szCs w:val="32"/>
        </w:rPr>
        <w:t>项目见表</w:t>
      </w:r>
      <w:r>
        <w:rPr>
          <w:rFonts w:ascii="Times New Roman" w:eastAsia="仿宋_GB2312" w:hAnsi="Times New Roman" w:hint="default"/>
          <w:color w:val="000000" w:themeColor="text1"/>
          <w:kern w:val="2"/>
          <w:sz w:val="32"/>
          <w:szCs w:val="32"/>
        </w:rPr>
        <w:t>1</w:t>
      </w:r>
      <w:r>
        <w:rPr>
          <w:rFonts w:ascii="Times New Roman" w:eastAsia="仿宋_GB2312" w:hAnsi="Times New Roman" w:hint="default"/>
          <w:color w:val="000000" w:themeColor="text1"/>
          <w:kern w:val="2"/>
          <w:sz w:val="32"/>
          <w:szCs w:val="32"/>
        </w:rPr>
        <w:t>，比对分析项目包括但不限于表</w:t>
      </w:r>
      <w:r>
        <w:rPr>
          <w:rFonts w:ascii="Times New Roman" w:eastAsia="仿宋_GB2312" w:hAnsi="Times New Roman" w:hint="default"/>
          <w:color w:val="000000" w:themeColor="text1"/>
          <w:kern w:val="2"/>
          <w:sz w:val="32"/>
          <w:szCs w:val="32"/>
        </w:rPr>
        <w:t>1</w:t>
      </w:r>
      <w:r>
        <w:rPr>
          <w:rFonts w:ascii="Times New Roman" w:eastAsia="仿宋_GB2312" w:hAnsi="Times New Roman" w:hint="default"/>
          <w:color w:val="000000" w:themeColor="text1"/>
          <w:kern w:val="2"/>
          <w:sz w:val="32"/>
          <w:szCs w:val="32"/>
        </w:rPr>
        <w:t>所列项目，可根据实际情况进行修改。</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应首先对待评价试剂与境内已上市产品的预期用途进行比对分析。预期用途是指体外诊断试剂的一般用途或功能，包括样本类型、被测物和适应证等。适应证是指本产品治疗监测或辅助诊断的疾病或状态，包括适用人群。</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对比试剂需满足以下条件：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境内已经取得上市许可；</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与待评价试剂具有相同的预期用途；</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优先选择与待评价试剂检测结果偏差较小的试剂，不建议选择性能劣于待评价试剂的作为对比试剂。</w:t>
      </w:r>
    </w:p>
    <w:p w:rsidR="00EF5DF8" w:rsidRDefault="00EF5DF8">
      <w:pPr>
        <w:pStyle w:val="Default"/>
        <w:spacing w:line="520" w:lineRule="exact"/>
        <w:ind w:firstLineChars="200" w:firstLine="480"/>
        <w:rPr>
          <w:rFonts w:ascii="Times New Roman" w:hAnsi="Times New Roman" w:hint="default"/>
          <w:color w:val="000000" w:themeColor="text1"/>
        </w:rPr>
      </w:pPr>
    </w:p>
    <w:p w:rsidR="00EF5DF8" w:rsidRDefault="00B51062">
      <w:pPr>
        <w:spacing w:line="520" w:lineRule="exact"/>
        <w:ind w:firstLineChars="200" w:firstLine="560"/>
        <w:jc w:val="center"/>
        <w:rPr>
          <w:rFonts w:eastAsia="黑体"/>
          <w:color w:val="000000" w:themeColor="text1"/>
          <w:sz w:val="28"/>
          <w:szCs w:val="28"/>
        </w:rPr>
      </w:pPr>
      <w:r>
        <w:rPr>
          <w:rFonts w:eastAsia="黑体"/>
          <w:color w:val="000000" w:themeColor="text1"/>
          <w:sz w:val="28"/>
          <w:szCs w:val="28"/>
        </w:rPr>
        <w:t>表</w:t>
      </w:r>
      <w:r>
        <w:rPr>
          <w:rFonts w:eastAsia="黑体" w:hint="eastAsia"/>
          <w:color w:val="000000" w:themeColor="text1"/>
          <w:sz w:val="28"/>
          <w:szCs w:val="28"/>
        </w:rPr>
        <w:t>1</w:t>
      </w:r>
      <w:r>
        <w:rPr>
          <w:rFonts w:eastAsia="黑体"/>
          <w:color w:val="000000" w:themeColor="text1"/>
          <w:sz w:val="28"/>
          <w:szCs w:val="28"/>
        </w:rPr>
        <w:t xml:space="preserve"> </w:t>
      </w:r>
      <w:r>
        <w:rPr>
          <w:rFonts w:eastAsia="黑体"/>
          <w:color w:val="000000" w:themeColor="text1"/>
          <w:sz w:val="28"/>
          <w:szCs w:val="28"/>
        </w:rPr>
        <w:t>待评价试剂与对比试剂的比对分析项目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72"/>
      </w:tblGrid>
      <w:tr w:rsidR="00EF5DF8">
        <w:trPr>
          <w:trHeight w:val="495"/>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比对项目</w:t>
            </w:r>
            <w:r>
              <w:rPr>
                <w:rFonts w:eastAsia="仿宋_GB2312"/>
                <w:color w:val="000000" w:themeColor="text1"/>
                <w:kern w:val="0"/>
                <w:sz w:val="28"/>
                <w:szCs w:val="28"/>
              </w:rPr>
              <w:t xml:space="preserve">     </w:t>
            </w:r>
            <w:r>
              <w:rPr>
                <w:rFonts w:eastAsia="仿宋_GB2312"/>
                <w:color w:val="000000" w:themeColor="text1"/>
                <w:kern w:val="0"/>
                <w:sz w:val="28"/>
                <w:szCs w:val="28"/>
              </w:rPr>
              <w:t>对比试剂</w:t>
            </w:r>
            <w:r>
              <w:rPr>
                <w:rFonts w:eastAsia="仿宋_GB2312"/>
                <w:color w:val="000000" w:themeColor="text1"/>
                <w:kern w:val="0"/>
                <w:sz w:val="28"/>
                <w:szCs w:val="28"/>
              </w:rPr>
              <w:t xml:space="preserve">      </w:t>
            </w:r>
            <w:r>
              <w:rPr>
                <w:rFonts w:eastAsia="仿宋_GB2312"/>
                <w:color w:val="000000" w:themeColor="text1"/>
                <w:kern w:val="0"/>
                <w:sz w:val="28"/>
                <w:szCs w:val="28"/>
              </w:rPr>
              <w:t>待评价试剂</w:t>
            </w:r>
            <w:r>
              <w:rPr>
                <w:rFonts w:eastAsia="仿宋_GB2312"/>
                <w:color w:val="000000" w:themeColor="text1"/>
                <w:kern w:val="0"/>
                <w:sz w:val="28"/>
                <w:szCs w:val="28"/>
              </w:rPr>
              <w:t xml:space="preserve">        </w:t>
            </w:r>
            <w:r>
              <w:rPr>
                <w:rFonts w:eastAsia="仿宋_GB2312"/>
                <w:color w:val="000000" w:themeColor="text1"/>
                <w:kern w:val="0"/>
                <w:sz w:val="28"/>
                <w:szCs w:val="28"/>
              </w:rPr>
              <w:t>异同</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1.</w:t>
            </w:r>
            <w:r>
              <w:rPr>
                <w:rFonts w:eastAsia="仿宋_GB2312"/>
                <w:color w:val="000000" w:themeColor="text1"/>
                <w:kern w:val="0"/>
                <w:sz w:val="28"/>
                <w:szCs w:val="28"/>
              </w:rPr>
              <w:t>预期用途</w:t>
            </w:r>
          </w:p>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w:t>
            </w:r>
            <w:r>
              <w:rPr>
                <w:rFonts w:eastAsia="仿宋_GB2312"/>
                <w:color w:val="000000" w:themeColor="text1"/>
                <w:kern w:val="0"/>
                <w:sz w:val="28"/>
                <w:szCs w:val="28"/>
              </w:rPr>
              <w:t>1</w:t>
            </w:r>
            <w:r>
              <w:rPr>
                <w:rFonts w:eastAsia="仿宋_GB2312"/>
                <w:color w:val="000000" w:themeColor="text1"/>
                <w:kern w:val="0"/>
                <w:sz w:val="28"/>
                <w:szCs w:val="28"/>
              </w:rPr>
              <w:t>）适用人群</w:t>
            </w:r>
          </w:p>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lastRenderedPageBreak/>
              <w:t>（</w:t>
            </w:r>
            <w:r>
              <w:rPr>
                <w:rFonts w:eastAsia="仿宋_GB2312"/>
                <w:color w:val="000000" w:themeColor="text1"/>
                <w:kern w:val="0"/>
                <w:sz w:val="28"/>
                <w:szCs w:val="28"/>
              </w:rPr>
              <w:t>2</w:t>
            </w:r>
            <w:r>
              <w:rPr>
                <w:rFonts w:eastAsia="仿宋_GB2312"/>
                <w:color w:val="000000" w:themeColor="text1"/>
                <w:kern w:val="0"/>
                <w:sz w:val="28"/>
                <w:szCs w:val="28"/>
              </w:rPr>
              <w:t>）样本类型</w:t>
            </w:r>
          </w:p>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w:t>
            </w:r>
            <w:r>
              <w:rPr>
                <w:rFonts w:eastAsia="仿宋_GB2312"/>
                <w:color w:val="000000" w:themeColor="text1"/>
                <w:kern w:val="0"/>
                <w:sz w:val="28"/>
                <w:szCs w:val="28"/>
              </w:rPr>
              <w:t>3</w:t>
            </w:r>
            <w:r>
              <w:rPr>
                <w:rFonts w:eastAsia="仿宋_GB2312"/>
                <w:color w:val="000000" w:themeColor="text1"/>
                <w:kern w:val="0"/>
                <w:sz w:val="28"/>
                <w:szCs w:val="28"/>
              </w:rPr>
              <w:t>）被测物</w:t>
            </w:r>
          </w:p>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w:t>
            </w:r>
            <w:r>
              <w:rPr>
                <w:rFonts w:eastAsia="仿宋_GB2312"/>
                <w:color w:val="000000" w:themeColor="text1"/>
                <w:kern w:val="0"/>
                <w:sz w:val="28"/>
                <w:szCs w:val="28"/>
              </w:rPr>
              <w:t>4</w:t>
            </w:r>
            <w:r>
              <w:rPr>
                <w:rFonts w:eastAsia="仿宋_GB2312"/>
                <w:color w:val="000000" w:themeColor="text1"/>
                <w:kern w:val="0"/>
                <w:sz w:val="28"/>
                <w:szCs w:val="28"/>
              </w:rPr>
              <w:t>）适用的疾病</w:t>
            </w:r>
            <w:r>
              <w:rPr>
                <w:rFonts w:eastAsia="仿宋_GB2312"/>
                <w:color w:val="000000" w:themeColor="text1"/>
                <w:kern w:val="0"/>
                <w:sz w:val="28"/>
                <w:szCs w:val="28"/>
              </w:rPr>
              <w:t>/</w:t>
            </w:r>
            <w:r>
              <w:rPr>
                <w:rFonts w:eastAsia="仿宋_GB2312"/>
                <w:color w:val="000000" w:themeColor="text1"/>
                <w:kern w:val="0"/>
                <w:sz w:val="28"/>
                <w:szCs w:val="28"/>
              </w:rPr>
              <w:t>状态</w:t>
            </w:r>
          </w:p>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w:t>
            </w:r>
            <w:r>
              <w:rPr>
                <w:rFonts w:eastAsia="仿宋_GB2312"/>
                <w:color w:val="000000" w:themeColor="text1"/>
                <w:kern w:val="0"/>
                <w:sz w:val="28"/>
                <w:szCs w:val="28"/>
              </w:rPr>
              <w:t>5</w:t>
            </w:r>
            <w:r>
              <w:rPr>
                <w:rFonts w:eastAsia="仿宋_GB2312"/>
                <w:color w:val="000000" w:themeColor="text1"/>
                <w:kern w:val="0"/>
                <w:sz w:val="28"/>
                <w:szCs w:val="28"/>
              </w:rPr>
              <w:t>）使用环境</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lastRenderedPageBreak/>
              <w:t>2.</w:t>
            </w:r>
            <w:r>
              <w:rPr>
                <w:rFonts w:eastAsia="仿宋_GB2312"/>
                <w:color w:val="000000" w:themeColor="text1"/>
                <w:kern w:val="0"/>
                <w:sz w:val="28"/>
                <w:szCs w:val="28"/>
              </w:rPr>
              <w:t>基本原理</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3.</w:t>
            </w:r>
            <w:r>
              <w:rPr>
                <w:rFonts w:eastAsia="仿宋_GB2312"/>
                <w:color w:val="000000" w:themeColor="text1"/>
                <w:kern w:val="0"/>
                <w:sz w:val="28"/>
                <w:szCs w:val="28"/>
              </w:rPr>
              <w:t>主要组成成分</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4.</w:t>
            </w:r>
            <w:r>
              <w:rPr>
                <w:rFonts w:eastAsia="仿宋_GB2312"/>
                <w:color w:val="000000" w:themeColor="text1"/>
                <w:kern w:val="0"/>
                <w:sz w:val="28"/>
                <w:szCs w:val="28"/>
              </w:rPr>
              <w:t>阳性判断值</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5.</w:t>
            </w:r>
            <w:r>
              <w:rPr>
                <w:rFonts w:eastAsia="仿宋_GB2312"/>
                <w:color w:val="000000" w:themeColor="text1"/>
                <w:kern w:val="0"/>
                <w:sz w:val="28"/>
                <w:szCs w:val="28"/>
              </w:rPr>
              <w:t>检验方法</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6.</w:t>
            </w:r>
            <w:r>
              <w:rPr>
                <w:rFonts w:eastAsia="仿宋_GB2312"/>
                <w:color w:val="000000" w:themeColor="text1"/>
                <w:kern w:val="0"/>
                <w:sz w:val="28"/>
                <w:szCs w:val="28"/>
              </w:rPr>
              <w:t>性能要求：</w:t>
            </w:r>
          </w:p>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w:t>
            </w:r>
            <w:r>
              <w:rPr>
                <w:rFonts w:eastAsia="仿宋_GB2312"/>
                <w:color w:val="000000" w:themeColor="text1"/>
                <w:kern w:val="0"/>
                <w:sz w:val="28"/>
                <w:szCs w:val="28"/>
              </w:rPr>
              <w:t>1</w:t>
            </w:r>
            <w:r>
              <w:rPr>
                <w:rFonts w:eastAsia="仿宋_GB2312"/>
                <w:color w:val="000000" w:themeColor="text1"/>
                <w:kern w:val="0"/>
                <w:sz w:val="28"/>
                <w:szCs w:val="28"/>
              </w:rPr>
              <w:t>）准确性</w:t>
            </w:r>
          </w:p>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w:t>
            </w:r>
            <w:r>
              <w:rPr>
                <w:rFonts w:eastAsia="仿宋_GB2312"/>
                <w:color w:val="000000" w:themeColor="text1"/>
                <w:kern w:val="0"/>
                <w:sz w:val="28"/>
                <w:szCs w:val="28"/>
              </w:rPr>
              <w:t>2</w:t>
            </w:r>
            <w:r>
              <w:rPr>
                <w:rFonts w:eastAsia="仿宋_GB2312"/>
                <w:color w:val="000000" w:themeColor="text1"/>
                <w:kern w:val="0"/>
                <w:sz w:val="28"/>
                <w:szCs w:val="28"/>
              </w:rPr>
              <w:t>）重复性</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7.</w:t>
            </w:r>
            <w:r>
              <w:rPr>
                <w:rFonts w:eastAsia="仿宋_GB2312"/>
                <w:color w:val="000000" w:themeColor="text1"/>
                <w:kern w:val="0"/>
                <w:sz w:val="28"/>
                <w:szCs w:val="28"/>
              </w:rPr>
              <w:t>各种对照</w:t>
            </w:r>
            <w:r>
              <w:rPr>
                <w:rFonts w:eastAsia="仿宋_GB2312"/>
                <w:color w:val="000000" w:themeColor="text1"/>
                <w:kern w:val="0"/>
                <w:sz w:val="28"/>
                <w:szCs w:val="28"/>
              </w:rPr>
              <w:t>/</w:t>
            </w:r>
            <w:r>
              <w:rPr>
                <w:rFonts w:eastAsia="仿宋_GB2312"/>
                <w:color w:val="000000" w:themeColor="text1"/>
                <w:kern w:val="0"/>
                <w:sz w:val="28"/>
                <w:szCs w:val="28"/>
              </w:rPr>
              <w:t>质控</w:t>
            </w:r>
          </w:p>
        </w:tc>
      </w:tr>
      <w:tr w:rsidR="00EF5DF8">
        <w:trPr>
          <w:jc w:val="center"/>
        </w:trPr>
        <w:tc>
          <w:tcPr>
            <w:tcW w:w="8472" w:type="dxa"/>
            <w:vAlign w:val="center"/>
          </w:tcPr>
          <w:p w:rsidR="00EF5DF8" w:rsidRDefault="00B51062" w:rsidP="002F3C4C">
            <w:pPr>
              <w:spacing w:line="400" w:lineRule="exact"/>
              <w:ind w:firstLineChars="200" w:firstLine="560"/>
              <w:rPr>
                <w:rFonts w:eastAsia="仿宋_GB2312"/>
                <w:color w:val="000000" w:themeColor="text1"/>
                <w:kern w:val="0"/>
                <w:sz w:val="28"/>
                <w:szCs w:val="28"/>
              </w:rPr>
            </w:pPr>
            <w:r>
              <w:rPr>
                <w:rFonts w:eastAsia="仿宋_GB2312"/>
                <w:color w:val="000000" w:themeColor="text1"/>
                <w:kern w:val="0"/>
                <w:sz w:val="28"/>
                <w:szCs w:val="28"/>
              </w:rPr>
              <w:t>8.</w:t>
            </w:r>
            <w:r>
              <w:rPr>
                <w:rFonts w:eastAsia="仿宋_GB2312"/>
                <w:color w:val="000000" w:themeColor="text1"/>
                <w:kern w:val="0"/>
                <w:sz w:val="28"/>
                <w:szCs w:val="28"/>
              </w:rPr>
              <w:t>结果报告形式</w:t>
            </w:r>
          </w:p>
        </w:tc>
      </w:tr>
    </w:tbl>
    <w:p w:rsidR="00EF5DF8" w:rsidRDefault="00B51062" w:rsidP="002F3C4C">
      <w:pPr>
        <w:pStyle w:val="Default"/>
        <w:spacing w:line="520" w:lineRule="exact"/>
        <w:ind w:firstLineChars="200" w:firstLine="640"/>
        <w:rPr>
          <w:rFonts w:ascii="Times New Roman" w:eastAsia="仿宋_GB2312" w:hAnsi="Times New Roman" w:hint="default"/>
          <w:color w:val="000000" w:themeColor="text1"/>
          <w:kern w:val="2"/>
          <w:sz w:val="32"/>
          <w:szCs w:val="32"/>
        </w:rPr>
      </w:pPr>
      <w:bookmarkStart w:id="5" w:name="_GoBack"/>
      <w:bookmarkEnd w:id="5"/>
      <w:r>
        <w:rPr>
          <w:rFonts w:ascii="Times New Roman" w:eastAsia="仿宋_GB2312" w:hAnsi="Times New Roman" w:hint="default"/>
          <w:color w:val="000000" w:themeColor="text1"/>
          <w:kern w:val="2"/>
          <w:sz w:val="32"/>
          <w:szCs w:val="32"/>
        </w:rPr>
        <w:t>如通过对比分析无法证明待评价试剂与境内已上市产品实质等同，或与参考测量程序</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诊断准确度标准检测结果具有良好的一致性，应通过临床试验的方式对申报试剂进行评价。</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2.</w:t>
      </w:r>
      <w:r>
        <w:rPr>
          <w:rFonts w:ascii="Times New Roman" w:eastAsia="仿宋_GB2312" w:hAnsi="Times New Roman" w:hint="default"/>
          <w:color w:val="000000" w:themeColor="text1"/>
          <w:kern w:val="2"/>
          <w:sz w:val="32"/>
          <w:szCs w:val="32"/>
        </w:rPr>
        <w:t>试验地点</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试验过程由申请人进行管理并负责试验数据的真实性、合规性及完整性。境外申请人如需进行中国境内开展的方法学比对研究，应通过其在中国的代理人在中国境内开展试验。</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也可以提交在境外完成的试验资料，资料内容应满足本指导原则的技术要求。申请人还应充分考虑流行病学差异、受试人群的差异、使用的环境与条件差异等对研究结果产生的可能影响。必要时，申请人应针对差异因素在我国境内进行补充研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3.</w:t>
      </w:r>
      <w:r>
        <w:rPr>
          <w:rFonts w:ascii="Times New Roman" w:eastAsia="仿宋_GB2312" w:hAnsi="Times New Roman" w:hint="default"/>
          <w:color w:val="000000" w:themeColor="text1"/>
          <w:kern w:val="2"/>
          <w:sz w:val="32"/>
          <w:szCs w:val="32"/>
        </w:rPr>
        <w:t>试验人员</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试验操作人员应为具有相应试验能力的专业技术人员，并熟悉待评价试剂和对比试剂的检测流程。</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lastRenderedPageBreak/>
        <w:t>4.</w:t>
      </w:r>
      <w:r>
        <w:rPr>
          <w:rFonts w:ascii="Times New Roman" w:eastAsia="仿宋_GB2312" w:hAnsi="Times New Roman" w:hint="default"/>
          <w:color w:val="000000" w:themeColor="text1"/>
          <w:kern w:val="2"/>
          <w:sz w:val="32"/>
          <w:szCs w:val="32"/>
        </w:rPr>
        <w:t>试验样本</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应采用与预期用途一致的来源于人体样本</w:t>
      </w:r>
      <w:r>
        <w:rPr>
          <w:rFonts w:ascii="Times New Roman" w:eastAsia="仿宋_GB2312" w:hAnsi="Times New Roman"/>
          <w:color w:val="000000" w:themeColor="text1"/>
          <w:kern w:val="2"/>
          <w:sz w:val="32"/>
          <w:szCs w:val="32"/>
        </w:rPr>
        <w:t>（如血液、脑脊液等）分离</w:t>
      </w:r>
      <w:r>
        <w:rPr>
          <w:rFonts w:ascii="Times New Roman" w:eastAsia="仿宋_GB2312" w:hAnsi="Times New Roman" w:hint="default"/>
          <w:color w:val="000000" w:themeColor="text1"/>
          <w:kern w:val="2"/>
          <w:sz w:val="32"/>
          <w:szCs w:val="32"/>
        </w:rPr>
        <w:t>的菌株进行试验，样本背景信息应清晰，样本来源应可溯源。样本背景信息包括但不限于：样本来源、唯一且可追溯的编号、样本类型和其他与该检测相关的背景信息（如年龄、性别等）。</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样本采集方式及稳定性应符合待评价试剂和对比试剂说明书有关要求。</w:t>
      </w:r>
      <w:r>
        <w:rPr>
          <w:rFonts w:ascii="Times New Roman" w:eastAsia="仿宋_GB2312" w:hAnsi="Times New Roman" w:hint="default"/>
          <w:color w:val="000000" w:themeColor="text1"/>
          <w:kern w:val="2"/>
          <w:sz w:val="32"/>
          <w:szCs w:val="32"/>
        </w:rPr>
        <w:t xml:space="preserve"> </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5.</w:t>
      </w:r>
      <w:r>
        <w:rPr>
          <w:rFonts w:ascii="Times New Roman" w:eastAsia="仿宋_GB2312" w:hAnsi="Times New Roman" w:hint="default"/>
          <w:color w:val="000000" w:themeColor="text1"/>
          <w:kern w:val="2"/>
          <w:sz w:val="32"/>
          <w:szCs w:val="32"/>
        </w:rPr>
        <w:t>试验时间</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试验应考虑到临床实际使用情况和日间精密度影响，在保证符合样本稳定性的条件下，设定合理的持续时间，如</w:t>
      </w:r>
      <w:r>
        <w:rPr>
          <w:rFonts w:ascii="Times New Roman" w:eastAsia="仿宋_GB2312" w:hAnsi="Times New Roman" w:hint="default"/>
          <w:color w:val="000000" w:themeColor="text1"/>
          <w:kern w:val="2"/>
          <w:sz w:val="32"/>
          <w:szCs w:val="32"/>
        </w:rPr>
        <w:t>3</w:t>
      </w:r>
      <w:r>
        <w:rPr>
          <w:rFonts w:ascii="Times New Roman" w:eastAsia="仿宋_GB2312" w:hAnsi="Times New Roman" w:hint="default"/>
          <w:color w:val="000000" w:themeColor="text1"/>
          <w:kern w:val="2"/>
          <w:sz w:val="32"/>
          <w:szCs w:val="32"/>
        </w:rPr>
        <w:t>～</w:t>
      </w:r>
      <w:r>
        <w:rPr>
          <w:rFonts w:ascii="Times New Roman" w:eastAsia="仿宋_GB2312" w:hAnsi="Times New Roman" w:hint="default"/>
          <w:color w:val="000000" w:themeColor="text1"/>
          <w:kern w:val="2"/>
          <w:sz w:val="32"/>
          <w:szCs w:val="32"/>
        </w:rPr>
        <w:t>20</w:t>
      </w:r>
      <w:r>
        <w:rPr>
          <w:rFonts w:ascii="Times New Roman" w:eastAsia="仿宋_GB2312" w:hAnsi="Times New Roman" w:hint="default"/>
          <w:color w:val="000000" w:themeColor="text1"/>
          <w:kern w:val="2"/>
          <w:sz w:val="32"/>
          <w:szCs w:val="32"/>
        </w:rPr>
        <w:t>天，应对所有样本进行编盲，采用待评价试剂和对比试剂分别进行随机检测，整个试验应有质量控制。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color w:val="000000" w:themeColor="text1"/>
          <w:kern w:val="2"/>
          <w:sz w:val="32"/>
          <w:szCs w:val="32"/>
        </w:rPr>
        <w:t>6.</w:t>
      </w:r>
      <w:r>
        <w:rPr>
          <w:rFonts w:ascii="Times New Roman" w:eastAsia="仿宋_GB2312" w:hAnsi="Times New Roman" w:hint="default"/>
          <w:color w:val="000000" w:themeColor="text1"/>
          <w:kern w:val="2"/>
          <w:sz w:val="32"/>
          <w:szCs w:val="32"/>
        </w:rPr>
        <w:t>试验方法</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试验方法可参考境内外有关方法学比对的技术指导文件，并重点关注以下内容。</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6.1</w:t>
      </w:r>
      <w:r>
        <w:rPr>
          <w:rFonts w:ascii="Times New Roman" w:eastAsia="仿宋_GB2312" w:hAnsi="Times New Roman" w:hint="default"/>
          <w:color w:val="000000" w:themeColor="text1"/>
          <w:kern w:val="2"/>
          <w:sz w:val="32"/>
          <w:szCs w:val="32"/>
        </w:rPr>
        <w:t>样本要求</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研究应结合产品鉴定板条的种类纳入菌株，如广谱鉴定板涵盖的菌株种类较多，总体样本例数可能高于《免于临床试验的体外诊断试剂临床评价技术指导原则》规定的样本量的要求。对于适用于革兰阴性杆菌鉴定的广谱鉴定板或窄谱鉴定板申请人可参考</w:t>
      </w:r>
      <w:r>
        <w:rPr>
          <w:rFonts w:ascii="Times New Roman" w:eastAsia="仿宋_GB2312" w:hAnsi="Times New Roman"/>
          <w:color w:val="000000" w:themeColor="text1"/>
          <w:kern w:val="2"/>
          <w:sz w:val="32"/>
          <w:szCs w:val="32"/>
        </w:rPr>
        <w:t>附件</w:t>
      </w:r>
      <w:r>
        <w:rPr>
          <w:rFonts w:ascii="Times New Roman" w:eastAsia="仿宋_GB2312" w:hAnsi="Times New Roman" w:hint="default"/>
          <w:color w:val="000000" w:themeColor="text1"/>
          <w:kern w:val="2"/>
          <w:sz w:val="32"/>
          <w:szCs w:val="32"/>
        </w:rPr>
        <w:t>中革兰阴性杆菌的相关介绍并根据产品预期用途纳入相应菌属。研究样本数量将影响可信区间宽度，扩大样本量，将获得更窄的可信区间。</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申请人应根据产品的预期用途、适用人群、临床适应证、</w:t>
      </w:r>
      <w:r>
        <w:rPr>
          <w:rFonts w:ascii="Times New Roman" w:eastAsia="仿宋_GB2312" w:hAnsi="Times New Roman" w:hint="default"/>
          <w:color w:val="000000" w:themeColor="text1"/>
          <w:kern w:val="2"/>
          <w:sz w:val="32"/>
          <w:szCs w:val="32"/>
        </w:rPr>
        <w:lastRenderedPageBreak/>
        <w:t>临床可接受标准等综合情况，充分考虑各种影响因素，采用合理的方法确定样本数量。</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6.2</w:t>
      </w:r>
      <w:r>
        <w:rPr>
          <w:rFonts w:ascii="Times New Roman" w:eastAsia="仿宋_GB2312" w:hAnsi="Times New Roman" w:hint="default"/>
          <w:color w:val="000000" w:themeColor="text1"/>
          <w:kern w:val="2"/>
          <w:sz w:val="32"/>
          <w:szCs w:val="32"/>
        </w:rPr>
        <w:t>数据收集期间检查</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在数据收集过程中，应对所有数据及时记录并检查。如确定某些异常结果由可解释的原因引起，应记录原因并将其剔除出数据分析。如不能确定原因，须将原始结果保留在数据集中。</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6.3</w:t>
      </w:r>
      <w:r>
        <w:rPr>
          <w:rFonts w:ascii="Times New Roman" w:eastAsia="仿宋_GB2312" w:hAnsi="Times New Roman" w:hint="default"/>
          <w:color w:val="000000" w:themeColor="text1"/>
          <w:kern w:val="2"/>
          <w:sz w:val="32"/>
          <w:szCs w:val="32"/>
        </w:rPr>
        <w:t>统计分析</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6.3.1</w:t>
      </w:r>
      <w:r>
        <w:rPr>
          <w:rFonts w:ascii="Times New Roman" w:eastAsia="仿宋_GB2312" w:hAnsi="Times New Roman" w:hint="default"/>
          <w:color w:val="000000" w:themeColor="text1"/>
          <w:kern w:val="2"/>
          <w:sz w:val="32"/>
          <w:szCs w:val="32"/>
        </w:rPr>
        <w:t>同品种方法学比对研究</w:t>
      </w:r>
    </w:p>
    <w:p w:rsidR="00EF5DF8" w:rsidRDefault="00B51062">
      <w:pPr>
        <w:pStyle w:val="Default"/>
        <w:spacing w:line="520" w:lineRule="exact"/>
        <w:ind w:firstLineChars="200" w:firstLine="640"/>
        <w:rPr>
          <w:rFonts w:ascii="Times New Roman" w:eastAsia="仿宋_GB2312" w:hAnsi="Times New Roman" w:hint="default"/>
          <w:color w:val="000000" w:themeColor="text1"/>
          <w:kern w:val="2"/>
          <w:sz w:val="32"/>
          <w:szCs w:val="32"/>
        </w:rPr>
      </w:pPr>
      <w:r>
        <w:rPr>
          <w:rFonts w:ascii="Times New Roman" w:eastAsia="仿宋_GB2312" w:hAnsi="Times New Roman" w:hint="default"/>
          <w:color w:val="000000" w:themeColor="text1"/>
          <w:kern w:val="2"/>
          <w:sz w:val="32"/>
          <w:szCs w:val="32"/>
        </w:rPr>
        <w:t>申请人应综合考虑数据特征等因素，确定具体的统计分析方法，并提供其选择依据。评价待评价试剂与对比试剂的一致性，计算待评价试剂与对比试剂的鉴定结果符合率，计算方法详情见下表</w:t>
      </w:r>
      <w:r>
        <w:rPr>
          <w:rFonts w:ascii="Times New Roman" w:eastAsia="仿宋_GB2312" w:hAnsi="Times New Roman"/>
          <w:color w:val="000000" w:themeColor="text1"/>
          <w:kern w:val="2"/>
          <w:sz w:val="32"/>
          <w:szCs w:val="32"/>
        </w:rPr>
        <w:t>2</w:t>
      </w:r>
      <w:r>
        <w:rPr>
          <w:rFonts w:ascii="Times New Roman" w:eastAsia="仿宋_GB2312" w:hAnsi="Times New Roman" w:hint="default"/>
          <w:color w:val="000000" w:themeColor="text1"/>
          <w:kern w:val="2"/>
          <w:sz w:val="32"/>
          <w:szCs w:val="32"/>
        </w:rPr>
        <w:t>，总体符合率</w:t>
      </w:r>
      <w:r>
        <w:rPr>
          <w:rFonts w:ascii="Times New Roman" w:eastAsia="仿宋_GB2312" w:hAnsi="Times New Roman" w:hint="default"/>
          <w:color w:val="000000" w:themeColor="text1"/>
          <w:kern w:val="2"/>
          <w:sz w:val="32"/>
          <w:szCs w:val="32"/>
        </w:rPr>
        <w:t>95%</w:t>
      </w:r>
      <w:r>
        <w:rPr>
          <w:rFonts w:ascii="Times New Roman" w:eastAsia="仿宋_GB2312" w:hAnsi="Times New Roman" w:hint="default"/>
          <w:color w:val="000000" w:themeColor="text1"/>
          <w:kern w:val="2"/>
          <w:sz w:val="32"/>
          <w:szCs w:val="32"/>
        </w:rPr>
        <w:t>置信区间下限应不低于</w:t>
      </w:r>
      <w:r>
        <w:rPr>
          <w:rFonts w:ascii="Times New Roman" w:eastAsia="仿宋_GB2312" w:hAnsi="Times New Roman" w:hint="default"/>
          <w:color w:val="000000" w:themeColor="text1"/>
          <w:kern w:val="2"/>
          <w:sz w:val="32"/>
          <w:szCs w:val="32"/>
        </w:rPr>
        <w:t>90%</w:t>
      </w:r>
      <w:r>
        <w:rPr>
          <w:rFonts w:ascii="Times New Roman" w:eastAsia="仿宋_GB2312" w:hAnsi="Times New Roman" w:hint="default"/>
          <w:color w:val="000000" w:themeColor="text1"/>
          <w:kern w:val="2"/>
          <w:sz w:val="32"/>
          <w:szCs w:val="32"/>
        </w:rPr>
        <w:t>。</w:t>
      </w:r>
    </w:p>
    <w:p w:rsidR="00EF5DF8" w:rsidRDefault="00EF5DF8">
      <w:pPr>
        <w:spacing w:line="520" w:lineRule="exact"/>
        <w:ind w:firstLineChars="200" w:firstLine="640"/>
        <w:jc w:val="left"/>
        <w:rPr>
          <w:rFonts w:eastAsia="仿宋_GB2312"/>
          <w:color w:val="000000" w:themeColor="text1"/>
          <w:sz w:val="32"/>
          <w:szCs w:val="32"/>
        </w:rPr>
      </w:pPr>
    </w:p>
    <w:p w:rsidR="00EF5DF8" w:rsidRDefault="00B51062">
      <w:pPr>
        <w:spacing w:line="520" w:lineRule="exact"/>
        <w:ind w:firstLineChars="200" w:firstLine="560"/>
        <w:jc w:val="center"/>
        <w:rPr>
          <w:rFonts w:eastAsia="仿宋_GB2312"/>
          <w:color w:val="000000" w:themeColor="text1"/>
          <w:sz w:val="32"/>
          <w:szCs w:val="32"/>
        </w:rPr>
      </w:pPr>
      <w:r>
        <w:rPr>
          <w:rFonts w:eastAsia="黑体"/>
          <w:color w:val="000000" w:themeColor="text1"/>
          <w:sz w:val="28"/>
          <w:szCs w:val="28"/>
        </w:rPr>
        <w:t>表</w:t>
      </w:r>
      <w:r>
        <w:rPr>
          <w:rFonts w:eastAsia="黑体" w:hint="eastAsia"/>
          <w:color w:val="000000" w:themeColor="text1"/>
          <w:sz w:val="28"/>
          <w:szCs w:val="28"/>
        </w:rPr>
        <w:t>2</w:t>
      </w:r>
      <w:r>
        <w:rPr>
          <w:rFonts w:eastAsia="黑体"/>
          <w:color w:val="000000" w:themeColor="text1"/>
          <w:sz w:val="28"/>
          <w:szCs w:val="28"/>
        </w:rPr>
        <w:t xml:space="preserve"> </w:t>
      </w:r>
      <w:r>
        <w:rPr>
          <w:rFonts w:eastAsia="黑体"/>
          <w:color w:val="000000" w:themeColor="text1"/>
          <w:sz w:val="28"/>
          <w:szCs w:val="28"/>
        </w:rPr>
        <w:t>待评价试剂与对比试剂的鉴定结果符合率</w:t>
      </w:r>
    </w:p>
    <w:p w:rsidR="00EF5DF8" w:rsidRDefault="00B51062">
      <w:pPr>
        <w:spacing w:line="520" w:lineRule="exact"/>
        <w:ind w:firstLineChars="200" w:firstLine="560"/>
        <w:jc w:val="center"/>
        <w:rPr>
          <w:rFonts w:eastAsia="仿宋"/>
          <w:color w:val="000000" w:themeColor="text1"/>
          <w:sz w:val="28"/>
          <w:szCs w:val="28"/>
        </w:rPr>
      </w:pPr>
      <w:r>
        <w:rPr>
          <w:rFonts w:eastAsia="仿宋"/>
          <w:color w:val="000000" w:themeColor="text1"/>
          <w:sz w:val="28"/>
          <w:szCs w:val="28"/>
        </w:rPr>
        <w:t>（</w:t>
      </w:r>
      <w:r>
        <w:rPr>
          <w:rFonts w:eastAsia="仿宋"/>
          <w:i/>
          <w:iCs/>
          <w:color w:val="000000" w:themeColor="text1"/>
          <w:sz w:val="28"/>
          <w:szCs w:val="28"/>
        </w:rPr>
        <w:t>n</w:t>
      </w:r>
      <w:r>
        <w:rPr>
          <w:rFonts w:eastAsia="仿宋_GB2312"/>
          <w:color w:val="000000" w:themeColor="text1"/>
          <w:sz w:val="28"/>
          <w:szCs w:val="28"/>
        </w:rPr>
        <w:t>为总样本数</w:t>
      </w:r>
      <w:r>
        <w:rPr>
          <w:rFonts w:eastAsia="仿宋"/>
          <w:color w:val="000000" w:themeColor="text1"/>
          <w:sz w:val="28"/>
          <w:szCs w:val="28"/>
        </w:rPr>
        <w:t>）</w:t>
      </w:r>
    </w:p>
    <w:tbl>
      <w:tblPr>
        <w:tblW w:w="7582" w:type="dxa"/>
        <w:tblInd w:w="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5"/>
        <w:gridCol w:w="2820"/>
        <w:gridCol w:w="2667"/>
      </w:tblGrid>
      <w:tr w:rsidR="00EF5DF8">
        <w:trPr>
          <w:trHeight w:val="423"/>
        </w:trPr>
        <w:tc>
          <w:tcPr>
            <w:tcW w:w="2095" w:type="dxa"/>
            <w:vMerge w:val="restart"/>
            <w:vAlign w:val="center"/>
          </w:tcPr>
          <w:p w:rsidR="00EF5DF8" w:rsidRDefault="00EF5DF8">
            <w:pPr>
              <w:spacing w:line="520" w:lineRule="exact"/>
              <w:ind w:firstLineChars="200" w:firstLine="560"/>
              <w:rPr>
                <w:rFonts w:eastAsia="仿宋"/>
                <w:color w:val="000000" w:themeColor="text1"/>
                <w:sz w:val="28"/>
                <w:szCs w:val="28"/>
              </w:rPr>
            </w:pPr>
          </w:p>
        </w:tc>
        <w:tc>
          <w:tcPr>
            <w:tcW w:w="5487" w:type="dxa"/>
            <w:gridSpan w:val="2"/>
            <w:vAlign w:val="center"/>
          </w:tcPr>
          <w:p w:rsidR="00EF5DF8" w:rsidRDefault="00B51062">
            <w:pPr>
              <w:spacing w:line="520" w:lineRule="exact"/>
              <w:jc w:val="center"/>
              <w:rPr>
                <w:rFonts w:eastAsia="仿宋"/>
                <w:color w:val="000000" w:themeColor="text1"/>
                <w:sz w:val="28"/>
                <w:szCs w:val="28"/>
              </w:rPr>
            </w:pPr>
            <w:r>
              <w:rPr>
                <w:rFonts w:eastAsia="仿宋_GB2312"/>
                <w:color w:val="000000" w:themeColor="text1"/>
                <w:sz w:val="28"/>
                <w:szCs w:val="28"/>
              </w:rPr>
              <w:t>对比试剂</w:t>
            </w:r>
          </w:p>
        </w:tc>
      </w:tr>
      <w:tr w:rsidR="00EF5DF8">
        <w:trPr>
          <w:trHeight w:val="538"/>
        </w:trPr>
        <w:tc>
          <w:tcPr>
            <w:tcW w:w="2095" w:type="dxa"/>
            <w:vMerge/>
            <w:vAlign w:val="center"/>
          </w:tcPr>
          <w:p w:rsidR="00EF5DF8" w:rsidRDefault="00EF5DF8">
            <w:pPr>
              <w:spacing w:line="520" w:lineRule="exact"/>
              <w:ind w:firstLineChars="200" w:firstLine="560"/>
              <w:jc w:val="center"/>
              <w:rPr>
                <w:rFonts w:eastAsia="仿宋"/>
                <w:color w:val="000000" w:themeColor="text1"/>
                <w:sz w:val="28"/>
                <w:szCs w:val="28"/>
              </w:rPr>
            </w:pPr>
          </w:p>
        </w:tc>
        <w:tc>
          <w:tcPr>
            <w:tcW w:w="2820" w:type="dxa"/>
            <w:vAlign w:val="center"/>
          </w:tcPr>
          <w:p w:rsidR="00EF5DF8" w:rsidRDefault="00B51062">
            <w:pPr>
              <w:spacing w:line="520" w:lineRule="exact"/>
              <w:jc w:val="center"/>
              <w:rPr>
                <w:rFonts w:eastAsia="仿宋_GB2312"/>
                <w:color w:val="000000" w:themeColor="text1"/>
                <w:sz w:val="28"/>
                <w:szCs w:val="28"/>
              </w:rPr>
            </w:pPr>
            <w:r>
              <w:rPr>
                <w:rFonts w:eastAsia="仿宋_GB2312"/>
                <w:color w:val="000000" w:themeColor="text1"/>
                <w:sz w:val="28"/>
                <w:szCs w:val="28"/>
              </w:rPr>
              <w:t>鉴定结果符合</w:t>
            </w:r>
          </w:p>
        </w:tc>
        <w:tc>
          <w:tcPr>
            <w:tcW w:w="2667" w:type="dxa"/>
            <w:vAlign w:val="center"/>
          </w:tcPr>
          <w:p w:rsidR="00EF5DF8" w:rsidRDefault="00B51062">
            <w:pPr>
              <w:spacing w:line="520" w:lineRule="exact"/>
              <w:jc w:val="center"/>
              <w:rPr>
                <w:rFonts w:eastAsia="仿宋_GB2312"/>
                <w:color w:val="000000" w:themeColor="text1"/>
                <w:sz w:val="28"/>
                <w:szCs w:val="28"/>
              </w:rPr>
            </w:pPr>
            <w:r>
              <w:rPr>
                <w:rFonts w:eastAsia="仿宋_GB2312"/>
                <w:color w:val="000000" w:themeColor="text1"/>
                <w:sz w:val="28"/>
                <w:szCs w:val="28"/>
              </w:rPr>
              <w:t>鉴定结果不符合</w:t>
            </w:r>
          </w:p>
        </w:tc>
      </w:tr>
      <w:tr w:rsidR="00EF5DF8">
        <w:trPr>
          <w:trHeight w:val="538"/>
        </w:trPr>
        <w:tc>
          <w:tcPr>
            <w:tcW w:w="2095" w:type="dxa"/>
            <w:vAlign w:val="center"/>
          </w:tcPr>
          <w:p w:rsidR="00EF5DF8" w:rsidRDefault="00B51062">
            <w:pPr>
              <w:spacing w:line="520" w:lineRule="exact"/>
              <w:rPr>
                <w:rFonts w:eastAsia="仿宋"/>
                <w:color w:val="000000" w:themeColor="text1"/>
                <w:sz w:val="28"/>
                <w:szCs w:val="28"/>
              </w:rPr>
            </w:pPr>
            <w:r>
              <w:rPr>
                <w:rFonts w:eastAsia="仿宋_GB2312"/>
                <w:color w:val="000000" w:themeColor="text1"/>
                <w:sz w:val="28"/>
                <w:szCs w:val="28"/>
              </w:rPr>
              <w:t>待评价试剂</w:t>
            </w:r>
          </w:p>
        </w:tc>
        <w:tc>
          <w:tcPr>
            <w:tcW w:w="2820" w:type="dxa"/>
            <w:vAlign w:val="center"/>
          </w:tcPr>
          <w:p w:rsidR="00EF5DF8" w:rsidRDefault="00B51062">
            <w:pPr>
              <w:spacing w:line="520" w:lineRule="exact"/>
              <w:jc w:val="center"/>
              <w:rPr>
                <w:rFonts w:eastAsia="仿宋"/>
                <w:color w:val="000000" w:themeColor="text1"/>
                <w:sz w:val="28"/>
                <w:szCs w:val="28"/>
              </w:rPr>
            </w:pPr>
            <w:r>
              <w:rPr>
                <w:rFonts w:eastAsia="仿宋"/>
                <w:color w:val="000000" w:themeColor="text1"/>
                <w:sz w:val="28"/>
                <w:szCs w:val="28"/>
              </w:rPr>
              <w:t>a</w:t>
            </w:r>
          </w:p>
        </w:tc>
        <w:tc>
          <w:tcPr>
            <w:tcW w:w="2667" w:type="dxa"/>
            <w:vAlign w:val="center"/>
          </w:tcPr>
          <w:p w:rsidR="00EF5DF8" w:rsidRDefault="00B51062">
            <w:pPr>
              <w:spacing w:line="520" w:lineRule="exact"/>
              <w:jc w:val="center"/>
              <w:rPr>
                <w:rFonts w:eastAsia="仿宋"/>
                <w:color w:val="000000" w:themeColor="text1"/>
                <w:sz w:val="28"/>
                <w:szCs w:val="28"/>
              </w:rPr>
            </w:pPr>
            <w:r>
              <w:rPr>
                <w:rFonts w:eastAsia="仿宋"/>
                <w:i/>
                <w:iCs/>
                <w:color w:val="000000" w:themeColor="text1"/>
                <w:sz w:val="28"/>
                <w:szCs w:val="28"/>
              </w:rPr>
              <w:t>n</w:t>
            </w:r>
            <w:r>
              <w:rPr>
                <w:rFonts w:eastAsia="仿宋"/>
                <w:color w:val="000000" w:themeColor="text1"/>
                <w:sz w:val="28"/>
                <w:szCs w:val="28"/>
              </w:rPr>
              <w:t>-a</w:t>
            </w:r>
          </w:p>
        </w:tc>
      </w:tr>
    </w:tbl>
    <w:p w:rsidR="00EF5DF8" w:rsidRDefault="00B51062" w:rsidP="002F3C4C">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鉴定结果符合率：待评价试剂与对比试剂鉴定结果一致的样本数占总样本数的比例。即：鉴定结果符合率</w:t>
      </w:r>
      <w:r>
        <w:rPr>
          <w:rFonts w:eastAsia="仿宋_GB2312"/>
          <w:color w:val="000000" w:themeColor="text1"/>
          <w:sz w:val="32"/>
          <w:szCs w:val="32"/>
        </w:rPr>
        <w:t>=a/</w:t>
      </w:r>
      <w:r>
        <w:rPr>
          <w:rFonts w:eastAsia="仿宋_GB2312"/>
          <w:i/>
          <w:iCs/>
          <w:color w:val="000000" w:themeColor="text1"/>
          <w:sz w:val="32"/>
          <w:szCs w:val="32"/>
        </w:rPr>
        <w:t>n</w:t>
      </w:r>
      <w:r>
        <w:rPr>
          <w:rFonts w:eastAsia="仿宋_GB2312"/>
          <w:color w:val="000000" w:themeColor="text1"/>
          <w:sz w:val="32"/>
          <w:szCs w:val="32"/>
        </w:rPr>
        <w:t>×100%</w:t>
      </w:r>
      <w:r>
        <w:rPr>
          <w:rFonts w:eastAsia="仿宋_GB2312"/>
          <w:color w:val="000000" w:themeColor="text1"/>
          <w:sz w:val="32"/>
          <w:szCs w:val="32"/>
        </w:rPr>
        <w:t>。</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6.3.2</w:t>
      </w:r>
      <w:r>
        <w:rPr>
          <w:rFonts w:eastAsia="仿宋_GB2312"/>
          <w:color w:val="000000" w:themeColor="text1"/>
          <w:sz w:val="32"/>
          <w:szCs w:val="32"/>
        </w:rPr>
        <w:t>与参考测量程序或诊断准确度标准进行比较研究</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如有参考测量程序或诊断准确度标准，也可参照本指导原则</w:t>
      </w:r>
      <w:r>
        <w:rPr>
          <w:rFonts w:eastAsia="仿宋_GB2312" w:hint="eastAsia"/>
          <w:color w:val="000000" w:themeColor="text1"/>
          <w:sz w:val="32"/>
          <w:szCs w:val="32"/>
        </w:rPr>
        <w:t>“</w:t>
      </w:r>
      <w:r>
        <w:rPr>
          <w:rFonts w:eastAsia="仿宋_GB2312"/>
          <w:color w:val="000000" w:themeColor="text1"/>
          <w:sz w:val="32"/>
          <w:szCs w:val="32"/>
        </w:rPr>
        <w:t>6.3.1</w:t>
      </w:r>
      <w:r>
        <w:rPr>
          <w:rFonts w:eastAsia="仿宋_GB2312"/>
          <w:color w:val="000000" w:themeColor="text1"/>
          <w:sz w:val="32"/>
          <w:szCs w:val="32"/>
        </w:rPr>
        <w:t>同品种方法学比对研究</w:t>
      </w:r>
      <w:r>
        <w:rPr>
          <w:rFonts w:eastAsia="仿宋_GB2312" w:hint="eastAsia"/>
          <w:color w:val="000000" w:themeColor="text1"/>
          <w:sz w:val="32"/>
          <w:szCs w:val="32"/>
        </w:rPr>
        <w:t>”</w:t>
      </w:r>
      <w:r>
        <w:rPr>
          <w:rFonts w:eastAsia="仿宋_GB2312"/>
          <w:color w:val="000000" w:themeColor="text1"/>
          <w:sz w:val="32"/>
          <w:szCs w:val="32"/>
        </w:rPr>
        <w:t>章节相关要求，采用待评价试剂与参考测量程序或诊断准确度标准进行比对研究。参考测量程序指被接受作为提供适合其预期用途的测量结果的测量程</w:t>
      </w:r>
      <w:r>
        <w:rPr>
          <w:rFonts w:eastAsia="仿宋_GB2312"/>
          <w:color w:val="000000" w:themeColor="text1"/>
          <w:sz w:val="32"/>
          <w:szCs w:val="32"/>
        </w:rPr>
        <w:lastRenderedPageBreak/>
        <w:t>序。诊断准确度标准指使用一种方法或联合多种方法，包括实验室检测、影像学检测、病理和随访信息在内的临床信息，来界定状况、事件和关注特征有无的标准。</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6.4</w:t>
      </w:r>
      <w:r>
        <w:rPr>
          <w:rFonts w:eastAsia="仿宋_GB2312"/>
          <w:color w:val="000000" w:themeColor="text1"/>
          <w:sz w:val="32"/>
          <w:szCs w:val="32"/>
        </w:rPr>
        <w:t>不一致结果的处理</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待评价试剂与对比试剂的不一致可能源于待评价试剂或对比试剂的误差，不一致结果可通过诊断准确度标准或其他合理方法进行确认并分析原因，确认结果不应纳入统计分析。</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6.5</w:t>
      </w:r>
      <w:r>
        <w:rPr>
          <w:rFonts w:eastAsia="仿宋_GB2312"/>
          <w:color w:val="000000" w:themeColor="text1"/>
          <w:sz w:val="32"/>
          <w:szCs w:val="32"/>
        </w:rPr>
        <w:t>统计分析中应注意的问题</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6.5.1</w:t>
      </w:r>
      <w:r>
        <w:rPr>
          <w:rFonts w:eastAsia="仿宋_GB2312"/>
          <w:color w:val="000000" w:themeColor="text1"/>
          <w:sz w:val="32"/>
          <w:szCs w:val="32"/>
        </w:rPr>
        <w:t>样本剔除应有合理理由，不可随意剔除。如确需剔除，应说明剔除数量及理由。</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6.5.2</w:t>
      </w:r>
      <w:r>
        <w:rPr>
          <w:rFonts w:eastAsia="仿宋_GB2312"/>
          <w:color w:val="000000" w:themeColor="text1"/>
          <w:sz w:val="32"/>
          <w:szCs w:val="32"/>
        </w:rPr>
        <w:t>应参考权威技术指南等，根据产品适用的统计分析模型，计算符合率。</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临床</w:t>
      </w:r>
      <w:r>
        <w:rPr>
          <w:rFonts w:eastAsia="仿宋_GB2312" w:hint="eastAsia"/>
          <w:color w:val="000000" w:themeColor="text1"/>
          <w:sz w:val="32"/>
          <w:szCs w:val="32"/>
        </w:rPr>
        <w:t>评价</w:t>
      </w:r>
      <w:r>
        <w:rPr>
          <w:rFonts w:eastAsia="仿宋_GB2312"/>
          <w:color w:val="000000" w:themeColor="text1"/>
          <w:sz w:val="32"/>
          <w:szCs w:val="32"/>
        </w:rPr>
        <w:t>检测菌应充分考虑菌株类型，应包含产品预期用途所涉及的菌株，对于不常见的临床菌株可适量采用冻存菌株进行研究。</w:t>
      </w:r>
    </w:p>
    <w:p w:rsidR="00EF5DF8" w:rsidRDefault="00B51062">
      <w:pPr>
        <w:pStyle w:val="Default"/>
        <w:spacing w:line="520" w:lineRule="exact"/>
        <w:ind w:firstLineChars="200" w:firstLine="640"/>
        <w:rPr>
          <w:rFonts w:ascii="Times New Roman" w:eastAsia="楷体_GB2312" w:hAnsi="Times New Roman" w:hint="default"/>
          <w:color w:val="000000" w:themeColor="text1"/>
          <w:sz w:val="32"/>
          <w:szCs w:val="32"/>
        </w:rPr>
      </w:pPr>
      <w:r>
        <w:rPr>
          <w:rFonts w:ascii="Times New Roman" w:eastAsia="楷体_GB2312" w:hAnsi="Times New Roman" w:hint="default"/>
          <w:color w:val="000000" w:themeColor="text1"/>
          <w:sz w:val="32"/>
          <w:szCs w:val="32"/>
        </w:rPr>
        <w:t>（五）</w:t>
      </w:r>
      <w:bookmarkEnd w:id="4"/>
      <w:r>
        <w:rPr>
          <w:rFonts w:ascii="Times New Roman" w:eastAsia="楷体_GB2312" w:hAnsi="Times New Roman" w:hint="default"/>
          <w:color w:val="000000" w:themeColor="text1"/>
          <w:sz w:val="32"/>
          <w:szCs w:val="32"/>
        </w:rPr>
        <w:t>产品说明书</w:t>
      </w:r>
      <w:r>
        <w:rPr>
          <w:rFonts w:ascii="Times New Roman" w:eastAsia="楷体_GB2312" w:hAnsi="Times New Roman"/>
          <w:color w:val="000000" w:themeColor="text1"/>
          <w:sz w:val="32"/>
          <w:szCs w:val="32"/>
        </w:rPr>
        <w:t>和标签样稿</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说明书承载了产品预期用途、样本类型、检验方法、检验结果解释以及注意事项等重要信息，是指导实验室工作人员正确操作、临床医生针对检验结果给出合理医学解释的重要依据。产品说明书的格式应符合《体外诊断试剂说明书编写指导原则》的要求，进口体外诊断试剂的中文说明书除格式要求外，其内容应尽量保持与原文说明书的一致性，翻译力求准确且符合中文表达习惯。产品说明书中相关技术内容均应与申请人提交的注册申报资料中的相关研究结果保持一致，如某些内容引用自参考文献，则应以规范格式对此内容进行标注，并单独列明文</w:t>
      </w:r>
      <w:r>
        <w:rPr>
          <w:rFonts w:eastAsia="仿宋_GB2312"/>
          <w:color w:val="000000" w:themeColor="text1"/>
          <w:sz w:val="32"/>
          <w:szCs w:val="32"/>
        </w:rPr>
        <w:lastRenderedPageBreak/>
        <w:t>献的相关信息。</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下面对革兰阴性杆菌鉴定试剂说明书的重点内容进行详细说明。</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w:t>
      </w:r>
      <w:r>
        <w:rPr>
          <w:rFonts w:eastAsia="仿宋_GB2312"/>
          <w:color w:val="000000" w:themeColor="text1"/>
          <w:sz w:val="32"/>
          <w:szCs w:val="32"/>
        </w:rPr>
        <w:t>【预期用途】</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应至少包括以下内容：</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1.1</w:t>
      </w:r>
      <w:r>
        <w:rPr>
          <w:rFonts w:eastAsia="仿宋_GB2312"/>
          <w:color w:val="000000" w:themeColor="text1"/>
          <w:sz w:val="32"/>
          <w:szCs w:val="32"/>
        </w:rPr>
        <w:t>该产品用于临床分离的革兰阴性杆菌的鉴定，适用范围应结合申报产品的临床性能的确认情况进行描述（如：适用于革兰阴性杆菌或某个具体种属，需氧、兼性厌氧或厌氧等）。</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1.2</w:t>
      </w:r>
      <w:r>
        <w:rPr>
          <w:rFonts w:eastAsia="仿宋_GB2312"/>
          <w:color w:val="000000" w:themeColor="text1"/>
          <w:sz w:val="32"/>
          <w:szCs w:val="32"/>
        </w:rPr>
        <w:t>应阐述与预期用途相关的临床适应证及背景情况，说明相关的临床或实验室诊断方法等。</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2.</w:t>
      </w:r>
      <w:r>
        <w:rPr>
          <w:rFonts w:eastAsia="仿宋_GB2312"/>
          <w:color w:val="000000" w:themeColor="text1"/>
          <w:sz w:val="32"/>
          <w:szCs w:val="32"/>
        </w:rPr>
        <w:t>【检验原理】</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描述生化鉴定方法、原理等。</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描述试剂盒的技术原理，可结合图示进行说明。如反应体系中包含哪些类型的反应（如酶活性），如何得到最终的鉴定结果。</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3.</w:t>
      </w:r>
      <w:r>
        <w:rPr>
          <w:rFonts w:eastAsia="仿宋_GB2312"/>
          <w:color w:val="000000" w:themeColor="text1"/>
          <w:sz w:val="32"/>
          <w:szCs w:val="32"/>
        </w:rPr>
        <w:t>【主要组成成分】</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3.1</w:t>
      </w:r>
      <w:r>
        <w:rPr>
          <w:rFonts w:eastAsia="仿宋_GB2312"/>
          <w:color w:val="000000" w:themeColor="text1"/>
          <w:sz w:val="32"/>
          <w:szCs w:val="32"/>
        </w:rPr>
        <w:t>详细说明试剂盒内各组分的名称、数量及在反应体系中的比例或浓度、最低分装量等信息，如含有生物源性物质，应说明其生物学来源、活性及其他特性；说明不同批号试剂盒中各组分是否可以互换。</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3.2</w:t>
      </w:r>
      <w:r>
        <w:rPr>
          <w:rFonts w:eastAsia="仿宋_GB2312"/>
          <w:color w:val="000000" w:themeColor="text1"/>
          <w:sz w:val="32"/>
          <w:szCs w:val="32"/>
        </w:rPr>
        <w:t>试剂盒中不包含但对该项检测必须的</w:t>
      </w:r>
      <w:r>
        <w:rPr>
          <w:rFonts w:eastAsia="仿宋_GB2312" w:hint="eastAsia"/>
          <w:color w:val="000000" w:themeColor="text1"/>
          <w:sz w:val="32"/>
          <w:szCs w:val="32"/>
        </w:rPr>
        <w:t>试剂</w:t>
      </w:r>
      <w:r>
        <w:rPr>
          <w:rFonts w:eastAsia="仿宋_GB2312"/>
          <w:color w:val="000000" w:themeColor="text1"/>
          <w:sz w:val="32"/>
          <w:szCs w:val="32"/>
        </w:rPr>
        <w:t>组分，应列出</w:t>
      </w:r>
      <w:r>
        <w:rPr>
          <w:rFonts w:eastAsia="仿宋_GB2312" w:hint="eastAsia"/>
          <w:color w:val="000000" w:themeColor="text1"/>
          <w:sz w:val="32"/>
          <w:szCs w:val="32"/>
        </w:rPr>
        <w:t>各</w:t>
      </w:r>
      <w:r>
        <w:rPr>
          <w:rFonts w:eastAsia="仿宋_GB2312"/>
          <w:color w:val="000000" w:themeColor="text1"/>
          <w:sz w:val="32"/>
          <w:szCs w:val="32"/>
        </w:rPr>
        <w:t>试剂的产品名称</w:t>
      </w:r>
      <w:r>
        <w:rPr>
          <w:rFonts w:eastAsia="仿宋_GB2312" w:hint="eastAsia"/>
          <w:color w:val="000000" w:themeColor="text1"/>
          <w:sz w:val="32"/>
          <w:szCs w:val="32"/>
        </w:rPr>
        <w:t>、注册人（备案人）、货号</w:t>
      </w:r>
      <w:r>
        <w:rPr>
          <w:rFonts w:eastAsia="仿宋_GB2312"/>
          <w:color w:val="000000" w:themeColor="text1"/>
          <w:sz w:val="32"/>
          <w:szCs w:val="32"/>
        </w:rPr>
        <w:t>及</w:t>
      </w:r>
      <w:r>
        <w:rPr>
          <w:rFonts w:eastAsia="仿宋_GB2312" w:hint="eastAsia"/>
          <w:color w:val="000000" w:themeColor="text1"/>
          <w:sz w:val="32"/>
          <w:szCs w:val="32"/>
        </w:rPr>
        <w:t>其</w:t>
      </w:r>
      <w:r>
        <w:rPr>
          <w:rFonts w:eastAsia="仿宋_GB2312"/>
          <w:color w:val="000000" w:themeColor="text1"/>
          <w:sz w:val="32"/>
          <w:szCs w:val="32"/>
        </w:rPr>
        <w:t>注册证</w:t>
      </w:r>
      <w:r>
        <w:rPr>
          <w:rFonts w:eastAsia="仿宋_GB2312" w:hint="eastAsia"/>
          <w:color w:val="000000" w:themeColor="text1"/>
          <w:sz w:val="32"/>
          <w:szCs w:val="32"/>
        </w:rPr>
        <w:t>编</w:t>
      </w:r>
      <w:r>
        <w:rPr>
          <w:rFonts w:eastAsia="仿宋_GB2312"/>
          <w:color w:val="000000" w:themeColor="text1"/>
          <w:sz w:val="32"/>
          <w:szCs w:val="32"/>
        </w:rPr>
        <w:t>号（</w:t>
      </w:r>
      <w:r>
        <w:rPr>
          <w:rFonts w:eastAsia="仿宋_GB2312" w:hint="eastAsia"/>
          <w:color w:val="000000" w:themeColor="text1"/>
          <w:sz w:val="32"/>
          <w:szCs w:val="32"/>
        </w:rPr>
        <w:t>备案编号</w:t>
      </w:r>
      <w:r>
        <w:rPr>
          <w:rFonts w:eastAsia="仿宋_GB2312"/>
          <w:color w:val="000000" w:themeColor="text1"/>
          <w:sz w:val="32"/>
          <w:szCs w:val="32"/>
        </w:rPr>
        <w:t>）。</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4.</w:t>
      </w:r>
      <w:r>
        <w:rPr>
          <w:rFonts w:eastAsia="仿宋_GB2312"/>
          <w:color w:val="000000" w:themeColor="text1"/>
          <w:sz w:val="32"/>
          <w:szCs w:val="32"/>
        </w:rPr>
        <w:t>【储存条件及有效期】</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试剂盒的实时稳定性、开封稳定性（如适用）、运输稳定</w:t>
      </w:r>
      <w:r>
        <w:rPr>
          <w:rFonts w:eastAsia="仿宋_GB2312"/>
          <w:color w:val="000000" w:themeColor="text1"/>
          <w:sz w:val="32"/>
          <w:szCs w:val="32"/>
        </w:rPr>
        <w:lastRenderedPageBreak/>
        <w:t>性（如适用）、冻融次数要求（如涉及）等。</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4.1</w:t>
      </w:r>
      <w:r>
        <w:rPr>
          <w:rFonts w:eastAsia="仿宋_GB2312"/>
          <w:color w:val="000000" w:themeColor="text1"/>
          <w:sz w:val="32"/>
          <w:szCs w:val="32"/>
        </w:rPr>
        <w:t>对试剂盒的实时稳定性、开封稳定性（如适用）等信息做详细介绍，包括环境温湿度、避光条件等影响稳定性的条件。如试剂需要配制，则应对配制后的试剂的储存条件、稳定性做详细介绍。</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4.2</w:t>
      </w:r>
      <w:r>
        <w:rPr>
          <w:rFonts w:eastAsia="仿宋_GB2312"/>
          <w:color w:val="000000" w:themeColor="text1"/>
          <w:sz w:val="32"/>
          <w:szCs w:val="32"/>
        </w:rPr>
        <w:t>如试剂盒各组分的稳定性不一致，则应对各组分的储存条件和有效期分别进行描述。</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4.3</w:t>
      </w:r>
      <w:r>
        <w:rPr>
          <w:rFonts w:eastAsia="仿宋_GB2312"/>
          <w:color w:val="000000" w:themeColor="text1"/>
          <w:sz w:val="32"/>
          <w:szCs w:val="32"/>
        </w:rPr>
        <w:t>对于可以冷冻的试剂应注明冻融次数限制。</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4.4</w:t>
      </w:r>
      <w:r>
        <w:rPr>
          <w:rFonts w:eastAsia="仿宋_GB2312"/>
          <w:color w:val="000000" w:themeColor="text1"/>
          <w:sz w:val="32"/>
          <w:szCs w:val="32"/>
        </w:rPr>
        <w:t>注明生产日期、使用期限或失效日期（可见标签）。</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5.</w:t>
      </w:r>
      <w:r>
        <w:rPr>
          <w:rFonts w:eastAsia="仿宋_GB2312"/>
          <w:color w:val="000000" w:themeColor="text1"/>
          <w:sz w:val="32"/>
          <w:szCs w:val="32"/>
        </w:rPr>
        <w:t>【适用仪器】</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说明可适用的仪器及型号，不能泛指某一系列仪器，并提供与仪器有关的信息以便用户能够正确选择使用；若不同规格适用不同机型也应说明，且应与分析性能研究资料一致。</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6.</w:t>
      </w:r>
      <w:r>
        <w:rPr>
          <w:rFonts w:eastAsia="仿宋_GB2312"/>
          <w:color w:val="000000" w:themeColor="text1"/>
          <w:sz w:val="32"/>
          <w:szCs w:val="32"/>
        </w:rPr>
        <w:t>【样本要求】</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重点明确以下内容</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6.1</w:t>
      </w:r>
      <w:r>
        <w:rPr>
          <w:rFonts w:eastAsia="仿宋_GB2312"/>
          <w:color w:val="000000" w:themeColor="text1"/>
          <w:sz w:val="32"/>
          <w:szCs w:val="32"/>
        </w:rPr>
        <w:t>样本要求：样本应为临床分离的纯菌。</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6.2</w:t>
      </w:r>
      <w:r>
        <w:rPr>
          <w:rFonts w:eastAsia="仿宋_GB2312"/>
          <w:color w:val="000000" w:themeColor="text1"/>
          <w:sz w:val="32"/>
          <w:szCs w:val="32"/>
        </w:rPr>
        <w:t>样本培养条件要求：应注明样本培养条件及时长、对于冻存菌株有无要求。</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6.3</w:t>
      </w:r>
      <w:r>
        <w:rPr>
          <w:rFonts w:eastAsia="仿宋_GB2312"/>
          <w:color w:val="000000" w:themeColor="text1"/>
          <w:sz w:val="32"/>
          <w:szCs w:val="32"/>
        </w:rPr>
        <w:t>样本活化用培养基要求：应注明活化菌株用培养基有无要求。</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6.4</w:t>
      </w:r>
      <w:r>
        <w:rPr>
          <w:rFonts w:eastAsia="仿宋_GB2312"/>
          <w:color w:val="000000" w:themeColor="text1"/>
          <w:sz w:val="32"/>
          <w:szCs w:val="32"/>
        </w:rPr>
        <w:t>样本保存条件：应注明临床分离纯菌的培养后保存条件。</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6.5</w:t>
      </w:r>
      <w:r>
        <w:rPr>
          <w:rFonts w:eastAsia="仿宋_GB2312"/>
          <w:color w:val="000000" w:themeColor="text1"/>
          <w:sz w:val="32"/>
          <w:szCs w:val="32"/>
        </w:rPr>
        <w:t>样本制备后（菌悬液）保存条件：应注明菌悬液保存条件。</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上述描述均应建立在相关性能评价及稳定性研究的基础上。</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7.</w:t>
      </w:r>
      <w:r>
        <w:rPr>
          <w:rFonts w:eastAsia="仿宋_GB2312"/>
          <w:color w:val="000000" w:themeColor="text1"/>
          <w:sz w:val="32"/>
          <w:szCs w:val="32"/>
        </w:rPr>
        <w:t>【检验方法】</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lastRenderedPageBreak/>
        <w:t>描述自动分析的工作流程或者详细说明试验操作的各个步骤，例如：</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7.1</w:t>
      </w:r>
      <w:r>
        <w:rPr>
          <w:rFonts w:eastAsia="仿宋_GB2312"/>
          <w:color w:val="000000" w:themeColor="text1"/>
          <w:sz w:val="32"/>
          <w:szCs w:val="32"/>
        </w:rPr>
        <w:t>详细说明各试剂组分的稀释、混合及其他必要的处理程序、试剂的使用方法（自动</w:t>
      </w:r>
      <w:r>
        <w:rPr>
          <w:rFonts w:eastAsia="仿宋_GB2312"/>
          <w:color w:val="000000" w:themeColor="text1"/>
          <w:sz w:val="32"/>
          <w:szCs w:val="32"/>
        </w:rPr>
        <w:t>/</w:t>
      </w:r>
      <w:r>
        <w:rPr>
          <w:rFonts w:eastAsia="仿宋_GB2312"/>
          <w:color w:val="000000" w:themeColor="text1"/>
          <w:sz w:val="32"/>
          <w:szCs w:val="32"/>
        </w:rPr>
        <w:t>半自动</w:t>
      </w:r>
      <w:r>
        <w:rPr>
          <w:rFonts w:eastAsia="仿宋_GB2312"/>
          <w:color w:val="000000" w:themeColor="text1"/>
          <w:sz w:val="32"/>
          <w:szCs w:val="32"/>
        </w:rPr>
        <w:t>/</w:t>
      </w:r>
      <w:r>
        <w:rPr>
          <w:rFonts w:eastAsia="仿宋_GB2312"/>
          <w:color w:val="000000" w:themeColor="text1"/>
          <w:sz w:val="32"/>
          <w:szCs w:val="32"/>
        </w:rPr>
        <w:t>手工）、注意事项等。</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7.2</w:t>
      </w:r>
      <w:r>
        <w:rPr>
          <w:rFonts w:eastAsia="仿宋_GB2312"/>
          <w:color w:val="000000" w:themeColor="text1"/>
          <w:sz w:val="32"/>
          <w:szCs w:val="32"/>
        </w:rPr>
        <w:t>详细描述待测样本菌悬液制备方法，包括步骤及注意事项。</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7.3</w:t>
      </w:r>
      <w:r>
        <w:rPr>
          <w:rFonts w:eastAsia="仿宋_GB2312"/>
          <w:color w:val="000000" w:themeColor="text1"/>
          <w:sz w:val="32"/>
          <w:szCs w:val="32"/>
        </w:rPr>
        <w:t>描述接种量：加样</w:t>
      </w:r>
      <w:r>
        <w:rPr>
          <w:rFonts w:eastAsia="仿宋_GB2312" w:hint="eastAsia"/>
          <w:color w:val="000000" w:themeColor="text1"/>
          <w:sz w:val="32"/>
          <w:szCs w:val="32"/>
        </w:rPr>
        <w:t>浓度、</w:t>
      </w:r>
      <w:r>
        <w:rPr>
          <w:rFonts w:eastAsia="仿宋_GB2312"/>
          <w:color w:val="000000" w:themeColor="text1"/>
          <w:sz w:val="32"/>
          <w:szCs w:val="32"/>
        </w:rPr>
        <w:t>体积等。</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7.4</w:t>
      </w:r>
      <w:r>
        <w:rPr>
          <w:rFonts w:eastAsia="仿宋_GB2312"/>
          <w:color w:val="000000" w:themeColor="text1"/>
          <w:sz w:val="32"/>
          <w:szCs w:val="32"/>
        </w:rPr>
        <w:t>描述手工或上机操作等。</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7.5</w:t>
      </w:r>
      <w:r>
        <w:rPr>
          <w:rFonts w:eastAsia="仿宋_GB2312"/>
          <w:color w:val="000000" w:themeColor="text1"/>
          <w:sz w:val="32"/>
          <w:szCs w:val="32"/>
        </w:rPr>
        <w:t>质量控制方法：质量控制的建议及相关操作步骤等。</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8.</w:t>
      </w:r>
      <w:r>
        <w:rPr>
          <w:rFonts w:eastAsia="仿宋_GB2312"/>
          <w:color w:val="000000" w:themeColor="text1"/>
          <w:sz w:val="32"/>
          <w:szCs w:val="32"/>
        </w:rPr>
        <w:t>【阳性判断值】</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结合阳性判断值确定的研究资料，列出试剂的阳性判断值，并简要说明阳性判断值确定的方法。</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9.</w:t>
      </w:r>
      <w:r>
        <w:rPr>
          <w:rFonts w:eastAsia="仿宋_GB2312"/>
          <w:color w:val="000000" w:themeColor="text1"/>
          <w:sz w:val="32"/>
          <w:szCs w:val="32"/>
        </w:rPr>
        <w:t>【检验结果的解释】</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结合临床结果应有明确的解释，如出现异常情况，可能的原因是哪些，如何处理，应进行详细描述。</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10.</w:t>
      </w:r>
      <w:r>
        <w:rPr>
          <w:rFonts w:eastAsia="仿宋_GB2312"/>
          <w:color w:val="000000" w:themeColor="text1"/>
          <w:sz w:val="32"/>
          <w:szCs w:val="32"/>
        </w:rPr>
        <w:t>【检验方法局限性】</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10.1</w:t>
      </w:r>
      <w:r>
        <w:rPr>
          <w:rFonts w:eastAsia="仿宋_GB2312"/>
          <w:color w:val="000000" w:themeColor="text1"/>
          <w:sz w:val="32"/>
          <w:szCs w:val="32"/>
        </w:rPr>
        <w:t>本试剂盒的检测结果应结合患者的症状</w:t>
      </w:r>
      <w:r>
        <w:rPr>
          <w:rFonts w:eastAsia="仿宋_GB2312"/>
          <w:color w:val="000000" w:themeColor="text1"/>
          <w:sz w:val="32"/>
          <w:szCs w:val="32"/>
        </w:rPr>
        <w:t>/</w:t>
      </w:r>
      <w:r>
        <w:rPr>
          <w:rFonts w:eastAsia="仿宋_GB2312"/>
          <w:color w:val="000000" w:themeColor="text1"/>
          <w:sz w:val="32"/>
          <w:szCs w:val="32"/>
        </w:rPr>
        <w:t>体征、病史、其他实验室诊断结果等情况进行综合分析以及解释，不得作为患者临床诊治或管理的唯一依据。</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10.2</w:t>
      </w:r>
      <w:r>
        <w:rPr>
          <w:rFonts w:eastAsia="仿宋_GB2312"/>
          <w:color w:val="000000" w:themeColor="text1"/>
          <w:sz w:val="32"/>
          <w:szCs w:val="32"/>
        </w:rPr>
        <w:t>变异的菌株可能导致不能正确识别。</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t>11.</w:t>
      </w:r>
      <w:r>
        <w:rPr>
          <w:rFonts w:eastAsia="仿宋_GB2312"/>
          <w:color w:val="000000" w:themeColor="text1"/>
          <w:sz w:val="32"/>
          <w:szCs w:val="32"/>
        </w:rPr>
        <w:t>【产品性能指标】</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描述产品性能，包括以下内容：</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11.1</w:t>
      </w:r>
      <w:r>
        <w:rPr>
          <w:rFonts w:eastAsia="仿宋_GB2312"/>
          <w:color w:val="000000" w:themeColor="text1"/>
          <w:sz w:val="32"/>
          <w:szCs w:val="32"/>
        </w:rPr>
        <w:t>准确性：说明准确性评价结果</w:t>
      </w:r>
      <w:r>
        <w:rPr>
          <w:rFonts w:eastAsia="仿宋_GB2312" w:hint="eastAsia"/>
          <w:color w:val="000000" w:themeColor="text1"/>
          <w:sz w:val="32"/>
          <w:szCs w:val="32"/>
        </w:rPr>
        <w:t>。</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11.2</w:t>
      </w:r>
      <w:r>
        <w:rPr>
          <w:rFonts w:eastAsia="仿宋_GB2312"/>
          <w:color w:val="000000" w:themeColor="text1"/>
          <w:sz w:val="32"/>
          <w:szCs w:val="32"/>
        </w:rPr>
        <w:t>精密度：说明精密度的评价结果，如：重复性、中间精密度。</w:t>
      </w:r>
    </w:p>
    <w:p w:rsidR="00EF5DF8" w:rsidRDefault="00B51062">
      <w:pPr>
        <w:spacing w:line="520" w:lineRule="exact"/>
        <w:ind w:firstLineChars="200" w:firstLine="640"/>
        <w:rPr>
          <w:rFonts w:eastAsia="仿宋_GB2312"/>
          <w:color w:val="000000" w:themeColor="text1"/>
          <w:sz w:val="32"/>
          <w:szCs w:val="32"/>
        </w:rPr>
      </w:pPr>
      <w:r>
        <w:rPr>
          <w:rFonts w:eastAsia="仿宋_GB2312" w:hint="eastAsia"/>
          <w:color w:val="000000" w:themeColor="text1"/>
          <w:sz w:val="32"/>
          <w:szCs w:val="32"/>
        </w:rPr>
        <w:lastRenderedPageBreak/>
        <w:t>12.</w:t>
      </w:r>
      <w:r>
        <w:rPr>
          <w:rFonts w:eastAsia="仿宋_GB2312"/>
          <w:color w:val="000000" w:themeColor="text1"/>
          <w:sz w:val="32"/>
          <w:szCs w:val="32"/>
        </w:rPr>
        <w:t>【注意事项】</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应至少包括以下内容：</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12.1</w:t>
      </w:r>
      <w:r>
        <w:rPr>
          <w:rFonts w:eastAsia="仿宋_GB2312"/>
          <w:color w:val="000000" w:themeColor="text1"/>
          <w:sz w:val="32"/>
          <w:szCs w:val="32"/>
        </w:rPr>
        <w:t>如产品含有人源或动物源性物质，应提供具有潜在传染性的警示性信息。</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12.2</w:t>
      </w:r>
      <w:r>
        <w:rPr>
          <w:rFonts w:eastAsia="仿宋_GB2312"/>
          <w:color w:val="000000" w:themeColor="text1"/>
          <w:sz w:val="32"/>
          <w:szCs w:val="32"/>
        </w:rPr>
        <w:t>如产品出现某些显性性状时，应提示相应的措施，如包装袋破损不得使用等。</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12.3</w:t>
      </w:r>
      <w:r>
        <w:rPr>
          <w:rFonts w:eastAsia="仿宋_GB2312"/>
          <w:color w:val="000000" w:themeColor="text1"/>
          <w:sz w:val="32"/>
          <w:szCs w:val="32"/>
        </w:rPr>
        <w:t>临床实验室应严格遵守国家生物安全相关法律法规，对使用的废弃物进行规范处理等。</w:t>
      </w:r>
    </w:p>
    <w:p w:rsidR="00EF5DF8" w:rsidRDefault="00B51062">
      <w:pPr>
        <w:pStyle w:val="Default"/>
        <w:spacing w:line="520" w:lineRule="exact"/>
        <w:ind w:firstLineChars="200" w:firstLine="640"/>
        <w:rPr>
          <w:rFonts w:ascii="Times New Roman" w:eastAsia="楷体_GB2312" w:hAnsi="Times New Roman" w:hint="default"/>
          <w:color w:val="000000" w:themeColor="text1"/>
          <w:sz w:val="32"/>
          <w:szCs w:val="32"/>
        </w:rPr>
      </w:pPr>
      <w:r>
        <w:rPr>
          <w:rFonts w:ascii="Times New Roman" w:eastAsia="楷体_GB2312" w:hAnsi="Times New Roman" w:hint="default"/>
          <w:color w:val="000000" w:themeColor="text1"/>
          <w:sz w:val="32"/>
          <w:szCs w:val="32"/>
        </w:rPr>
        <w:t>（六）质量管理体系文件</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质量管理体系文件主要包括生产制造信息、质量管理体系程序、管理职责程序、资源管理程序、产品实现程序质量、管理体系的测量</w:t>
      </w:r>
      <w:r>
        <w:rPr>
          <w:rFonts w:eastAsia="仿宋_GB2312"/>
          <w:color w:val="000000" w:themeColor="text1"/>
          <w:sz w:val="32"/>
          <w:szCs w:val="32"/>
        </w:rPr>
        <w:t>/</w:t>
      </w:r>
      <w:r>
        <w:rPr>
          <w:rFonts w:eastAsia="仿宋_GB2312"/>
          <w:color w:val="000000" w:themeColor="text1"/>
          <w:sz w:val="32"/>
          <w:szCs w:val="32"/>
        </w:rPr>
        <w:t>分析</w:t>
      </w:r>
      <w:r>
        <w:rPr>
          <w:rFonts w:eastAsia="仿宋_GB2312"/>
          <w:color w:val="000000" w:themeColor="text1"/>
          <w:sz w:val="32"/>
          <w:szCs w:val="32"/>
        </w:rPr>
        <w:t>/</w:t>
      </w:r>
      <w:r>
        <w:rPr>
          <w:rFonts w:eastAsia="仿宋_GB2312"/>
          <w:color w:val="000000" w:themeColor="text1"/>
          <w:sz w:val="32"/>
          <w:szCs w:val="32"/>
        </w:rPr>
        <w:t>改进程序、其他质量体系程序信息、质量管理体系核查文件。申请人应按照相关法规要求建立相应的质量管理体系，确保产品在符合质量管理体系的环境下生产。</w:t>
      </w:r>
    </w:p>
    <w:p w:rsidR="00EF5DF8" w:rsidRDefault="00B51062">
      <w:pPr>
        <w:spacing w:line="520" w:lineRule="exact"/>
        <w:ind w:firstLineChars="200" w:firstLine="640"/>
        <w:rPr>
          <w:rFonts w:eastAsia="仿宋_GB2312"/>
          <w:bCs/>
          <w:color w:val="000000" w:themeColor="text1"/>
          <w:sz w:val="32"/>
          <w:szCs w:val="32"/>
        </w:rPr>
      </w:pPr>
      <w:r>
        <w:rPr>
          <w:rFonts w:eastAsia="黑体"/>
          <w:color w:val="000000" w:themeColor="text1"/>
          <w:sz w:val="32"/>
          <w:szCs w:val="32"/>
        </w:rPr>
        <w:t>三、参考文献</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w:t>
      </w:r>
      <w:r>
        <w:rPr>
          <w:rFonts w:eastAsia="仿宋_GB2312"/>
          <w:color w:val="000000" w:themeColor="text1"/>
          <w:sz w:val="32"/>
          <w:szCs w:val="32"/>
        </w:rPr>
        <w:t>国家市场监督管理总局</w:t>
      </w:r>
      <w:r>
        <w:rPr>
          <w:rFonts w:eastAsia="仿宋_GB2312"/>
          <w:color w:val="000000" w:themeColor="text1"/>
          <w:sz w:val="32"/>
          <w:szCs w:val="32"/>
        </w:rPr>
        <w:t>.</w:t>
      </w:r>
      <w:r>
        <w:rPr>
          <w:rFonts w:eastAsia="仿宋_GB2312"/>
          <w:color w:val="000000" w:themeColor="text1"/>
          <w:sz w:val="32"/>
          <w:szCs w:val="32"/>
        </w:rPr>
        <w:t>体外诊断试剂注册与备案管理办法</w:t>
      </w:r>
      <w:r>
        <w:rPr>
          <w:rFonts w:eastAsia="仿宋_GB2312"/>
          <w:color w:val="000000" w:themeColor="text1"/>
          <w:sz w:val="32"/>
          <w:szCs w:val="32"/>
        </w:rPr>
        <w:t>:</w:t>
      </w:r>
      <w:r>
        <w:rPr>
          <w:rFonts w:eastAsia="仿宋_GB2312"/>
          <w:color w:val="000000" w:themeColor="text1"/>
          <w:sz w:val="32"/>
          <w:szCs w:val="32"/>
        </w:rPr>
        <w:t>国家市场监督管理总局令第</w:t>
      </w:r>
      <w:r>
        <w:rPr>
          <w:rFonts w:eastAsia="仿宋_GB2312"/>
          <w:color w:val="000000" w:themeColor="text1"/>
          <w:sz w:val="32"/>
          <w:szCs w:val="32"/>
        </w:rPr>
        <w:t>48</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[2]</w:t>
      </w:r>
      <w:r>
        <w:rPr>
          <w:rFonts w:eastAsia="仿宋_GB2312"/>
          <w:color w:val="000000" w:themeColor="text1"/>
          <w:sz w:val="32"/>
          <w:szCs w:val="32"/>
        </w:rPr>
        <w:t>国家食品药品监督管理总局</w:t>
      </w:r>
      <w:r>
        <w:rPr>
          <w:rFonts w:eastAsia="仿宋_GB2312"/>
          <w:color w:val="000000" w:themeColor="text1"/>
          <w:sz w:val="32"/>
          <w:szCs w:val="32"/>
        </w:rPr>
        <w:t>.6840</w:t>
      </w:r>
      <w:r>
        <w:rPr>
          <w:rFonts w:eastAsia="仿宋_GB2312"/>
          <w:color w:val="000000" w:themeColor="text1"/>
          <w:sz w:val="32"/>
          <w:szCs w:val="32"/>
        </w:rPr>
        <w:t>体外诊断试剂分类子目录</w:t>
      </w:r>
      <w:r>
        <w:rPr>
          <w:rFonts w:eastAsia="仿宋_GB2312"/>
          <w:color w:val="000000" w:themeColor="text1"/>
          <w:sz w:val="32"/>
          <w:szCs w:val="32"/>
        </w:rPr>
        <w:t>(2013</w:t>
      </w:r>
      <w:r>
        <w:rPr>
          <w:rFonts w:eastAsia="仿宋_GB2312"/>
          <w:color w:val="000000" w:themeColor="text1"/>
          <w:sz w:val="32"/>
          <w:szCs w:val="32"/>
        </w:rPr>
        <w:t>年</w:t>
      </w:r>
      <w:r>
        <w:rPr>
          <w:rFonts w:eastAsia="仿宋_GB2312"/>
          <w:color w:val="000000" w:themeColor="text1"/>
          <w:sz w:val="32"/>
          <w:szCs w:val="32"/>
        </w:rPr>
        <w:t>):</w:t>
      </w:r>
      <w:r>
        <w:rPr>
          <w:rFonts w:eastAsia="仿宋_GB2312"/>
          <w:color w:val="000000" w:themeColor="text1"/>
          <w:sz w:val="32"/>
          <w:szCs w:val="32"/>
        </w:rPr>
        <w:t>国家食品药品监督管理总局通知</w:t>
      </w:r>
      <w:r>
        <w:rPr>
          <w:rFonts w:eastAsia="仿宋_GB2312"/>
          <w:color w:val="000000" w:themeColor="text1"/>
          <w:sz w:val="32"/>
          <w:szCs w:val="32"/>
        </w:rPr>
        <w:t>242</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[3]GB/T 42062</w:t>
      </w:r>
      <w:r>
        <w:rPr>
          <w:rFonts w:eastAsia="仿宋_GB2312" w:hint="eastAsia"/>
          <w:color w:val="000000" w:themeColor="text1"/>
          <w:sz w:val="32"/>
          <w:szCs w:val="32"/>
        </w:rPr>
        <w:t>-2022</w:t>
      </w:r>
      <w:r>
        <w:rPr>
          <w:rFonts w:eastAsia="仿宋_GB2312"/>
          <w:color w:val="000000" w:themeColor="text1"/>
          <w:sz w:val="32"/>
          <w:szCs w:val="32"/>
        </w:rPr>
        <w:t>,</w:t>
      </w:r>
      <w:r>
        <w:rPr>
          <w:rFonts w:eastAsia="仿宋_GB2312"/>
          <w:color w:val="000000" w:themeColor="text1"/>
          <w:sz w:val="32"/>
          <w:szCs w:val="32"/>
        </w:rPr>
        <w:t>医疗器械风险管理对医疗器械的应用</w:t>
      </w:r>
      <w:r>
        <w:rPr>
          <w:rFonts w:eastAsia="仿宋_GB2312"/>
          <w:color w:val="000000" w:themeColor="text1"/>
          <w:sz w:val="32"/>
          <w:szCs w:val="32"/>
        </w:rPr>
        <w:t>[S].</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[4]</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体外诊断试剂安全和性能基本原则清单</w:t>
      </w:r>
      <w:r>
        <w:rPr>
          <w:rFonts w:eastAsia="仿宋_GB2312"/>
          <w:color w:val="000000" w:themeColor="text1"/>
          <w:sz w:val="32"/>
          <w:szCs w:val="32"/>
        </w:rPr>
        <w:t>:</w:t>
      </w:r>
      <w:r>
        <w:rPr>
          <w:rFonts w:eastAsia="仿宋_GB2312"/>
          <w:color w:val="000000" w:themeColor="text1"/>
          <w:sz w:val="32"/>
          <w:szCs w:val="32"/>
        </w:rPr>
        <w:t>国家药监局公告</w:t>
      </w:r>
      <w:r>
        <w:rPr>
          <w:rFonts w:eastAsia="仿宋_GB2312"/>
          <w:color w:val="000000" w:themeColor="text1"/>
          <w:sz w:val="32"/>
          <w:szCs w:val="32"/>
        </w:rPr>
        <w:t>2021</w:t>
      </w:r>
      <w:r>
        <w:rPr>
          <w:rFonts w:eastAsia="仿宋_GB2312"/>
          <w:color w:val="000000" w:themeColor="text1"/>
          <w:sz w:val="32"/>
          <w:szCs w:val="32"/>
        </w:rPr>
        <w:t>年第</w:t>
      </w:r>
      <w:r>
        <w:rPr>
          <w:rFonts w:eastAsia="仿宋_GB2312"/>
          <w:color w:val="000000" w:themeColor="text1"/>
          <w:sz w:val="32"/>
          <w:szCs w:val="32"/>
        </w:rPr>
        <w:t>122</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[5]</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医疗器械产品技术要求编写指导原则</w:t>
      </w:r>
      <w:r>
        <w:rPr>
          <w:rFonts w:eastAsia="仿宋_GB2312"/>
          <w:color w:val="000000" w:themeColor="text1"/>
          <w:sz w:val="32"/>
          <w:szCs w:val="32"/>
        </w:rPr>
        <w:t>:</w:t>
      </w:r>
      <w:r>
        <w:rPr>
          <w:rFonts w:eastAsia="仿宋_GB2312"/>
          <w:color w:val="000000" w:themeColor="text1"/>
          <w:sz w:val="32"/>
          <w:szCs w:val="32"/>
        </w:rPr>
        <w:t>国家药监局公告</w:t>
      </w:r>
      <w:r>
        <w:rPr>
          <w:rFonts w:eastAsia="仿宋_GB2312"/>
          <w:color w:val="000000" w:themeColor="text1"/>
          <w:sz w:val="32"/>
          <w:szCs w:val="32"/>
        </w:rPr>
        <w:t>2022</w:t>
      </w:r>
      <w:r>
        <w:rPr>
          <w:rFonts w:eastAsia="仿宋_GB2312"/>
          <w:color w:val="000000" w:themeColor="text1"/>
          <w:sz w:val="32"/>
          <w:szCs w:val="32"/>
        </w:rPr>
        <w:t>年第</w:t>
      </w:r>
      <w:r>
        <w:rPr>
          <w:rFonts w:eastAsia="仿宋_GB2312"/>
          <w:color w:val="000000" w:themeColor="text1"/>
          <w:sz w:val="32"/>
          <w:szCs w:val="32"/>
        </w:rPr>
        <w:t>8</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lastRenderedPageBreak/>
        <w:t>[6]</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医疗器械注册自检管理规定</w:t>
      </w:r>
      <w:r>
        <w:rPr>
          <w:rFonts w:eastAsia="仿宋_GB2312"/>
          <w:color w:val="000000" w:themeColor="text1"/>
          <w:sz w:val="32"/>
          <w:szCs w:val="32"/>
        </w:rPr>
        <w:t>:</w:t>
      </w:r>
      <w:r>
        <w:rPr>
          <w:rFonts w:eastAsia="仿宋_GB2312"/>
          <w:color w:val="000000" w:themeColor="text1"/>
          <w:sz w:val="32"/>
          <w:szCs w:val="32"/>
        </w:rPr>
        <w:t>国家药品监督管理局公告</w:t>
      </w:r>
      <w:r>
        <w:rPr>
          <w:rFonts w:eastAsia="仿宋_GB2312"/>
          <w:color w:val="000000" w:themeColor="text1"/>
          <w:sz w:val="32"/>
          <w:szCs w:val="32"/>
        </w:rPr>
        <w:t>2021</w:t>
      </w:r>
      <w:r>
        <w:rPr>
          <w:rFonts w:eastAsia="仿宋_GB2312"/>
          <w:color w:val="000000" w:themeColor="text1"/>
          <w:sz w:val="32"/>
          <w:szCs w:val="32"/>
        </w:rPr>
        <w:t>年</w:t>
      </w:r>
      <w:r>
        <w:rPr>
          <w:rFonts w:eastAsia="仿宋_GB2312"/>
          <w:color w:val="000000" w:themeColor="text1"/>
          <w:sz w:val="32"/>
          <w:szCs w:val="32"/>
        </w:rPr>
        <w:t>126</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[7]</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免于临床试验的体外诊断试剂临床评价技术指导原则</w:t>
      </w:r>
      <w:r>
        <w:rPr>
          <w:rFonts w:eastAsia="仿宋_GB2312"/>
          <w:color w:val="000000" w:themeColor="text1"/>
          <w:sz w:val="32"/>
          <w:szCs w:val="32"/>
        </w:rPr>
        <w:t>:</w:t>
      </w:r>
      <w:r>
        <w:rPr>
          <w:rFonts w:eastAsia="仿宋_GB2312"/>
          <w:color w:val="000000" w:themeColor="text1"/>
          <w:sz w:val="32"/>
          <w:szCs w:val="32"/>
        </w:rPr>
        <w:t>国家药监局通告</w:t>
      </w:r>
      <w:r>
        <w:rPr>
          <w:rFonts w:eastAsia="仿宋_GB2312"/>
          <w:color w:val="000000" w:themeColor="text1"/>
          <w:sz w:val="32"/>
          <w:szCs w:val="32"/>
        </w:rPr>
        <w:t>2021</w:t>
      </w:r>
      <w:r>
        <w:rPr>
          <w:rFonts w:eastAsia="仿宋_GB2312"/>
          <w:color w:val="000000" w:themeColor="text1"/>
          <w:sz w:val="32"/>
          <w:szCs w:val="32"/>
        </w:rPr>
        <w:t>年第</w:t>
      </w:r>
      <w:r>
        <w:rPr>
          <w:rFonts w:eastAsia="仿宋_GB2312"/>
          <w:color w:val="000000" w:themeColor="text1"/>
          <w:sz w:val="32"/>
          <w:szCs w:val="32"/>
        </w:rPr>
        <w:t>74</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[8]</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免于临床试验体外诊断试剂目录</w:t>
      </w:r>
      <w:r>
        <w:rPr>
          <w:rFonts w:eastAsia="仿宋_GB2312"/>
          <w:color w:val="000000" w:themeColor="text1"/>
          <w:sz w:val="32"/>
          <w:szCs w:val="32"/>
        </w:rPr>
        <w:t>:</w:t>
      </w:r>
      <w:r>
        <w:rPr>
          <w:rFonts w:eastAsia="仿宋_GB2312"/>
          <w:color w:val="000000" w:themeColor="text1"/>
          <w:sz w:val="32"/>
          <w:szCs w:val="32"/>
        </w:rPr>
        <w:t>国家药监局通告</w:t>
      </w:r>
      <w:r>
        <w:rPr>
          <w:rFonts w:eastAsia="仿宋_GB2312"/>
          <w:color w:val="000000" w:themeColor="text1"/>
          <w:sz w:val="32"/>
          <w:szCs w:val="32"/>
        </w:rPr>
        <w:t>2021</w:t>
      </w:r>
      <w:r>
        <w:rPr>
          <w:rFonts w:eastAsia="仿宋_GB2312"/>
          <w:color w:val="000000" w:themeColor="text1"/>
          <w:sz w:val="32"/>
          <w:szCs w:val="32"/>
        </w:rPr>
        <w:t>年第</w:t>
      </w:r>
      <w:r>
        <w:rPr>
          <w:rFonts w:eastAsia="仿宋_GB2312"/>
          <w:color w:val="000000" w:themeColor="text1"/>
          <w:sz w:val="32"/>
          <w:szCs w:val="32"/>
        </w:rPr>
        <w:t>70</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[9]</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体外诊断试剂临床试验技术指导原则</w:t>
      </w:r>
      <w:r>
        <w:rPr>
          <w:rFonts w:eastAsia="仿宋_GB2312"/>
          <w:color w:val="000000" w:themeColor="text1"/>
          <w:sz w:val="32"/>
          <w:szCs w:val="32"/>
        </w:rPr>
        <w:t>:</w:t>
      </w:r>
      <w:r>
        <w:rPr>
          <w:rFonts w:eastAsia="仿宋_GB2312"/>
          <w:color w:val="000000" w:themeColor="text1"/>
          <w:sz w:val="32"/>
          <w:szCs w:val="32"/>
        </w:rPr>
        <w:t>国家药品监督管理局通告</w:t>
      </w:r>
      <w:r>
        <w:rPr>
          <w:rFonts w:eastAsia="仿宋_GB2312"/>
          <w:color w:val="000000" w:themeColor="text1"/>
          <w:sz w:val="32"/>
          <w:szCs w:val="32"/>
        </w:rPr>
        <w:t>2021</w:t>
      </w:r>
      <w:r>
        <w:rPr>
          <w:rFonts w:eastAsia="仿宋_GB2312"/>
          <w:color w:val="000000" w:themeColor="text1"/>
          <w:sz w:val="32"/>
          <w:szCs w:val="32"/>
        </w:rPr>
        <w:t>年第</w:t>
      </w:r>
      <w:r>
        <w:rPr>
          <w:rFonts w:eastAsia="仿宋_GB2312"/>
          <w:color w:val="000000" w:themeColor="text1"/>
          <w:sz w:val="32"/>
          <w:szCs w:val="32"/>
        </w:rPr>
        <w:t>72</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[10]</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国家卫生健康委员会</w:t>
      </w:r>
      <w:r>
        <w:rPr>
          <w:rFonts w:eastAsia="仿宋_GB2312"/>
          <w:color w:val="000000" w:themeColor="text1"/>
          <w:sz w:val="32"/>
          <w:szCs w:val="32"/>
        </w:rPr>
        <w:t>.</w:t>
      </w:r>
      <w:r>
        <w:rPr>
          <w:rFonts w:eastAsia="仿宋_GB2312"/>
          <w:color w:val="000000" w:themeColor="text1"/>
          <w:sz w:val="32"/>
          <w:szCs w:val="32"/>
        </w:rPr>
        <w:t>医疗器械临床试验质量管理规范</w:t>
      </w:r>
      <w:r>
        <w:rPr>
          <w:rFonts w:eastAsia="仿宋_GB2312"/>
          <w:color w:val="000000" w:themeColor="text1"/>
          <w:sz w:val="32"/>
          <w:szCs w:val="32"/>
        </w:rPr>
        <w:t>:</w:t>
      </w:r>
      <w:r>
        <w:rPr>
          <w:rFonts w:eastAsia="仿宋_GB2312"/>
          <w:color w:val="000000" w:themeColor="text1"/>
          <w:sz w:val="32"/>
          <w:szCs w:val="32"/>
        </w:rPr>
        <w:t>国家药品监督管理局</w:t>
      </w:r>
      <w:r>
        <w:rPr>
          <w:rFonts w:eastAsia="仿宋_GB2312"/>
          <w:color w:val="000000" w:themeColor="text1"/>
          <w:sz w:val="32"/>
          <w:szCs w:val="32"/>
        </w:rPr>
        <w:t>,</w:t>
      </w:r>
      <w:r>
        <w:rPr>
          <w:rFonts w:eastAsia="仿宋_GB2312"/>
          <w:color w:val="000000" w:themeColor="text1"/>
          <w:sz w:val="32"/>
          <w:szCs w:val="32"/>
        </w:rPr>
        <w:t>国家卫生健康委员会公告</w:t>
      </w:r>
      <w:r>
        <w:rPr>
          <w:rFonts w:eastAsia="仿宋_GB2312"/>
          <w:color w:val="000000" w:themeColor="text1"/>
          <w:sz w:val="32"/>
          <w:szCs w:val="32"/>
        </w:rPr>
        <w:t>2022</w:t>
      </w:r>
      <w:r>
        <w:rPr>
          <w:rFonts w:eastAsia="仿宋_GB2312"/>
          <w:color w:val="000000" w:themeColor="text1"/>
          <w:sz w:val="32"/>
          <w:szCs w:val="32"/>
        </w:rPr>
        <w:t>年第</w:t>
      </w:r>
      <w:r>
        <w:rPr>
          <w:rFonts w:eastAsia="仿宋_GB2312"/>
          <w:color w:val="000000" w:themeColor="text1"/>
          <w:sz w:val="32"/>
          <w:szCs w:val="32"/>
        </w:rPr>
        <w:t>28</w:t>
      </w:r>
      <w:r>
        <w:rPr>
          <w:rFonts w:eastAsia="仿宋_GB2312"/>
          <w:color w:val="000000" w:themeColor="text1"/>
          <w:sz w:val="32"/>
          <w:szCs w:val="32"/>
        </w:rPr>
        <w:t>号</w:t>
      </w:r>
      <w:r>
        <w:rPr>
          <w:rFonts w:eastAsia="仿宋_GB2312"/>
          <w:color w:val="000000" w:themeColor="text1"/>
          <w:sz w:val="32"/>
          <w:szCs w:val="32"/>
        </w:rPr>
        <w:t>[Z].</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[11]</w:t>
      </w:r>
      <w:r>
        <w:rPr>
          <w:rFonts w:eastAsia="仿宋_GB2312"/>
          <w:color w:val="000000" w:themeColor="text1"/>
          <w:sz w:val="32"/>
          <w:szCs w:val="32"/>
        </w:rPr>
        <w:t>国家食品药品监督管理总局</w:t>
      </w:r>
      <w:r>
        <w:rPr>
          <w:rFonts w:eastAsia="仿宋_GB2312"/>
          <w:color w:val="000000" w:themeColor="text1"/>
          <w:sz w:val="32"/>
          <w:szCs w:val="32"/>
        </w:rPr>
        <w:t>.</w:t>
      </w:r>
      <w:r>
        <w:rPr>
          <w:rFonts w:eastAsia="仿宋_GB2312"/>
          <w:color w:val="000000" w:themeColor="text1"/>
          <w:sz w:val="32"/>
          <w:szCs w:val="32"/>
        </w:rPr>
        <w:t>体外诊断试剂说明书编写指导原则</w:t>
      </w:r>
      <w:r>
        <w:rPr>
          <w:rFonts w:eastAsia="仿宋_GB2312"/>
          <w:color w:val="000000" w:themeColor="text1"/>
          <w:sz w:val="32"/>
          <w:szCs w:val="32"/>
        </w:rPr>
        <w:t>:</w:t>
      </w:r>
      <w:r>
        <w:rPr>
          <w:rFonts w:eastAsia="仿宋_GB2312"/>
          <w:color w:val="000000" w:themeColor="text1"/>
          <w:sz w:val="32"/>
          <w:szCs w:val="32"/>
        </w:rPr>
        <w:t>国家食品药品监督管理总局通告</w:t>
      </w:r>
      <w:r>
        <w:rPr>
          <w:rFonts w:eastAsia="仿宋_GB2312"/>
          <w:color w:val="000000" w:themeColor="text1"/>
          <w:sz w:val="32"/>
          <w:szCs w:val="32"/>
        </w:rPr>
        <w:t>2014</w:t>
      </w:r>
      <w:r>
        <w:rPr>
          <w:rFonts w:eastAsia="仿宋_GB2312"/>
          <w:color w:val="000000" w:themeColor="text1"/>
          <w:sz w:val="32"/>
          <w:szCs w:val="32"/>
        </w:rPr>
        <w:t>年第</w:t>
      </w:r>
      <w:r>
        <w:rPr>
          <w:rFonts w:eastAsia="仿宋_GB2312"/>
          <w:color w:val="000000" w:themeColor="text1"/>
          <w:sz w:val="32"/>
          <w:szCs w:val="32"/>
        </w:rPr>
        <w:t>17</w:t>
      </w:r>
      <w:r>
        <w:rPr>
          <w:rFonts w:eastAsia="仿宋_GB2312"/>
          <w:color w:val="000000" w:themeColor="text1"/>
          <w:sz w:val="32"/>
          <w:szCs w:val="32"/>
        </w:rPr>
        <w:t>号</w:t>
      </w:r>
      <w:r>
        <w:rPr>
          <w:rFonts w:eastAsia="仿宋_GB2312"/>
          <w:color w:val="000000" w:themeColor="text1"/>
          <w:sz w:val="32"/>
          <w:szCs w:val="32"/>
        </w:rPr>
        <w:t xml:space="preserve">[Z]. </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[12]YY/T 1531</w:t>
      </w:r>
      <w:r>
        <w:rPr>
          <w:rFonts w:eastAsia="仿宋_GB2312" w:hint="eastAsia"/>
          <w:color w:val="000000" w:themeColor="text1"/>
          <w:sz w:val="32"/>
          <w:szCs w:val="32"/>
        </w:rPr>
        <w:t>-2017</w:t>
      </w:r>
      <w:r>
        <w:rPr>
          <w:rFonts w:eastAsia="仿宋_GB2312"/>
          <w:color w:val="000000" w:themeColor="text1"/>
          <w:sz w:val="32"/>
          <w:szCs w:val="32"/>
        </w:rPr>
        <w:t>,</w:t>
      </w:r>
      <w:r>
        <w:rPr>
          <w:rFonts w:eastAsia="仿宋_GB2312"/>
          <w:color w:val="000000" w:themeColor="text1"/>
          <w:sz w:val="32"/>
          <w:szCs w:val="32"/>
        </w:rPr>
        <w:t>细菌生化鉴定系统</w:t>
      </w:r>
      <w:r>
        <w:rPr>
          <w:rFonts w:eastAsia="仿宋_GB2312"/>
          <w:color w:val="000000" w:themeColor="text1"/>
          <w:sz w:val="32"/>
          <w:szCs w:val="32"/>
        </w:rPr>
        <w:t>[S].</w:t>
      </w:r>
    </w:p>
    <w:p w:rsidR="00EF5DF8" w:rsidRDefault="00EF5DF8">
      <w:pPr>
        <w:spacing w:line="520" w:lineRule="exact"/>
        <w:ind w:firstLineChars="200" w:firstLine="640"/>
        <w:rPr>
          <w:rFonts w:eastAsia="仿宋_GB2312"/>
          <w:color w:val="000000" w:themeColor="text1"/>
          <w:sz w:val="32"/>
          <w:szCs w:val="32"/>
        </w:rPr>
        <w:sectPr w:rsidR="00EF5DF8" w:rsidSect="00C30981">
          <w:headerReference w:type="default" r:id="rId7"/>
          <w:footerReference w:type="even" r:id="rId8"/>
          <w:footerReference w:type="default" r:id="rId9"/>
          <w:pgSz w:w="11906" w:h="16838"/>
          <w:pgMar w:top="1701" w:right="1588" w:bottom="1701" w:left="1588" w:header="851" w:footer="1247" w:gutter="0"/>
          <w:pgNumType w:start="298"/>
          <w:cols w:space="720"/>
          <w:docGrid w:type="lines" w:linePitch="312"/>
        </w:sectPr>
      </w:pPr>
    </w:p>
    <w:p w:rsidR="00EF5DF8" w:rsidRDefault="00B51062" w:rsidP="008A1C50">
      <w:pPr>
        <w:spacing w:line="520" w:lineRule="exact"/>
        <w:outlineLvl w:val="0"/>
        <w:rPr>
          <w:rFonts w:eastAsia="黑体"/>
          <w:color w:val="000000" w:themeColor="text1"/>
          <w:sz w:val="32"/>
          <w:szCs w:val="32"/>
        </w:rPr>
      </w:pPr>
      <w:r>
        <w:rPr>
          <w:rFonts w:eastAsia="黑体" w:hint="eastAsia"/>
          <w:color w:val="000000" w:themeColor="text1"/>
          <w:sz w:val="32"/>
          <w:szCs w:val="32"/>
        </w:rPr>
        <w:lastRenderedPageBreak/>
        <w:t>附件</w:t>
      </w:r>
      <w:r>
        <w:rPr>
          <w:rFonts w:eastAsia="黑体"/>
          <w:color w:val="000000" w:themeColor="text1"/>
          <w:sz w:val="32"/>
          <w:szCs w:val="32"/>
        </w:rPr>
        <w:t xml:space="preserve">        </w:t>
      </w:r>
    </w:p>
    <w:p w:rsidR="00C30981" w:rsidRPr="00C30981" w:rsidRDefault="00C30981" w:rsidP="008A1C50">
      <w:pPr>
        <w:pStyle w:val="a0"/>
        <w:spacing w:line="520" w:lineRule="exact"/>
      </w:pPr>
    </w:p>
    <w:p w:rsidR="00EF5DF8" w:rsidRDefault="00B51062" w:rsidP="008A1C50">
      <w:pPr>
        <w:spacing w:line="520" w:lineRule="exact"/>
        <w:jc w:val="center"/>
        <w:outlineLvl w:val="0"/>
        <w:rPr>
          <w:rFonts w:ascii="方正小标宋简体" w:eastAsia="方正小标宋简体" w:hAnsi="方正小标宋简体" w:cs="方正小标宋简体"/>
          <w:color w:val="000000" w:themeColor="text1"/>
          <w:sz w:val="44"/>
          <w:szCs w:val="44"/>
        </w:rPr>
      </w:pPr>
      <w:r>
        <w:rPr>
          <w:rFonts w:ascii="方正小标宋简体" w:eastAsia="方正小标宋简体" w:hAnsi="方正小标宋简体" w:cs="方正小标宋简体" w:hint="eastAsia"/>
          <w:color w:val="000000" w:themeColor="text1"/>
          <w:sz w:val="44"/>
          <w:szCs w:val="44"/>
        </w:rPr>
        <w:t>革兰阴性杆菌及其鉴定简介</w:t>
      </w:r>
    </w:p>
    <w:p w:rsidR="008A1C50" w:rsidRPr="008A1C50" w:rsidRDefault="008A1C50" w:rsidP="008A1C50">
      <w:pPr>
        <w:pStyle w:val="a0"/>
        <w:spacing w:line="520" w:lineRule="exact"/>
      </w:pP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革兰阴性菌是指细胞壁较薄，经革兰染色后呈红色的一类细菌。根据镜下形态，可分为革兰阴性杆菌、革兰阴性球菌。</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临床革兰阴性杆菌主要包括埃希菌属、沙门菌属、志贺菌属、克雷伯菌属、沙雷菌属、变形杆菌属、嗜血杆菌属、假单胞菌属、不动杆菌属、鲍特菌属、军团菌属、类杆菌属、梭杆菌属等。</w:t>
      </w:r>
    </w:p>
    <w:p w:rsidR="00EF5DF8" w:rsidRDefault="00B51062">
      <w:pPr>
        <w:spacing w:line="520" w:lineRule="exact"/>
        <w:ind w:firstLineChars="200" w:firstLine="643"/>
        <w:rPr>
          <w:rFonts w:eastAsia="仿宋_GB2312"/>
          <w:color w:val="000000" w:themeColor="text1"/>
          <w:sz w:val="32"/>
          <w:szCs w:val="32"/>
        </w:rPr>
      </w:pPr>
      <w:r>
        <w:rPr>
          <w:rFonts w:eastAsia="仿宋_GB2312"/>
          <w:b/>
          <w:bCs/>
          <w:color w:val="000000" w:themeColor="text1"/>
          <w:sz w:val="32"/>
          <w:szCs w:val="32"/>
        </w:rPr>
        <w:t>埃希菌属</w:t>
      </w:r>
      <w:r>
        <w:rPr>
          <w:rFonts w:eastAsia="仿宋_GB2312"/>
          <w:color w:val="000000" w:themeColor="text1"/>
          <w:sz w:val="32"/>
          <w:szCs w:val="32"/>
        </w:rPr>
        <w:t>为兼性厌氧菌，代表菌株为大肠埃希菌；</w:t>
      </w:r>
      <w:r>
        <w:rPr>
          <w:rFonts w:eastAsia="仿宋_GB2312"/>
          <w:b/>
          <w:bCs/>
          <w:color w:val="000000" w:themeColor="text1"/>
          <w:sz w:val="32"/>
          <w:szCs w:val="32"/>
        </w:rPr>
        <w:t>沙门菌属</w:t>
      </w:r>
      <w:r>
        <w:rPr>
          <w:rFonts w:eastAsia="仿宋_GB2312"/>
          <w:color w:val="000000" w:themeColor="text1"/>
          <w:sz w:val="32"/>
          <w:szCs w:val="32"/>
        </w:rPr>
        <w:t>为兼性厌氧菌，代表菌株为伤寒沙门菌、副伤寒沙门菌；</w:t>
      </w:r>
      <w:r>
        <w:rPr>
          <w:rFonts w:eastAsia="仿宋_GB2312"/>
          <w:b/>
          <w:bCs/>
          <w:color w:val="000000" w:themeColor="text1"/>
          <w:sz w:val="32"/>
          <w:szCs w:val="32"/>
        </w:rPr>
        <w:t>志贺菌属</w:t>
      </w:r>
      <w:r>
        <w:rPr>
          <w:rFonts w:eastAsia="仿宋_GB2312"/>
          <w:color w:val="000000" w:themeColor="text1"/>
          <w:sz w:val="32"/>
          <w:szCs w:val="32"/>
        </w:rPr>
        <w:t>为兼性厌氧菌，代表菌株为痢疾志贺菌、福氏志贺菌、鲍氏志贺菌、宋内志贺菌；</w:t>
      </w:r>
      <w:r>
        <w:rPr>
          <w:rFonts w:eastAsia="仿宋_GB2312"/>
          <w:b/>
          <w:bCs/>
          <w:color w:val="000000" w:themeColor="text1"/>
          <w:sz w:val="32"/>
          <w:szCs w:val="32"/>
        </w:rPr>
        <w:t>克雷伯菌属</w:t>
      </w:r>
      <w:r>
        <w:rPr>
          <w:rFonts w:eastAsia="仿宋_GB2312"/>
          <w:color w:val="000000" w:themeColor="text1"/>
          <w:sz w:val="32"/>
          <w:szCs w:val="32"/>
        </w:rPr>
        <w:t>为需氧或兼性厌氧菌，代表菌株为肺炎克雷伯菌；</w:t>
      </w:r>
      <w:r>
        <w:rPr>
          <w:rFonts w:eastAsia="仿宋_GB2312"/>
          <w:b/>
          <w:bCs/>
          <w:color w:val="000000" w:themeColor="text1"/>
          <w:sz w:val="32"/>
          <w:szCs w:val="32"/>
        </w:rPr>
        <w:t>沙雷菌属</w:t>
      </w:r>
      <w:r>
        <w:rPr>
          <w:rFonts w:eastAsia="仿宋_GB2312"/>
          <w:color w:val="000000" w:themeColor="text1"/>
          <w:sz w:val="32"/>
          <w:szCs w:val="32"/>
        </w:rPr>
        <w:t>为兼性厌氧菌，代表菌株为黏质沙雷菌；</w:t>
      </w:r>
      <w:r>
        <w:rPr>
          <w:rFonts w:eastAsia="仿宋_GB2312"/>
          <w:b/>
          <w:bCs/>
          <w:color w:val="000000" w:themeColor="text1"/>
          <w:sz w:val="32"/>
          <w:szCs w:val="32"/>
        </w:rPr>
        <w:t>变形杆菌属</w:t>
      </w:r>
      <w:r>
        <w:rPr>
          <w:rFonts w:eastAsia="仿宋_GB2312"/>
          <w:color w:val="000000" w:themeColor="text1"/>
          <w:sz w:val="32"/>
          <w:szCs w:val="32"/>
        </w:rPr>
        <w:t>为兼性厌氧菌，代表菌株为普通变形杆菌、奇异变形杆菌；</w:t>
      </w:r>
      <w:r>
        <w:rPr>
          <w:rFonts w:eastAsia="仿宋_GB2312"/>
          <w:b/>
          <w:bCs/>
          <w:color w:val="000000" w:themeColor="text1"/>
          <w:sz w:val="32"/>
          <w:szCs w:val="32"/>
        </w:rPr>
        <w:t>嗜血杆菌属</w:t>
      </w:r>
      <w:r>
        <w:rPr>
          <w:rFonts w:eastAsia="仿宋_GB2312"/>
          <w:color w:val="000000" w:themeColor="text1"/>
          <w:sz w:val="32"/>
          <w:szCs w:val="32"/>
        </w:rPr>
        <w:t>为兼性厌氧菌，代表菌株为流感嗜血杆菌、副流感嗜血杆菌、溶血嗜血杆菌、副溶血嗜血杆菌；</w:t>
      </w:r>
      <w:r>
        <w:rPr>
          <w:rFonts w:eastAsia="仿宋_GB2312"/>
          <w:b/>
          <w:bCs/>
          <w:color w:val="000000" w:themeColor="text1"/>
          <w:sz w:val="32"/>
          <w:szCs w:val="32"/>
        </w:rPr>
        <w:t>假单胞菌属</w:t>
      </w:r>
      <w:r>
        <w:rPr>
          <w:rFonts w:eastAsia="仿宋_GB2312"/>
          <w:color w:val="000000" w:themeColor="text1"/>
          <w:sz w:val="32"/>
          <w:szCs w:val="32"/>
        </w:rPr>
        <w:t>为需氧菌，代表菌株为铜绿假单胞菌；</w:t>
      </w:r>
      <w:r>
        <w:rPr>
          <w:rFonts w:eastAsia="仿宋_GB2312"/>
          <w:b/>
          <w:bCs/>
          <w:color w:val="000000" w:themeColor="text1"/>
          <w:sz w:val="32"/>
          <w:szCs w:val="32"/>
        </w:rPr>
        <w:t>不动杆菌属</w:t>
      </w:r>
      <w:r>
        <w:rPr>
          <w:rFonts w:eastAsia="仿宋_GB2312"/>
          <w:color w:val="000000" w:themeColor="text1"/>
          <w:sz w:val="32"/>
          <w:szCs w:val="32"/>
        </w:rPr>
        <w:t>为需氧菌，代表菌株为鲍曼不动杆菌；</w:t>
      </w:r>
      <w:r>
        <w:rPr>
          <w:rFonts w:eastAsia="仿宋_GB2312"/>
          <w:b/>
          <w:bCs/>
          <w:color w:val="000000" w:themeColor="text1"/>
          <w:sz w:val="32"/>
          <w:szCs w:val="32"/>
        </w:rPr>
        <w:t>鲍特菌属</w:t>
      </w:r>
      <w:r>
        <w:rPr>
          <w:rFonts w:eastAsia="仿宋_GB2312"/>
          <w:color w:val="000000" w:themeColor="text1"/>
          <w:sz w:val="32"/>
          <w:szCs w:val="32"/>
        </w:rPr>
        <w:t>为需氧菌，代表菌株为百日咳鲍特菌、副百日咳鲍特菌；</w:t>
      </w:r>
      <w:r>
        <w:rPr>
          <w:rFonts w:eastAsia="仿宋_GB2312"/>
          <w:b/>
          <w:bCs/>
          <w:color w:val="000000" w:themeColor="text1"/>
          <w:sz w:val="32"/>
          <w:szCs w:val="32"/>
        </w:rPr>
        <w:t>军团菌属</w:t>
      </w:r>
      <w:r>
        <w:rPr>
          <w:rFonts w:eastAsia="仿宋_GB2312"/>
          <w:color w:val="000000" w:themeColor="text1"/>
          <w:sz w:val="32"/>
          <w:szCs w:val="32"/>
        </w:rPr>
        <w:t>为需氧菌，代表菌株为嗜肺军团菌；</w:t>
      </w:r>
      <w:r>
        <w:rPr>
          <w:rFonts w:eastAsia="仿宋_GB2312"/>
          <w:b/>
          <w:bCs/>
          <w:color w:val="000000" w:themeColor="text1"/>
          <w:sz w:val="32"/>
          <w:szCs w:val="32"/>
        </w:rPr>
        <w:t>布鲁菌属</w:t>
      </w:r>
      <w:r>
        <w:rPr>
          <w:rFonts w:eastAsia="仿宋_GB2312"/>
          <w:color w:val="000000" w:themeColor="text1"/>
          <w:sz w:val="32"/>
          <w:szCs w:val="32"/>
        </w:rPr>
        <w:t>为需氧菌，代表菌株株为布氏杆菌；</w:t>
      </w:r>
      <w:r>
        <w:rPr>
          <w:rFonts w:eastAsia="仿宋_GB2312"/>
          <w:b/>
          <w:bCs/>
          <w:color w:val="000000" w:themeColor="text1"/>
          <w:sz w:val="32"/>
          <w:szCs w:val="32"/>
        </w:rPr>
        <w:t>类杆菌属</w:t>
      </w:r>
      <w:r>
        <w:rPr>
          <w:rFonts w:eastAsia="仿宋_GB2312"/>
          <w:color w:val="000000" w:themeColor="text1"/>
          <w:sz w:val="32"/>
          <w:szCs w:val="32"/>
        </w:rPr>
        <w:t>为厌氧菌，代表菌株为脆弱类杆菌、普通类杆菌；</w:t>
      </w:r>
      <w:r>
        <w:rPr>
          <w:rFonts w:eastAsia="仿宋_GB2312"/>
          <w:b/>
          <w:bCs/>
          <w:color w:val="000000" w:themeColor="text1"/>
          <w:sz w:val="32"/>
          <w:szCs w:val="32"/>
        </w:rPr>
        <w:t>梭杆菌属</w:t>
      </w:r>
      <w:r>
        <w:rPr>
          <w:rFonts w:eastAsia="仿宋_GB2312"/>
          <w:color w:val="000000" w:themeColor="text1"/>
          <w:sz w:val="32"/>
          <w:szCs w:val="32"/>
        </w:rPr>
        <w:t>为厌氧菌，代表菌株为具核梭杆菌、坏死梭杆菌。</w:t>
      </w:r>
    </w:p>
    <w:p w:rsidR="00EF5DF8" w:rsidRDefault="00B51062">
      <w:pPr>
        <w:spacing w:line="520" w:lineRule="exact"/>
        <w:ind w:firstLineChars="200" w:firstLine="640"/>
        <w:rPr>
          <w:rFonts w:eastAsia="仿宋_GB2312"/>
          <w:color w:val="000000" w:themeColor="text1"/>
          <w:sz w:val="32"/>
          <w:szCs w:val="32"/>
          <w:highlight w:val="yellow"/>
        </w:rPr>
      </w:pPr>
      <w:r>
        <w:rPr>
          <w:rFonts w:eastAsia="仿宋_GB2312"/>
          <w:color w:val="000000" w:themeColor="text1"/>
          <w:sz w:val="32"/>
          <w:szCs w:val="32"/>
        </w:rPr>
        <w:lastRenderedPageBreak/>
        <w:t>根据其对氧气的耐受性，革兰阴性杆菌可分为需氧型、兼性厌氧型、厌氧型，如：埃希菌属为兼性厌氧菌、假单胞菌属为需氧菌、类杆菌属为厌氧菌。</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革兰阴性杆菌的鉴定是将待测样本中革兰阴性杆菌按其生物学特征与已知革兰阴性杆菌进行比对分析，确定待测样本中革兰阴性杆菌的分类单元。</w:t>
      </w:r>
    </w:p>
    <w:p w:rsidR="00EF5DF8" w:rsidRDefault="00B51062">
      <w:pPr>
        <w:spacing w:line="520" w:lineRule="exact"/>
        <w:ind w:firstLineChars="200" w:firstLine="640"/>
        <w:rPr>
          <w:rFonts w:eastAsia="仿宋_GB2312"/>
          <w:color w:val="000000" w:themeColor="text1"/>
          <w:sz w:val="32"/>
          <w:szCs w:val="32"/>
        </w:rPr>
      </w:pPr>
      <w:r>
        <w:rPr>
          <w:rFonts w:eastAsia="仿宋_GB2312"/>
          <w:color w:val="000000" w:themeColor="text1"/>
          <w:sz w:val="32"/>
          <w:szCs w:val="32"/>
        </w:rPr>
        <w:t>革兰阴性杆菌的实验室鉴定方法如显微镜法、生化法、血清学法、质谱鉴定、分子生物学鉴定等。（</w:t>
      </w:r>
      <w:r>
        <w:rPr>
          <w:rFonts w:eastAsia="仿宋_GB2312"/>
          <w:color w:val="000000" w:themeColor="text1"/>
          <w:sz w:val="32"/>
          <w:szCs w:val="32"/>
        </w:rPr>
        <w:t>1</w:t>
      </w:r>
      <w:r>
        <w:rPr>
          <w:rFonts w:eastAsia="仿宋_GB2312"/>
          <w:color w:val="000000" w:themeColor="text1"/>
          <w:sz w:val="32"/>
          <w:szCs w:val="32"/>
        </w:rPr>
        <w:t>）显微镜法：使用显微镜观察目的菌的形态、大小、染色等特征，该方法对人员的技术要求较高，且只适用于初步鉴定；（</w:t>
      </w:r>
      <w:r>
        <w:rPr>
          <w:rFonts w:eastAsia="仿宋_GB2312"/>
          <w:color w:val="000000" w:themeColor="text1"/>
          <w:sz w:val="32"/>
          <w:szCs w:val="32"/>
        </w:rPr>
        <w:t>2</w:t>
      </w:r>
      <w:r>
        <w:rPr>
          <w:rFonts w:eastAsia="仿宋_GB2312"/>
          <w:color w:val="000000" w:themeColor="text1"/>
          <w:sz w:val="32"/>
          <w:szCs w:val="32"/>
        </w:rPr>
        <w:t>）生化法：由于不同微生物体内的酶系统、新陈代谢的类型等的不同，可导致其对各种物质利用后所产生的代谢产物也不同，利用微生物的生理生化反应来测定微生物的代谢产物，从而实现微生物的鉴定，此方法是微生物学中应用较早且较广泛的一种方法；（</w:t>
      </w:r>
      <w:r>
        <w:rPr>
          <w:rFonts w:eastAsia="仿宋_GB2312"/>
          <w:color w:val="000000" w:themeColor="text1"/>
          <w:sz w:val="32"/>
          <w:szCs w:val="32"/>
        </w:rPr>
        <w:t>3</w:t>
      </w:r>
      <w:r>
        <w:rPr>
          <w:rFonts w:eastAsia="仿宋_GB2312"/>
          <w:color w:val="000000" w:themeColor="text1"/>
          <w:sz w:val="32"/>
          <w:szCs w:val="32"/>
        </w:rPr>
        <w:t>）血清学：用含有已知特异性抗体的免疫血清（诊断血清）与分离培养出的待测样本中纯菌或样本中的抗原进行血清学反应，以确定细菌的种或型；（</w:t>
      </w:r>
      <w:r>
        <w:rPr>
          <w:rFonts w:eastAsia="仿宋_GB2312"/>
          <w:color w:val="000000" w:themeColor="text1"/>
          <w:sz w:val="32"/>
          <w:szCs w:val="32"/>
        </w:rPr>
        <w:t>4</w:t>
      </w:r>
      <w:r>
        <w:rPr>
          <w:rFonts w:eastAsia="仿宋_GB2312"/>
          <w:color w:val="000000" w:themeColor="text1"/>
          <w:sz w:val="32"/>
          <w:szCs w:val="32"/>
        </w:rPr>
        <w:t>）质谱鉴定：基质辅助激光解吸电离飞行时间质谱，通过建立标准或已知菌的数据库，结合仪器算法将待测样本中细菌的蛋白峰与已知细菌比对分析，达到鉴定细菌的目的；（</w:t>
      </w:r>
      <w:r>
        <w:rPr>
          <w:rFonts w:eastAsia="仿宋_GB2312"/>
          <w:color w:val="000000" w:themeColor="text1"/>
          <w:sz w:val="32"/>
          <w:szCs w:val="32"/>
        </w:rPr>
        <w:t>5</w:t>
      </w:r>
      <w:r>
        <w:rPr>
          <w:rFonts w:eastAsia="仿宋_GB2312"/>
          <w:color w:val="000000" w:themeColor="text1"/>
          <w:sz w:val="32"/>
          <w:szCs w:val="32"/>
        </w:rPr>
        <w:t>）分子生物学：基于分子生物学原理，检测方法主要包括</w:t>
      </w:r>
      <w:r>
        <w:rPr>
          <w:rFonts w:eastAsia="仿宋_GB2312"/>
          <w:color w:val="000000" w:themeColor="text1"/>
          <w:sz w:val="32"/>
          <w:szCs w:val="32"/>
        </w:rPr>
        <w:t>DNA</w:t>
      </w:r>
      <w:r>
        <w:rPr>
          <w:rFonts w:eastAsia="仿宋_GB2312"/>
          <w:color w:val="000000" w:themeColor="text1"/>
          <w:sz w:val="32"/>
          <w:szCs w:val="32"/>
        </w:rPr>
        <w:t>碱基比例的测定、核酸分子杂交、</w:t>
      </w:r>
      <w:r>
        <w:rPr>
          <w:rFonts w:eastAsia="仿宋_GB2312"/>
          <w:color w:val="000000" w:themeColor="text1"/>
          <w:sz w:val="32"/>
          <w:szCs w:val="32"/>
        </w:rPr>
        <w:t>16s rDNA</w:t>
      </w:r>
      <w:r>
        <w:rPr>
          <w:rFonts w:eastAsia="仿宋_GB2312"/>
          <w:color w:val="000000" w:themeColor="text1"/>
          <w:sz w:val="32"/>
          <w:szCs w:val="32"/>
        </w:rPr>
        <w:t>序列分析法、全基因组序列的测定等，临床微生物鉴定应用较多的是核酸分子杂交，根据探针特异性的不同，可以鉴定某一菌型或某一种属甚至更大菌群，可以准确、快速的进行微生物的鉴定。（</w:t>
      </w:r>
      <w:r>
        <w:rPr>
          <w:rFonts w:eastAsia="仿宋_GB2312"/>
          <w:color w:val="000000" w:themeColor="text1"/>
          <w:sz w:val="32"/>
          <w:szCs w:val="32"/>
        </w:rPr>
        <w:t>6</w:t>
      </w:r>
      <w:r>
        <w:rPr>
          <w:rFonts w:eastAsia="仿宋_GB2312"/>
          <w:color w:val="000000" w:themeColor="text1"/>
          <w:sz w:val="32"/>
          <w:szCs w:val="32"/>
        </w:rPr>
        <w:t>）拉曼光谱法：细胞组成中的化合物含量不同，每种化</w:t>
      </w:r>
      <w:r>
        <w:rPr>
          <w:rFonts w:eastAsia="仿宋_GB2312"/>
          <w:color w:val="000000" w:themeColor="text1"/>
          <w:sz w:val="32"/>
          <w:szCs w:val="32"/>
        </w:rPr>
        <w:lastRenderedPageBreak/>
        <w:t>合物都有对应的特征光谱，应用拉曼光谱的分析方法可以通过生成</w:t>
      </w:r>
      <w:r>
        <w:rPr>
          <w:rFonts w:eastAsia="仿宋_GB2312" w:hint="eastAsia"/>
          <w:color w:val="000000" w:themeColor="text1"/>
          <w:sz w:val="32"/>
          <w:szCs w:val="32"/>
        </w:rPr>
        <w:t>“</w:t>
      </w:r>
      <w:r>
        <w:rPr>
          <w:rFonts w:eastAsia="仿宋_GB2312"/>
          <w:color w:val="000000" w:themeColor="text1"/>
          <w:sz w:val="32"/>
          <w:szCs w:val="32"/>
        </w:rPr>
        <w:t>全生物指纹</w:t>
      </w:r>
      <w:r>
        <w:rPr>
          <w:rFonts w:eastAsia="仿宋_GB2312" w:hint="eastAsia"/>
          <w:color w:val="000000" w:themeColor="text1"/>
          <w:sz w:val="32"/>
          <w:szCs w:val="32"/>
        </w:rPr>
        <w:t>”</w:t>
      </w:r>
      <w:r>
        <w:rPr>
          <w:rFonts w:eastAsia="仿宋_GB2312"/>
          <w:color w:val="000000" w:themeColor="text1"/>
          <w:sz w:val="32"/>
          <w:szCs w:val="32"/>
        </w:rPr>
        <w:t>来区分不同的生物样品，从而进行微生物的鉴定。</w:t>
      </w:r>
    </w:p>
    <w:p w:rsidR="00EF5DF8" w:rsidRDefault="00EF5DF8">
      <w:pPr>
        <w:pStyle w:val="Default"/>
        <w:rPr>
          <w:rFonts w:ascii="Times New Roman" w:hAnsi="Times New Roman" w:hint="default"/>
          <w:color w:val="000000" w:themeColor="text1"/>
        </w:rPr>
      </w:pPr>
    </w:p>
    <w:sectPr w:rsidR="00EF5DF8" w:rsidSect="00C30981">
      <w:footerReference w:type="even" r:id="rId10"/>
      <w:footerReference w:type="default" r:id="rId11"/>
      <w:pgSz w:w="11906" w:h="16838"/>
      <w:pgMar w:top="1701" w:right="1588" w:bottom="1701" w:left="1588" w:header="851" w:footer="124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EFB" w:rsidRDefault="000B5EFB">
      <w:r>
        <w:separator/>
      </w:r>
    </w:p>
  </w:endnote>
  <w:endnote w:type="continuationSeparator" w:id="0">
    <w:p w:rsidR="000B5EFB" w:rsidRDefault="000B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F8" w:rsidRPr="00C30981" w:rsidRDefault="00C30981" w:rsidP="00C30981">
    <w:pPr>
      <w:pStyle w:val="a8"/>
    </w:pPr>
    <w:r w:rsidRPr="00C30981">
      <w:t xml:space="preserve">— </w:t>
    </w:r>
    <w:sdt>
      <w:sdtPr>
        <w:id w:val="-1499881633"/>
        <w:docPartObj>
          <w:docPartGallery w:val="Page Numbers (Bottom of Page)"/>
          <w:docPartUnique/>
        </w:docPartObj>
      </w:sdtPr>
      <w:sdtEndPr/>
      <w:sdtContent>
        <w:r w:rsidRPr="00C30981">
          <w:fldChar w:fldCharType="begin"/>
        </w:r>
        <w:r w:rsidRPr="00C30981">
          <w:instrText>PAGE   \* MERGEFORMAT</w:instrText>
        </w:r>
        <w:r w:rsidRPr="00C30981">
          <w:fldChar w:fldCharType="separate"/>
        </w:r>
        <w:r w:rsidR="002F3C4C" w:rsidRPr="002F3C4C">
          <w:rPr>
            <w:noProof/>
            <w:lang w:val="zh-CN"/>
          </w:rPr>
          <w:t>316</w:t>
        </w:r>
        <w:r w:rsidRPr="00C30981">
          <w:fldChar w:fldCharType="end"/>
        </w:r>
      </w:sdtContent>
    </w:sdt>
    <w:r w:rsidRPr="00C3098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726050"/>
      <w:docPartObj>
        <w:docPartGallery w:val="Page Numbers (Bottom of Page)"/>
        <w:docPartUnique/>
      </w:docPartObj>
    </w:sdtPr>
    <w:sdtEndPr/>
    <w:sdtContent>
      <w:p w:rsidR="00EF5DF8" w:rsidRPr="00C30981" w:rsidRDefault="00C30981" w:rsidP="00C30981">
        <w:pPr>
          <w:pStyle w:val="a8"/>
          <w:jc w:val="right"/>
        </w:pPr>
        <w:r w:rsidRPr="00C30981">
          <w:t xml:space="preserve"> — </w:t>
        </w:r>
        <w:r w:rsidRPr="00C30981">
          <w:fldChar w:fldCharType="begin"/>
        </w:r>
        <w:r w:rsidRPr="00C30981">
          <w:instrText>PAGE   \* MERGEFORMAT</w:instrText>
        </w:r>
        <w:r w:rsidRPr="00C30981">
          <w:fldChar w:fldCharType="separate"/>
        </w:r>
        <w:r w:rsidR="002F3C4C" w:rsidRPr="002F3C4C">
          <w:rPr>
            <w:noProof/>
            <w:lang w:val="zh-CN"/>
          </w:rPr>
          <w:t>309</w:t>
        </w:r>
        <w:r w:rsidRPr="00C30981">
          <w:fldChar w:fldCharType="end"/>
        </w:r>
        <w:r w:rsidRPr="00C30981">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005933"/>
      <w:docPartObj>
        <w:docPartGallery w:val="Page Numbers (Bottom of Page)"/>
        <w:docPartUnique/>
      </w:docPartObj>
    </w:sdtPr>
    <w:sdtEndPr/>
    <w:sdtContent>
      <w:p w:rsidR="00EF5DF8" w:rsidRPr="00C30981" w:rsidRDefault="00C30981" w:rsidP="00C30981">
        <w:pPr>
          <w:pStyle w:val="a8"/>
        </w:pPr>
        <w:r w:rsidRPr="00C30981">
          <w:t xml:space="preserve">— </w:t>
        </w:r>
        <w:r w:rsidRPr="00C30981">
          <w:fldChar w:fldCharType="begin"/>
        </w:r>
        <w:r w:rsidRPr="00C30981">
          <w:instrText>PAGE   \* MERGEFORMAT</w:instrText>
        </w:r>
        <w:r w:rsidRPr="00C30981">
          <w:fldChar w:fldCharType="separate"/>
        </w:r>
        <w:r w:rsidR="002F3C4C" w:rsidRPr="002F3C4C">
          <w:rPr>
            <w:noProof/>
            <w:lang w:val="zh-CN"/>
          </w:rPr>
          <w:t>318</w:t>
        </w:r>
        <w:r w:rsidRPr="00C30981">
          <w:fldChar w:fldCharType="end"/>
        </w:r>
        <w:r w:rsidRPr="00C30981">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888761"/>
      <w:docPartObj>
        <w:docPartGallery w:val="Page Numbers (Bottom of Page)"/>
        <w:docPartUnique/>
      </w:docPartObj>
    </w:sdtPr>
    <w:sdtEndPr/>
    <w:sdtContent>
      <w:p w:rsidR="00EF5DF8" w:rsidRPr="008A1C50" w:rsidRDefault="00C30981" w:rsidP="00C30981">
        <w:pPr>
          <w:pStyle w:val="a8"/>
          <w:jc w:val="right"/>
        </w:pPr>
        <w:r w:rsidRPr="008A1C50">
          <w:t xml:space="preserve">— </w:t>
        </w:r>
        <w:r w:rsidRPr="008A1C50">
          <w:fldChar w:fldCharType="begin"/>
        </w:r>
        <w:r w:rsidRPr="008A1C50">
          <w:instrText>PAGE   \* MERGEFORMAT</w:instrText>
        </w:r>
        <w:r w:rsidRPr="008A1C50">
          <w:fldChar w:fldCharType="separate"/>
        </w:r>
        <w:r w:rsidR="002F3C4C" w:rsidRPr="002F3C4C">
          <w:rPr>
            <w:noProof/>
            <w:lang w:val="zh-CN"/>
          </w:rPr>
          <w:t>319</w:t>
        </w:r>
        <w:r w:rsidRPr="008A1C50">
          <w:fldChar w:fldCharType="end"/>
        </w:r>
        <w:r w:rsidRPr="008A1C50">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EFB" w:rsidRDefault="000B5EFB">
      <w:r>
        <w:separator/>
      </w:r>
    </w:p>
  </w:footnote>
  <w:footnote w:type="continuationSeparator" w:id="0">
    <w:p w:rsidR="000B5EFB" w:rsidRDefault="000B5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DF8" w:rsidRDefault="00EF5DF8">
    <w:pPr>
      <w:pStyle w:val="aa"/>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 w:name="KSO_WPS_MARK_KEY" w:val="a69c4d0e-ee47-43d3-8934-01e787af0712"/>
  </w:docVars>
  <w:rsids>
    <w:rsidRoot w:val="00467501"/>
    <w:rsid w:val="9DDF29F7"/>
    <w:rsid w:val="ECEFB38B"/>
    <w:rsid w:val="F7F61C29"/>
    <w:rsid w:val="F7F97378"/>
    <w:rsid w:val="FAFB4B4E"/>
    <w:rsid w:val="FF1FD721"/>
    <w:rsid w:val="FFFD6311"/>
    <w:rsid w:val="00004B15"/>
    <w:rsid w:val="00036F49"/>
    <w:rsid w:val="00042DD7"/>
    <w:rsid w:val="000563CE"/>
    <w:rsid w:val="00057EB3"/>
    <w:rsid w:val="00063E84"/>
    <w:rsid w:val="00073999"/>
    <w:rsid w:val="000861FC"/>
    <w:rsid w:val="00091673"/>
    <w:rsid w:val="00093EFF"/>
    <w:rsid w:val="000A0EC8"/>
    <w:rsid w:val="000B40F4"/>
    <w:rsid w:val="000B46FB"/>
    <w:rsid w:val="000B5EFB"/>
    <w:rsid w:val="000C0E8D"/>
    <w:rsid w:val="000D0C67"/>
    <w:rsid w:val="000E2F7F"/>
    <w:rsid w:val="000E4079"/>
    <w:rsid w:val="000E50A7"/>
    <w:rsid w:val="000E6790"/>
    <w:rsid w:val="0010620A"/>
    <w:rsid w:val="00107F64"/>
    <w:rsid w:val="00111AB4"/>
    <w:rsid w:val="00112507"/>
    <w:rsid w:val="0011512E"/>
    <w:rsid w:val="001154F7"/>
    <w:rsid w:val="0011741C"/>
    <w:rsid w:val="00140B3D"/>
    <w:rsid w:val="00144427"/>
    <w:rsid w:val="00144DB8"/>
    <w:rsid w:val="00147D93"/>
    <w:rsid w:val="001519D7"/>
    <w:rsid w:val="00156887"/>
    <w:rsid w:val="001665FE"/>
    <w:rsid w:val="0017640B"/>
    <w:rsid w:val="0018698A"/>
    <w:rsid w:val="00196A4E"/>
    <w:rsid w:val="001B658F"/>
    <w:rsid w:val="001D1047"/>
    <w:rsid w:val="001D1B72"/>
    <w:rsid w:val="001D41FC"/>
    <w:rsid w:val="001D568C"/>
    <w:rsid w:val="001D5B5E"/>
    <w:rsid w:val="001E3DC8"/>
    <w:rsid w:val="001E50F4"/>
    <w:rsid w:val="001F7082"/>
    <w:rsid w:val="001F7E8A"/>
    <w:rsid w:val="002029C6"/>
    <w:rsid w:val="0020574D"/>
    <w:rsid w:val="00206091"/>
    <w:rsid w:val="00211A94"/>
    <w:rsid w:val="00225B70"/>
    <w:rsid w:val="00233CF0"/>
    <w:rsid w:val="00235CBF"/>
    <w:rsid w:val="00246E4D"/>
    <w:rsid w:val="00253418"/>
    <w:rsid w:val="00253A3D"/>
    <w:rsid w:val="002614A0"/>
    <w:rsid w:val="00263225"/>
    <w:rsid w:val="002654E7"/>
    <w:rsid w:val="00280CF4"/>
    <w:rsid w:val="002826EC"/>
    <w:rsid w:val="00296969"/>
    <w:rsid w:val="002C024F"/>
    <w:rsid w:val="002C0FA4"/>
    <w:rsid w:val="002D0C6D"/>
    <w:rsid w:val="002D2C3A"/>
    <w:rsid w:val="002D3B85"/>
    <w:rsid w:val="002D5FE2"/>
    <w:rsid w:val="002F3C4C"/>
    <w:rsid w:val="002F4629"/>
    <w:rsid w:val="002F5A5D"/>
    <w:rsid w:val="003048D0"/>
    <w:rsid w:val="00314CFB"/>
    <w:rsid w:val="003205A6"/>
    <w:rsid w:val="00324205"/>
    <w:rsid w:val="0033358D"/>
    <w:rsid w:val="00333666"/>
    <w:rsid w:val="00342019"/>
    <w:rsid w:val="00344D32"/>
    <w:rsid w:val="00346A7E"/>
    <w:rsid w:val="003524CB"/>
    <w:rsid w:val="00356290"/>
    <w:rsid w:val="00357836"/>
    <w:rsid w:val="00365D15"/>
    <w:rsid w:val="00366347"/>
    <w:rsid w:val="003768CE"/>
    <w:rsid w:val="00382B9B"/>
    <w:rsid w:val="00384E2D"/>
    <w:rsid w:val="00386ED9"/>
    <w:rsid w:val="003911B1"/>
    <w:rsid w:val="003A7641"/>
    <w:rsid w:val="003B0E33"/>
    <w:rsid w:val="003B727D"/>
    <w:rsid w:val="003C16E6"/>
    <w:rsid w:val="003C4775"/>
    <w:rsid w:val="003D0042"/>
    <w:rsid w:val="003D0E92"/>
    <w:rsid w:val="003D52E2"/>
    <w:rsid w:val="003E49D6"/>
    <w:rsid w:val="003E4F74"/>
    <w:rsid w:val="00400490"/>
    <w:rsid w:val="0040710A"/>
    <w:rsid w:val="00411E54"/>
    <w:rsid w:val="0041253C"/>
    <w:rsid w:val="00413A04"/>
    <w:rsid w:val="00413B40"/>
    <w:rsid w:val="00424858"/>
    <w:rsid w:val="00430801"/>
    <w:rsid w:val="00435FE4"/>
    <w:rsid w:val="0044052F"/>
    <w:rsid w:val="00446686"/>
    <w:rsid w:val="00450B03"/>
    <w:rsid w:val="0045219A"/>
    <w:rsid w:val="00457112"/>
    <w:rsid w:val="0046226F"/>
    <w:rsid w:val="0046457C"/>
    <w:rsid w:val="00466DE7"/>
    <w:rsid w:val="00467501"/>
    <w:rsid w:val="00473F56"/>
    <w:rsid w:val="00492856"/>
    <w:rsid w:val="00492E95"/>
    <w:rsid w:val="00494F86"/>
    <w:rsid w:val="004A4203"/>
    <w:rsid w:val="004B018B"/>
    <w:rsid w:val="004B19AA"/>
    <w:rsid w:val="004B1F33"/>
    <w:rsid w:val="004C5054"/>
    <w:rsid w:val="004E3ADA"/>
    <w:rsid w:val="004F2653"/>
    <w:rsid w:val="004F5A06"/>
    <w:rsid w:val="00516FA4"/>
    <w:rsid w:val="00526E78"/>
    <w:rsid w:val="00541063"/>
    <w:rsid w:val="00546E9F"/>
    <w:rsid w:val="00552323"/>
    <w:rsid w:val="00554115"/>
    <w:rsid w:val="00554670"/>
    <w:rsid w:val="0055759E"/>
    <w:rsid w:val="00562BFD"/>
    <w:rsid w:val="0056425B"/>
    <w:rsid w:val="005703B5"/>
    <w:rsid w:val="00587486"/>
    <w:rsid w:val="005943C8"/>
    <w:rsid w:val="00595900"/>
    <w:rsid w:val="005A1B8E"/>
    <w:rsid w:val="005B0D00"/>
    <w:rsid w:val="005B16EA"/>
    <w:rsid w:val="005B3D9F"/>
    <w:rsid w:val="005B6C4D"/>
    <w:rsid w:val="005D75C7"/>
    <w:rsid w:val="005F0761"/>
    <w:rsid w:val="005F0CAD"/>
    <w:rsid w:val="005F2281"/>
    <w:rsid w:val="006018B3"/>
    <w:rsid w:val="006063EA"/>
    <w:rsid w:val="006206E7"/>
    <w:rsid w:val="00620FD3"/>
    <w:rsid w:val="00624DE4"/>
    <w:rsid w:val="0062624C"/>
    <w:rsid w:val="00627158"/>
    <w:rsid w:val="0063125D"/>
    <w:rsid w:val="00646E10"/>
    <w:rsid w:val="006571F5"/>
    <w:rsid w:val="00670C50"/>
    <w:rsid w:val="00673D4D"/>
    <w:rsid w:val="006742FD"/>
    <w:rsid w:val="00677AC2"/>
    <w:rsid w:val="006844C4"/>
    <w:rsid w:val="0069433E"/>
    <w:rsid w:val="006A0729"/>
    <w:rsid w:val="006A581D"/>
    <w:rsid w:val="006C17D7"/>
    <w:rsid w:val="006C21BB"/>
    <w:rsid w:val="006C506C"/>
    <w:rsid w:val="006C6997"/>
    <w:rsid w:val="006D03C6"/>
    <w:rsid w:val="006D16FD"/>
    <w:rsid w:val="006E266F"/>
    <w:rsid w:val="006E411B"/>
    <w:rsid w:val="006F009F"/>
    <w:rsid w:val="006F3C0F"/>
    <w:rsid w:val="006F7866"/>
    <w:rsid w:val="007022CD"/>
    <w:rsid w:val="00707F2F"/>
    <w:rsid w:val="00714405"/>
    <w:rsid w:val="00726CDF"/>
    <w:rsid w:val="00730813"/>
    <w:rsid w:val="0074116A"/>
    <w:rsid w:val="007466A9"/>
    <w:rsid w:val="007537FA"/>
    <w:rsid w:val="00762BFE"/>
    <w:rsid w:val="007758A8"/>
    <w:rsid w:val="00780012"/>
    <w:rsid w:val="007810A2"/>
    <w:rsid w:val="007829A7"/>
    <w:rsid w:val="007908AA"/>
    <w:rsid w:val="007A14B1"/>
    <w:rsid w:val="007A3EB9"/>
    <w:rsid w:val="007B0883"/>
    <w:rsid w:val="007B46B3"/>
    <w:rsid w:val="007C0917"/>
    <w:rsid w:val="007C5DF5"/>
    <w:rsid w:val="007D0212"/>
    <w:rsid w:val="007D2318"/>
    <w:rsid w:val="007D5037"/>
    <w:rsid w:val="007D632C"/>
    <w:rsid w:val="007D7291"/>
    <w:rsid w:val="007E241E"/>
    <w:rsid w:val="007F0063"/>
    <w:rsid w:val="007F03F4"/>
    <w:rsid w:val="007F6BF3"/>
    <w:rsid w:val="00802250"/>
    <w:rsid w:val="00815544"/>
    <w:rsid w:val="00822F5B"/>
    <w:rsid w:val="008365F0"/>
    <w:rsid w:val="0084357E"/>
    <w:rsid w:val="00845875"/>
    <w:rsid w:val="008527FC"/>
    <w:rsid w:val="00857B0F"/>
    <w:rsid w:val="0086488B"/>
    <w:rsid w:val="00864AE4"/>
    <w:rsid w:val="00872CA7"/>
    <w:rsid w:val="008736E6"/>
    <w:rsid w:val="00873BA7"/>
    <w:rsid w:val="00877981"/>
    <w:rsid w:val="00880B0A"/>
    <w:rsid w:val="00882E9A"/>
    <w:rsid w:val="00885C2F"/>
    <w:rsid w:val="00885F5F"/>
    <w:rsid w:val="0089503C"/>
    <w:rsid w:val="008A1003"/>
    <w:rsid w:val="008A1C50"/>
    <w:rsid w:val="008A24F2"/>
    <w:rsid w:val="008A5ECE"/>
    <w:rsid w:val="008B2E6E"/>
    <w:rsid w:val="008B305A"/>
    <w:rsid w:val="008B7811"/>
    <w:rsid w:val="008C3343"/>
    <w:rsid w:val="008C491F"/>
    <w:rsid w:val="008C520E"/>
    <w:rsid w:val="008D7591"/>
    <w:rsid w:val="008E2124"/>
    <w:rsid w:val="008E46ED"/>
    <w:rsid w:val="008E6C1E"/>
    <w:rsid w:val="008F17DC"/>
    <w:rsid w:val="008F38CF"/>
    <w:rsid w:val="008F60B8"/>
    <w:rsid w:val="008F64B5"/>
    <w:rsid w:val="008F67E7"/>
    <w:rsid w:val="008F6F83"/>
    <w:rsid w:val="009015A2"/>
    <w:rsid w:val="009156AB"/>
    <w:rsid w:val="00917A95"/>
    <w:rsid w:val="00922514"/>
    <w:rsid w:val="009359A7"/>
    <w:rsid w:val="00936CFC"/>
    <w:rsid w:val="00943A05"/>
    <w:rsid w:val="009478CE"/>
    <w:rsid w:val="009672C3"/>
    <w:rsid w:val="009675C0"/>
    <w:rsid w:val="009715B0"/>
    <w:rsid w:val="00972AE8"/>
    <w:rsid w:val="00974A29"/>
    <w:rsid w:val="009777ED"/>
    <w:rsid w:val="00980FFB"/>
    <w:rsid w:val="00983767"/>
    <w:rsid w:val="0098547C"/>
    <w:rsid w:val="0099122B"/>
    <w:rsid w:val="00992ACF"/>
    <w:rsid w:val="009A0F2A"/>
    <w:rsid w:val="009A28E7"/>
    <w:rsid w:val="009B5057"/>
    <w:rsid w:val="009E7512"/>
    <w:rsid w:val="009F7D51"/>
    <w:rsid w:val="00A05670"/>
    <w:rsid w:val="00A06915"/>
    <w:rsid w:val="00A2218A"/>
    <w:rsid w:val="00A30BAB"/>
    <w:rsid w:val="00A3267B"/>
    <w:rsid w:val="00A3286E"/>
    <w:rsid w:val="00A33125"/>
    <w:rsid w:val="00A36FE6"/>
    <w:rsid w:val="00A4498E"/>
    <w:rsid w:val="00A63F23"/>
    <w:rsid w:val="00A70072"/>
    <w:rsid w:val="00A721DE"/>
    <w:rsid w:val="00A73B20"/>
    <w:rsid w:val="00A759DB"/>
    <w:rsid w:val="00A85075"/>
    <w:rsid w:val="00A93CB5"/>
    <w:rsid w:val="00A93E99"/>
    <w:rsid w:val="00AA0620"/>
    <w:rsid w:val="00AA17B2"/>
    <w:rsid w:val="00AA3309"/>
    <w:rsid w:val="00AB2460"/>
    <w:rsid w:val="00AB738F"/>
    <w:rsid w:val="00AD0D15"/>
    <w:rsid w:val="00AD46AE"/>
    <w:rsid w:val="00AE3126"/>
    <w:rsid w:val="00AE4384"/>
    <w:rsid w:val="00AE47F0"/>
    <w:rsid w:val="00AE6486"/>
    <w:rsid w:val="00B0731B"/>
    <w:rsid w:val="00B23219"/>
    <w:rsid w:val="00B357C7"/>
    <w:rsid w:val="00B37196"/>
    <w:rsid w:val="00B43118"/>
    <w:rsid w:val="00B46FD2"/>
    <w:rsid w:val="00B51062"/>
    <w:rsid w:val="00B51259"/>
    <w:rsid w:val="00B52B1A"/>
    <w:rsid w:val="00B57044"/>
    <w:rsid w:val="00B57997"/>
    <w:rsid w:val="00B72584"/>
    <w:rsid w:val="00B7480C"/>
    <w:rsid w:val="00B74926"/>
    <w:rsid w:val="00B77E71"/>
    <w:rsid w:val="00B84A4F"/>
    <w:rsid w:val="00B86E7B"/>
    <w:rsid w:val="00B87164"/>
    <w:rsid w:val="00B95EFD"/>
    <w:rsid w:val="00B9789C"/>
    <w:rsid w:val="00BA74C9"/>
    <w:rsid w:val="00BB3C41"/>
    <w:rsid w:val="00BB54E9"/>
    <w:rsid w:val="00BB61D1"/>
    <w:rsid w:val="00BC7C2B"/>
    <w:rsid w:val="00BD5BB1"/>
    <w:rsid w:val="00BF22C0"/>
    <w:rsid w:val="00C018B1"/>
    <w:rsid w:val="00C124D2"/>
    <w:rsid w:val="00C1446C"/>
    <w:rsid w:val="00C25A59"/>
    <w:rsid w:val="00C30981"/>
    <w:rsid w:val="00C3118D"/>
    <w:rsid w:val="00C409D6"/>
    <w:rsid w:val="00C5053F"/>
    <w:rsid w:val="00C5220A"/>
    <w:rsid w:val="00C6393E"/>
    <w:rsid w:val="00C65A04"/>
    <w:rsid w:val="00C716DB"/>
    <w:rsid w:val="00C72307"/>
    <w:rsid w:val="00C76145"/>
    <w:rsid w:val="00C77479"/>
    <w:rsid w:val="00C82A97"/>
    <w:rsid w:val="00C832D6"/>
    <w:rsid w:val="00C86F42"/>
    <w:rsid w:val="00CB1394"/>
    <w:rsid w:val="00CB3CB3"/>
    <w:rsid w:val="00CB57FE"/>
    <w:rsid w:val="00CB6DBD"/>
    <w:rsid w:val="00CB71F0"/>
    <w:rsid w:val="00CC1D33"/>
    <w:rsid w:val="00CC5EB6"/>
    <w:rsid w:val="00CC7CD5"/>
    <w:rsid w:val="00CD327D"/>
    <w:rsid w:val="00CE3F13"/>
    <w:rsid w:val="00CE4C69"/>
    <w:rsid w:val="00CE6CF8"/>
    <w:rsid w:val="00CE77FA"/>
    <w:rsid w:val="00CF2791"/>
    <w:rsid w:val="00CF3036"/>
    <w:rsid w:val="00CF7521"/>
    <w:rsid w:val="00D04048"/>
    <w:rsid w:val="00D05090"/>
    <w:rsid w:val="00D07185"/>
    <w:rsid w:val="00D218ED"/>
    <w:rsid w:val="00D300C6"/>
    <w:rsid w:val="00D3543B"/>
    <w:rsid w:val="00D407C8"/>
    <w:rsid w:val="00D42736"/>
    <w:rsid w:val="00D4774E"/>
    <w:rsid w:val="00D53A9F"/>
    <w:rsid w:val="00D63DD2"/>
    <w:rsid w:val="00D80905"/>
    <w:rsid w:val="00D8237F"/>
    <w:rsid w:val="00D9343F"/>
    <w:rsid w:val="00D96A3D"/>
    <w:rsid w:val="00D97B3B"/>
    <w:rsid w:val="00DA4412"/>
    <w:rsid w:val="00DD58B7"/>
    <w:rsid w:val="00DD698B"/>
    <w:rsid w:val="00DE52F3"/>
    <w:rsid w:val="00DE6DD3"/>
    <w:rsid w:val="00DE6F81"/>
    <w:rsid w:val="00DF5E16"/>
    <w:rsid w:val="00E00E9F"/>
    <w:rsid w:val="00E21CF9"/>
    <w:rsid w:val="00E22A27"/>
    <w:rsid w:val="00E26B7F"/>
    <w:rsid w:val="00E31AAC"/>
    <w:rsid w:val="00E41D16"/>
    <w:rsid w:val="00E462ED"/>
    <w:rsid w:val="00E46E19"/>
    <w:rsid w:val="00E52BE9"/>
    <w:rsid w:val="00E541D3"/>
    <w:rsid w:val="00E73864"/>
    <w:rsid w:val="00E84CEB"/>
    <w:rsid w:val="00E905A0"/>
    <w:rsid w:val="00E913A1"/>
    <w:rsid w:val="00EA3B03"/>
    <w:rsid w:val="00EB3CAC"/>
    <w:rsid w:val="00EB42A0"/>
    <w:rsid w:val="00ED0669"/>
    <w:rsid w:val="00ED18FA"/>
    <w:rsid w:val="00EE2A9B"/>
    <w:rsid w:val="00EE44C4"/>
    <w:rsid w:val="00EF16D4"/>
    <w:rsid w:val="00EF1DCB"/>
    <w:rsid w:val="00EF242A"/>
    <w:rsid w:val="00EF5DF8"/>
    <w:rsid w:val="00F000CE"/>
    <w:rsid w:val="00F00FD6"/>
    <w:rsid w:val="00F05BAD"/>
    <w:rsid w:val="00F07194"/>
    <w:rsid w:val="00F1064B"/>
    <w:rsid w:val="00F177CD"/>
    <w:rsid w:val="00F3322C"/>
    <w:rsid w:val="00F41BC1"/>
    <w:rsid w:val="00F42289"/>
    <w:rsid w:val="00F5545D"/>
    <w:rsid w:val="00F56A11"/>
    <w:rsid w:val="00F62032"/>
    <w:rsid w:val="00F6535F"/>
    <w:rsid w:val="00F72CD2"/>
    <w:rsid w:val="00F740FE"/>
    <w:rsid w:val="00F7531D"/>
    <w:rsid w:val="00F761E2"/>
    <w:rsid w:val="00F76C64"/>
    <w:rsid w:val="00F82EE7"/>
    <w:rsid w:val="00FB34C8"/>
    <w:rsid w:val="00FC4883"/>
    <w:rsid w:val="00FC5325"/>
    <w:rsid w:val="00FC60AC"/>
    <w:rsid w:val="00FC7F23"/>
    <w:rsid w:val="00FD7BCA"/>
    <w:rsid w:val="00FE05FB"/>
    <w:rsid w:val="00FE0A52"/>
    <w:rsid w:val="00FE1878"/>
    <w:rsid w:val="00FE1F1A"/>
    <w:rsid w:val="00FE2F94"/>
    <w:rsid w:val="00FE5422"/>
    <w:rsid w:val="00FE59FA"/>
    <w:rsid w:val="00FE7B77"/>
    <w:rsid w:val="00FF0A5C"/>
    <w:rsid w:val="00FF0F4B"/>
    <w:rsid w:val="01211BE3"/>
    <w:rsid w:val="015679D0"/>
    <w:rsid w:val="01EA083C"/>
    <w:rsid w:val="02132881"/>
    <w:rsid w:val="02201D8C"/>
    <w:rsid w:val="036F5BDE"/>
    <w:rsid w:val="0420761F"/>
    <w:rsid w:val="0559397B"/>
    <w:rsid w:val="067B530D"/>
    <w:rsid w:val="068F658C"/>
    <w:rsid w:val="06911A77"/>
    <w:rsid w:val="070659F4"/>
    <w:rsid w:val="07EF1AFB"/>
    <w:rsid w:val="07F626D4"/>
    <w:rsid w:val="08DE690B"/>
    <w:rsid w:val="08F1198C"/>
    <w:rsid w:val="09297778"/>
    <w:rsid w:val="0983780D"/>
    <w:rsid w:val="0B161F7E"/>
    <w:rsid w:val="0B2E077E"/>
    <w:rsid w:val="0BA37A1C"/>
    <w:rsid w:val="0BBF1396"/>
    <w:rsid w:val="0BBF1DEA"/>
    <w:rsid w:val="0BC72331"/>
    <w:rsid w:val="0C163FA6"/>
    <w:rsid w:val="0CB1265A"/>
    <w:rsid w:val="0CCD2A81"/>
    <w:rsid w:val="0D7359F8"/>
    <w:rsid w:val="0D787748"/>
    <w:rsid w:val="0DB12F40"/>
    <w:rsid w:val="0DB735A4"/>
    <w:rsid w:val="0E7059AE"/>
    <w:rsid w:val="0E981627"/>
    <w:rsid w:val="0EA643EB"/>
    <w:rsid w:val="0EB6135B"/>
    <w:rsid w:val="0F0324F8"/>
    <w:rsid w:val="0FF17AD0"/>
    <w:rsid w:val="10222DE4"/>
    <w:rsid w:val="104A0BB3"/>
    <w:rsid w:val="10855BDB"/>
    <w:rsid w:val="10AA3894"/>
    <w:rsid w:val="10BA0F98"/>
    <w:rsid w:val="10EA3C90"/>
    <w:rsid w:val="110F1949"/>
    <w:rsid w:val="116612E2"/>
    <w:rsid w:val="11865C88"/>
    <w:rsid w:val="11A23575"/>
    <w:rsid w:val="12266243"/>
    <w:rsid w:val="127E6D86"/>
    <w:rsid w:val="12A17021"/>
    <w:rsid w:val="12B510E2"/>
    <w:rsid w:val="12E02AC9"/>
    <w:rsid w:val="14AD3272"/>
    <w:rsid w:val="15094F8F"/>
    <w:rsid w:val="15205444"/>
    <w:rsid w:val="15714B85"/>
    <w:rsid w:val="1595629D"/>
    <w:rsid w:val="15AC5E9B"/>
    <w:rsid w:val="15D41886"/>
    <w:rsid w:val="15DD45CC"/>
    <w:rsid w:val="16773DF8"/>
    <w:rsid w:val="170C0BC2"/>
    <w:rsid w:val="17A74689"/>
    <w:rsid w:val="17C55243"/>
    <w:rsid w:val="17FD6785"/>
    <w:rsid w:val="18077525"/>
    <w:rsid w:val="182738C8"/>
    <w:rsid w:val="183A374F"/>
    <w:rsid w:val="185F4F64"/>
    <w:rsid w:val="1897553D"/>
    <w:rsid w:val="193006AE"/>
    <w:rsid w:val="19A90B8D"/>
    <w:rsid w:val="19E420C7"/>
    <w:rsid w:val="1A1E511B"/>
    <w:rsid w:val="1AA6037E"/>
    <w:rsid w:val="1AB97AC8"/>
    <w:rsid w:val="1C10784D"/>
    <w:rsid w:val="1D002745"/>
    <w:rsid w:val="1D5D5765"/>
    <w:rsid w:val="1D655AF4"/>
    <w:rsid w:val="1D8348B7"/>
    <w:rsid w:val="1DA5166B"/>
    <w:rsid w:val="1DFD1C32"/>
    <w:rsid w:val="1ED5381A"/>
    <w:rsid w:val="1F1C1412"/>
    <w:rsid w:val="1F5A2295"/>
    <w:rsid w:val="1F717BF4"/>
    <w:rsid w:val="1F784B5D"/>
    <w:rsid w:val="1FE74CE9"/>
    <w:rsid w:val="209D0D1F"/>
    <w:rsid w:val="20F13927"/>
    <w:rsid w:val="21861804"/>
    <w:rsid w:val="22B45EAC"/>
    <w:rsid w:val="22FB7F7F"/>
    <w:rsid w:val="234731C4"/>
    <w:rsid w:val="23660C1D"/>
    <w:rsid w:val="236869C6"/>
    <w:rsid w:val="2403746C"/>
    <w:rsid w:val="240D3AC6"/>
    <w:rsid w:val="24733438"/>
    <w:rsid w:val="24D82282"/>
    <w:rsid w:val="2598265D"/>
    <w:rsid w:val="26325E24"/>
    <w:rsid w:val="269750AF"/>
    <w:rsid w:val="27943BD2"/>
    <w:rsid w:val="279A600E"/>
    <w:rsid w:val="28487D4A"/>
    <w:rsid w:val="28637B8D"/>
    <w:rsid w:val="28AD70F6"/>
    <w:rsid w:val="28EA492C"/>
    <w:rsid w:val="294819CE"/>
    <w:rsid w:val="299D57A5"/>
    <w:rsid w:val="2A1330B8"/>
    <w:rsid w:val="2A4B4090"/>
    <w:rsid w:val="2A8D55D1"/>
    <w:rsid w:val="2A8D5961"/>
    <w:rsid w:val="2AA2253C"/>
    <w:rsid w:val="2AFE685E"/>
    <w:rsid w:val="2B527744"/>
    <w:rsid w:val="2BCB42C5"/>
    <w:rsid w:val="2BD70A06"/>
    <w:rsid w:val="2C212804"/>
    <w:rsid w:val="2CF25F4F"/>
    <w:rsid w:val="2D755AC7"/>
    <w:rsid w:val="2D7626DC"/>
    <w:rsid w:val="2DF025EE"/>
    <w:rsid w:val="2E291955"/>
    <w:rsid w:val="2E513149"/>
    <w:rsid w:val="2E857340"/>
    <w:rsid w:val="2EA32B78"/>
    <w:rsid w:val="2EB25AAF"/>
    <w:rsid w:val="2EBF00B3"/>
    <w:rsid w:val="2F061FC3"/>
    <w:rsid w:val="2F310D9D"/>
    <w:rsid w:val="2F883E4B"/>
    <w:rsid w:val="303D33DB"/>
    <w:rsid w:val="308915AB"/>
    <w:rsid w:val="30B3394F"/>
    <w:rsid w:val="31CC3212"/>
    <w:rsid w:val="3260395B"/>
    <w:rsid w:val="32810ED2"/>
    <w:rsid w:val="328211F3"/>
    <w:rsid w:val="329B77D7"/>
    <w:rsid w:val="32CC0FF0"/>
    <w:rsid w:val="32E02770"/>
    <w:rsid w:val="33311E2D"/>
    <w:rsid w:val="33371A7C"/>
    <w:rsid w:val="33A07BE8"/>
    <w:rsid w:val="33F1000C"/>
    <w:rsid w:val="34145E6A"/>
    <w:rsid w:val="34701D84"/>
    <w:rsid w:val="359F4F61"/>
    <w:rsid w:val="35A25378"/>
    <w:rsid w:val="35EE1C29"/>
    <w:rsid w:val="36153D7E"/>
    <w:rsid w:val="369D517D"/>
    <w:rsid w:val="36BF6C51"/>
    <w:rsid w:val="371523B0"/>
    <w:rsid w:val="378325C5"/>
    <w:rsid w:val="37BD392B"/>
    <w:rsid w:val="37E42938"/>
    <w:rsid w:val="389E2A00"/>
    <w:rsid w:val="389E744D"/>
    <w:rsid w:val="38CF182A"/>
    <w:rsid w:val="390951E0"/>
    <w:rsid w:val="393545E4"/>
    <w:rsid w:val="3A410DA1"/>
    <w:rsid w:val="3A5448AB"/>
    <w:rsid w:val="3AB21560"/>
    <w:rsid w:val="3AC3451C"/>
    <w:rsid w:val="3B295C04"/>
    <w:rsid w:val="3BD505A9"/>
    <w:rsid w:val="3C056812"/>
    <w:rsid w:val="3C0960FE"/>
    <w:rsid w:val="3C420452"/>
    <w:rsid w:val="3C5E08FA"/>
    <w:rsid w:val="3D232155"/>
    <w:rsid w:val="3D4D6AC0"/>
    <w:rsid w:val="3DE2340B"/>
    <w:rsid w:val="3E5D51F2"/>
    <w:rsid w:val="3ECF4342"/>
    <w:rsid w:val="3F7406F2"/>
    <w:rsid w:val="3FE27130"/>
    <w:rsid w:val="401502E5"/>
    <w:rsid w:val="40185875"/>
    <w:rsid w:val="40447F67"/>
    <w:rsid w:val="40495C5D"/>
    <w:rsid w:val="415169DF"/>
    <w:rsid w:val="42426331"/>
    <w:rsid w:val="42526845"/>
    <w:rsid w:val="42DB608B"/>
    <w:rsid w:val="43650DD1"/>
    <w:rsid w:val="43BA68F0"/>
    <w:rsid w:val="43E637CA"/>
    <w:rsid w:val="449376A1"/>
    <w:rsid w:val="449B63FE"/>
    <w:rsid w:val="45457BBE"/>
    <w:rsid w:val="454D6FB4"/>
    <w:rsid w:val="465C0B73"/>
    <w:rsid w:val="466731CC"/>
    <w:rsid w:val="4694464B"/>
    <w:rsid w:val="46944B6A"/>
    <w:rsid w:val="47060B1D"/>
    <w:rsid w:val="47D91D8D"/>
    <w:rsid w:val="47FB3DD4"/>
    <w:rsid w:val="488B4577"/>
    <w:rsid w:val="48C94D7A"/>
    <w:rsid w:val="48C96852"/>
    <w:rsid w:val="48D22B77"/>
    <w:rsid w:val="49313A9D"/>
    <w:rsid w:val="49722404"/>
    <w:rsid w:val="499248EA"/>
    <w:rsid w:val="49B93C25"/>
    <w:rsid w:val="49F76E7B"/>
    <w:rsid w:val="4AB904B0"/>
    <w:rsid w:val="4AEE358C"/>
    <w:rsid w:val="4AF018C8"/>
    <w:rsid w:val="4AFC420B"/>
    <w:rsid w:val="4BE52615"/>
    <w:rsid w:val="4C322B28"/>
    <w:rsid w:val="4D2B308B"/>
    <w:rsid w:val="4D654A1C"/>
    <w:rsid w:val="4D78416C"/>
    <w:rsid w:val="4DB42272"/>
    <w:rsid w:val="4DE7316E"/>
    <w:rsid w:val="4DF762F6"/>
    <w:rsid w:val="4E0706BF"/>
    <w:rsid w:val="4E4F12F0"/>
    <w:rsid w:val="4F404496"/>
    <w:rsid w:val="4F930AB7"/>
    <w:rsid w:val="50480F44"/>
    <w:rsid w:val="508C25B9"/>
    <w:rsid w:val="50B213CE"/>
    <w:rsid w:val="50D22E51"/>
    <w:rsid w:val="5141548E"/>
    <w:rsid w:val="517E794A"/>
    <w:rsid w:val="51DC4954"/>
    <w:rsid w:val="52DB4D31"/>
    <w:rsid w:val="5322428B"/>
    <w:rsid w:val="5437530C"/>
    <w:rsid w:val="544D1B39"/>
    <w:rsid w:val="54A22428"/>
    <w:rsid w:val="54C82F16"/>
    <w:rsid w:val="54CB6FA4"/>
    <w:rsid w:val="552A4A28"/>
    <w:rsid w:val="55482652"/>
    <w:rsid w:val="554E24EC"/>
    <w:rsid w:val="558327A4"/>
    <w:rsid w:val="55AF05D2"/>
    <w:rsid w:val="57123B01"/>
    <w:rsid w:val="57271A4F"/>
    <w:rsid w:val="573B6A92"/>
    <w:rsid w:val="576A0FE7"/>
    <w:rsid w:val="577B2623"/>
    <w:rsid w:val="57D35153"/>
    <w:rsid w:val="58122CB8"/>
    <w:rsid w:val="58CF6F26"/>
    <w:rsid w:val="58EC4EC6"/>
    <w:rsid w:val="59072F05"/>
    <w:rsid w:val="59AD78CE"/>
    <w:rsid w:val="59B94BE9"/>
    <w:rsid w:val="59D95F1B"/>
    <w:rsid w:val="5A0C5D15"/>
    <w:rsid w:val="5A5B7ADE"/>
    <w:rsid w:val="5A9D2814"/>
    <w:rsid w:val="5ABA5342"/>
    <w:rsid w:val="5AEA6805"/>
    <w:rsid w:val="5B5B7C89"/>
    <w:rsid w:val="5B655A11"/>
    <w:rsid w:val="5BB74DC4"/>
    <w:rsid w:val="5C247641"/>
    <w:rsid w:val="5C556587"/>
    <w:rsid w:val="5C623D84"/>
    <w:rsid w:val="5C955A62"/>
    <w:rsid w:val="5CD4565B"/>
    <w:rsid w:val="5D260B48"/>
    <w:rsid w:val="5D69550A"/>
    <w:rsid w:val="5E11297D"/>
    <w:rsid w:val="5E1D4DB0"/>
    <w:rsid w:val="5E90261B"/>
    <w:rsid w:val="5EC90F26"/>
    <w:rsid w:val="5F197804"/>
    <w:rsid w:val="5F246504"/>
    <w:rsid w:val="5F884BE3"/>
    <w:rsid w:val="5FA74D40"/>
    <w:rsid w:val="5FC26A78"/>
    <w:rsid w:val="60011F16"/>
    <w:rsid w:val="60F554D2"/>
    <w:rsid w:val="61DF3FED"/>
    <w:rsid w:val="61F73A00"/>
    <w:rsid w:val="629E5BD6"/>
    <w:rsid w:val="62D2126A"/>
    <w:rsid w:val="62F12229"/>
    <w:rsid w:val="63D51087"/>
    <w:rsid w:val="64591E34"/>
    <w:rsid w:val="647B624F"/>
    <w:rsid w:val="64D67929"/>
    <w:rsid w:val="65BF4023"/>
    <w:rsid w:val="668A0005"/>
    <w:rsid w:val="67191E9B"/>
    <w:rsid w:val="673655E3"/>
    <w:rsid w:val="67674868"/>
    <w:rsid w:val="676F196F"/>
    <w:rsid w:val="67BD2A93"/>
    <w:rsid w:val="67D839B8"/>
    <w:rsid w:val="67FC56E3"/>
    <w:rsid w:val="689A5CE6"/>
    <w:rsid w:val="68A11FFC"/>
    <w:rsid w:val="68AC6E3C"/>
    <w:rsid w:val="68E048D2"/>
    <w:rsid w:val="68F84419"/>
    <w:rsid w:val="69491588"/>
    <w:rsid w:val="6A5D0FAF"/>
    <w:rsid w:val="6A6C1465"/>
    <w:rsid w:val="6AFD197E"/>
    <w:rsid w:val="6B25DD3D"/>
    <w:rsid w:val="6B5378A9"/>
    <w:rsid w:val="6B891C64"/>
    <w:rsid w:val="6C5F737D"/>
    <w:rsid w:val="6CAF4343"/>
    <w:rsid w:val="6CF130F0"/>
    <w:rsid w:val="6CFF154A"/>
    <w:rsid w:val="6D1C4347"/>
    <w:rsid w:val="6D212842"/>
    <w:rsid w:val="6D8B634A"/>
    <w:rsid w:val="6DB77FC3"/>
    <w:rsid w:val="6E116824"/>
    <w:rsid w:val="6E5E0242"/>
    <w:rsid w:val="6EBF5E07"/>
    <w:rsid w:val="6F2D698C"/>
    <w:rsid w:val="6FD15F49"/>
    <w:rsid w:val="701E6E74"/>
    <w:rsid w:val="70462679"/>
    <w:rsid w:val="70722DD0"/>
    <w:rsid w:val="70BB79D3"/>
    <w:rsid w:val="71477B07"/>
    <w:rsid w:val="718E1DBB"/>
    <w:rsid w:val="71EE109B"/>
    <w:rsid w:val="720B1465"/>
    <w:rsid w:val="722647FD"/>
    <w:rsid w:val="7298621E"/>
    <w:rsid w:val="734D2B11"/>
    <w:rsid w:val="73843460"/>
    <w:rsid w:val="73D43285"/>
    <w:rsid w:val="74651E45"/>
    <w:rsid w:val="74C33758"/>
    <w:rsid w:val="75626A64"/>
    <w:rsid w:val="76A379C8"/>
    <w:rsid w:val="771457C7"/>
    <w:rsid w:val="772067E2"/>
    <w:rsid w:val="77C208E5"/>
    <w:rsid w:val="77F1616B"/>
    <w:rsid w:val="787228E5"/>
    <w:rsid w:val="78DD3731"/>
    <w:rsid w:val="7941606B"/>
    <w:rsid w:val="79746A30"/>
    <w:rsid w:val="797634E4"/>
    <w:rsid w:val="799111FE"/>
    <w:rsid w:val="7A033A71"/>
    <w:rsid w:val="7A3B5B1E"/>
    <w:rsid w:val="7B1B223B"/>
    <w:rsid w:val="7B221693"/>
    <w:rsid w:val="7B7922A0"/>
    <w:rsid w:val="7BBB1D87"/>
    <w:rsid w:val="7BE5161F"/>
    <w:rsid w:val="7BF11955"/>
    <w:rsid w:val="7CE1205D"/>
    <w:rsid w:val="7D984A93"/>
    <w:rsid w:val="7DE22D4B"/>
    <w:rsid w:val="7E9C2B2A"/>
    <w:rsid w:val="7EAB1087"/>
    <w:rsid w:val="7F080463"/>
    <w:rsid w:val="7F317B5C"/>
    <w:rsid w:val="7F341F96"/>
    <w:rsid w:val="7F3F2F9F"/>
    <w:rsid w:val="7FB10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5FD16"/>
  <w15:docId w15:val="{D65ADEE5-BC7D-438D-A826-B1B47614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unhideWhenUsed="1"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unhideWhenUsed="1" w:qFormat="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qFormat/>
    <w:pPr>
      <w:adjustRightInd w:val="0"/>
      <w:snapToGrid w:val="0"/>
    </w:pPr>
    <w:rPr>
      <w:rFonts w:ascii="Tahoma" w:eastAsia="微软雅黑" w:hAnsi="Tahoma"/>
      <w:sz w:val="22"/>
      <w:szCs w:val="22"/>
    </w:rPr>
  </w:style>
  <w:style w:type="paragraph" w:styleId="a4">
    <w:name w:val="annotation text"/>
    <w:basedOn w:val="a"/>
    <w:link w:val="a5"/>
    <w:autoRedefine/>
    <w:uiPriority w:val="99"/>
    <w:unhideWhenUsed/>
    <w:qFormat/>
    <w:pPr>
      <w:jc w:val="left"/>
    </w:pPr>
  </w:style>
  <w:style w:type="paragraph" w:styleId="a6">
    <w:name w:val="Balloon Text"/>
    <w:basedOn w:val="a"/>
    <w:link w:val="a7"/>
    <w:autoRedefine/>
    <w:uiPriority w:val="99"/>
    <w:unhideWhenUsed/>
    <w:qFormat/>
    <w:rPr>
      <w:sz w:val="18"/>
      <w:szCs w:val="18"/>
    </w:rPr>
  </w:style>
  <w:style w:type="paragraph" w:styleId="a8">
    <w:name w:val="footer"/>
    <w:basedOn w:val="a"/>
    <w:link w:val="a9"/>
    <w:autoRedefine/>
    <w:uiPriority w:val="99"/>
    <w:qFormat/>
    <w:rsid w:val="00C30981"/>
    <w:pPr>
      <w:tabs>
        <w:tab w:val="center" w:pos="4153"/>
        <w:tab w:val="right" w:pos="8306"/>
      </w:tabs>
      <w:snapToGrid w:val="0"/>
      <w:jc w:val="left"/>
    </w:pPr>
    <w:rPr>
      <w:sz w:val="28"/>
      <w:szCs w:val="28"/>
    </w:rPr>
  </w:style>
  <w:style w:type="paragraph" w:styleId="aa">
    <w:name w:val="header"/>
    <w:basedOn w:val="a"/>
    <w:link w:val="ab"/>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4"/>
    <w:next w:val="a4"/>
    <w:link w:val="ad"/>
    <w:autoRedefine/>
    <w:uiPriority w:val="99"/>
    <w:unhideWhenUsed/>
    <w:qFormat/>
    <w:rPr>
      <w:b/>
      <w:bCs/>
    </w:rPr>
  </w:style>
  <w:style w:type="table" w:styleId="ae">
    <w:name w:val="Table Grid"/>
    <w:basedOn w:val="a2"/>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line number"/>
    <w:basedOn w:val="a1"/>
    <w:autoRedefine/>
    <w:uiPriority w:val="99"/>
    <w:unhideWhenUsed/>
    <w:qFormat/>
  </w:style>
  <w:style w:type="character" w:styleId="af0">
    <w:name w:val="Hyperlink"/>
    <w:basedOn w:val="a1"/>
    <w:autoRedefine/>
    <w:uiPriority w:val="99"/>
    <w:unhideWhenUsed/>
    <w:qFormat/>
    <w:rPr>
      <w:color w:val="0000FF"/>
      <w:u w:val="single"/>
    </w:rPr>
  </w:style>
  <w:style w:type="character" w:styleId="af1">
    <w:name w:val="annotation reference"/>
    <w:basedOn w:val="a1"/>
    <w:autoRedefine/>
    <w:uiPriority w:val="99"/>
    <w:unhideWhenUsed/>
    <w:qFormat/>
    <w:rPr>
      <w:sz w:val="21"/>
      <w:szCs w:val="21"/>
    </w:rPr>
  </w:style>
  <w:style w:type="character" w:customStyle="1" w:styleId="a5">
    <w:name w:val="批注文字 字符"/>
    <w:basedOn w:val="a1"/>
    <w:link w:val="a4"/>
    <w:autoRedefine/>
    <w:uiPriority w:val="99"/>
    <w:semiHidden/>
    <w:qFormat/>
    <w:rPr>
      <w:rFonts w:ascii="Times New Roman" w:eastAsia="宋体" w:hAnsi="Times New Roman" w:cs="Times New Roman"/>
      <w:kern w:val="2"/>
      <w:sz w:val="21"/>
      <w:szCs w:val="24"/>
    </w:rPr>
  </w:style>
  <w:style w:type="character" w:customStyle="1" w:styleId="a7">
    <w:name w:val="批注框文本 字符"/>
    <w:basedOn w:val="a1"/>
    <w:link w:val="a6"/>
    <w:autoRedefine/>
    <w:uiPriority w:val="99"/>
    <w:semiHidden/>
    <w:qFormat/>
    <w:rPr>
      <w:kern w:val="2"/>
      <w:sz w:val="18"/>
      <w:szCs w:val="18"/>
    </w:rPr>
  </w:style>
  <w:style w:type="character" w:customStyle="1" w:styleId="a9">
    <w:name w:val="页脚 字符"/>
    <w:basedOn w:val="a1"/>
    <w:link w:val="a8"/>
    <w:autoRedefine/>
    <w:uiPriority w:val="99"/>
    <w:qFormat/>
    <w:rsid w:val="00C30981"/>
    <w:rPr>
      <w:kern w:val="2"/>
      <w:sz w:val="28"/>
      <w:szCs w:val="28"/>
    </w:rPr>
  </w:style>
  <w:style w:type="character" w:customStyle="1" w:styleId="ab">
    <w:name w:val="页眉 字符"/>
    <w:basedOn w:val="a1"/>
    <w:link w:val="aa"/>
    <w:autoRedefine/>
    <w:uiPriority w:val="99"/>
    <w:qFormat/>
    <w:rPr>
      <w:rFonts w:ascii="Times New Roman" w:eastAsia="宋体" w:hAnsi="Times New Roman" w:cs="Times New Roman"/>
      <w:kern w:val="2"/>
      <w:sz w:val="18"/>
      <w:szCs w:val="18"/>
    </w:rPr>
  </w:style>
  <w:style w:type="character" w:customStyle="1" w:styleId="ad">
    <w:name w:val="批注主题 字符"/>
    <w:basedOn w:val="a5"/>
    <w:link w:val="ac"/>
    <w:autoRedefine/>
    <w:uiPriority w:val="99"/>
    <w:semiHidden/>
    <w:qFormat/>
    <w:rPr>
      <w:rFonts w:ascii="Times New Roman" w:eastAsia="宋体" w:hAnsi="Times New Roman" w:cs="Times New Roman"/>
      <w:b/>
      <w:bCs/>
      <w:kern w:val="2"/>
      <w:sz w:val="21"/>
      <w:szCs w:val="24"/>
    </w:rPr>
  </w:style>
  <w:style w:type="paragraph" w:customStyle="1" w:styleId="Default">
    <w:name w:val="Default"/>
    <w:autoRedefine/>
    <w:uiPriority w:val="99"/>
    <w:unhideWhenUsed/>
    <w:qFormat/>
    <w:pPr>
      <w:widowControl w:val="0"/>
      <w:autoSpaceDE w:val="0"/>
      <w:autoSpaceDN w:val="0"/>
      <w:adjustRightInd w:val="0"/>
    </w:pPr>
    <w:rPr>
      <w:rFonts w:ascii="Calibri" w:eastAsia="Times New Roman" w:hAnsi="Calibri" w:hint="eastAsia"/>
      <w:color w:val="000000"/>
      <w:sz w:val="24"/>
    </w:rPr>
  </w:style>
  <w:style w:type="paragraph" w:styleId="af2">
    <w:name w:val="List Paragraph"/>
    <w:basedOn w:val="a"/>
    <w:autoRedefine/>
    <w:uiPriority w:val="34"/>
    <w:qFormat/>
    <w:pPr>
      <w:ind w:firstLineChars="200" w:firstLine="420"/>
    </w:pPr>
    <w:rPr>
      <w:rFonts w:ascii="Calibri" w:hAnsi="Calibri"/>
      <w:szCs w:val="22"/>
    </w:rPr>
  </w:style>
  <w:style w:type="paragraph" w:customStyle="1" w:styleId="1">
    <w:name w:val="修订1"/>
    <w:autoRedefine/>
    <w:uiPriority w:val="99"/>
    <w:semiHidden/>
    <w:qFormat/>
    <w:rPr>
      <w:kern w:val="2"/>
      <w:sz w:val="21"/>
      <w:szCs w:val="24"/>
    </w:rPr>
  </w:style>
  <w:style w:type="paragraph" w:customStyle="1" w:styleId="2">
    <w:name w:val="修订2"/>
    <w:autoRedefine/>
    <w:uiPriority w:val="99"/>
    <w:semiHidden/>
    <w:qFormat/>
    <w:rPr>
      <w:kern w:val="2"/>
      <w:sz w:val="21"/>
      <w:szCs w:val="24"/>
    </w:rPr>
  </w:style>
  <w:style w:type="paragraph" w:customStyle="1" w:styleId="3">
    <w:name w:val="修订3"/>
    <w:autoRedefine/>
    <w:uiPriority w:val="99"/>
    <w:semiHidden/>
    <w:qFormat/>
    <w:rPr>
      <w:kern w:val="2"/>
      <w:sz w:val="21"/>
      <w:szCs w:val="24"/>
    </w:rPr>
  </w:style>
  <w:style w:type="paragraph" w:customStyle="1" w:styleId="4">
    <w:name w:val="修订4"/>
    <w:autoRedefine/>
    <w:uiPriority w:val="99"/>
    <w:semiHidden/>
    <w:qFormat/>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1728</Words>
  <Characters>9854</Characters>
  <Application>Microsoft Office Word</Application>
  <DocSecurity>0</DocSecurity>
  <Lines>82</Lines>
  <Paragraphs>23</Paragraphs>
  <ScaleCrop>false</ScaleCrop>
  <Company>神州网信技术有限公司</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haier</dc:creator>
  <cp:lastModifiedBy>孙俊仁</cp:lastModifiedBy>
  <cp:revision>27</cp:revision>
  <dcterms:created xsi:type="dcterms:W3CDTF">2022-09-21T19:20:00Z</dcterms:created>
  <dcterms:modified xsi:type="dcterms:W3CDTF">2024-05-22T02:07:00Z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FCBAC6F5A8824B97BB2739FDB2BC8BF7</vt:lpwstr>
  </property>
</Properties>
</file>