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A1" w:rsidRPr="00C557B1" w:rsidRDefault="002A6CA1" w:rsidP="002A6CA1">
      <w:pPr>
        <w:spacing w:line="520" w:lineRule="exact"/>
        <w:ind w:rightChars="-32" w:right="-67"/>
        <w:jc w:val="left"/>
        <w:rPr>
          <w:rFonts w:eastAsia="黑体"/>
          <w:bCs/>
          <w:sz w:val="32"/>
          <w:szCs w:val="32"/>
        </w:rPr>
      </w:pPr>
      <w:r w:rsidRPr="00C557B1">
        <w:rPr>
          <w:rFonts w:eastAsia="黑体"/>
          <w:bCs/>
          <w:sz w:val="32"/>
          <w:szCs w:val="32"/>
        </w:rPr>
        <w:t>附件</w:t>
      </w:r>
      <w:r w:rsidRPr="00C557B1">
        <w:rPr>
          <w:rFonts w:eastAsia="黑体"/>
          <w:bCs/>
          <w:sz w:val="32"/>
          <w:szCs w:val="32"/>
        </w:rPr>
        <w:t>9</w:t>
      </w:r>
    </w:p>
    <w:p w:rsidR="006D6CD8" w:rsidRPr="00C557B1" w:rsidRDefault="006D6CD8" w:rsidP="002A6CA1">
      <w:pPr>
        <w:spacing w:line="520" w:lineRule="exact"/>
        <w:ind w:rightChars="-32" w:right="-67"/>
        <w:jc w:val="left"/>
        <w:rPr>
          <w:rFonts w:eastAsia="黑体"/>
          <w:bCs/>
          <w:sz w:val="32"/>
          <w:szCs w:val="32"/>
        </w:rPr>
      </w:pPr>
    </w:p>
    <w:p w:rsidR="001731F7" w:rsidRPr="00C557B1" w:rsidRDefault="00D8600A">
      <w:pPr>
        <w:spacing w:line="520" w:lineRule="exact"/>
        <w:ind w:rightChars="-32" w:right="-67"/>
        <w:jc w:val="center"/>
        <w:rPr>
          <w:rFonts w:eastAsia="方正小标宋简体"/>
          <w:sz w:val="44"/>
          <w:szCs w:val="44"/>
        </w:rPr>
      </w:pPr>
      <w:r w:rsidRPr="00C557B1">
        <w:rPr>
          <w:rFonts w:eastAsia="方正小标宋简体"/>
          <w:sz w:val="44"/>
          <w:szCs w:val="44"/>
        </w:rPr>
        <w:t>负压引流装置产品注册审查指导原则</w:t>
      </w:r>
    </w:p>
    <w:p w:rsidR="001731F7" w:rsidRPr="00C557B1" w:rsidRDefault="00D8600A">
      <w:pPr>
        <w:spacing w:line="520" w:lineRule="exact"/>
        <w:ind w:rightChars="-32" w:right="-67"/>
        <w:jc w:val="center"/>
        <w:rPr>
          <w:rFonts w:eastAsia="方正小标宋简体"/>
          <w:bCs/>
          <w:sz w:val="44"/>
          <w:szCs w:val="44"/>
        </w:rPr>
      </w:pPr>
      <w:r w:rsidRPr="00C557B1">
        <w:rPr>
          <w:rFonts w:eastAsia="方正小标宋简体"/>
          <w:bCs/>
          <w:sz w:val="44"/>
          <w:szCs w:val="44"/>
        </w:rPr>
        <w:t>（</w:t>
      </w:r>
      <w:r w:rsidRPr="00C557B1">
        <w:rPr>
          <w:rFonts w:eastAsia="方正小标宋简体"/>
          <w:bCs/>
          <w:sz w:val="44"/>
          <w:szCs w:val="44"/>
        </w:rPr>
        <w:t>2024</w:t>
      </w:r>
      <w:r w:rsidRPr="00C557B1">
        <w:rPr>
          <w:rFonts w:eastAsia="方正小标宋简体"/>
          <w:bCs/>
          <w:sz w:val="44"/>
          <w:szCs w:val="44"/>
        </w:rPr>
        <w:t>年修订版）</w:t>
      </w:r>
    </w:p>
    <w:p w:rsidR="001731F7" w:rsidRPr="00C557B1" w:rsidRDefault="001731F7">
      <w:pPr>
        <w:spacing w:line="520" w:lineRule="exact"/>
        <w:ind w:rightChars="-32" w:right="-67"/>
        <w:jc w:val="center"/>
        <w:rPr>
          <w:rFonts w:eastAsia="方正小标宋简体"/>
          <w:bCs/>
          <w:sz w:val="44"/>
          <w:szCs w:val="44"/>
        </w:rPr>
      </w:pP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本指导原则旨在指导注册申请人对负压引流装置产品注册申报资料的准备及撰写，同时也为技术审评部门提供参考，帮助审评人员理解和掌握该类产品原理</w:t>
      </w:r>
      <w:r w:rsidRPr="00C557B1">
        <w:rPr>
          <w:rFonts w:eastAsia="仿宋_GB2312"/>
          <w:sz w:val="32"/>
          <w:szCs w:val="32"/>
        </w:rPr>
        <w:t>/</w:t>
      </w:r>
      <w:r w:rsidRPr="00C557B1">
        <w:rPr>
          <w:rFonts w:eastAsia="仿宋_GB2312"/>
          <w:sz w:val="32"/>
          <w:szCs w:val="32"/>
        </w:rPr>
        <w:t>机理、结构、性能、预期用途等内容，把握技术审评工作基本要求和尺度，对产品安全性、有效性作出系统评价。</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本指导原则是对负压引流装置产品的一般要求，申请人应依据产品的具体特性确定其中内容是否适用。若不适用，需具体阐述理由及相应的科学依据，并依据产品的具体特性对注册申报资料的内容进行充实和细化。</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本指导原则是在现行法规和标准体系以及当前认知水平下制定，随着法规和标准的不断完善，以及科学技术的不断发展，相关内容也将适时进行调整。应在遵循相关法规的前提下使用本指导原则。</w:t>
      </w:r>
    </w:p>
    <w:p w:rsidR="001731F7" w:rsidRPr="00C557B1" w:rsidRDefault="00D8600A">
      <w:pPr>
        <w:spacing w:line="520" w:lineRule="exact"/>
        <w:ind w:rightChars="-32" w:right="-67" w:firstLineChars="200" w:firstLine="640"/>
        <w:rPr>
          <w:rFonts w:eastAsia="黑体"/>
          <w:sz w:val="32"/>
          <w:szCs w:val="32"/>
        </w:rPr>
      </w:pPr>
      <w:r w:rsidRPr="00C557B1">
        <w:rPr>
          <w:rFonts w:eastAsia="黑体"/>
          <w:sz w:val="32"/>
          <w:szCs w:val="32"/>
        </w:rPr>
        <w:t>一、适用范围</w:t>
      </w:r>
    </w:p>
    <w:p w:rsidR="001731F7" w:rsidRPr="00C557B1" w:rsidRDefault="00D8600A">
      <w:pPr>
        <w:spacing w:line="520" w:lineRule="exact"/>
        <w:ind w:firstLineChars="200" w:firstLine="640"/>
        <w:rPr>
          <w:rFonts w:eastAsia="仿宋_GB2312"/>
          <w:color w:val="0000FF"/>
          <w:sz w:val="32"/>
          <w:szCs w:val="32"/>
        </w:rPr>
      </w:pPr>
      <w:r w:rsidRPr="00C557B1">
        <w:rPr>
          <w:rFonts w:eastAsia="仿宋_GB2312"/>
          <w:sz w:val="32"/>
          <w:szCs w:val="32"/>
        </w:rPr>
        <w:t>本指导原则适用于以负压引流海绵材料作为引流端的封闭</w:t>
      </w:r>
      <w:r w:rsidRPr="00C557B1">
        <w:rPr>
          <w:rFonts w:eastAsia="仿宋_GB2312"/>
          <w:sz w:val="32"/>
          <w:szCs w:val="32"/>
        </w:rPr>
        <w:lastRenderedPageBreak/>
        <w:t>式创伤负压引流装置</w:t>
      </w:r>
      <w:r w:rsidRPr="00C557B1">
        <w:t>，</w:t>
      </w:r>
      <w:r w:rsidRPr="00C557B1">
        <w:rPr>
          <w:rFonts w:eastAsia="仿宋_GB2312"/>
          <w:sz w:val="32"/>
          <w:szCs w:val="32"/>
        </w:rPr>
        <w:t>用于对非慢性创面（如手术后缝合创面、机械创伤、切割伤创面、浅</w:t>
      </w:r>
      <w:r w:rsidRPr="00C557B1">
        <w:rPr>
          <w:rFonts w:eastAsia="仿宋_GB2312"/>
          <w:sz w:val="32"/>
          <w:szCs w:val="32"/>
        </w:rPr>
        <w:t>II</w:t>
      </w:r>
      <w:r w:rsidRPr="00C557B1">
        <w:rPr>
          <w:rFonts w:eastAsia="仿宋_GB2312"/>
          <w:sz w:val="32"/>
          <w:szCs w:val="32"/>
        </w:rPr>
        <w:t>度的烧烫伤创面）进行引流</w:t>
      </w:r>
      <w:r w:rsidRPr="00C557B1">
        <w:t>。</w:t>
      </w:r>
      <w:r w:rsidRPr="00C557B1">
        <w:rPr>
          <w:rFonts w:eastAsia="仿宋_GB2312"/>
          <w:sz w:val="32"/>
          <w:szCs w:val="32"/>
        </w:rPr>
        <w:t>产品管理类别为二类，产品分类编码为：</w:t>
      </w:r>
      <w:r w:rsidRPr="00C557B1">
        <w:rPr>
          <w:rFonts w:eastAsia="仿宋_GB2312"/>
          <w:sz w:val="32"/>
          <w:szCs w:val="32"/>
        </w:rPr>
        <w:t>14</w:t>
      </w:r>
      <w:r w:rsidRPr="00C557B1">
        <w:rPr>
          <w:rFonts w:eastAsia="仿宋_GB2312"/>
          <w:sz w:val="32"/>
          <w:szCs w:val="32"/>
        </w:rPr>
        <w:t>。</w:t>
      </w:r>
    </w:p>
    <w:p w:rsidR="001731F7" w:rsidRPr="00C557B1" w:rsidRDefault="00D8600A">
      <w:pPr>
        <w:spacing w:line="520" w:lineRule="exact"/>
        <w:ind w:rightChars="-32" w:right="-67" w:firstLineChars="200" w:firstLine="640"/>
        <w:rPr>
          <w:rFonts w:eastAsia="楷体_GB2312"/>
          <w:sz w:val="32"/>
          <w:szCs w:val="32"/>
        </w:rPr>
      </w:pPr>
      <w:r w:rsidRPr="00C557B1">
        <w:rPr>
          <w:rFonts w:eastAsia="黑体"/>
          <w:sz w:val="32"/>
          <w:szCs w:val="32"/>
        </w:rPr>
        <w:t>二、注册审查要点</w:t>
      </w:r>
    </w:p>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（一）监管信息</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注册申请人应提供产品名称、分类编码、注册单元划分等；产品列表、既往沟通记录、主文档授权信及其他管理信息等。</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1.</w:t>
      </w:r>
      <w:r w:rsidRPr="00C557B1">
        <w:rPr>
          <w:rFonts w:eastAsia="仿宋_GB2312"/>
          <w:sz w:val="32"/>
          <w:szCs w:val="32"/>
        </w:rPr>
        <w:t>产品名称</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应描述产品名称的确定依据。产品名称应符合《医疗器械通用名称命名规则》或行业标准上的通用名称等相关文件的要求，由一个核心词和三个以内特征词组成，以体现产品的特性、使用特点和预期用途。</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命名举例：聚乙烯醇封闭式负压引流装置、聚氨酯封闭式负压引流装置等。</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2.</w:t>
      </w:r>
      <w:r w:rsidRPr="00C557B1">
        <w:rPr>
          <w:rFonts w:eastAsia="仿宋_GB2312"/>
          <w:sz w:val="32"/>
          <w:szCs w:val="32"/>
        </w:rPr>
        <w:t>管理类别、分类编码</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2.1</w:t>
      </w:r>
      <w:r w:rsidRPr="00C557B1">
        <w:rPr>
          <w:rFonts w:eastAsia="仿宋_GB2312"/>
          <w:sz w:val="32"/>
          <w:szCs w:val="32"/>
        </w:rPr>
        <w:t>负压引流装置产品按第二类医疗器械管理，分类编码为</w:t>
      </w:r>
      <w:r w:rsidRPr="00C557B1">
        <w:rPr>
          <w:rFonts w:eastAsia="仿宋_GB2312"/>
          <w:sz w:val="32"/>
          <w:szCs w:val="32"/>
        </w:rPr>
        <w:t>14</w:t>
      </w:r>
      <w:r w:rsidRPr="00C557B1">
        <w:rPr>
          <w:rFonts w:eastAsia="仿宋_GB2312"/>
          <w:sz w:val="32"/>
          <w:szCs w:val="32"/>
        </w:rPr>
        <w:t>。</w:t>
      </w:r>
    </w:p>
    <w:p w:rsidR="001731F7" w:rsidRPr="00C557B1" w:rsidRDefault="00D8600A">
      <w:pPr>
        <w:spacing w:line="520" w:lineRule="exact"/>
        <w:ind w:rightChars="-32" w:right="-67" w:firstLineChars="200" w:firstLine="640"/>
        <w:rPr>
          <w:rFonts w:eastAsia="仿宋_GB2312"/>
          <w:color w:val="000000" w:themeColor="text1"/>
          <w:sz w:val="32"/>
          <w:szCs w:val="32"/>
        </w:rPr>
      </w:pPr>
      <w:r w:rsidRPr="00C557B1">
        <w:rPr>
          <w:rFonts w:eastAsia="仿宋_GB2312"/>
          <w:color w:val="000000" w:themeColor="text1"/>
          <w:sz w:val="32"/>
          <w:szCs w:val="32"/>
        </w:rPr>
        <w:t>2.2</w:t>
      </w:r>
      <w:r w:rsidRPr="00C557B1">
        <w:rPr>
          <w:rFonts w:eastAsia="仿宋_GB2312"/>
          <w:color w:val="000000" w:themeColor="text1"/>
          <w:sz w:val="32"/>
          <w:szCs w:val="32"/>
        </w:rPr>
        <w:t>根据《医疗器械分类目录》，用于对非慢性创面（如手术后缝合创面、机械创伤、切割伤创面、浅</w:t>
      </w:r>
      <w:r w:rsidRPr="00C557B1">
        <w:rPr>
          <w:rFonts w:eastAsia="仿宋_GB2312"/>
          <w:color w:val="000000" w:themeColor="text1"/>
          <w:sz w:val="32"/>
          <w:szCs w:val="32"/>
        </w:rPr>
        <w:t>II</w:t>
      </w:r>
      <w:r w:rsidRPr="00C557B1">
        <w:rPr>
          <w:rFonts w:eastAsia="仿宋_GB2312"/>
          <w:color w:val="000000" w:themeColor="text1"/>
          <w:sz w:val="32"/>
          <w:szCs w:val="32"/>
        </w:rPr>
        <w:t>度的烧烫伤创面）进行引流的负压引流海绵，按第二类医疗器械管理，分类编码为</w:t>
      </w:r>
      <w:r w:rsidRPr="00C557B1">
        <w:rPr>
          <w:rFonts w:eastAsia="仿宋_GB2312"/>
          <w:color w:val="000000" w:themeColor="text1"/>
          <w:sz w:val="32"/>
          <w:szCs w:val="32"/>
        </w:rPr>
        <w:t>14-06-05</w:t>
      </w:r>
      <w:r w:rsidRPr="00C557B1">
        <w:rPr>
          <w:rFonts w:eastAsia="仿宋_GB2312"/>
          <w:color w:val="000000" w:themeColor="text1"/>
          <w:sz w:val="32"/>
          <w:szCs w:val="32"/>
        </w:rPr>
        <w:t>。</w:t>
      </w:r>
    </w:p>
    <w:p w:rsidR="001731F7" w:rsidRPr="00C557B1" w:rsidRDefault="00D8600A">
      <w:pPr>
        <w:spacing w:line="520" w:lineRule="exact"/>
        <w:ind w:rightChars="-32" w:right="-67" w:firstLineChars="200" w:firstLine="640"/>
        <w:rPr>
          <w:rFonts w:eastAsia="仿宋_GB2312"/>
          <w:color w:val="000000" w:themeColor="text1"/>
          <w:sz w:val="32"/>
          <w:szCs w:val="32"/>
        </w:rPr>
      </w:pPr>
      <w:r w:rsidRPr="00C557B1">
        <w:rPr>
          <w:rFonts w:eastAsia="仿宋_GB2312"/>
          <w:color w:val="000000" w:themeColor="text1"/>
          <w:sz w:val="32"/>
          <w:szCs w:val="32"/>
        </w:rPr>
        <w:t>2.3</w:t>
      </w:r>
      <w:r w:rsidRPr="00C557B1">
        <w:rPr>
          <w:rFonts w:eastAsia="仿宋_GB2312"/>
          <w:color w:val="000000" w:themeColor="text1"/>
          <w:sz w:val="32"/>
          <w:szCs w:val="32"/>
        </w:rPr>
        <w:t>根据《医疗器械分类目录》，用于负压引流时封闭创面的负压引流封闭膜，按第二类医疗器械管理，分类编码为</w:t>
      </w:r>
      <w:r w:rsidRPr="00C557B1">
        <w:rPr>
          <w:rFonts w:eastAsia="仿宋_GB2312"/>
          <w:color w:val="000000" w:themeColor="text1"/>
          <w:sz w:val="32"/>
          <w:szCs w:val="32"/>
        </w:rPr>
        <w:t>14-06-06</w:t>
      </w:r>
      <w:r w:rsidRPr="00C557B1">
        <w:rPr>
          <w:rFonts w:eastAsia="仿宋_GB2312"/>
          <w:color w:val="000000" w:themeColor="text1"/>
          <w:sz w:val="32"/>
          <w:szCs w:val="32"/>
        </w:rPr>
        <w:t>。</w:t>
      </w:r>
    </w:p>
    <w:p w:rsidR="001731F7" w:rsidRPr="00C557B1" w:rsidRDefault="00D8600A">
      <w:pPr>
        <w:spacing w:line="520" w:lineRule="exact"/>
        <w:ind w:rightChars="-32" w:right="-67" w:firstLineChars="200" w:firstLine="640"/>
        <w:rPr>
          <w:rFonts w:eastAsia="仿宋_GB2312"/>
          <w:color w:val="0000FF"/>
          <w:sz w:val="32"/>
          <w:szCs w:val="32"/>
        </w:rPr>
      </w:pPr>
      <w:r w:rsidRPr="00C557B1">
        <w:rPr>
          <w:rFonts w:eastAsia="仿宋_GB2312"/>
          <w:color w:val="000000" w:themeColor="text1"/>
          <w:sz w:val="32"/>
          <w:szCs w:val="32"/>
        </w:rPr>
        <w:t>2.4</w:t>
      </w:r>
      <w:r w:rsidRPr="00C557B1">
        <w:rPr>
          <w:rFonts w:eastAsia="仿宋_GB2312"/>
          <w:color w:val="000000" w:themeColor="text1"/>
          <w:sz w:val="32"/>
          <w:szCs w:val="32"/>
        </w:rPr>
        <w:t>根据《医疗器械分类目录》，用于将患者积液、渗出液</w:t>
      </w:r>
      <w:r w:rsidRPr="00C557B1">
        <w:rPr>
          <w:rFonts w:eastAsia="仿宋_GB2312"/>
          <w:color w:val="000000" w:themeColor="text1"/>
          <w:sz w:val="32"/>
          <w:szCs w:val="32"/>
        </w:rPr>
        <w:lastRenderedPageBreak/>
        <w:t>或气体向体外引流的负压吸引导管，按第二类医疗器械管理，分类编码为</w:t>
      </w:r>
      <w:r w:rsidRPr="00C557B1">
        <w:rPr>
          <w:rFonts w:eastAsia="仿宋_GB2312"/>
          <w:color w:val="000000" w:themeColor="text1"/>
          <w:sz w:val="32"/>
          <w:szCs w:val="32"/>
        </w:rPr>
        <w:t>14-05-06</w:t>
      </w:r>
      <w:r w:rsidRPr="00C557B1">
        <w:rPr>
          <w:rFonts w:eastAsia="仿宋_GB2312"/>
          <w:color w:val="000000" w:themeColor="text1"/>
          <w:sz w:val="32"/>
          <w:szCs w:val="32"/>
        </w:rPr>
        <w:t>。</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3.</w:t>
      </w:r>
      <w:r w:rsidRPr="00C557B1">
        <w:rPr>
          <w:rFonts w:eastAsia="仿宋_GB2312"/>
          <w:sz w:val="32"/>
          <w:szCs w:val="32"/>
        </w:rPr>
        <w:t>注册单元划分的原则和实例</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按照《医疗器械注册单元划分指导原则》要求，医疗器械注册单元原则上以产品的技术原理、结构组成、性能指标和适用范围为划分依据。</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如：以聚乙烯醇海绵为引流端的产品和以聚氨酯海绵为引流端的产品建议划分为不同的注册单元。</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4.</w:t>
      </w:r>
      <w:r w:rsidRPr="00C557B1">
        <w:rPr>
          <w:rFonts w:eastAsia="仿宋_GB2312"/>
          <w:sz w:val="32"/>
          <w:szCs w:val="32"/>
        </w:rPr>
        <w:t>型号规格</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应明确申报产品的型号规格。单独的负压引流海绵或负压引流封闭膜或负压吸引导管不应划分为独立的型号规格。</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5.</w:t>
      </w:r>
      <w:r w:rsidRPr="00C557B1">
        <w:rPr>
          <w:rFonts w:eastAsia="仿宋_GB2312"/>
          <w:sz w:val="32"/>
          <w:szCs w:val="32"/>
        </w:rPr>
        <w:t>结构及组成</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结构组成中部件名称应规范。各项文件中结构及组成应一致。</w:t>
      </w:r>
    </w:p>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（二）综述资料</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1.</w:t>
      </w:r>
      <w:r w:rsidRPr="00C557B1">
        <w:rPr>
          <w:rFonts w:eastAsia="仿宋_GB2312"/>
          <w:spacing w:val="-1"/>
          <w:sz w:val="32"/>
          <w:szCs w:val="32"/>
        </w:rPr>
        <w:t>概述</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申请人应结合产品的适用范围、预期使用场景等确定</w:t>
      </w:r>
      <w:r w:rsidRPr="00C557B1">
        <w:rPr>
          <w:rFonts w:eastAsia="仿宋_GB2312"/>
          <w:sz w:val="32"/>
          <w:szCs w:val="32"/>
        </w:rPr>
        <w:t>负压引流装置产品</w:t>
      </w:r>
      <w:r w:rsidRPr="00C557B1">
        <w:rPr>
          <w:rFonts w:eastAsia="仿宋_GB2312"/>
          <w:spacing w:val="-1"/>
          <w:sz w:val="32"/>
          <w:szCs w:val="32"/>
        </w:rPr>
        <w:t>的管理类别和分类编码。如适用，还应描述有关申报产品的背景信息概述或特别细节，如：申报产品的历史概述、历次提交的信息，与其他经批准上市产品的关系等。</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w:t>
      </w:r>
      <w:r w:rsidRPr="00C557B1">
        <w:rPr>
          <w:rFonts w:eastAsia="仿宋_GB2312"/>
          <w:spacing w:val="-1"/>
          <w:sz w:val="32"/>
          <w:szCs w:val="32"/>
        </w:rPr>
        <w:t>产品描述</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申请人应描述产品的工作原理、作用机理、结构及组成、主要功能，以及区别于其他同类产品的特征等内容。含有多个组成部分的，应说明其连接或组装关系。</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2.1</w:t>
      </w:r>
      <w:r w:rsidRPr="00C557B1">
        <w:rPr>
          <w:rFonts w:eastAsia="仿宋_GB2312"/>
          <w:spacing w:val="-1"/>
          <w:sz w:val="32"/>
          <w:szCs w:val="32"/>
        </w:rPr>
        <w:t>工作原理</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lastRenderedPageBreak/>
        <w:t>该产品主要是利用负压吸引原理，将海绵置于创面上，贴上负压引流封闭膜，在海绵的支撑作用和封闭膜的封闭作用下形成封闭的负压引流腔体，在吸引导管与外接的吸引源的作用下实现对创面的引流。</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2.2</w:t>
      </w:r>
      <w:r w:rsidRPr="00C557B1">
        <w:rPr>
          <w:rFonts w:eastAsia="仿宋_GB2312"/>
          <w:spacing w:val="-1"/>
          <w:sz w:val="32"/>
          <w:szCs w:val="32"/>
        </w:rPr>
        <w:t>结构及组成</w:t>
      </w:r>
    </w:p>
    <w:p w:rsidR="001731F7" w:rsidRPr="00C557B1" w:rsidRDefault="00D8600A">
      <w:pPr>
        <w:spacing w:line="520" w:lineRule="exact"/>
        <w:ind w:firstLineChars="200" w:firstLine="640"/>
        <w:rPr>
          <w:rFonts w:eastAsia="仿宋_GB2312"/>
          <w:spacing w:val="-1"/>
          <w:sz w:val="32"/>
          <w:szCs w:val="32"/>
        </w:rPr>
      </w:pPr>
      <w:r w:rsidRPr="00C557B1">
        <w:rPr>
          <w:rFonts w:eastAsia="仿宋_GB2312"/>
          <w:kern w:val="0"/>
          <w:sz w:val="32"/>
          <w:szCs w:val="32"/>
        </w:rPr>
        <w:t>通常由抗负压吸引的海绵和负压吸引导管、负压引流封闭膜等组件组成。</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2.3</w:t>
      </w:r>
      <w:r w:rsidRPr="00C557B1">
        <w:rPr>
          <w:rFonts w:eastAsia="仿宋_GB2312"/>
          <w:spacing w:val="-1"/>
          <w:sz w:val="32"/>
          <w:szCs w:val="32"/>
        </w:rPr>
        <w:t>型号规格</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说明产品的型号规格及划分依据，明确各型号规格的区别。</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2.4</w:t>
      </w:r>
      <w:r w:rsidRPr="00C557B1">
        <w:rPr>
          <w:rFonts w:eastAsia="仿宋_GB2312"/>
          <w:spacing w:val="-1"/>
          <w:sz w:val="32"/>
          <w:szCs w:val="32"/>
        </w:rPr>
        <w:t>包装说明</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说明产品的包装层次，写明产品各层次包装（初包装、中包装、大包装）的信息。产品的初包装应与灭菌方法相适应。</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2.5</w:t>
      </w:r>
      <w:r w:rsidRPr="00C557B1">
        <w:rPr>
          <w:rFonts w:eastAsia="仿宋_GB2312"/>
          <w:spacing w:val="-1"/>
          <w:sz w:val="32"/>
          <w:szCs w:val="32"/>
        </w:rPr>
        <w:t>研发历程</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阐述申请注册产品的研发背景和目的。如有参考的同类产品或前代产品，应当提供同类产品或前代产品的信息，并说明选择其作为研发参考的原因。</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2.6</w:t>
      </w:r>
      <w:r w:rsidRPr="00C557B1">
        <w:rPr>
          <w:rFonts w:eastAsia="仿宋_GB2312"/>
          <w:spacing w:val="-1"/>
          <w:sz w:val="32"/>
          <w:szCs w:val="32"/>
        </w:rPr>
        <w:t>与同类和</w:t>
      </w:r>
      <w:r w:rsidRPr="00C557B1">
        <w:rPr>
          <w:rFonts w:eastAsia="仿宋_GB2312"/>
          <w:spacing w:val="-1"/>
          <w:sz w:val="32"/>
          <w:szCs w:val="32"/>
        </w:rPr>
        <w:t>/</w:t>
      </w:r>
      <w:r w:rsidRPr="00C557B1">
        <w:rPr>
          <w:rFonts w:eastAsia="仿宋_GB2312"/>
          <w:spacing w:val="-1"/>
          <w:sz w:val="32"/>
          <w:szCs w:val="32"/>
        </w:rPr>
        <w:t>或前代产品的参考和比较</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列表比较说明申报产品与同类产品和</w:t>
      </w:r>
      <w:r w:rsidRPr="00C557B1">
        <w:rPr>
          <w:rFonts w:eastAsia="仿宋_GB2312"/>
          <w:spacing w:val="-1"/>
          <w:sz w:val="32"/>
          <w:szCs w:val="32"/>
        </w:rPr>
        <w:t>/</w:t>
      </w:r>
      <w:r w:rsidRPr="00C557B1">
        <w:rPr>
          <w:rFonts w:eastAsia="仿宋_GB2312"/>
          <w:spacing w:val="-1"/>
          <w:sz w:val="32"/>
          <w:szCs w:val="32"/>
        </w:rPr>
        <w:t>或前代产品（如有）在工作原理、结构组成、制造材料、性能指标，以及适用范围等方面的异同。</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3.</w:t>
      </w:r>
      <w:r w:rsidRPr="00C557B1">
        <w:rPr>
          <w:rFonts w:eastAsia="仿宋_GB2312"/>
          <w:spacing w:val="-1"/>
          <w:sz w:val="32"/>
          <w:szCs w:val="32"/>
        </w:rPr>
        <w:t>产品的适用范围、禁忌证</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3.1</w:t>
      </w:r>
      <w:r w:rsidRPr="00C557B1">
        <w:rPr>
          <w:rFonts w:eastAsia="仿宋_GB2312"/>
          <w:spacing w:val="-1"/>
          <w:sz w:val="32"/>
          <w:szCs w:val="32"/>
        </w:rPr>
        <w:t>适用范围</w:t>
      </w:r>
    </w:p>
    <w:p w:rsidR="001731F7" w:rsidRPr="00C557B1" w:rsidRDefault="00D8600A">
      <w:pPr>
        <w:spacing w:line="520" w:lineRule="exact"/>
        <w:ind w:firstLineChars="200" w:firstLine="636"/>
        <w:rPr>
          <w:rFonts w:eastAsia="仿宋_GB2312"/>
          <w:color w:val="000000" w:themeColor="text1"/>
          <w:spacing w:val="-1"/>
          <w:sz w:val="32"/>
          <w:szCs w:val="32"/>
        </w:rPr>
      </w:pPr>
      <w:r w:rsidRPr="00C557B1">
        <w:rPr>
          <w:rFonts w:eastAsia="仿宋_GB2312"/>
          <w:color w:val="000000" w:themeColor="text1"/>
          <w:spacing w:val="-1"/>
          <w:sz w:val="32"/>
          <w:szCs w:val="32"/>
        </w:rPr>
        <w:t>用于对非慢性创面（如手术后缝合创面、机械创伤、切割伤创面、浅</w:t>
      </w:r>
      <w:r w:rsidRPr="00C557B1">
        <w:rPr>
          <w:rFonts w:eastAsia="仿宋_GB2312"/>
          <w:color w:val="000000" w:themeColor="text1"/>
          <w:spacing w:val="-1"/>
          <w:sz w:val="32"/>
          <w:szCs w:val="32"/>
        </w:rPr>
        <w:t>II</w:t>
      </w:r>
      <w:r w:rsidRPr="00C557B1">
        <w:rPr>
          <w:rFonts w:eastAsia="仿宋_GB2312"/>
          <w:color w:val="000000" w:themeColor="text1"/>
          <w:spacing w:val="-1"/>
          <w:sz w:val="32"/>
          <w:szCs w:val="32"/>
        </w:rPr>
        <w:t>度的烧烫伤创面）进行引流。</w:t>
      </w:r>
    </w:p>
    <w:p w:rsidR="001731F7" w:rsidRPr="00C557B1" w:rsidRDefault="00D8600A">
      <w:pPr>
        <w:spacing w:line="520" w:lineRule="exact"/>
        <w:ind w:firstLineChars="200" w:firstLine="636"/>
        <w:rPr>
          <w:rFonts w:eastAsia="仿宋_GB2312"/>
          <w:color w:val="000000" w:themeColor="text1"/>
          <w:spacing w:val="-1"/>
          <w:sz w:val="32"/>
          <w:szCs w:val="32"/>
        </w:rPr>
      </w:pPr>
      <w:r w:rsidRPr="00C557B1">
        <w:rPr>
          <w:rFonts w:eastAsia="仿宋_GB2312"/>
          <w:color w:val="000000" w:themeColor="text1"/>
          <w:spacing w:val="-1"/>
          <w:sz w:val="32"/>
          <w:szCs w:val="32"/>
        </w:rPr>
        <w:t>3.2</w:t>
      </w:r>
      <w:r w:rsidRPr="00C557B1">
        <w:rPr>
          <w:rFonts w:eastAsia="仿宋_GB2312"/>
          <w:color w:val="000000" w:themeColor="text1"/>
          <w:spacing w:val="-1"/>
          <w:sz w:val="32"/>
          <w:szCs w:val="32"/>
        </w:rPr>
        <w:t>预期使用环境</w:t>
      </w:r>
    </w:p>
    <w:p w:rsidR="001731F7" w:rsidRPr="00C557B1" w:rsidRDefault="00D8600A">
      <w:pPr>
        <w:spacing w:line="520" w:lineRule="exact"/>
        <w:ind w:firstLineChars="200" w:firstLine="636"/>
        <w:rPr>
          <w:rFonts w:eastAsia="仿宋_GB2312"/>
          <w:color w:val="000000" w:themeColor="text1"/>
          <w:spacing w:val="-1"/>
          <w:sz w:val="32"/>
          <w:szCs w:val="32"/>
        </w:rPr>
      </w:pPr>
      <w:r w:rsidRPr="00C557B1">
        <w:rPr>
          <w:rFonts w:eastAsia="仿宋_GB2312"/>
          <w:color w:val="000000" w:themeColor="text1"/>
          <w:spacing w:val="-1"/>
          <w:sz w:val="32"/>
          <w:szCs w:val="32"/>
        </w:rPr>
        <w:lastRenderedPageBreak/>
        <w:t>应明确产品的预期使用场景和操作人员。</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3.3</w:t>
      </w:r>
      <w:r w:rsidRPr="00C557B1">
        <w:rPr>
          <w:rFonts w:eastAsia="仿宋_GB2312"/>
          <w:spacing w:val="-1"/>
          <w:sz w:val="32"/>
          <w:szCs w:val="32"/>
        </w:rPr>
        <w:t>禁忌证</w:t>
      </w:r>
    </w:p>
    <w:p w:rsidR="001731F7" w:rsidRPr="00C557B1" w:rsidRDefault="00D8600A">
      <w:pPr>
        <w:spacing w:line="520" w:lineRule="exact"/>
        <w:ind w:firstLineChars="200" w:firstLine="636"/>
        <w:rPr>
          <w:rFonts w:eastAsia="仿宋_GB2312"/>
          <w:spacing w:val="-1"/>
          <w:sz w:val="32"/>
          <w:szCs w:val="32"/>
        </w:rPr>
      </w:pPr>
      <w:r w:rsidRPr="00C557B1">
        <w:rPr>
          <w:rFonts w:eastAsia="仿宋_GB2312"/>
          <w:spacing w:val="-1"/>
          <w:sz w:val="32"/>
          <w:szCs w:val="32"/>
        </w:rPr>
        <w:t>应说明产品不适宜应用的某些疾病、情况或特定的人群。</w:t>
      </w:r>
    </w:p>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（三）非临床资料</w:t>
      </w:r>
    </w:p>
    <w:p w:rsidR="001731F7" w:rsidRPr="00C557B1" w:rsidRDefault="00D8600A">
      <w:pPr>
        <w:spacing w:line="520" w:lineRule="exact"/>
        <w:ind w:firstLineChars="200" w:firstLine="640"/>
        <w:outlineLvl w:val="1"/>
        <w:rPr>
          <w:rFonts w:eastAsia="仿宋_GB2312"/>
          <w:bCs/>
          <w:sz w:val="32"/>
          <w:szCs w:val="32"/>
        </w:rPr>
      </w:pPr>
      <w:bookmarkStart w:id="0" w:name="_Toc9428"/>
      <w:bookmarkStart w:id="1" w:name="_Toc17507"/>
      <w:bookmarkStart w:id="2" w:name="_Toc12750"/>
      <w:r w:rsidRPr="00C557B1">
        <w:rPr>
          <w:rFonts w:eastAsia="仿宋_GB2312"/>
          <w:sz w:val="32"/>
          <w:szCs w:val="32"/>
        </w:rPr>
        <w:t>1.</w:t>
      </w:r>
      <w:r w:rsidRPr="00C557B1">
        <w:rPr>
          <w:rFonts w:eastAsia="仿宋_GB2312"/>
          <w:bCs/>
          <w:sz w:val="32"/>
          <w:szCs w:val="32"/>
        </w:rPr>
        <w:t>产品风险管理资料</w:t>
      </w:r>
      <w:bookmarkEnd w:id="0"/>
      <w:bookmarkEnd w:id="1"/>
      <w:bookmarkEnd w:id="2"/>
    </w:p>
    <w:p w:rsidR="001731F7" w:rsidRPr="00C557B1" w:rsidRDefault="00D8600A">
      <w:pPr>
        <w:spacing w:line="520" w:lineRule="exact"/>
        <w:ind w:firstLineChars="200" w:firstLine="640"/>
        <w:rPr>
          <w:rFonts w:eastAsia="仿宋_GB2312"/>
          <w:b/>
          <w:bCs/>
          <w:sz w:val="32"/>
          <w:szCs w:val="28"/>
        </w:rPr>
      </w:pPr>
      <w:bookmarkStart w:id="3" w:name="_Toc13405"/>
      <w:bookmarkStart w:id="4" w:name="_Toc15646"/>
      <w:bookmarkStart w:id="5" w:name="_Toc25867"/>
      <w:r w:rsidRPr="00C557B1">
        <w:rPr>
          <w:rStyle w:val="f101"/>
          <w:rFonts w:eastAsia="仿宋_GB2312"/>
          <w:bCs/>
          <w:sz w:val="32"/>
          <w:szCs w:val="32"/>
        </w:rPr>
        <w:t>负压引流装置应按照</w:t>
      </w:r>
      <w:r w:rsidRPr="00C557B1">
        <w:rPr>
          <w:rFonts w:eastAsia="仿宋_GB2312"/>
          <w:sz w:val="32"/>
          <w:szCs w:val="28"/>
        </w:rPr>
        <w:t>GB/T 42062</w:t>
      </w:r>
      <w:r w:rsidRPr="00C557B1">
        <w:rPr>
          <w:rFonts w:eastAsia="仿宋_GB2312"/>
          <w:sz w:val="32"/>
          <w:szCs w:val="28"/>
        </w:rPr>
        <w:t>《医疗器械风险管理对医疗器械的应用》的有关要求，审查要点包括：</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1.1</w:t>
      </w:r>
      <w:r w:rsidRPr="00C557B1">
        <w:rPr>
          <w:rFonts w:eastAsia="仿宋_GB2312"/>
          <w:sz w:val="32"/>
          <w:szCs w:val="32"/>
        </w:rPr>
        <w:t>是否确定了风险管理的范围、规定和人员职责分工。</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1.2</w:t>
      </w:r>
      <w:r w:rsidRPr="00C557B1">
        <w:rPr>
          <w:rFonts w:eastAsia="仿宋_GB2312"/>
          <w:sz w:val="32"/>
          <w:szCs w:val="32"/>
        </w:rPr>
        <w:t>产品风险定性定量分析是否准确。</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1.3</w:t>
      </w:r>
      <w:r w:rsidRPr="00C557B1">
        <w:rPr>
          <w:rFonts w:eastAsia="仿宋_GB2312"/>
          <w:sz w:val="32"/>
          <w:szCs w:val="32"/>
        </w:rPr>
        <w:t>危险分析是否全面。</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1.4</w:t>
      </w:r>
      <w:r w:rsidRPr="00C557B1">
        <w:rPr>
          <w:rFonts w:eastAsia="仿宋_GB2312"/>
          <w:sz w:val="32"/>
          <w:szCs w:val="32"/>
        </w:rPr>
        <w:t>风险可接受准则，降低风险的措施及采取措施后风险的可接受程度，是否有新的风险产生。</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1.5</w:t>
      </w:r>
      <w:r w:rsidRPr="00C557B1">
        <w:rPr>
          <w:rFonts w:eastAsia="仿宋_GB2312"/>
          <w:sz w:val="32"/>
          <w:szCs w:val="32"/>
        </w:rPr>
        <w:t>是否确定了风险反馈的规定及信息收集情况。</w:t>
      </w:r>
    </w:p>
    <w:p w:rsidR="001731F7" w:rsidRPr="00C557B1" w:rsidRDefault="00D8600A">
      <w:pPr>
        <w:spacing w:line="520" w:lineRule="exact"/>
        <w:ind w:firstLineChars="200" w:firstLine="640"/>
        <w:rPr>
          <w:rStyle w:val="f101"/>
          <w:rFonts w:eastAsia="仿宋_GB2312"/>
          <w:bCs/>
          <w:sz w:val="30"/>
          <w:szCs w:val="30"/>
        </w:rPr>
      </w:pPr>
      <w:r w:rsidRPr="00C557B1">
        <w:rPr>
          <w:rFonts w:eastAsia="仿宋_GB2312"/>
          <w:sz w:val="32"/>
          <w:szCs w:val="32"/>
        </w:rPr>
        <w:t>产品的主要危险见</w:t>
      </w:r>
      <w:bookmarkStart w:id="6" w:name="_GoBack"/>
      <w:r w:rsidR="006D6CD8" w:rsidRPr="00C557B1">
        <w:rPr>
          <w:rFonts w:eastAsia="仿宋_GB2312"/>
          <w:sz w:val="32"/>
          <w:szCs w:val="32"/>
        </w:rPr>
        <w:t>附</w:t>
      </w:r>
      <w:r w:rsidRPr="00C557B1">
        <w:rPr>
          <w:rFonts w:eastAsia="仿宋_GB2312"/>
          <w:sz w:val="32"/>
          <w:szCs w:val="32"/>
        </w:rPr>
        <w:t>表</w:t>
      </w:r>
      <w:bookmarkEnd w:id="6"/>
      <w:r w:rsidRPr="00C557B1">
        <w:rPr>
          <w:rFonts w:eastAsia="仿宋_GB2312"/>
          <w:sz w:val="32"/>
          <w:szCs w:val="32"/>
        </w:rPr>
        <w:t>，注册申请人还应结合产品自身特点确定其他危险。</w:t>
      </w:r>
    </w:p>
    <w:p w:rsidR="001731F7" w:rsidRPr="00C557B1" w:rsidRDefault="00D8600A">
      <w:pPr>
        <w:spacing w:line="520" w:lineRule="exact"/>
        <w:ind w:firstLineChars="200" w:firstLine="640"/>
        <w:outlineLvl w:val="1"/>
        <w:rPr>
          <w:rFonts w:eastAsia="仿宋_GB2312"/>
          <w:bCs/>
          <w:sz w:val="32"/>
          <w:szCs w:val="32"/>
        </w:rPr>
      </w:pPr>
      <w:r w:rsidRPr="00C557B1">
        <w:rPr>
          <w:rFonts w:eastAsia="仿宋_GB2312"/>
          <w:bCs/>
          <w:sz w:val="32"/>
          <w:szCs w:val="32"/>
        </w:rPr>
        <w:t>2.</w:t>
      </w:r>
      <w:r w:rsidRPr="00C557B1">
        <w:rPr>
          <w:rFonts w:eastAsia="仿宋_GB2312"/>
          <w:bCs/>
          <w:sz w:val="32"/>
          <w:szCs w:val="32"/>
        </w:rPr>
        <w:t>医疗器械安全和性能基本原则清单</w:t>
      </w:r>
      <w:bookmarkEnd w:id="3"/>
      <w:bookmarkEnd w:id="4"/>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应根据产品特征提交医疗器械安全和性能基本原则清单。</w:t>
      </w:r>
    </w:p>
    <w:p w:rsidR="001731F7" w:rsidRPr="00C557B1" w:rsidRDefault="00D8600A">
      <w:pPr>
        <w:spacing w:line="520" w:lineRule="exact"/>
        <w:ind w:firstLineChars="200" w:firstLine="640"/>
        <w:outlineLvl w:val="1"/>
        <w:rPr>
          <w:rFonts w:eastAsia="仿宋_GB2312"/>
          <w:bCs/>
          <w:sz w:val="32"/>
          <w:szCs w:val="32"/>
        </w:rPr>
      </w:pPr>
      <w:bookmarkStart w:id="7" w:name="_Toc12709"/>
      <w:bookmarkStart w:id="8" w:name="_Toc2716"/>
      <w:r w:rsidRPr="00C557B1">
        <w:rPr>
          <w:rFonts w:eastAsia="仿宋_GB2312"/>
          <w:bCs/>
          <w:sz w:val="32"/>
          <w:szCs w:val="32"/>
        </w:rPr>
        <w:t>3.</w:t>
      </w:r>
      <w:r w:rsidRPr="00C557B1">
        <w:rPr>
          <w:rFonts w:eastAsia="仿宋_GB2312"/>
          <w:bCs/>
          <w:sz w:val="32"/>
          <w:szCs w:val="32"/>
        </w:rPr>
        <w:t>产品技术要求及检验报告</w:t>
      </w:r>
      <w:bookmarkEnd w:id="5"/>
      <w:bookmarkEnd w:id="7"/>
      <w:bookmarkEnd w:id="8"/>
      <w:r w:rsidRPr="00C557B1">
        <w:rPr>
          <w:rFonts w:eastAsia="仿宋_GB2312"/>
          <w:bCs/>
          <w:sz w:val="32"/>
          <w:szCs w:val="32"/>
        </w:rPr>
        <w:tab/>
      </w:r>
    </w:p>
    <w:p w:rsidR="001731F7" w:rsidRPr="00C557B1" w:rsidRDefault="00D8600A">
      <w:pPr>
        <w:spacing w:line="520" w:lineRule="exact"/>
        <w:ind w:firstLineChars="200" w:firstLine="640"/>
        <w:outlineLvl w:val="1"/>
        <w:rPr>
          <w:rFonts w:eastAsia="仿宋_GB2312"/>
          <w:sz w:val="32"/>
          <w:szCs w:val="32"/>
        </w:rPr>
      </w:pPr>
      <w:bookmarkStart w:id="9" w:name="_Toc9427"/>
      <w:bookmarkStart w:id="10" w:name="_Toc230"/>
      <w:bookmarkStart w:id="11" w:name="_Toc28465"/>
      <w:r w:rsidRPr="00C557B1">
        <w:rPr>
          <w:rFonts w:eastAsia="仿宋_GB2312"/>
          <w:sz w:val="32"/>
          <w:szCs w:val="32"/>
        </w:rPr>
        <w:t>本条款给出需要考虑的典型组成部件的基本性能指标，但并未给出定量要求，申请人可参考相应的国家标准、行业标准等，根据申请人自身产品的技术特点制定性能指标。以下如有不适用条款（包括国家标准、行业标准等），申请人在产品技术要求的编制说明中必须说明理由。</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3.1</w:t>
      </w:r>
      <w:r w:rsidRPr="00C557B1">
        <w:rPr>
          <w:rFonts w:eastAsia="仿宋_GB2312"/>
          <w:sz w:val="32"/>
          <w:szCs w:val="32"/>
        </w:rPr>
        <w:t>负压引流海绵</w:t>
      </w:r>
    </w:p>
    <w:p w:rsidR="001731F7" w:rsidRPr="00C557B1" w:rsidRDefault="00D8600A">
      <w:pPr>
        <w:spacing w:line="520" w:lineRule="exact"/>
        <w:ind w:firstLineChars="200" w:firstLine="640"/>
        <w:outlineLvl w:val="1"/>
      </w:pPr>
      <w:r w:rsidRPr="00C557B1">
        <w:rPr>
          <w:rFonts w:eastAsia="仿宋_GB2312"/>
          <w:sz w:val="32"/>
          <w:szCs w:val="32"/>
        </w:rPr>
        <w:t>负压引流海绵的相关性能要求建议参考</w:t>
      </w:r>
      <w:r w:rsidRPr="00C557B1">
        <w:rPr>
          <w:rFonts w:eastAsia="仿宋_GB2312"/>
          <w:sz w:val="32"/>
          <w:szCs w:val="32"/>
        </w:rPr>
        <w:t>YY/T 1872</w:t>
      </w:r>
      <w:r w:rsidRPr="00C557B1">
        <w:rPr>
          <w:rFonts w:eastAsia="仿宋_GB2312"/>
          <w:sz w:val="32"/>
          <w:szCs w:val="32"/>
        </w:rPr>
        <w:t>中的相</w:t>
      </w:r>
      <w:r w:rsidRPr="00C557B1">
        <w:rPr>
          <w:rFonts w:eastAsia="仿宋_GB2312"/>
          <w:sz w:val="32"/>
          <w:szCs w:val="32"/>
        </w:rPr>
        <w:lastRenderedPageBreak/>
        <w:t>关规定，主要考察以下性能参数：</w:t>
      </w:r>
    </w:p>
    <w:p w:rsidR="001731F7" w:rsidRPr="00C557B1" w:rsidRDefault="00D8600A">
      <w:pPr>
        <w:spacing w:line="520" w:lineRule="exact"/>
        <w:ind w:firstLineChars="200" w:firstLine="640"/>
        <w:outlineLvl w:val="1"/>
        <w:rPr>
          <w:rFonts w:eastAsia="仿宋_GB2312"/>
          <w:color w:val="000000" w:themeColor="text1"/>
          <w:sz w:val="32"/>
          <w:szCs w:val="32"/>
        </w:rPr>
      </w:pPr>
      <w:r w:rsidRPr="00C557B1">
        <w:rPr>
          <w:rFonts w:eastAsia="仿宋_GB2312"/>
          <w:sz w:val="32"/>
          <w:szCs w:val="32"/>
        </w:rPr>
        <w:t>3.1.1</w:t>
      </w:r>
      <w:r w:rsidRPr="00C557B1">
        <w:rPr>
          <w:rFonts w:eastAsia="仿宋_GB2312"/>
          <w:sz w:val="32"/>
          <w:szCs w:val="32"/>
        </w:rPr>
        <w:t>红外图谱符合性（建议在产品技术要求附录中体现）</w:t>
      </w:r>
    </w:p>
    <w:p w:rsidR="001731F7" w:rsidRPr="00C557B1" w:rsidRDefault="00D8600A">
      <w:pPr>
        <w:spacing w:line="520" w:lineRule="exact"/>
        <w:ind w:firstLineChars="200" w:firstLine="640"/>
        <w:outlineLvl w:val="1"/>
        <w:rPr>
          <w:rFonts w:eastAsia="仿宋_GB2312"/>
          <w:color w:val="000000" w:themeColor="text1"/>
          <w:sz w:val="32"/>
          <w:szCs w:val="32"/>
        </w:rPr>
      </w:pPr>
      <w:r w:rsidRPr="00C557B1">
        <w:rPr>
          <w:rFonts w:eastAsia="仿宋_GB2312"/>
          <w:color w:val="000000" w:themeColor="text1"/>
          <w:sz w:val="32"/>
          <w:szCs w:val="32"/>
        </w:rPr>
        <w:t>3.1.1</w:t>
      </w:r>
      <w:r w:rsidRPr="00C557B1">
        <w:rPr>
          <w:rFonts w:eastAsia="仿宋_GB2312"/>
          <w:color w:val="000000" w:themeColor="text1"/>
          <w:sz w:val="32"/>
          <w:szCs w:val="32"/>
        </w:rPr>
        <w:t>物理性能：外观、尺寸（长</w:t>
      </w:r>
      <w:r w:rsidRPr="00C557B1">
        <w:rPr>
          <w:rFonts w:eastAsia="仿宋_GB2312"/>
          <w:color w:val="000000" w:themeColor="text1"/>
          <w:sz w:val="32"/>
          <w:szCs w:val="32"/>
        </w:rPr>
        <w:t>×</w:t>
      </w:r>
      <w:r w:rsidRPr="00C557B1">
        <w:rPr>
          <w:rFonts w:eastAsia="仿宋_GB2312"/>
          <w:color w:val="000000" w:themeColor="text1"/>
          <w:sz w:val="32"/>
          <w:szCs w:val="32"/>
        </w:rPr>
        <w:t>宽</w:t>
      </w:r>
      <w:r w:rsidRPr="00C557B1">
        <w:rPr>
          <w:rFonts w:eastAsia="仿宋_GB2312"/>
          <w:color w:val="000000" w:themeColor="text1"/>
          <w:sz w:val="32"/>
          <w:szCs w:val="32"/>
        </w:rPr>
        <w:t>×</w:t>
      </w:r>
      <w:r w:rsidRPr="00C557B1">
        <w:rPr>
          <w:rFonts w:eastAsia="仿宋_GB2312"/>
          <w:color w:val="000000" w:themeColor="text1"/>
          <w:sz w:val="32"/>
          <w:szCs w:val="32"/>
        </w:rPr>
        <w:t>厚）、密度、拉伸强度、压缩永久变形、吸水量、含水量（如适用）</w:t>
      </w:r>
    </w:p>
    <w:p w:rsidR="001731F7" w:rsidRPr="00C557B1" w:rsidRDefault="00D8600A">
      <w:pPr>
        <w:spacing w:line="520" w:lineRule="exact"/>
        <w:ind w:firstLineChars="200" w:firstLine="640"/>
        <w:outlineLvl w:val="1"/>
        <w:rPr>
          <w:rFonts w:eastAsia="仿宋_GB2312"/>
          <w:color w:val="000000" w:themeColor="text1"/>
          <w:sz w:val="32"/>
          <w:szCs w:val="32"/>
        </w:rPr>
      </w:pPr>
      <w:r w:rsidRPr="00C557B1">
        <w:rPr>
          <w:rFonts w:eastAsia="仿宋_GB2312"/>
          <w:color w:val="000000" w:themeColor="text1"/>
          <w:sz w:val="32"/>
          <w:szCs w:val="32"/>
        </w:rPr>
        <w:t>3.1.2</w:t>
      </w:r>
      <w:r w:rsidRPr="00C557B1">
        <w:rPr>
          <w:rFonts w:eastAsia="仿宋_GB2312"/>
          <w:color w:val="000000" w:themeColor="text1"/>
          <w:sz w:val="32"/>
          <w:szCs w:val="32"/>
        </w:rPr>
        <w:t>化学性能：酸碱度、炽灼残渣、重金属、铁含量、可溶出锡含量、水中可溶物、甲醛残留量、经环氧乙烷灭菌的产品应规定出环氧乙烷残留量的要求</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3.1.3</w:t>
      </w:r>
      <w:r w:rsidRPr="00C557B1">
        <w:rPr>
          <w:rFonts w:eastAsia="仿宋_GB2312"/>
          <w:sz w:val="32"/>
          <w:szCs w:val="32"/>
        </w:rPr>
        <w:t>生物性能：无菌、细菌内毒素</w:t>
      </w:r>
      <w:r w:rsidRPr="00C557B1">
        <w:rPr>
          <w:rFonts w:eastAsia="仿宋_GB2312"/>
          <w:sz w:val="32"/>
          <w:szCs w:val="32"/>
        </w:rPr>
        <w:tab/>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w:t>
      </w:r>
      <w:r w:rsidRPr="00C557B1">
        <w:rPr>
          <w:rFonts w:eastAsia="仿宋_GB2312"/>
          <w:kern w:val="0"/>
          <w:sz w:val="32"/>
          <w:szCs w:val="32"/>
        </w:rPr>
        <w:t>负压引流封闭膜</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kern w:val="0"/>
          <w:sz w:val="32"/>
          <w:szCs w:val="32"/>
        </w:rPr>
        <w:t>负压引流封闭膜</w:t>
      </w:r>
      <w:r w:rsidRPr="00C557B1">
        <w:rPr>
          <w:rFonts w:eastAsia="仿宋_GB2312"/>
          <w:sz w:val="32"/>
          <w:szCs w:val="32"/>
        </w:rPr>
        <w:t>的相关性能要求可参考</w:t>
      </w:r>
      <w:r w:rsidRPr="00C557B1">
        <w:rPr>
          <w:rFonts w:eastAsia="仿宋_GB2312"/>
          <w:sz w:val="32"/>
          <w:szCs w:val="32"/>
        </w:rPr>
        <w:t>YY/T 0148</w:t>
      </w:r>
      <w:r w:rsidRPr="00C557B1">
        <w:rPr>
          <w:rFonts w:eastAsia="仿宋_GB2312"/>
          <w:sz w:val="32"/>
          <w:szCs w:val="32"/>
        </w:rPr>
        <w:t>、</w:t>
      </w:r>
      <w:r w:rsidRPr="00C557B1">
        <w:rPr>
          <w:rFonts w:eastAsia="仿宋_GB2312"/>
          <w:sz w:val="32"/>
          <w:szCs w:val="32"/>
        </w:rPr>
        <w:t>YY 0852</w:t>
      </w:r>
      <w:r w:rsidRPr="00C557B1">
        <w:rPr>
          <w:rFonts w:eastAsia="仿宋_GB2312"/>
          <w:sz w:val="32"/>
          <w:szCs w:val="32"/>
        </w:rPr>
        <w:t>中适用部分，常见的性能指标如下：</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3.2.1</w:t>
      </w:r>
      <w:r w:rsidRPr="00C557B1">
        <w:rPr>
          <w:rFonts w:eastAsia="仿宋_GB2312"/>
          <w:sz w:val="32"/>
          <w:szCs w:val="32"/>
        </w:rPr>
        <w:t>尺寸</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3.2.2</w:t>
      </w:r>
      <w:r w:rsidRPr="00C557B1">
        <w:rPr>
          <w:rFonts w:eastAsia="仿宋_GB2312"/>
          <w:sz w:val="32"/>
          <w:szCs w:val="32"/>
        </w:rPr>
        <w:t>持粘性</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3.2.3</w:t>
      </w:r>
      <w:r w:rsidRPr="00C557B1">
        <w:rPr>
          <w:rFonts w:eastAsia="仿宋_GB2312"/>
          <w:sz w:val="32"/>
          <w:szCs w:val="32"/>
        </w:rPr>
        <w:t>剥离强度</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3.2.4</w:t>
      </w:r>
      <w:r w:rsidRPr="00C557B1">
        <w:rPr>
          <w:rFonts w:eastAsia="仿宋_GB2312"/>
          <w:sz w:val="32"/>
          <w:szCs w:val="32"/>
        </w:rPr>
        <w:t>环氧乙烷残留量（若适用）</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3.2.5</w:t>
      </w:r>
      <w:r w:rsidRPr="00C557B1">
        <w:rPr>
          <w:rFonts w:eastAsia="仿宋_GB2312"/>
          <w:sz w:val="32"/>
          <w:szCs w:val="32"/>
        </w:rPr>
        <w:t>无菌</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3.2.6</w:t>
      </w:r>
      <w:r w:rsidRPr="00C557B1">
        <w:rPr>
          <w:rFonts w:eastAsia="仿宋_GB2312"/>
          <w:sz w:val="32"/>
          <w:szCs w:val="32"/>
        </w:rPr>
        <w:t>阻水性</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w:t>
      </w:r>
      <w:r w:rsidRPr="00C557B1">
        <w:rPr>
          <w:rFonts w:eastAsia="仿宋_GB2312"/>
          <w:sz w:val="32"/>
          <w:szCs w:val="32"/>
        </w:rPr>
        <w:t>负压吸引导管</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负压吸引导管的相关性能要求可参考</w:t>
      </w:r>
      <w:r w:rsidRPr="00C557B1">
        <w:rPr>
          <w:rFonts w:eastAsia="仿宋_GB2312"/>
          <w:color w:val="000000" w:themeColor="text1"/>
          <w:sz w:val="32"/>
          <w:szCs w:val="32"/>
        </w:rPr>
        <w:t>YY 0489</w:t>
      </w:r>
      <w:r w:rsidRPr="00C557B1">
        <w:rPr>
          <w:rFonts w:eastAsia="仿宋_GB2312"/>
          <w:color w:val="000000" w:themeColor="text1"/>
          <w:sz w:val="32"/>
          <w:szCs w:val="32"/>
        </w:rPr>
        <w:t>《一次性使用无菌引流导管及辅助器械》</w:t>
      </w:r>
      <w:r w:rsidRPr="00C557B1">
        <w:rPr>
          <w:rFonts w:eastAsia="仿宋_GB2312"/>
          <w:sz w:val="32"/>
          <w:szCs w:val="32"/>
        </w:rPr>
        <w:t>的相关规定。</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3.3.1</w:t>
      </w:r>
      <w:r w:rsidRPr="00C557B1">
        <w:rPr>
          <w:rFonts w:eastAsia="仿宋_GB2312"/>
          <w:sz w:val="32"/>
          <w:szCs w:val="32"/>
        </w:rPr>
        <w:t>抗变形性能</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3.3.2</w:t>
      </w:r>
      <w:r w:rsidRPr="00C557B1">
        <w:rPr>
          <w:rFonts w:eastAsia="仿宋_GB2312"/>
          <w:sz w:val="32"/>
          <w:szCs w:val="32"/>
        </w:rPr>
        <w:t>断裂力</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3.3.3</w:t>
      </w:r>
      <w:r w:rsidRPr="00C557B1">
        <w:rPr>
          <w:rFonts w:eastAsia="仿宋_GB2312"/>
          <w:sz w:val="32"/>
          <w:szCs w:val="32"/>
        </w:rPr>
        <w:t>射线可探测性（若适用）</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3.3.4</w:t>
      </w:r>
      <w:r w:rsidRPr="00C557B1">
        <w:rPr>
          <w:rFonts w:eastAsia="仿宋_GB2312"/>
          <w:sz w:val="32"/>
          <w:szCs w:val="32"/>
        </w:rPr>
        <w:t>无泄漏</w:t>
      </w:r>
    </w:p>
    <w:p w:rsidR="001731F7" w:rsidRPr="00C557B1" w:rsidRDefault="00D8600A">
      <w:pPr>
        <w:spacing w:line="520" w:lineRule="exact"/>
        <w:ind w:firstLineChars="200" w:firstLine="640"/>
        <w:outlineLvl w:val="1"/>
        <w:rPr>
          <w:rFonts w:eastAsia="仿宋_GB2312"/>
          <w:color w:val="0000FF"/>
          <w:sz w:val="32"/>
          <w:szCs w:val="32"/>
        </w:rPr>
      </w:pPr>
      <w:r w:rsidRPr="00C557B1">
        <w:rPr>
          <w:rFonts w:eastAsia="仿宋_GB2312"/>
          <w:sz w:val="32"/>
          <w:szCs w:val="32"/>
        </w:rPr>
        <w:t>3.3.5</w:t>
      </w:r>
      <w:r w:rsidRPr="00C557B1">
        <w:rPr>
          <w:rFonts w:eastAsia="仿宋_GB2312"/>
          <w:sz w:val="32"/>
          <w:szCs w:val="32"/>
        </w:rPr>
        <w:t>抗冲击（若适用）</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lastRenderedPageBreak/>
        <w:t>3.3.6</w:t>
      </w:r>
      <w:r w:rsidRPr="00C557B1">
        <w:rPr>
          <w:rFonts w:eastAsia="仿宋_GB2312"/>
          <w:sz w:val="32"/>
          <w:szCs w:val="32"/>
        </w:rPr>
        <w:t>环氧乙烷残留量（若适用）</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3.3.7</w:t>
      </w:r>
      <w:r w:rsidRPr="00C557B1">
        <w:rPr>
          <w:rFonts w:eastAsia="仿宋_GB2312"/>
          <w:sz w:val="32"/>
          <w:szCs w:val="32"/>
        </w:rPr>
        <w:t>无菌</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3.4</w:t>
      </w:r>
      <w:r w:rsidRPr="00C557B1">
        <w:rPr>
          <w:rFonts w:eastAsia="仿宋_GB2312"/>
          <w:sz w:val="32"/>
          <w:szCs w:val="32"/>
        </w:rPr>
        <w:t>产品检验报告</w:t>
      </w:r>
    </w:p>
    <w:p w:rsidR="001731F7" w:rsidRPr="00C557B1" w:rsidRDefault="00D8600A">
      <w:pPr>
        <w:spacing w:line="520" w:lineRule="exact"/>
        <w:ind w:firstLineChars="200" w:firstLine="640"/>
        <w:outlineLvl w:val="1"/>
        <w:rPr>
          <w:rFonts w:eastAsia="仿宋_GB2312"/>
          <w:color w:val="0000FF"/>
          <w:sz w:val="32"/>
          <w:szCs w:val="32"/>
        </w:rPr>
      </w:pPr>
      <w:r w:rsidRPr="00C557B1">
        <w:rPr>
          <w:rFonts w:eastAsia="仿宋_GB2312"/>
          <w:color w:val="000000"/>
          <w:sz w:val="32"/>
          <w:szCs w:val="32"/>
        </w:rPr>
        <w:t>检验报告可以是注册申请人出具的自检报告，或委托有资质的医疗器械检验机构出具的检验报告。</w:t>
      </w:r>
      <w:r w:rsidRPr="00C557B1">
        <w:rPr>
          <w:rFonts w:eastAsia="仿宋_GB2312"/>
          <w:color w:val="000000"/>
          <w:spacing w:val="-1"/>
          <w:sz w:val="32"/>
          <w:szCs w:val="32"/>
        </w:rPr>
        <w:t>若提供自检报告，应按照《医疗器械注册自检管理规定》的要求提供相关资料。</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w:t>
      </w:r>
      <w:r w:rsidRPr="00C557B1">
        <w:rPr>
          <w:rFonts w:eastAsia="仿宋_GB2312"/>
          <w:sz w:val="32"/>
          <w:szCs w:val="32"/>
        </w:rPr>
        <w:t>研究资料</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至少应包含如下内容：</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4.1</w:t>
      </w:r>
      <w:r w:rsidRPr="00C557B1">
        <w:rPr>
          <w:rFonts w:eastAsia="仿宋_GB2312"/>
          <w:sz w:val="32"/>
          <w:szCs w:val="32"/>
        </w:rPr>
        <w:t>原材料控制</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原材料应明确质控标准，提交相应的证明资料，建议以列表的形式提供，并说明原材料的选择依据及来源。</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对于首次用于医疗器械方面的新材料，应提供该材料符合预期用途的相关研究资料。</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4.2</w:t>
      </w:r>
      <w:r w:rsidRPr="00C557B1">
        <w:rPr>
          <w:rFonts w:eastAsia="仿宋_GB2312"/>
          <w:sz w:val="32"/>
          <w:szCs w:val="32"/>
        </w:rPr>
        <w:t>产品性能研究</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应当提供产品性能研究资料以及产品技术要求的研究和编制说明。应给出产品技术要求（包括规格参数和性能要求）中各项性能指标及检验方法的确定依据、所采用的标准或方法、采用的原因及理论基础。对于自定义性能，注册申请人还需提供相应的依据及方法学验证资料。如负压引流海绵中含有活性炭成分，需提供碳粉脱落性能研究资料。</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4.3</w:t>
      </w:r>
      <w:r w:rsidRPr="00C557B1">
        <w:rPr>
          <w:rFonts w:eastAsia="仿宋_GB2312"/>
          <w:sz w:val="32"/>
          <w:szCs w:val="32"/>
        </w:rPr>
        <w:t>生物学特性研究</w:t>
      </w:r>
    </w:p>
    <w:p w:rsidR="001731F7" w:rsidRPr="00C557B1" w:rsidRDefault="00D8600A">
      <w:pPr>
        <w:spacing w:line="520" w:lineRule="exact"/>
        <w:ind w:firstLineChars="200" w:firstLine="640"/>
        <w:rPr>
          <w:rFonts w:eastAsia="仿宋_GB2312"/>
          <w:bCs/>
          <w:sz w:val="32"/>
          <w:szCs w:val="32"/>
        </w:rPr>
      </w:pPr>
      <w:r w:rsidRPr="00C557B1">
        <w:rPr>
          <w:rFonts w:eastAsia="仿宋_GB2312"/>
          <w:bCs/>
          <w:sz w:val="32"/>
          <w:szCs w:val="32"/>
        </w:rPr>
        <w:t>最终产品中预期与患者直接或间接接触的部分，均需要进行生物学评价。</w:t>
      </w:r>
    </w:p>
    <w:p w:rsidR="001731F7" w:rsidRPr="00C557B1" w:rsidRDefault="00D8600A">
      <w:pPr>
        <w:spacing w:line="520" w:lineRule="exact"/>
        <w:ind w:firstLineChars="200" w:firstLine="640"/>
        <w:rPr>
          <w:rFonts w:eastAsia="仿宋_GB2312"/>
          <w:bCs/>
          <w:sz w:val="32"/>
          <w:szCs w:val="32"/>
        </w:rPr>
      </w:pPr>
      <w:r w:rsidRPr="00C557B1">
        <w:rPr>
          <w:rFonts w:eastAsia="仿宋_GB2312"/>
          <w:bCs/>
          <w:sz w:val="32"/>
          <w:szCs w:val="32"/>
        </w:rPr>
        <w:t>依据</w:t>
      </w:r>
      <w:r w:rsidRPr="00C557B1">
        <w:rPr>
          <w:rFonts w:eastAsia="仿宋_GB2312"/>
          <w:bCs/>
          <w:sz w:val="32"/>
          <w:szCs w:val="32"/>
        </w:rPr>
        <w:t>GB/T 16886.1</w:t>
      </w:r>
      <w:r w:rsidRPr="00C557B1">
        <w:rPr>
          <w:rFonts w:eastAsia="仿宋_GB2312"/>
          <w:bCs/>
          <w:sz w:val="32"/>
          <w:szCs w:val="32"/>
        </w:rPr>
        <w:t>《医疗器械生物学评价</w:t>
      </w:r>
      <w:r w:rsidRPr="00C557B1">
        <w:rPr>
          <w:rFonts w:eastAsia="仿宋_GB2312"/>
          <w:bCs/>
          <w:sz w:val="32"/>
          <w:szCs w:val="32"/>
        </w:rPr>
        <w:t xml:space="preserve"> </w:t>
      </w:r>
      <w:r w:rsidRPr="00C557B1">
        <w:rPr>
          <w:rFonts w:eastAsia="仿宋_GB2312"/>
          <w:bCs/>
          <w:sz w:val="32"/>
          <w:szCs w:val="32"/>
        </w:rPr>
        <w:t>第</w:t>
      </w:r>
      <w:r w:rsidRPr="00C557B1">
        <w:rPr>
          <w:rFonts w:eastAsia="仿宋_GB2312"/>
          <w:bCs/>
          <w:sz w:val="32"/>
          <w:szCs w:val="32"/>
        </w:rPr>
        <w:t>1</w:t>
      </w:r>
      <w:r w:rsidRPr="00C557B1">
        <w:rPr>
          <w:rFonts w:eastAsia="仿宋_GB2312"/>
          <w:bCs/>
          <w:sz w:val="32"/>
          <w:szCs w:val="32"/>
        </w:rPr>
        <w:t>部分：风险管理过程中的评价与试验》对相关用途、使用部位及接触时间</w:t>
      </w:r>
      <w:r w:rsidRPr="00C557B1">
        <w:rPr>
          <w:rFonts w:eastAsia="仿宋_GB2312"/>
          <w:bCs/>
          <w:sz w:val="32"/>
          <w:szCs w:val="32"/>
        </w:rPr>
        <w:lastRenderedPageBreak/>
        <w:t>的具体要求，结合本产品的实际情况，预期与损伤表面进行短期接触，建议进行细胞毒性、致敏反应、刺激或皮内反应、材料介导的致热性、急性全身毒性等方面分析。可根据</w:t>
      </w:r>
      <w:r w:rsidRPr="00C557B1">
        <w:rPr>
          <w:rFonts w:eastAsia="仿宋_GB2312"/>
          <w:bCs/>
          <w:sz w:val="32"/>
          <w:szCs w:val="32"/>
        </w:rPr>
        <w:t>GB/T 16886</w:t>
      </w:r>
      <w:r w:rsidRPr="00C557B1">
        <w:rPr>
          <w:rFonts w:eastAsia="仿宋_GB2312"/>
          <w:bCs/>
          <w:sz w:val="32"/>
          <w:szCs w:val="32"/>
        </w:rPr>
        <w:t>《医疗器械生物学评价》系列标准进行相关评价。</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4.4</w:t>
      </w:r>
      <w:r w:rsidRPr="00C557B1">
        <w:rPr>
          <w:rFonts w:eastAsia="仿宋_GB2312"/>
          <w:sz w:val="32"/>
          <w:szCs w:val="32"/>
        </w:rPr>
        <w:t>灭菌研究</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参考</w:t>
      </w:r>
      <w:r w:rsidRPr="00C557B1">
        <w:rPr>
          <w:rFonts w:eastAsia="仿宋_GB2312"/>
          <w:sz w:val="32"/>
          <w:szCs w:val="32"/>
        </w:rPr>
        <w:t>GB 18280.1</w:t>
      </w:r>
      <w:r w:rsidRPr="00C557B1">
        <w:rPr>
          <w:rFonts w:eastAsia="仿宋_GB2312"/>
          <w:sz w:val="32"/>
          <w:szCs w:val="32"/>
        </w:rPr>
        <w:t>、</w:t>
      </w:r>
      <w:r w:rsidRPr="00C557B1">
        <w:rPr>
          <w:rFonts w:eastAsia="仿宋_GB2312"/>
          <w:sz w:val="32"/>
          <w:szCs w:val="32"/>
        </w:rPr>
        <w:t>GB 18279.1</w:t>
      </w:r>
      <w:r w:rsidRPr="00C557B1">
        <w:rPr>
          <w:rFonts w:eastAsia="仿宋_GB2312"/>
          <w:sz w:val="32"/>
          <w:szCs w:val="32"/>
        </w:rPr>
        <w:t>等相应规定，提交产品包装及灭菌方法选择的依据，经过确认并进行常规控制，并应开展以下方面的确认：</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4.4.1</w:t>
      </w:r>
      <w:r w:rsidRPr="00C557B1">
        <w:rPr>
          <w:rFonts w:eastAsia="仿宋_GB2312"/>
          <w:sz w:val="32"/>
          <w:szCs w:val="32"/>
        </w:rPr>
        <w:t>应明确灭菌工艺（方法和参数）和无菌保证水平（</w:t>
      </w:r>
      <w:r w:rsidRPr="00C557B1">
        <w:rPr>
          <w:rFonts w:eastAsia="仿宋_GB2312"/>
          <w:sz w:val="32"/>
          <w:szCs w:val="32"/>
        </w:rPr>
        <w:t>SAL</w:t>
      </w:r>
      <w:r w:rsidRPr="00C557B1">
        <w:rPr>
          <w:rFonts w:eastAsia="仿宋_GB2312"/>
          <w:sz w:val="32"/>
          <w:szCs w:val="32"/>
        </w:rPr>
        <w:t>），并提供灭菌确认报告。无菌保证水平（</w:t>
      </w:r>
      <w:r w:rsidRPr="00C557B1">
        <w:rPr>
          <w:rFonts w:eastAsia="仿宋_GB2312"/>
          <w:sz w:val="32"/>
          <w:szCs w:val="32"/>
        </w:rPr>
        <w:t>SAL</w:t>
      </w:r>
      <w:r w:rsidRPr="00C557B1">
        <w:rPr>
          <w:rFonts w:eastAsia="仿宋_GB2312"/>
          <w:sz w:val="32"/>
          <w:szCs w:val="32"/>
        </w:rPr>
        <w:t>）应达到</w:t>
      </w:r>
      <w:r w:rsidRPr="00C557B1">
        <w:rPr>
          <w:rFonts w:eastAsia="仿宋_GB2312"/>
          <w:sz w:val="32"/>
          <w:szCs w:val="32"/>
        </w:rPr>
        <w:t>1×10</w:t>
      </w:r>
      <w:r w:rsidRPr="00C557B1">
        <w:rPr>
          <w:rFonts w:eastAsia="仿宋_GB2312"/>
          <w:sz w:val="32"/>
          <w:szCs w:val="32"/>
          <w:vertAlign w:val="superscript"/>
        </w:rPr>
        <w:t>-6</w:t>
      </w:r>
      <w:r w:rsidRPr="00C557B1">
        <w:rPr>
          <w:rFonts w:eastAsia="仿宋_GB2312"/>
          <w:sz w:val="32"/>
          <w:szCs w:val="32"/>
        </w:rPr>
        <w:t>。</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4.4.2</w:t>
      </w:r>
      <w:r w:rsidRPr="00C557B1">
        <w:rPr>
          <w:rFonts w:eastAsia="仿宋_GB2312"/>
          <w:sz w:val="32"/>
          <w:szCs w:val="32"/>
        </w:rPr>
        <w:t>残留毒性：若灭菌使用的方法容易出现残留，如环氧乙烷灭菌，应当明确残留物信息及采取的处理方法，并提供环氧乙烷解析的研究资料。</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4.5</w:t>
      </w:r>
      <w:r w:rsidRPr="00C557B1">
        <w:rPr>
          <w:rFonts w:eastAsia="仿宋_GB2312"/>
          <w:sz w:val="32"/>
          <w:szCs w:val="32"/>
        </w:rPr>
        <w:t>稳定性研究</w:t>
      </w:r>
    </w:p>
    <w:p w:rsidR="001731F7" w:rsidRPr="00C557B1" w:rsidRDefault="00D8600A">
      <w:pPr>
        <w:spacing w:line="520" w:lineRule="exact"/>
        <w:ind w:firstLineChars="200" w:firstLine="640"/>
        <w:outlineLvl w:val="1"/>
        <w:rPr>
          <w:rFonts w:eastAsia="仿宋_GB2312"/>
          <w:sz w:val="32"/>
          <w:szCs w:val="32"/>
        </w:rPr>
      </w:pPr>
      <w:r w:rsidRPr="00C557B1">
        <w:rPr>
          <w:rFonts w:eastAsia="仿宋_GB2312"/>
          <w:sz w:val="32"/>
          <w:szCs w:val="32"/>
        </w:rPr>
        <w:t>货架有效期验证试验通常可分为加速稳定性试验和实时稳定性试验两类。加速稳定性试验方案设计可参考</w:t>
      </w:r>
      <w:r w:rsidRPr="00C557B1">
        <w:rPr>
          <w:rFonts w:eastAsia="仿宋_GB2312"/>
          <w:sz w:val="32"/>
          <w:szCs w:val="32"/>
        </w:rPr>
        <w:t>YY/T 0681.1</w:t>
      </w:r>
      <w:r w:rsidRPr="00C557B1">
        <w:rPr>
          <w:rFonts w:eastAsia="仿宋_GB2312"/>
          <w:sz w:val="32"/>
          <w:szCs w:val="32"/>
        </w:rPr>
        <w:t>标准进行，在进行实时老化试验设计时，注册申请人应根据产品的实际运输和储存条件确定适当的温度、湿度、光照等条件。</w:t>
      </w:r>
    </w:p>
    <w:p w:rsidR="001731F7" w:rsidRPr="00C557B1" w:rsidRDefault="00D8600A">
      <w:pPr>
        <w:pStyle w:val="af3"/>
        <w:spacing w:line="520" w:lineRule="exact"/>
        <w:rPr>
          <w:rFonts w:ascii="Times New Roman" w:eastAsia="仿宋_GB2312" w:hAnsi="Times New Roman"/>
          <w:sz w:val="32"/>
          <w:szCs w:val="32"/>
        </w:rPr>
      </w:pPr>
      <w:r w:rsidRPr="00C557B1">
        <w:rPr>
          <w:rFonts w:ascii="Times New Roman" w:eastAsia="仿宋_GB2312" w:hAnsi="Times New Roman"/>
          <w:sz w:val="32"/>
          <w:szCs w:val="32"/>
        </w:rPr>
        <w:t xml:space="preserve">  </w:t>
      </w:r>
      <w:r w:rsidRPr="00C557B1">
        <w:rPr>
          <w:rFonts w:ascii="Times New Roman" w:eastAsia="仿宋_GB2312" w:hAnsi="Times New Roman"/>
          <w:kern w:val="2"/>
          <w:sz w:val="32"/>
          <w:szCs w:val="32"/>
        </w:rPr>
        <w:t xml:space="preserve">  4.6</w:t>
      </w:r>
      <w:r w:rsidRPr="00C557B1">
        <w:rPr>
          <w:rFonts w:ascii="Times New Roman" w:eastAsia="仿宋_GB2312" w:hAnsi="Times New Roman"/>
          <w:kern w:val="2"/>
          <w:sz w:val="32"/>
          <w:szCs w:val="32"/>
        </w:rPr>
        <w:t>产品耐受负</w:t>
      </w:r>
      <w:r w:rsidRPr="00C557B1">
        <w:rPr>
          <w:rFonts w:ascii="Times New Roman" w:eastAsia="仿宋_GB2312" w:hAnsi="Times New Roman"/>
          <w:sz w:val="32"/>
          <w:szCs w:val="32"/>
        </w:rPr>
        <w:t>压的研究</w:t>
      </w:r>
    </w:p>
    <w:p w:rsidR="001731F7" w:rsidRPr="00C557B1" w:rsidRDefault="00D8600A">
      <w:pPr>
        <w:pStyle w:val="af3"/>
        <w:spacing w:line="520" w:lineRule="exact"/>
        <w:ind w:firstLine="640"/>
        <w:rPr>
          <w:rFonts w:ascii="Times New Roman" w:eastAsia="仿宋_GB2312" w:hAnsi="Times New Roman"/>
          <w:sz w:val="32"/>
          <w:szCs w:val="32"/>
        </w:rPr>
      </w:pPr>
      <w:r w:rsidRPr="00C557B1">
        <w:rPr>
          <w:rFonts w:ascii="Times New Roman" w:eastAsia="仿宋_GB2312" w:hAnsi="Times New Roman"/>
          <w:sz w:val="32"/>
          <w:szCs w:val="32"/>
        </w:rPr>
        <w:t>应提交产品与负压源配合使用下，模拟实际使用情况下负压引流装置的引流能力，并提交相应资料。</w:t>
      </w:r>
    </w:p>
    <w:p w:rsidR="001731F7" w:rsidRPr="00C557B1" w:rsidRDefault="00D8600A">
      <w:pPr>
        <w:pStyle w:val="af3"/>
        <w:spacing w:line="520" w:lineRule="exact"/>
        <w:ind w:firstLine="640"/>
        <w:rPr>
          <w:rFonts w:ascii="Times New Roman" w:eastAsia="仿宋_GB2312" w:hAnsi="Times New Roman"/>
          <w:sz w:val="32"/>
          <w:szCs w:val="32"/>
        </w:rPr>
      </w:pPr>
      <w:r w:rsidRPr="00C557B1">
        <w:rPr>
          <w:rFonts w:ascii="Times New Roman" w:eastAsia="仿宋_GB2312" w:hAnsi="Times New Roman"/>
          <w:kern w:val="2"/>
          <w:sz w:val="32"/>
          <w:szCs w:val="32"/>
        </w:rPr>
        <w:t>4.7</w:t>
      </w:r>
      <w:r w:rsidRPr="00C557B1">
        <w:rPr>
          <w:rFonts w:ascii="Times New Roman" w:eastAsia="仿宋_GB2312" w:hAnsi="Times New Roman"/>
          <w:sz w:val="32"/>
          <w:szCs w:val="32"/>
        </w:rPr>
        <w:t>物质溶出</w:t>
      </w:r>
    </w:p>
    <w:p w:rsidR="001731F7" w:rsidRPr="00C557B1" w:rsidRDefault="00D8600A">
      <w:pPr>
        <w:spacing w:line="520" w:lineRule="exact"/>
        <w:ind w:firstLineChars="200" w:firstLine="640"/>
        <w:rPr>
          <w:rFonts w:eastAsia="仿宋_GB2312"/>
          <w:bCs/>
          <w:sz w:val="32"/>
          <w:szCs w:val="32"/>
        </w:rPr>
      </w:pPr>
      <w:r w:rsidRPr="00C557B1">
        <w:rPr>
          <w:rFonts w:eastAsia="仿宋_GB2312"/>
          <w:bCs/>
          <w:sz w:val="32"/>
          <w:szCs w:val="32"/>
        </w:rPr>
        <w:t>以聚氨酯海绵为引流端的产品，需关注聚氨酯单体的溶出，对于可能产生的生物学风险，应当进行评价。</w:t>
      </w:r>
    </w:p>
    <w:p w:rsidR="001731F7" w:rsidRPr="00C557B1" w:rsidRDefault="00D8600A">
      <w:pPr>
        <w:spacing w:line="520" w:lineRule="exact"/>
        <w:ind w:firstLineChars="200" w:firstLine="640"/>
        <w:rPr>
          <w:rFonts w:eastAsia="仿宋_GB2312"/>
          <w:bCs/>
          <w:sz w:val="32"/>
          <w:szCs w:val="32"/>
        </w:rPr>
      </w:pPr>
      <w:r w:rsidRPr="00C557B1">
        <w:rPr>
          <w:rFonts w:eastAsia="仿宋_GB2312"/>
          <w:bCs/>
          <w:sz w:val="32"/>
          <w:szCs w:val="32"/>
        </w:rPr>
        <w:t>4.8</w:t>
      </w:r>
      <w:r w:rsidRPr="00C557B1">
        <w:rPr>
          <w:rFonts w:eastAsia="仿宋_GB2312"/>
          <w:bCs/>
          <w:sz w:val="32"/>
          <w:szCs w:val="32"/>
        </w:rPr>
        <w:t>其他资料</w:t>
      </w:r>
    </w:p>
    <w:p w:rsidR="001731F7" w:rsidRPr="00C557B1" w:rsidRDefault="00D8600A">
      <w:pPr>
        <w:spacing w:line="520" w:lineRule="exact"/>
        <w:ind w:firstLineChars="200" w:firstLine="640"/>
        <w:rPr>
          <w:rFonts w:eastAsia="仿宋_GB2312"/>
          <w:bCs/>
          <w:sz w:val="32"/>
          <w:szCs w:val="32"/>
        </w:rPr>
      </w:pPr>
      <w:r w:rsidRPr="00C557B1">
        <w:rPr>
          <w:rFonts w:eastAsia="仿宋_GB2312"/>
          <w:bCs/>
          <w:sz w:val="32"/>
          <w:szCs w:val="32"/>
        </w:rPr>
        <w:lastRenderedPageBreak/>
        <w:t>注册申请人应当按照《列入免于临床评价医疗器械目录产品对比说明技术指导原则》的要求，从基本原理、结构组成、性能要求、适用范围等方面，证明产品的安全有效性。</w:t>
      </w:r>
    </w:p>
    <w:bookmarkEnd w:id="9"/>
    <w:bookmarkEnd w:id="10"/>
    <w:bookmarkEnd w:id="11"/>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（四）临床评价资料</w:t>
      </w:r>
    </w:p>
    <w:p w:rsidR="001731F7" w:rsidRPr="00C557B1" w:rsidRDefault="00D8600A">
      <w:pPr>
        <w:spacing w:line="520" w:lineRule="exact"/>
        <w:ind w:rightChars="-32" w:right="-67" w:firstLineChars="200" w:firstLine="636"/>
      </w:pPr>
      <w:r w:rsidRPr="00C557B1">
        <w:rPr>
          <w:rFonts w:eastAsia="仿宋_GB2312"/>
          <w:spacing w:val="-1"/>
          <w:sz w:val="32"/>
          <w:szCs w:val="32"/>
        </w:rPr>
        <w:t>申请人应提交负压引流装置的临床评价资料，因该产品为多组件联合使用器械。可对结构组成中不同组件分别开展临床评价。负压引流封闭膜已</w:t>
      </w:r>
      <w:r w:rsidRPr="00C557B1">
        <w:rPr>
          <w:rFonts w:eastAsia="仿宋_GB2312"/>
          <w:color w:val="000000"/>
          <w:spacing w:val="-1"/>
          <w:sz w:val="32"/>
          <w:szCs w:val="32"/>
        </w:rPr>
        <w:t>列入《免于临床评价医疗器械目录》，申请人无需提交该组件的临床评价资料。</w:t>
      </w:r>
      <w:r w:rsidRPr="00C557B1">
        <w:t xml:space="preserve"> </w:t>
      </w:r>
    </w:p>
    <w:p w:rsidR="001731F7" w:rsidRPr="00C557B1" w:rsidRDefault="00D8600A">
      <w:pPr>
        <w:pStyle w:val="af3"/>
        <w:spacing w:line="520" w:lineRule="exact"/>
        <w:ind w:rightChars="-32" w:right="-67" w:firstLineChars="200" w:firstLine="440"/>
        <w:rPr>
          <w:rFonts w:ascii="Times New Roman" w:eastAsia="仿宋_GB2312" w:hAnsi="Times New Roman"/>
          <w:spacing w:val="-1"/>
          <w:sz w:val="32"/>
          <w:szCs w:val="32"/>
        </w:rPr>
      </w:pPr>
      <w:r w:rsidRPr="00C557B1">
        <w:rPr>
          <w:rFonts w:ascii="Times New Roman" w:hAnsi="Times New Roman"/>
        </w:rPr>
        <w:t xml:space="preserve">  </w:t>
      </w:r>
      <w:r w:rsidRPr="00C557B1">
        <w:rPr>
          <w:rFonts w:ascii="Times New Roman" w:eastAsia="仿宋_GB2312" w:hAnsi="Times New Roman"/>
          <w:color w:val="000000"/>
          <w:spacing w:val="-1"/>
          <w:kern w:val="2"/>
          <w:sz w:val="32"/>
          <w:szCs w:val="32"/>
        </w:rPr>
        <w:t>对结构组成中的其他组件，如负压引流海绵，</w:t>
      </w:r>
      <w:r w:rsidRPr="00C557B1">
        <w:rPr>
          <w:rFonts w:ascii="Times New Roman" w:eastAsia="仿宋_GB2312" w:hAnsi="Times New Roman"/>
          <w:spacing w:val="-1"/>
          <w:sz w:val="32"/>
          <w:szCs w:val="32"/>
        </w:rPr>
        <w:t>可按照《医疗器械临床评价技术指导原则》选择合适的临床评价路径进行临床评价。</w:t>
      </w:r>
    </w:p>
    <w:p w:rsidR="001731F7" w:rsidRPr="00C557B1" w:rsidRDefault="00D8600A">
      <w:pPr>
        <w:spacing w:line="520" w:lineRule="exact"/>
        <w:ind w:rightChars="-32" w:right="-67" w:firstLineChars="200" w:firstLine="636"/>
        <w:rPr>
          <w:rFonts w:eastAsia="仿宋_GB2312"/>
          <w:spacing w:val="-1"/>
          <w:sz w:val="32"/>
          <w:szCs w:val="32"/>
        </w:rPr>
      </w:pPr>
      <w:r w:rsidRPr="00C557B1">
        <w:rPr>
          <w:rFonts w:eastAsia="仿宋_GB2312"/>
          <w:spacing w:val="-1"/>
          <w:sz w:val="32"/>
          <w:szCs w:val="32"/>
        </w:rPr>
        <w:t>对于需要进行临床试验的，应当按照《医疗器械临床试验质量管理规范》的要求实施，提交的临床评价资料应当包括临床试验协议、临床试验方案和临床试验报告。</w:t>
      </w:r>
    </w:p>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（五）产品说明书和标签样稿</w:t>
      </w:r>
    </w:p>
    <w:p w:rsidR="001731F7" w:rsidRPr="00C557B1" w:rsidRDefault="00D8600A">
      <w:pPr>
        <w:spacing w:line="520" w:lineRule="exact"/>
        <w:ind w:firstLineChars="200" w:firstLine="636"/>
        <w:jc w:val="left"/>
        <w:rPr>
          <w:rFonts w:eastAsia="仿宋_GB2312"/>
          <w:spacing w:val="-1"/>
          <w:sz w:val="32"/>
          <w:szCs w:val="32"/>
        </w:rPr>
      </w:pPr>
      <w:r w:rsidRPr="00C557B1">
        <w:rPr>
          <w:rFonts w:eastAsia="仿宋_GB2312"/>
          <w:spacing w:val="-1"/>
          <w:sz w:val="32"/>
          <w:szCs w:val="32"/>
        </w:rPr>
        <w:t>产品说明书</w:t>
      </w:r>
      <w:r w:rsidRPr="00C557B1">
        <w:rPr>
          <w:rFonts w:eastAsia="楷体_GB2312"/>
          <w:sz w:val="32"/>
          <w:szCs w:val="32"/>
        </w:rPr>
        <w:t>和标签样稿</w:t>
      </w:r>
      <w:r w:rsidRPr="00C557B1">
        <w:rPr>
          <w:rFonts w:eastAsia="仿宋_GB2312"/>
          <w:spacing w:val="-1"/>
          <w:sz w:val="32"/>
          <w:szCs w:val="32"/>
        </w:rPr>
        <w:t>应符合《医疗器械说明书和标签管理规定》及相关标准的规定。</w:t>
      </w:r>
      <w:r w:rsidRPr="00C557B1">
        <w:rPr>
          <w:rFonts w:eastAsia="仿宋_GB2312"/>
          <w:color w:val="000000"/>
          <w:sz w:val="32"/>
          <w:szCs w:val="32"/>
        </w:rPr>
        <w:t>同时根据产品适用情况可参考以下要求：</w:t>
      </w:r>
    </w:p>
    <w:p w:rsidR="001731F7" w:rsidRPr="00C557B1" w:rsidRDefault="00D8600A">
      <w:pPr>
        <w:spacing w:line="520" w:lineRule="exact"/>
        <w:ind w:rightChars="-32" w:right="-67" w:firstLineChars="200" w:firstLine="636"/>
        <w:rPr>
          <w:rFonts w:eastAsia="仿宋_GB2312"/>
          <w:sz w:val="32"/>
          <w:szCs w:val="32"/>
        </w:rPr>
      </w:pPr>
      <w:r w:rsidRPr="00C557B1">
        <w:rPr>
          <w:rFonts w:eastAsia="仿宋_GB2312"/>
          <w:spacing w:val="-1"/>
          <w:sz w:val="32"/>
          <w:szCs w:val="32"/>
        </w:rPr>
        <w:t>1</w:t>
      </w:r>
      <w:r w:rsidRPr="00C557B1">
        <w:rPr>
          <w:rFonts w:eastAsia="仿宋_GB2312"/>
          <w:sz w:val="32"/>
          <w:szCs w:val="32"/>
        </w:rPr>
        <w:t>.</w:t>
      </w:r>
      <w:r w:rsidRPr="00C557B1">
        <w:rPr>
          <w:rFonts w:eastAsia="仿宋_GB2312"/>
          <w:sz w:val="32"/>
          <w:szCs w:val="32"/>
        </w:rPr>
        <w:t>建议申请人在产品说明书中明确配套使用的负压源情况，给出产品能够承受的最大负压值。</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t>2.</w:t>
      </w:r>
      <w:r w:rsidRPr="00C557B1">
        <w:rPr>
          <w:rFonts w:eastAsia="仿宋_GB2312"/>
          <w:spacing w:val="-1"/>
          <w:sz w:val="32"/>
          <w:szCs w:val="32"/>
        </w:rPr>
        <w:t>说明书中产品禁忌证至少应包含如下内容：</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t>2.1</w:t>
      </w:r>
      <w:r w:rsidRPr="00C557B1">
        <w:rPr>
          <w:rFonts w:eastAsia="仿宋_GB2312"/>
          <w:spacing w:val="-1"/>
          <w:sz w:val="32"/>
          <w:szCs w:val="32"/>
        </w:rPr>
        <w:t>大量坏死组织结痂；</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t>2.2</w:t>
      </w:r>
      <w:r w:rsidRPr="00C557B1">
        <w:rPr>
          <w:rFonts w:eastAsia="仿宋_GB2312"/>
          <w:spacing w:val="-1"/>
          <w:sz w:val="32"/>
          <w:szCs w:val="32"/>
        </w:rPr>
        <w:t>全身凝血时间异常或出血倾向严重的创面；</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t>2.3</w:t>
      </w:r>
      <w:r w:rsidRPr="00C557B1">
        <w:rPr>
          <w:rFonts w:eastAsia="仿宋_GB2312"/>
          <w:spacing w:val="-1"/>
          <w:sz w:val="32"/>
          <w:szCs w:val="32"/>
        </w:rPr>
        <w:t>肠瘘和未经探明的瘘管；</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t>2.4</w:t>
      </w:r>
      <w:r w:rsidRPr="00C557B1">
        <w:rPr>
          <w:rFonts w:eastAsia="仿宋_GB2312"/>
          <w:spacing w:val="-1"/>
          <w:sz w:val="32"/>
          <w:szCs w:val="32"/>
        </w:rPr>
        <w:t>伤口处存在恶性肿瘤；</w:t>
      </w:r>
    </w:p>
    <w:p w:rsidR="001731F7" w:rsidRPr="00C557B1" w:rsidRDefault="00D8600A">
      <w:pPr>
        <w:spacing w:line="520" w:lineRule="exact"/>
        <w:ind w:left="640" w:rightChars="-32" w:right="-67"/>
        <w:rPr>
          <w:rFonts w:eastAsia="仿宋_GB2312"/>
          <w:spacing w:val="-1"/>
          <w:sz w:val="32"/>
          <w:szCs w:val="32"/>
        </w:rPr>
      </w:pPr>
      <w:r w:rsidRPr="00C557B1">
        <w:rPr>
          <w:rFonts w:eastAsia="仿宋_GB2312"/>
          <w:spacing w:val="-1"/>
          <w:sz w:val="32"/>
          <w:szCs w:val="32"/>
        </w:rPr>
        <w:lastRenderedPageBreak/>
        <w:t>2.5</w:t>
      </w:r>
      <w:r w:rsidRPr="00C557B1">
        <w:rPr>
          <w:rFonts w:eastAsia="仿宋_GB2312"/>
          <w:spacing w:val="-1"/>
          <w:sz w:val="32"/>
          <w:szCs w:val="32"/>
        </w:rPr>
        <w:t>暴露脉管、神经、吻合部位、较大范围的骨组织或肌腱。</w:t>
      </w:r>
    </w:p>
    <w:p w:rsidR="001731F7" w:rsidRPr="00C557B1" w:rsidRDefault="00D8600A">
      <w:pPr>
        <w:spacing w:line="520" w:lineRule="exact"/>
        <w:ind w:rightChars="-32" w:right="-67" w:firstLineChars="200" w:firstLine="636"/>
        <w:rPr>
          <w:rFonts w:eastAsia="仿宋_GB2312"/>
          <w:spacing w:val="-1"/>
          <w:sz w:val="32"/>
          <w:szCs w:val="32"/>
        </w:rPr>
      </w:pPr>
      <w:r w:rsidRPr="00C557B1">
        <w:rPr>
          <w:rFonts w:eastAsia="仿宋_GB2312"/>
          <w:spacing w:val="-1"/>
          <w:sz w:val="32"/>
          <w:szCs w:val="32"/>
        </w:rPr>
        <w:t>3.</w:t>
      </w:r>
      <w:r w:rsidRPr="00C557B1">
        <w:rPr>
          <w:rFonts w:eastAsia="仿宋_GB2312"/>
          <w:spacing w:val="-1"/>
          <w:sz w:val="32"/>
          <w:szCs w:val="32"/>
        </w:rPr>
        <w:t>应给出足够的风险警示内容：如：明确适合的患者、伤口感染情况下使用的风险、核磁共振条件使用风险、高压氧舱条件下使用风险、交感神经周边使用风险、脊柱损伤患者使用风险等内容。</w:t>
      </w:r>
    </w:p>
    <w:p w:rsidR="001731F7" w:rsidRPr="00C557B1" w:rsidRDefault="00D8600A">
      <w:pPr>
        <w:spacing w:line="520" w:lineRule="exact"/>
        <w:ind w:rightChars="-32" w:right="-67" w:firstLineChars="200" w:firstLine="640"/>
        <w:rPr>
          <w:rFonts w:eastAsia="楷体_GB2312"/>
          <w:sz w:val="32"/>
          <w:szCs w:val="32"/>
        </w:rPr>
      </w:pPr>
      <w:r w:rsidRPr="00C557B1">
        <w:rPr>
          <w:rFonts w:eastAsia="楷体_GB2312"/>
          <w:sz w:val="32"/>
          <w:szCs w:val="32"/>
        </w:rPr>
        <w:t>（六）质量管理体系文件</w:t>
      </w:r>
    </w:p>
    <w:p w:rsidR="001731F7" w:rsidRPr="00C557B1" w:rsidRDefault="00D8600A">
      <w:pPr>
        <w:spacing w:line="520" w:lineRule="exact"/>
        <w:ind w:firstLineChars="200" w:firstLine="640"/>
        <w:rPr>
          <w:rFonts w:eastAsia="仿宋_GB2312"/>
          <w:color w:val="000000"/>
          <w:sz w:val="32"/>
          <w:szCs w:val="32"/>
        </w:rPr>
      </w:pPr>
      <w:r w:rsidRPr="00C557B1">
        <w:rPr>
          <w:rFonts w:eastAsia="仿宋_GB2312"/>
          <w:color w:val="000000"/>
          <w:sz w:val="32"/>
          <w:szCs w:val="32"/>
        </w:rPr>
        <w:t>注册申请人应按照《关于公布医疗器械注册申报资料要求和批准证明文件格式的公告》提交申报产品的质量管理体系文件，产品质量管理体系文件应符合《医疗器械生产质量管理规范》的要求。</w:t>
      </w:r>
    </w:p>
    <w:p w:rsidR="001731F7" w:rsidRPr="00C557B1" w:rsidRDefault="00D8600A">
      <w:pPr>
        <w:numPr>
          <w:ilvl w:val="255"/>
          <w:numId w:val="0"/>
        </w:numPr>
        <w:spacing w:line="520" w:lineRule="exact"/>
        <w:ind w:rightChars="-32" w:right="-67" w:firstLineChars="200" w:firstLine="640"/>
        <w:rPr>
          <w:rFonts w:eastAsia="黑体"/>
          <w:sz w:val="32"/>
          <w:szCs w:val="32"/>
        </w:rPr>
      </w:pPr>
      <w:r w:rsidRPr="00C557B1">
        <w:rPr>
          <w:rFonts w:eastAsia="黑体"/>
          <w:sz w:val="32"/>
          <w:szCs w:val="32"/>
        </w:rPr>
        <w:t>三、参考文献</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[1]</w:t>
      </w:r>
      <w:r w:rsidRPr="00C557B1">
        <w:rPr>
          <w:rFonts w:eastAsia="仿宋_GB2312"/>
          <w:sz w:val="32"/>
          <w:szCs w:val="32"/>
        </w:rPr>
        <w:t>国家食品药品监督管理局</w:t>
      </w:r>
      <w:r w:rsidRPr="00C557B1">
        <w:rPr>
          <w:rFonts w:eastAsia="仿宋_GB2312"/>
          <w:sz w:val="32"/>
          <w:szCs w:val="32"/>
        </w:rPr>
        <w:t>.</w:t>
      </w:r>
      <w:r w:rsidRPr="00C557B1">
        <w:rPr>
          <w:rFonts w:eastAsia="仿宋_GB2312"/>
          <w:sz w:val="32"/>
          <w:szCs w:val="32"/>
        </w:rPr>
        <w:t>医疗器械分类目录</w:t>
      </w:r>
      <w:r w:rsidRPr="00C557B1">
        <w:rPr>
          <w:rFonts w:eastAsia="仿宋_GB2312"/>
          <w:sz w:val="32"/>
          <w:szCs w:val="32"/>
        </w:rPr>
        <w:t>:</w:t>
      </w:r>
      <w:r w:rsidRPr="00C557B1">
        <w:rPr>
          <w:rFonts w:eastAsia="仿宋_GB2312"/>
          <w:sz w:val="32"/>
          <w:szCs w:val="32"/>
        </w:rPr>
        <w:t>国家食品药品监督管理总局公告</w:t>
      </w:r>
      <w:r w:rsidRPr="00C557B1">
        <w:rPr>
          <w:rFonts w:eastAsia="仿宋_GB2312"/>
          <w:sz w:val="32"/>
          <w:szCs w:val="32"/>
        </w:rPr>
        <w:t>2017</w:t>
      </w:r>
      <w:r w:rsidRPr="00C557B1">
        <w:rPr>
          <w:rFonts w:eastAsia="仿宋_GB2312"/>
          <w:sz w:val="32"/>
          <w:szCs w:val="32"/>
        </w:rPr>
        <w:t>年第</w:t>
      </w:r>
      <w:r w:rsidRPr="00C557B1">
        <w:rPr>
          <w:rFonts w:eastAsia="仿宋_GB2312"/>
          <w:sz w:val="32"/>
          <w:szCs w:val="32"/>
        </w:rPr>
        <w:t>104</w:t>
      </w:r>
      <w:r w:rsidRPr="00C557B1">
        <w:rPr>
          <w:rFonts w:eastAsia="仿宋_GB2312"/>
          <w:sz w:val="32"/>
          <w:szCs w:val="32"/>
        </w:rPr>
        <w:t>号</w:t>
      </w:r>
      <w:r w:rsidRPr="00C557B1">
        <w:rPr>
          <w:rFonts w:eastAsia="仿宋_GB2312"/>
          <w:sz w:val="32"/>
          <w:szCs w:val="32"/>
        </w:rPr>
        <w:t>[Z].</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[2]</w:t>
      </w:r>
      <w:r w:rsidRPr="00C557B1">
        <w:rPr>
          <w:rFonts w:eastAsia="仿宋_GB2312"/>
          <w:sz w:val="32"/>
          <w:szCs w:val="32"/>
        </w:rPr>
        <w:t>国家食品药品监督管理局</w:t>
      </w:r>
      <w:r w:rsidRPr="00C557B1">
        <w:rPr>
          <w:rFonts w:eastAsia="仿宋_GB2312"/>
          <w:sz w:val="32"/>
          <w:szCs w:val="32"/>
        </w:rPr>
        <w:t>.</w:t>
      </w:r>
      <w:r w:rsidRPr="00C557B1">
        <w:rPr>
          <w:rFonts w:eastAsia="仿宋_GB2312"/>
          <w:sz w:val="32"/>
          <w:szCs w:val="32"/>
        </w:rPr>
        <w:t>医疗器械注册单元划分指导原则</w:t>
      </w:r>
      <w:r w:rsidRPr="00C557B1">
        <w:rPr>
          <w:rFonts w:eastAsia="仿宋_GB2312"/>
          <w:sz w:val="32"/>
          <w:szCs w:val="32"/>
        </w:rPr>
        <w:t>:</w:t>
      </w:r>
      <w:r w:rsidRPr="00C557B1">
        <w:rPr>
          <w:rFonts w:eastAsia="仿宋_GB2312"/>
          <w:sz w:val="32"/>
          <w:szCs w:val="32"/>
        </w:rPr>
        <w:t>总局通告</w:t>
      </w:r>
      <w:r w:rsidRPr="00C557B1">
        <w:rPr>
          <w:rFonts w:eastAsia="仿宋_GB2312"/>
          <w:sz w:val="32"/>
          <w:szCs w:val="32"/>
        </w:rPr>
        <w:t>2017</w:t>
      </w:r>
      <w:r w:rsidRPr="00C557B1">
        <w:rPr>
          <w:rFonts w:eastAsia="仿宋_GB2312"/>
          <w:sz w:val="32"/>
          <w:szCs w:val="32"/>
        </w:rPr>
        <w:t>年第</w:t>
      </w:r>
      <w:r w:rsidRPr="00C557B1">
        <w:rPr>
          <w:rFonts w:eastAsia="仿宋_GB2312"/>
          <w:sz w:val="32"/>
          <w:szCs w:val="32"/>
        </w:rPr>
        <w:t>187</w:t>
      </w:r>
      <w:r w:rsidRPr="00C557B1">
        <w:rPr>
          <w:rFonts w:eastAsia="仿宋_GB2312"/>
          <w:sz w:val="32"/>
          <w:szCs w:val="32"/>
        </w:rPr>
        <w:t>号</w:t>
      </w:r>
      <w:r w:rsidRPr="00C557B1">
        <w:rPr>
          <w:rFonts w:eastAsia="仿宋_GB2312"/>
          <w:sz w:val="32"/>
          <w:szCs w:val="32"/>
        </w:rPr>
        <w:t>[Z].</w:t>
      </w:r>
    </w:p>
    <w:p w:rsidR="001731F7" w:rsidRPr="00C557B1" w:rsidRDefault="00D8600A">
      <w:pPr>
        <w:pStyle w:val="af7"/>
        <w:overflowPunct w:val="0"/>
        <w:autoSpaceDE w:val="0"/>
        <w:autoSpaceDN w:val="0"/>
        <w:spacing w:line="520" w:lineRule="exact"/>
        <w:ind w:firstLine="640"/>
        <w:outlineLvl w:val="2"/>
        <w:rPr>
          <w:rFonts w:ascii="Times New Roman" w:eastAsia="仿宋_GB2312" w:hAnsi="Times New Roman" w:cs="Times New Roman"/>
          <w:sz w:val="32"/>
          <w:szCs w:val="32"/>
        </w:rPr>
      </w:pPr>
      <w:r w:rsidRPr="00C557B1">
        <w:rPr>
          <w:rFonts w:ascii="Times New Roman" w:eastAsia="仿宋_GB2312" w:hAnsi="Times New Roman" w:cs="Times New Roman"/>
          <w:sz w:val="32"/>
          <w:szCs w:val="32"/>
        </w:rPr>
        <w:t>[3]</w:t>
      </w:r>
      <w:r w:rsidRPr="00C557B1">
        <w:rPr>
          <w:rFonts w:ascii="Times New Roman" w:eastAsia="仿宋_GB2312" w:hAnsi="Times New Roman" w:cs="Times New Roman"/>
          <w:sz w:val="32"/>
          <w:szCs w:val="32"/>
        </w:rPr>
        <w:t>国家药品监督管理局</w:t>
      </w:r>
      <w:r w:rsidRPr="00C557B1">
        <w:rPr>
          <w:rFonts w:ascii="Times New Roman" w:eastAsia="仿宋_GB2312" w:hAnsi="Times New Roman" w:cs="Times New Roman"/>
          <w:sz w:val="32"/>
          <w:szCs w:val="32"/>
        </w:rPr>
        <w:t>.</w:t>
      </w:r>
      <w:r w:rsidRPr="00C557B1">
        <w:rPr>
          <w:rFonts w:ascii="Times New Roman" w:eastAsia="仿宋_GB2312" w:hAnsi="Times New Roman" w:cs="Times New Roman"/>
          <w:sz w:val="32"/>
          <w:szCs w:val="32"/>
        </w:rPr>
        <w:t>医疗器械临床评价技术指导原则</w:t>
      </w:r>
      <w:r w:rsidRPr="00C557B1">
        <w:rPr>
          <w:rFonts w:ascii="Times New Roman" w:eastAsia="仿宋_GB2312" w:hAnsi="Times New Roman" w:cs="Times New Roman"/>
          <w:sz w:val="32"/>
          <w:szCs w:val="32"/>
        </w:rPr>
        <w:t>:</w:t>
      </w:r>
      <w:r w:rsidRPr="00C557B1">
        <w:rPr>
          <w:rFonts w:ascii="Times New Roman" w:eastAsia="仿宋_GB2312" w:hAnsi="Times New Roman" w:cs="Times New Roman"/>
          <w:sz w:val="32"/>
          <w:szCs w:val="32"/>
        </w:rPr>
        <w:t>国家药监局通告</w:t>
      </w:r>
      <w:r w:rsidRPr="00C557B1">
        <w:rPr>
          <w:rFonts w:ascii="Times New Roman" w:eastAsia="仿宋_GB2312" w:hAnsi="Times New Roman" w:cs="Times New Roman"/>
          <w:sz w:val="32"/>
          <w:szCs w:val="32"/>
        </w:rPr>
        <w:t>2021</w:t>
      </w:r>
      <w:r w:rsidRPr="00C557B1">
        <w:rPr>
          <w:rFonts w:ascii="Times New Roman" w:eastAsia="仿宋_GB2312" w:hAnsi="Times New Roman" w:cs="Times New Roman"/>
          <w:sz w:val="32"/>
          <w:szCs w:val="32"/>
        </w:rPr>
        <w:t>年第</w:t>
      </w:r>
      <w:r w:rsidRPr="00C557B1">
        <w:rPr>
          <w:rFonts w:ascii="Times New Roman" w:eastAsia="仿宋_GB2312" w:hAnsi="Times New Roman" w:cs="Times New Roman"/>
          <w:sz w:val="32"/>
          <w:szCs w:val="32"/>
        </w:rPr>
        <w:t>73</w:t>
      </w:r>
      <w:r w:rsidRPr="00C557B1">
        <w:rPr>
          <w:rFonts w:ascii="Times New Roman" w:eastAsia="仿宋_GB2312" w:hAnsi="Times New Roman" w:cs="Times New Roman"/>
          <w:sz w:val="32"/>
          <w:szCs w:val="32"/>
        </w:rPr>
        <w:t>号</w:t>
      </w:r>
      <w:r w:rsidRPr="00C557B1">
        <w:rPr>
          <w:rFonts w:ascii="Times New Roman" w:eastAsia="仿宋_GB2312" w:hAnsi="Times New Roman" w:cs="Times New Roman"/>
          <w:sz w:val="32"/>
          <w:szCs w:val="32"/>
        </w:rPr>
        <w:t>[Z].</w:t>
      </w:r>
    </w:p>
    <w:p w:rsidR="001731F7" w:rsidRPr="00C557B1" w:rsidRDefault="00D8600A">
      <w:pPr>
        <w:pStyle w:val="af3"/>
        <w:spacing w:line="520" w:lineRule="exact"/>
        <w:ind w:firstLineChars="200" w:firstLine="640"/>
        <w:rPr>
          <w:rFonts w:ascii="Times New Roman" w:eastAsia="仿宋_GB2312" w:hAnsi="Times New Roman"/>
          <w:kern w:val="2"/>
          <w:sz w:val="32"/>
          <w:szCs w:val="32"/>
        </w:rPr>
      </w:pPr>
      <w:r w:rsidRPr="00C557B1">
        <w:rPr>
          <w:rFonts w:ascii="Times New Roman" w:eastAsia="仿宋_GB2312" w:hAnsi="Times New Roman"/>
          <w:sz w:val="32"/>
          <w:szCs w:val="32"/>
        </w:rPr>
        <w:t>[4]</w:t>
      </w:r>
      <w:r w:rsidRPr="00C557B1">
        <w:rPr>
          <w:rFonts w:ascii="Times New Roman" w:eastAsia="仿宋_GB2312" w:hAnsi="Times New Roman"/>
          <w:kern w:val="2"/>
          <w:sz w:val="32"/>
          <w:szCs w:val="32"/>
        </w:rPr>
        <w:t>国家药品监督管理局</w:t>
      </w:r>
      <w:r w:rsidRPr="00C557B1">
        <w:rPr>
          <w:rFonts w:ascii="Times New Roman" w:eastAsia="仿宋_GB2312" w:hAnsi="Times New Roman"/>
          <w:kern w:val="2"/>
          <w:sz w:val="32"/>
          <w:szCs w:val="32"/>
        </w:rPr>
        <w:t>,</w:t>
      </w:r>
      <w:r w:rsidRPr="00C557B1">
        <w:rPr>
          <w:rFonts w:ascii="Times New Roman" w:eastAsia="仿宋_GB2312" w:hAnsi="Times New Roman"/>
          <w:kern w:val="2"/>
          <w:sz w:val="32"/>
          <w:szCs w:val="32"/>
        </w:rPr>
        <w:t>国家卫生健康委</w:t>
      </w:r>
      <w:r w:rsidRPr="00C557B1">
        <w:rPr>
          <w:rFonts w:ascii="Times New Roman" w:eastAsia="仿宋_GB2312" w:hAnsi="Times New Roman"/>
          <w:kern w:val="2"/>
          <w:sz w:val="32"/>
          <w:szCs w:val="32"/>
        </w:rPr>
        <w:t>.</w:t>
      </w:r>
      <w:r w:rsidRPr="00C557B1">
        <w:rPr>
          <w:rFonts w:ascii="Times New Roman" w:eastAsia="仿宋_GB2312" w:hAnsi="Times New Roman"/>
          <w:kern w:val="2"/>
          <w:sz w:val="32"/>
          <w:szCs w:val="32"/>
        </w:rPr>
        <w:t>医疗器械临床试验质量管理规范</w:t>
      </w:r>
      <w:r w:rsidRPr="00C557B1">
        <w:rPr>
          <w:rFonts w:ascii="Times New Roman" w:eastAsia="仿宋_GB2312" w:hAnsi="Times New Roman"/>
          <w:kern w:val="2"/>
          <w:sz w:val="32"/>
          <w:szCs w:val="32"/>
        </w:rPr>
        <w:t>:</w:t>
      </w:r>
      <w:r w:rsidRPr="00C557B1">
        <w:rPr>
          <w:rFonts w:ascii="Times New Roman" w:eastAsia="仿宋_GB2312" w:hAnsi="Times New Roman"/>
          <w:kern w:val="2"/>
          <w:sz w:val="32"/>
          <w:szCs w:val="32"/>
        </w:rPr>
        <w:t>国家药监局</w:t>
      </w:r>
      <w:r w:rsidRPr="00C557B1">
        <w:rPr>
          <w:rFonts w:ascii="Times New Roman" w:eastAsia="仿宋_GB2312" w:hAnsi="Times New Roman"/>
          <w:kern w:val="2"/>
          <w:sz w:val="32"/>
          <w:szCs w:val="32"/>
        </w:rPr>
        <w:t xml:space="preserve"> </w:t>
      </w:r>
      <w:r w:rsidRPr="00C557B1">
        <w:rPr>
          <w:rFonts w:ascii="Times New Roman" w:eastAsia="仿宋_GB2312" w:hAnsi="Times New Roman"/>
          <w:kern w:val="2"/>
          <w:sz w:val="32"/>
          <w:szCs w:val="32"/>
        </w:rPr>
        <w:t>国家卫生健康委公告</w:t>
      </w:r>
      <w:r w:rsidRPr="00C557B1">
        <w:rPr>
          <w:rFonts w:ascii="Times New Roman" w:eastAsia="仿宋_GB2312" w:hAnsi="Times New Roman"/>
          <w:kern w:val="2"/>
          <w:sz w:val="32"/>
          <w:szCs w:val="32"/>
        </w:rPr>
        <w:t>2022</w:t>
      </w:r>
      <w:r w:rsidRPr="00C557B1">
        <w:rPr>
          <w:rFonts w:ascii="Times New Roman" w:eastAsia="仿宋_GB2312" w:hAnsi="Times New Roman"/>
          <w:kern w:val="2"/>
          <w:sz w:val="32"/>
          <w:szCs w:val="32"/>
        </w:rPr>
        <w:t>年第</w:t>
      </w:r>
      <w:r w:rsidRPr="00C557B1">
        <w:rPr>
          <w:rFonts w:ascii="Times New Roman" w:eastAsia="仿宋_GB2312" w:hAnsi="Times New Roman"/>
          <w:kern w:val="2"/>
          <w:sz w:val="32"/>
          <w:szCs w:val="32"/>
        </w:rPr>
        <w:t>28</w:t>
      </w:r>
      <w:r w:rsidRPr="00C557B1">
        <w:rPr>
          <w:rFonts w:ascii="Times New Roman" w:eastAsia="仿宋_GB2312" w:hAnsi="Times New Roman"/>
          <w:kern w:val="2"/>
          <w:sz w:val="32"/>
          <w:szCs w:val="32"/>
        </w:rPr>
        <w:t>号</w:t>
      </w:r>
      <w:r w:rsidRPr="00C557B1">
        <w:rPr>
          <w:rFonts w:ascii="Times New Roman" w:eastAsia="仿宋_GB2312" w:hAnsi="Times New Roman"/>
          <w:sz w:val="32"/>
          <w:szCs w:val="32"/>
        </w:rPr>
        <w:t>[Z].</w:t>
      </w:r>
    </w:p>
    <w:p w:rsidR="001731F7" w:rsidRPr="00C557B1" w:rsidRDefault="00D8600A">
      <w:pPr>
        <w:spacing w:line="520" w:lineRule="exact"/>
        <w:ind w:firstLineChars="200" w:firstLine="640"/>
        <w:rPr>
          <w:rFonts w:eastAsia="仿宋_GB2312"/>
          <w:sz w:val="32"/>
          <w:szCs w:val="32"/>
        </w:rPr>
      </w:pPr>
      <w:r w:rsidRPr="00C557B1">
        <w:rPr>
          <w:rFonts w:eastAsia="仿宋_GB2312"/>
          <w:sz w:val="32"/>
          <w:szCs w:val="32"/>
        </w:rPr>
        <w:t>[5]</w:t>
      </w:r>
      <w:r w:rsidRPr="00C557B1">
        <w:rPr>
          <w:rFonts w:eastAsia="仿宋_GB2312"/>
          <w:color w:val="000000"/>
          <w:sz w:val="32"/>
          <w:szCs w:val="32"/>
        </w:rPr>
        <w:t>国家食品药品监督管理局</w:t>
      </w:r>
      <w:r w:rsidRPr="00C557B1">
        <w:rPr>
          <w:rFonts w:eastAsia="仿宋_GB2312"/>
          <w:color w:val="000000"/>
          <w:sz w:val="32"/>
          <w:szCs w:val="32"/>
        </w:rPr>
        <w:t>.</w:t>
      </w:r>
      <w:r w:rsidRPr="00C557B1">
        <w:rPr>
          <w:rFonts w:eastAsia="仿宋_GB2312"/>
          <w:sz w:val="32"/>
          <w:szCs w:val="32"/>
        </w:rPr>
        <w:t>医疗器械说明书和标签管理规定</w:t>
      </w:r>
      <w:r w:rsidRPr="00C557B1">
        <w:rPr>
          <w:rFonts w:eastAsia="仿宋_GB2312"/>
          <w:sz w:val="32"/>
          <w:szCs w:val="32"/>
        </w:rPr>
        <w:t>:</w:t>
      </w:r>
      <w:r w:rsidRPr="00C557B1">
        <w:rPr>
          <w:rFonts w:eastAsia="仿宋_GB2312"/>
          <w:sz w:val="32"/>
          <w:szCs w:val="32"/>
        </w:rPr>
        <w:t>国家食品药品监督管理总局令第</w:t>
      </w:r>
      <w:r w:rsidRPr="00C557B1">
        <w:rPr>
          <w:rFonts w:eastAsia="仿宋_GB2312"/>
          <w:sz w:val="32"/>
          <w:szCs w:val="32"/>
        </w:rPr>
        <w:t>6</w:t>
      </w:r>
      <w:r w:rsidRPr="00C557B1">
        <w:rPr>
          <w:rFonts w:eastAsia="仿宋_GB2312"/>
          <w:sz w:val="32"/>
          <w:szCs w:val="32"/>
        </w:rPr>
        <w:t>号</w:t>
      </w:r>
      <w:r w:rsidRPr="00C557B1">
        <w:rPr>
          <w:rFonts w:eastAsia="仿宋_GB2312"/>
          <w:sz w:val="32"/>
          <w:szCs w:val="32"/>
        </w:rPr>
        <w:t>[Z].</w:t>
      </w:r>
    </w:p>
    <w:p w:rsidR="001731F7" w:rsidRPr="00C557B1" w:rsidRDefault="00D8600A">
      <w:pPr>
        <w:tabs>
          <w:tab w:val="left" w:pos="532"/>
        </w:tabs>
        <w:spacing w:line="520" w:lineRule="exact"/>
        <w:ind w:firstLineChars="200" w:firstLine="640"/>
        <w:rPr>
          <w:rFonts w:eastAsia="仿宋_GB2312"/>
          <w:sz w:val="32"/>
          <w:szCs w:val="32"/>
        </w:rPr>
      </w:pPr>
      <w:r w:rsidRPr="00C557B1">
        <w:rPr>
          <w:rFonts w:eastAsia="仿宋_GB2312"/>
          <w:sz w:val="32"/>
          <w:szCs w:val="32"/>
        </w:rPr>
        <w:t>[6]</w:t>
      </w:r>
      <w:r w:rsidRPr="00C557B1">
        <w:rPr>
          <w:rFonts w:eastAsia="仿宋_GB2312"/>
          <w:sz w:val="32"/>
          <w:szCs w:val="32"/>
        </w:rPr>
        <w:t>中华人民共和国国务院</w:t>
      </w:r>
      <w:r w:rsidRPr="00C557B1">
        <w:rPr>
          <w:rFonts w:eastAsia="仿宋_GB2312"/>
          <w:sz w:val="32"/>
          <w:szCs w:val="32"/>
        </w:rPr>
        <w:t>.</w:t>
      </w:r>
      <w:r w:rsidRPr="00C557B1">
        <w:rPr>
          <w:rFonts w:eastAsia="仿宋_GB2312"/>
          <w:spacing w:val="-1"/>
          <w:sz w:val="32"/>
          <w:szCs w:val="32"/>
        </w:rPr>
        <w:t>医疗器械生产质量管理规范</w:t>
      </w:r>
      <w:r w:rsidRPr="00C557B1">
        <w:rPr>
          <w:rFonts w:eastAsia="仿宋_GB2312"/>
          <w:sz w:val="32"/>
          <w:szCs w:val="32"/>
        </w:rPr>
        <w:t>:</w:t>
      </w:r>
      <w:r w:rsidRPr="00C557B1">
        <w:rPr>
          <w:rFonts w:eastAsia="仿宋_GB2312"/>
          <w:sz w:val="32"/>
          <w:szCs w:val="32"/>
        </w:rPr>
        <w:t>国家市场监督管理总局令第</w:t>
      </w:r>
      <w:r w:rsidRPr="00C557B1">
        <w:rPr>
          <w:rFonts w:eastAsia="仿宋_GB2312"/>
          <w:sz w:val="32"/>
          <w:szCs w:val="32"/>
        </w:rPr>
        <w:t>53</w:t>
      </w:r>
      <w:r w:rsidRPr="00C557B1">
        <w:rPr>
          <w:rFonts w:eastAsia="仿宋_GB2312"/>
          <w:sz w:val="32"/>
          <w:szCs w:val="32"/>
        </w:rPr>
        <w:t>号</w:t>
      </w:r>
      <w:r w:rsidRPr="00C557B1">
        <w:rPr>
          <w:rFonts w:eastAsia="仿宋_GB2312"/>
          <w:sz w:val="32"/>
          <w:szCs w:val="32"/>
        </w:rPr>
        <w:t>[Z].</w:t>
      </w:r>
    </w:p>
    <w:p w:rsidR="001731F7" w:rsidRPr="00C557B1" w:rsidRDefault="00D8600A">
      <w:pPr>
        <w:pStyle w:val="af3"/>
        <w:spacing w:line="520" w:lineRule="exact"/>
        <w:ind w:firstLineChars="200" w:firstLine="640"/>
        <w:rPr>
          <w:rFonts w:ascii="Times New Roman" w:hAnsi="Times New Roman"/>
        </w:rPr>
      </w:pPr>
      <w:r w:rsidRPr="00C557B1">
        <w:rPr>
          <w:rFonts w:ascii="Times New Roman" w:eastAsia="仿宋_GB2312" w:hAnsi="Times New Roman"/>
          <w:sz w:val="32"/>
          <w:szCs w:val="32"/>
        </w:rPr>
        <w:lastRenderedPageBreak/>
        <w:t>[7]</w:t>
      </w:r>
      <w:r w:rsidRPr="00C557B1">
        <w:rPr>
          <w:rStyle w:val="f101"/>
          <w:rFonts w:ascii="Times New Roman" w:eastAsia="仿宋_GB2312" w:hAnsi="Times New Roman"/>
          <w:bCs/>
          <w:kern w:val="2"/>
          <w:sz w:val="32"/>
          <w:szCs w:val="32"/>
        </w:rPr>
        <w:t>GB/T 42062-2022,</w:t>
      </w:r>
      <w:r w:rsidRPr="00C557B1">
        <w:rPr>
          <w:rStyle w:val="f101"/>
          <w:rFonts w:ascii="Times New Roman" w:eastAsia="仿宋_GB2312" w:hAnsi="Times New Roman"/>
          <w:bCs/>
          <w:kern w:val="2"/>
          <w:sz w:val="32"/>
          <w:szCs w:val="32"/>
        </w:rPr>
        <w:t>医疗器械</w:t>
      </w:r>
      <w:r w:rsidRPr="00C557B1">
        <w:rPr>
          <w:rStyle w:val="f101"/>
          <w:rFonts w:ascii="Times New Roman" w:eastAsia="仿宋_GB2312" w:hAnsi="Times New Roman"/>
          <w:bCs/>
          <w:kern w:val="2"/>
          <w:sz w:val="32"/>
          <w:szCs w:val="32"/>
        </w:rPr>
        <w:t xml:space="preserve"> </w:t>
      </w:r>
      <w:r w:rsidRPr="00C557B1">
        <w:rPr>
          <w:rStyle w:val="f101"/>
          <w:rFonts w:ascii="Times New Roman" w:eastAsia="仿宋_GB2312" w:hAnsi="Times New Roman"/>
          <w:bCs/>
          <w:kern w:val="2"/>
          <w:sz w:val="32"/>
          <w:szCs w:val="32"/>
        </w:rPr>
        <w:t>风险管理对医疗器械的应用</w:t>
      </w:r>
      <w:r w:rsidRPr="00C557B1">
        <w:rPr>
          <w:rFonts w:ascii="Times New Roman" w:eastAsia="仿宋_GB2312" w:hAnsi="Times New Roman"/>
          <w:sz w:val="32"/>
          <w:szCs w:val="32"/>
        </w:rPr>
        <w:t>[S].</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[8]GB/T 191-2008,</w:t>
      </w:r>
      <w:r w:rsidRPr="00C557B1">
        <w:rPr>
          <w:rFonts w:eastAsia="仿宋_GB2312"/>
          <w:sz w:val="32"/>
          <w:szCs w:val="32"/>
        </w:rPr>
        <w:t>包装储运图示标志</w:t>
      </w:r>
      <w:r w:rsidRPr="00C557B1">
        <w:rPr>
          <w:rFonts w:eastAsia="仿宋_GB2312"/>
          <w:sz w:val="32"/>
          <w:szCs w:val="32"/>
        </w:rPr>
        <w:t>[S].</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[9]YY0489-2023,</w:t>
      </w:r>
      <w:r w:rsidRPr="00C557B1">
        <w:rPr>
          <w:rFonts w:eastAsia="仿宋_GB2312"/>
          <w:sz w:val="32"/>
          <w:szCs w:val="32"/>
        </w:rPr>
        <w:t>一次性使用无菌引流导管及辅助器械</w:t>
      </w:r>
      <w:r w:rsidRPr="00C557B1">
        <w:rPr>
          <w:rFonts w:eastAsia="仿宋_GB2312"/>
          <w:sz w:val="32"/>
          <w:szCs w:val="32"/>
        </w:rPr>
        <w:t>[S].</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[10]GB/T 16886.1-2022,</w:t>
      </w:r>
      <w:r w:rsidRPr="00C557B1">
        <w:rPr>
          <w:rFonts w:eastAsia="仿宋_GB2312"/>
          <w:sz w:val="32"/>
          <w:szCs w:val="32"/>
        </w:rPr>
        <w:t>医疗器械生物学评价</w:t>
      </w:r>
      <w:r w:rsidRPr="00C557B1">
        <w:rPr>
          <w:rFonts w:eastAsia="仿宋_GB2312"/>
          <w:sz w:val="32"/>
          <w:szCs w:val="32"/>
        </w:rPr>
        <w:t xml:space="preserve"> </w:t>
      </w:r>
      <w:r w:rsidRPr="00C557B1">
        <w:rPr>
          <w:rFonts w:eastAsia="仿宋_GB2312"/>
          <w:sz w:val="32"/>
          <w:szCs w:val="32"/>
        </w:rPr>
        <w:t>第</w:t>
      </w:r>
      <w:r w:rsidRPr="00C557B1">
        <w:rPr>
          <w:rFonts w:eastAsia="仿宋_GB2312"/>
          <w:sz w:val="32"/>
          <w:szCs w:val="32"/>
        </w:rPr>
        <w:t>1</w:t>
      </w:r>
      <w:r w:rsidRPr="00C557B1">
        <w:rPr>
          <w:rFonts w:eastAsia="仿宋_GB2312"/>
          <w:sz w:val="32"/>
          <w:szCs w:val="32"/>
        </w:rPr>
        <w:t>部分：风险管理过程中的评价与试验</w:t>
      </w:r>
      <w:r w:rsidRPr="00C557B1">
        <w:rPr>
          <w:rFonts w:eastAsia="仿宋_GB2312"/>
          <w:sz w:val="32"/>
          <w:szCs w:val="32"/>
        </w:rPr>
        <w:t>[S].</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[11]YY/T0148-2006,</w:t>
      </w:r>
      <w:r w:rsidRPr="00C557B1">
        <w:rPr>
          <w:rFonts w:eastAsia="仿宋_GB2312"/>
          <w:sz w:val="32"/>
          <w:szCs w:val="32"/>
        </w:rPr>
        <w:t>医用胶带通用要求</w:t>
      </w:r>
      <w:r w:rsidRPr="00C557B1">
        <w:rPr>
          <w:rFonts w:eastAsia="仿宋_GB2312"/>
          <w:sz w:val="32"/>
          <w:szCs w:val="32"/>
        </w:rPr>
        <w:t>[S].</w:t>
      </w:r>
    </w:p>
    <w:p w:rsidR="001731F7" w:rsidRPr="00C557B1" w:rsidRDefault="00D8600A">
      <w:pPr>
        <w:spacing w:line="520" w:lineRule="exact"/>
        <w:ind w:rightChars="-32" w:right="-67" w:firstLineChars="200" w:firstLine="640"/>
        <w:rPr>
          <w:rFonts w:eastAsia="仿宋_GB2312"/>
          <w:sz w:val="32"/>
          <w:szCs w:val="32"/>
        </w:rPr>
      </w:pPr>
      <w:r w:rsidRPr="00C557B1">
        <w:rPr>
          <w:rFonts w:eastAsia="仿宋_GB2312"/>
          <w:sz w:val="32"/>
          <w:szCs w:val="32"/>
        </w:rPr>
        <w:t>[12]YY 0852-2011,</w:t>
      </w:r>
      <w:r w:rsidRPr="00C557B1">
        <w:rPr>
          <w:rFonts w:eastAsia="仿宋_GB2312"/>
          <w:sz w:val="32"/>
          <w:szCs w:val="32"/>
        </w:rPr>
        <w:t>一次性使用无菌手术膜</w:t>
      </w:r>
      <w:r w:rsidRPr="00C557B1">
        <w:rPr>
          <w:rFonts w:eastAsia="仿宋_GB2312"/>
          <w:sz w:val="32"/>
          <w:szCs w:val="32"/>
        </w:rPr>
        <w:t>[S].</w:t>
      </w:r>
    </w:p>
    <w:p w:rsidR="001731F7" w:rsidRPr="00C557B1" w:rsidRDefault="00D8600A">
      <w:pPr>
        <w:pStyle w:val="af3"/>
        <w:spacing w:line="520" w:lineRule="exact"/>
        <w:ind w:firstLineChars="200" w:firstLine="640"/>
        <w:rPr>
          <w:rFonts w:ascii="Times New Roman" w:eastAsia="仿宋_GB2312" w:hAnsi="Times New Roman"/>
          <w:kern w:val="2"/>
          <w:sz w:val="32"/>
          <w:szCs w:val="32"/>
        </w:rPr>
      </w:pPr>
      <w:r w:rsidRPr="00C557B1">
        <w:rPr>
          <w:rFonts w:ascii="Times New Roman" w:eastAsia="仿宋_GB2312" w:hAnsi="Times New Roman"/>
          <w:kern w:val="2"/>
          <w:sz w:val="32"/>
          <w:szCs w:val="32"/>
        </w:rPr>
        <w:t>[13]YY/T 1872-2022,</w:t>
      </w:r>
      <w:r w:rsidRPr="00C557B1">
        <w:rPr>
          <w:rFonts w:ascii="Times New Roman" w:eastAsia="仿宋_GB2312" w:hAnsi="Times New Roman"/>
          <w:sz w:val="32"/>
          <w:szCs w:val="32"/>
        </w:rPr>
        <w:t>负压引流海绵</w:t>
      </w:r>
      <w:r w:rsidRPr="00C557B1">
        <w:rPr>
          <w:rFonts w:ascii="Times New Roman" w:eastAsia="仿宋_GB2312" w:hAnsi="Times New Roman"/>
          <w:kern w:val="2"/>
          <w:sz w:val="32"/>
          <w:szCs w:val="32"/>
        </w:rPr>
        <w:t>[S].</w:t>
      </w:r>
    </w:p>
    <w:p w:rsidR="001731F7" w:rsidRPr="00C557B1" w:rsidRDefault="001731F7">
      <w:pPr>
        <w:pStyle w:val="af3"/>
        <w:ind w:firstLineChars="200" w:firstLine="640"/>
        <w:rPr>
          <w:rFonts w:ascii="Times New Roman" w:eastAsia="仿宋_GB2312" w:hAnsi="Times New Roman"/>
          <w:kern w:val="2"/>
          <w:sz w:val="32"/>
          <w:szCs w:val="32"/>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6D6CD8" w:rsidRPr="00C557B1" w:rsidRDefault="006D6CD8" w:rsidP="006D6CD8">
      <w:pPr>
        <w:pStyle w:val="af5"/>
        <w:rPr>
          <w:rStyle w:val="f101"/>
          <w:rFonts w:ascii="Times New Roman" w:eastAsia="黑体" w:cs="Times New Roman"/>
          <w:bCs w:val="0"/>
          <w:sz w:val="32"/>
          <w:szCs w:val="32"/>
        </w:rPr>
      </w:pPr>
    </w:p>
    <w:p w:rsidR="001731F7" w:rsidRPr="00C557B1" w:rsidRDefault="006D6CD8" w:rsidP="006D6CD8">
      <w:pPr>
        <w:pStyle w:val="af5"/>
        <w:jc w:val="both"/>
        <w:rPr>
          <w:rStyle w:val="f101"/>
          <w:rFonts w:ascii="Times New Roman" w:eastAsia="黑体" w:cs="Times New Roman"/>
          <w:bCs w:val="0"/>
          <w:sz w:val="32"/>
          <w:szCs w:val="32"/>
        </w:rPr>
      </w:pPr>
      <w:r w:rsidRPr="00C557B1">
        <w:rPr>
          <w:rStyle w:val="f101"/>
          <w:rFonts w:ascii="Times New Roman" w:eastAsia="黑体" w:cs="Times New Roman"/>
          <w:bCs w:val="0"/>
          <w:sz w:val="32"/>
          <w:szCs w:val="32"/>
        </w:rPr>
        <w:lastRenderedPageBreak/>
        <w:t>附表</w:t>
      </w:r>
    </w:p>
    <w:p w:rsidR="006D6CD8" w:rsidRPr="00C557B1" w:rsidRDefault="006D6CD8" w:rsidP="006D6CD8">
      <w:pPr>
        <w:pStyle w:val="af5"/>
        <w:rPr>
          <w:rStyle w:val="f101"/>
          <w:rFonts w:ascii="Times New Roman" w:eastAsia="黑体" w:cs="Times New Roman"/>
          <w:bCs w:val="0"/>
          <w:sz w:val="32"/>
          <w:szCs w:val="32"/>
        </w:rPr>
      </w:pPr>
    </w:p>
    <w:p w:rsidR="001731F7" w:rsidRPr="00C557B1" w:rsidRDefault="00D8600A" w:rsidP="006D6CD8">
      <w:pPr>
        <w:pStyle w:val="af5"/>
        <w:rPr>
          <w:rStyle w:val="f101"/>
          <w:rFonts w:ascii="Times New Roman" w:cs="Times New Roman"/>
          <w:bCs w:val="0"/>
          <w:sz w:val="44"/>
          <w:szCs w:val="44"/>
        </w:rPr>
      </w:pPr>
      <w:r w:rsidRPr="00C557B1">
        <w:rPr>
          <w:rStyle w:val="f101"/>
          <w:rFonts w:ascii="Times New Roman" w:cs="Times New Roman"/>
          <w:sz w:val="44"/>
          <w:szCs w:val="44"/>
        </w:rPr>
        <w:t>负压引流装置产品的主要危险</w:t>
      </w:r>
    </w:p>
    <w:p w:rsidR="006D6CD8" w:rsidRPr="00C557B1" w:rsidRDefault="006D6CD8" w:rsidP="006D6CD8">
      <w:pPr>
        <w:pStyle w:val="af5"/>
        <w:rPr>
          <w:rStyle w:val="f101"/>
          <w:rFonts w:ascii="Times New Roman" w:eastAsia="黑体" w:cs="Times New Roman"/>
          <w:bCs w:val="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2"/>
        <w:gridCol w:w="6300"/>
      </w:tblGrid>
      <w:tr w:rsidR="001731F7" w:rsidRPr="00C557B1">
        <w:trPr>
          <w:jc w:val="center"/>
        </w:trPr>
        <w:tc>
          <w:tcPr>
            <w:tcW w:w="2152" w:type="dxa"/>
            <w:vAlign w:val="center"/>
          </w:tcPr>
          <w:p w:rsidR="001731F7" w:rsidRPr="00C557B1" w:rsidRDefault="00D8600A" w:rsidP="00EE49CF">
            <w:pPr>
              <w:pStyle w:val="af5"/>
              <w:spacing w:line="400" w:lineRule="exact"/>
              <w:rPr>
                <w:rStyle w:val="f101"/>
                <w:rFonts w:ascii="Times New Roman" w:eastAsia="黑体" w:cs="Times New Roman"/>
                <w:bCs w:val="0"/>
                <w:sz w:val="28"/>
                <w:szCs w:val="28"/>
              </w:rPr>
            </w:pPr>
            <w:r w:rsidRPr="00C557B1">
              <w:rPr>
                <w:rStyle w:val="f101"/>
                <w:rFonts w:ascii="Times New Roman" w:eastAsia="黑体" w:cs="Times New Roman"/>
                <w:sz w:val="28"/>
                <w:szCs w:val="28"/>
              </w:rPr>
              <w:t>危险类型</w:t>
            </w:r>
          </w:p>
        </w:tc>
        <w:tc>
          <w:tcPr>
            <w:tcW w:w="6300" w:type="dxa"/>
            <w:vAlign w:val="center"/>
          </w:tcPr>
          <w:p w:rsidR="001731F7" w:rsidRPr="00C557B1" w:rsidRDefault="00D8600A" w:rsidP="00EE49CF">
            <w:pPr>
              <w:pStyle w:val="af5"/>
              <w:spacing w:line="400" w:lineRule="exact"/>
              <w:rPr>
                <w:rStyle w:val="f101"/>
                <w:rFonts w:ascii="Times New Roman" w:eastAsia="黑体" w:cs="Times New Roman"/>
                <w:bCs w:val="0"/>
                <w:sz w:val="28"/>
                <w:szCs w:val="28"/>
              </w:rPr>
            </w:pPr>
            <w:r w:rsidRPr="00C557B1">
              <w:rPr>
                <w:rStyle w:val="f101"/>
                <w:rFonts w:ascii="Times New Roman" w:eastAsia="黑体" w:cs="Times New Roman"/>
                <w:sz w:val="28"/>
                <w:szCs w:val="28"/>
              </w:rPr>
              <w:t>可能的危险</w:t>
            </w:r>
          </w:p>
        </w:tc>
      </w:tr>
      <w:tr w:rsidR="001731F7" w:rsidRPr="00C557B1">
        <w:trPr>
          <w:cantSplit/>
          <w:trHeight w:val="908"/>
          <w:jc w:val="center"/>
        </w:trPr>
        <w:tc>
          <w:tcPr>
            <w:tcW w:w="2152" w:type="dxa"/>
            <w:vAlign w:val="center"/>
          </w:tcPr>
          <w:p w:rsidR="001731F7" w:rsidRPr="00C557B1" w:rsidRDefault="00D8600A" w:rsidP="00EE49CF">
            <w:pPr>
              <w:pStyle w:val="af5"/>
              <w:spacing w:line="400" w:lineRule="exact"/>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生物学危险</w:t>
            </w:r>
          </w:p>
        </w:tc>
        <w:tc>
          <w:tcPr>
            <w:tcW w:w="6300" w:type="dxa"/>
            <w:vAlign w:val="center"/>
          </w:tcPr>
          <w:p w:rsidR="001731F7" w:rsidRPr="00C557B1" w:rsidRDefault="00D8600A" w:rsidP="00EE49CF">
            <w:pPr>
              <w:pStyle w:val="af5"/>
              <w:spacing w:line="400" w:lineRule="exact"/>
              <w:jc w:val="both"/>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对患者造成刺激、致敏、毒性等不良反应，严重的甚至会导致局部组织坏死</w:t>
            </w:r>
          </w:p>
        </w:tc>
      </w:tr>
      <w:tr w:rsidR="001731F7" w:rsidRPr="00C557B1">
        <w:trPr>
          <w:cantSplit/>
          <w:trHeight w:val="560"/>
          <w:jc w:val="center"/>
        </w:trPr>
        <w:tc>
          <w:tcPr>
            <w:tcW w:w="2152" w:type="dxa"/>
            <w:vAlign w:val="center"/>
          </w:tcPr>
          <w:p w:rsidR="001731F7" w:rsidRPr="00C557B1" w:rsidRDefault="00D8600A" w:rsidP="00EE49CF">
            <w:pPr>
              <w:pStyle w:val="af5"/>
              <w:spacing w:line="400" w:lineRule="exact"/>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灭菌失效危险</w:t>
            </w:r>
          </w:p>
        </w:tc>
        <w:tc>
          <w:tcPr>
            <w:tcW w:w="6300" w:type="dxa"/>
            <w:vAlign w:val="center"/>
          </w:tcPr>
          <w:p w:rsidR="001731F7" w:rsidRPr="00C557B1" w:rsidRDefault="00D8600A" w:rsidP="00EE49CF">
            <w:pPr>
              <w:pStyle w:val="af5"/>
              <w:spacing w:line="400" w:lineRule="exact"/>
              <w:jc w:val="both"/>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超有效期使用本产品，产品无菌包装失效，造成产品带菌使用，致使患者感染非预期疾病。</w:t>
            </w:r>
          </w:p>
        </w:tc>
      </w:tr>
      <w:tr w:rsidR="001731F7" w:rsidRPr="00C557B1">
        <w:trPr>
          <w:cantSplit/>
          <w:trHeight w:val="533"/>
          <w:jc w:val="center"/>
        </w:trPr>
        <w:tc>
          <w:tcPr>
            <w:tcW w:w="2152" w:type="dxa"/>
            <w:vAlign w:val="center"/>
          </w:tcPr>
          <w:p w:rsidR="001731F7" w:rsidRPr="00C557B1" w:rsidRDefault="00D8600A" w:rsidP="00EE49CF">
            <w:pPr>
              <w:pStyle w:val="af5"/>
              <w:spacing w:line="400" w:lineRule="exact"/>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产品性能低下所引发的危险</w:t>
            </w:r>
          </w:p>
        </w:tc>
        <w:tc>
          <w:tcPr>
            <w:tcW w:w="6300" w:type="dxa"/>
            <w:vAlign w:val="center"/>
          </w:tcPr>
          <w:p w:rsidR="001731F7" w:rsidRPr="00C557B1" w:rsidRDefault="00D8600A" w:rsidP="00EE49CF">
            <w:pPr>
              <w:pStyle w:val="af5"/>
              <w:spacing w:line="400" w:lineRule="exact"/>
              <w:jc w:val="both"/>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产品连接性能、海绵孔隙度、贴膜密封性等达不到要求，造成负压环境不良，液体不能顺利引出体外等危害。</w:t>
            </w:r>
          </w:p>
        </w:tc>
      </w:tr>
      <w:tr w:rsidR="001731F7" w:rsidRPr="00C557B1">
        <w:trPr>
          <w:cantSplit/>
          <w:trHeight w:val="365"/>
          <w:jc w:val="center"/>
        </w:trPr>
        <w:tc>
          <w:tcPr>
            <w:tcW w:w="2152" w:type="dxa"/>
            <w:vAlign w:val="center"/>
          </w:tcPr>
          <w:p w:rsidR="001731F7" w:rsidRPr="00C557B1" w:rsidRDefault="00D8600A" w:rsidP="00EE49CF">
            <w:pPr>
              <w:pStyle w:val="af5"/>
              <w:spacing w:line="400" w:lineRule="exact"/>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使用危险</w:t>
            </w:r>
          </w:p>
        </w:tc>
        <w:tc>
          <w:tcPr>
            <w:tcW w:w="6300" w:type="dxa"/>
            <w:vAlign w:val="center"/>
          </w:tcPr>
          <w:p w:rsidR="001731F7" w:rsidRPr="00C557B1" w:rsidRDefault="00D8600A" w:rsidP="00EE49CF">
            <w:pPr>
              <w:pStyle w:val="af5"/>
              <w:spacing w:line="400" w:lineRule="exact"/>
              <w:jc w:val="both"/>
              <w:rPr>
                <w:rStyle w:val="f101"/>
                <w:rFonts w:ascii="Times New Roman" w:eastAsia="仿宋_GB2312" w:cs="Times New Roman"/>
                <w:bCs w:val="0"/>
                <w:sz w:val="28"/>
                <w:szCs w:val="28"/>
              </w:rPr>
            </w:pPr>
            <w:r w:rsidRPr="00C557B1">
              <w:rPr>
                <w:rStyle w:val="f101"/>
                <w:rFonts w:ascii="Times New Roman" w:eastAsia="仿宋_GB2312" w:cs="Times New Roman"/>
                <w:sz w:val="28"/>
                <w:szCs w:val="28"/>
              </w:rPr>
              <w:t>对使用者培训不足，说明书和标签提示性不强，造成误用或误操作，致使患者交叉感染等危害。</w:t>
            </w:r>
          </w:p>
        </w:tc>
      </w:tr>
    </w:tbl>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kern w:val="2"/>
          <w:sz w:val="32"/>
          <w:szCs w:val="32"/>
          <w:highlight w:val="yellow"/>
        </w:rPr>
      </w:pPr>
    </w:p>
    <w:p w:rsidR="001731F7" w:rsidRPr="00C557B1" w:rsidRDefault="001731F7">
      <w:pPr>
        <w:pStyle w:val="af3"/>
        <w:rPr>
          <w:rFonts w:ascii="Times New Roman" w:eastAsia="仿宋_GB2312" w:hAnsi="Times New Roman"/>
          <w:sz w:val="32"/>
          <w:szCs w:val="32"/>
        </w:rPr>
      </w:pPr>
    </w:p>
    <w:sectPr w:rsidR="001731F7" w:rsidRPr="00C557B1" w:rsidSect="006D6CD8">
      <w:footerReference w:type="even" r:id="rId6"/>
      <w:footerReference w:type="default" r:id="rId7"/>
      <w:pgSz w:w="11906" w:h="16838"/>
      <w:pgMar w:top="1701" w:right="1588" w:bottom="1701" w:left="1588" w:header="851" w:footer="992" w:gutter="0"/>
      <w:pgNumType w:start="13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A54" w:rsidRDefault="00971A54">
      <w:r>
        <w:separator/>
      </w:r>
    </w:p>
  </w:endnote>
  <w:endnote w:type="continuationSeparator" w:id="0">
    <w:p w:rsidR="00971A54" w:rsidRDefault="0097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微软雅黑"/>
    <w:panose1 w:val="02010600030101010101"/>
    <w:charset w:val="86"/>
    <w:family w:val="auto"/>
    <w:pitch w:val="variable"/>
    <w:sig w:usb0="00000000"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Shell Dlg">
    <w:altName w:val="Microsoft Sans Serif"/>
    <w:panose1 w:val="020B0604020202020204"/>
    <w:charset w:val="00"/>
    <w:family w:val="swiss"/>
    <w:pitch w:val="default"/>
    <w:sig w:usb0="00000000" w:usb1="00000000" w:usb2="00000029" w:usb3="00000000" w:csb0="000101FF" w:csb1="00000000"/>
  </w:font>
  <w:font w:name="方正小标宋简体">
    <w:panose1 w:val="03000509000000000000"/>
    <w:charset w:val="86"/>
    <w:family w:val="script"/>
    <w:pitch w:val="fixed"/>
    <w:sig w:usb0="00000001" w:usb1="080E0000" w:usb2="00000010" w:usb3="00000000" w:csb0="00040000" w:csb1="00000000"/>
    <w:embedRegular r:id="rId1" w:subsetted="1" w:fontKey="{D93DE43C-4D4E-4602-806F-A8BF325F347F}"/>
  </w:font>
  <w:font w:name="黑体">
    <w:altName w:val="SimHei"/>
    <w:panose1 w:val="02010609060101010101"/>
    <w:charset w:val="86"/>
    <w:family w:val="modern"/>
    <w:pitch w:val="fixed"/>
    <w:sig w:usb0="800002BF" w:usb1="38CF7CFA" w:usb2="00000016" w:usb3="00000000" w:csb0="00040001" w:csb1="00000000"/>
    <w:embedRegular r:id="rId2" w:subsetted="1" w:fontKey="{BB0839A1-353D-4649-AC6D-47B2059D87E6}"/>
  </w:font>
  <w:font w:name="Calibri">
    <w:panose1 w:val="020F0502020204030204"/>
    <w:charset w:val="00"/>
    <w:family w:val="swiss"/>
    <w:pitch w:val="variable"/>
    <w:sig w:usb0="E0002AFF" w:usb1="4000ACFF" w:usb2="00000001" w:usb3="00000000" w:csb0="000001FF" w:csb1="00000000"/>
  </w:font>
  <w:font w:name="仿宋_GB2312">
    <w:panose1 w:val="02010609030101010101"/>
    <w:charset w:val="86"/>
    <w:family w:val="modern"/>
    <w:pitch w:val="fixed"/>
    <w:sig w:usb0="00000001" w:usb1="080E0000" w:usb2="00000010" w:usb3="00000000" w:csb0="00040000" w:csb1="00000000"/>
    <w:embedRegular r:id="rId3" w:subsetted="1" w:fontKey="{BC75F709-5A17-4488-B71D-93D108B4F051}"/>
  </w:font>
  <w:font w:name="楷体_GB2312">
    <w:panose1 w:val="02010609030101010101"/>
    <w:charset w:val="86"/>
    <w:family w:val="modern"/>
    <w:pitch w:val="fixed"/>
    <w:sig w:usb0="00000001" w:usb1="080E0000" w:usb2="00000010" w:usb3="00000000" w:csb0="00040000" w:csb1="00000000"/>
    <w:embedRegular r:id="rId4" w:subsetted="1" w:fontKey="{7ED9DFB1-F05A-4FD7-80DE-0624680802D1}"/>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1F7" w:rsidRPr="006D6CD8" w:rsidRDefault="006D6CD8" w:rsidP="006D6CD8">
    <w:pPr>
      <w:pStyle w:val="a8"/>
      <w:ind w:right="1120"/>
      <w:jc w:val="both"/>
    </w:pPr>
    <w:r w:rsidRPr="006D6CD8">
      <w:t xml:space="preserve">— </w:t>
    </w:r>
    <w:sdt>
      <w:sdtPr>
        <w:id w:val="136153350"/>
        <w:docPartObj>
          <w:docPartGallery w:val="Page Numbers (Bottom of Page)"/>
          <w:docPartUnique/>
        </w:docPartObj>
      </w:sdtPr>
      <w:sdtEndPr/>
      <w:sdtContent>
        <w:r w:rsidRPr="006D6CD8">
          <w:fldChar w:fldCharType="begin"/>
        </w:r>
        <w:r w:rsidRPr="006D6CD8">
          <w:instrText>PAGE   \* MERGEFORMAT</w:instrText>
        </w:r>
        <w:r w:rsidRPr="006D6CD8">
          <w:fldChar w:fldCharType="separate"/>
        </w:r>
        <w:r w:rsidR="00C557B1" w:rsidRPr="00C557B1">
          <w:rPr>
            <w:noProof/>
            <w:lang w:val="zh-CN"/>
          </w:rPr>
          <w:t>138</w:t>
        </w:r>
        <w:r w:rsidRPr="006D6CD8">
          <w:fldChar w:fldCharType="end"/>
        </w:r>
      </w:sdtContent>
    </w:sdt>
    <w:r w:rsidRPr="006D6CD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D8" w:rsidRPr="006D6CD8" w:rsidRDefault="006D6CD8" w:rsidP="006D6CD8">
    <w:pPr>
      <w:pStyle w:val="a8"/>
    </w:pPr>
    <w:r w:rsidRPr="006D6CD8">
      <w:t xml:space="preserve">— </w:t>
    </w:r>
    <w:sdt>
      <w:sdtPr>
        <w:id w:val="-8997805"/>
        <w:docPartObj>
          <w:docPartGallery w:val="Page Numbers (Bottom of Page)"/>
          <w:docPartUnique/>
        </w:docPartObj>
      </w:sdtPr>
      <w:sdtEndPr/>
      <w:sdtContent>
        <w:r w:rsidRPr="006D6CD8">
          <w:fldChar w:fldCharType="begin"/>
        </w:r>
        <w:r w:rsidRPr="006D6CD8">
          <w:instrText>PAGE   \* MERGEFORMAT</w:instrText>
        </w:r>
        <w:r w:rsidRPr="006D6CD8">
          <w:fldChar w:fldCharType="separate"/>
        </w:r>
        <w:r w:rsidR="00C557B1" w:rsidRPr="00C557B1">
          <w:rPr>
            <w:noProof/>
            <w:lang w:val="zh-CN"/>
          </w:rPr>
          <w:t>139</w:t>
        </w:r>
        <w:r w:rsidRPr="006D6CD8">
          <w:fldChar w:fldCharType="end"/>
        </w:r>
      </w:sdtContent>
    </w:sdt>
    <w:r w:rsidRPr="006D6CD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A54" w:rsidRDefault="00971A54">
      <w:r>
        <w:separator/>
      </w:r>
    </w:p>
  </w:footnote>
  <w:footnote w:type="continuationSeparator" w:id="0">
    <w:p w:rsidR="00971A54" w:rsidRDefault="00971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172A27"/>
    <w:rsid w:val="000126FF"/>
    <w:rsid w:val="0004407F"/>
    <w:rsid w:val="000D293D"/>
    <w:rsid w:val="001647A2"/>
    <w:rsid w:val="00172A27"/>
    <w:rsid w:val="001731F7"/>
    <w:rsid w:val="002369C5"/>
    <w:rsid w:val="00280AD6"/>
    <w:rsid w:val="00297198"/>
    <w:rsid w:val="002A593A"/>
    <w:rsid w:val="002A6CA1"/>
    <w:rsid w:val="002D2E9F"/>
    <w:rsid w:val="002D7CBB"/>
    <w:rsid w:val="00326AA7"/>
    <w:rsid w:val="003C14E8"/>
    <w:rsid w:val="00522102"/>
    <w:rsid w:val="005568AB"/>
    <w:rsid w:val="00597D69"/>
    <w:rsid w:val="005B3DAA"/>
    <w:rsid w:val="00623852"/>
    <w:rsid w:val="00651D02"/>
    <w:rsid w:val="0067382B"/>
    <w:rsid w:val="006C6A4F"/>
    <w:rsid w:val="006D6CD8"/>
    <w:rsid w:val="00796E20"/>
    <w:rsid w:val="008204AF"/>
    <w:rsid w:val="0084493C"/>
    <w:rsid w:val="008625D6"/>
    <w:rsid w:val="00872A76"/>
    <w:rsid w:val="008B3165"/>
    <w:rsid w:val="008B731E"/>
    <w:rsid w:val="008C5993"/>
    <w:rsid w:val="008D0713"/>
    <w:rsid w:val="009341E1"/>
    <w:rsid w:val="00944A03"/>
    <w:rsid w:val="0096650C"/>
    <w:rsid w:val="00971A54"/>
    <w:rsid w:val="00984371"/>
    <w:rsid w:val="00985B2A"/>
    <w:rsid w:val="00985E87"/>
    <w:rsid w:val="00996326"/>
    <w:rsid w:val="009D77F3"/>
    <w:rsid w:val="00A071A0"/>
    <w:rsid w:val="00A7484B"/>
    <w:rsid w:val="00A933F6"/>
    <w:rsid w:val="00AF24A6"/>
    <w:rsid w:val="00B33CE2"/>
    <w:rsid w:val="00BA0FC4"/>
    <w:rsid w:val="00BC7CBB"/>
    <w:rsid w:val="00BF5DBF"/>
    <w:rsid w:val="00BF6B38"/>
    <w:rsid w:val="00C374B9"/>
    <w:rsid w:val="00C557B1"/>
    <w:rsid w:val="00D00B49"/>
    <w:rsid w:val="00D17CBF"/>
    <w:rsid w:val="00D8600A"/>
    <w:rsid w:val="00DD5AA5"/>
    <w:rsid w:val="00E442B9"/>
    <w:rsid w:val="00E4441A"/>
    <w:rsid w:val="00EC2BAB"/>
    <w:rsid w:val="00ED56E8"/>
    <w:rsid w:val="00EE49CF"/>
    <w:rsid w:val="00F110CA"/>
    <w:rsid w:val="00F76842"/>
    <w:rsid w:val="00F775B4"/>
    <w:rsid w:val="00FE7190"/>
    <w:rsid w:val="021B1651"/>
    <w:rsid w:val="038A6620"/>
    <w:rsid w:val="04D11143"/>
    <w:rsid w:val="07204D09"/>
    <w:rsid w:val="08B70031"/>
    <w:rsid w:val="097E605F"/>
    <w:rsid w:val="0CB01EE3"/>
    <w:rsid w:val="0EAF1C40"/>
    <w:rsid w:val="0EFB62CD"/>
    <w:rsid w:val="0FC62D36"/>
    <w:rsid w:val="13CF6603"/>
    <w:rsid w:val="140965C3"/>
    <w:rsid w:val="156B1A2E"/>
    <w:rsid w:val="1A472B8C"/>
    <w:rsid w:val="1B14501E"/>
    <w:rsid w:val="1B4B0C98"/>
    <w:rsid w:val="1BAB5A04"/>
    <w:rsid w:val="1C290815"/>
    <w:rsid w:val="1D171E50"/>
    <w:rsid w:val="1D46352A"/>
    <w:rsid w:val="1DC67012"/>
    <w:rsid w:val="201E567A"/>
    <w:rsid w:val="21561698"/>
    <w:rsid w:val="22615479"/>
    <w:rsid w:val="23BE21BE"/>
    <w:rsid w:val="261F7BCC"/>
    <w:rsid w:val="26F86B26"/>
    <w:rsid w:val="28E15521"/>
    <w:rsid w:val="28ED2A28"/>
    <w:rsid w:val="2A1A11CC"/>
    <w:rsid w:val="2A7E6EA6"/>
    <w:rsid w:val="2AEB0009"/>
    <w:rsid w:val="2C0C6A9D"/>
    <w:rsid w:val="2E625818"/>
    <w:rsid w:val="2F6066F3"/>
    <w:rsid w:val="305C3331"/>
    <w:rsid w:val="31523460"/>
    <w:rsid w:val="31D202DE"/>
    <w:rsid w:val="322403FA"/>
    <w:rsid w:val="33693F78"/>
    <w:rsid w:val="342C6138"/>
    <w:rsid w:val="366A124C"/>
    <w:rsid w:val="38961E84"/>
    <w:rsid w:val="3C0A4C3A"/>
    <w:rsid w:val="3ED6472C"/>
    <w:rsid w:val="3F5D4164"/>
    <w:rsid w:val="40276748"/>
    <w:rsid w:val="40B76E3C"/>
    <w:rsid w:val="422363B0"/>
    <w:rsid w:val="43E85D96"/>
    <w:rsid w:val="45107462"/>
    <w:rsid w:val="48F33E66"/>
    <w:rsid w:val="496B2DEF"/>
    <w:rsid w:val="499C12C5"/>
    <w:rsid w:val="49BA0D55"/>
    <w:rsid w:val="4A606796"/>
    <w:rsid w:val="4A613290"/>
    <w:rsid w:val="4B3D390D"/>
    <w:rsid w:val="4DA92202"/>
    <w:rsid w:val="51874608"/>
    <w:rsid w:val="51A010F8"/>
    <w:rsid w:val="52011DFF"/>
    <w:rsid w:val="520D4227"/>
    <w:rsid w:val="52831447"/>
    <w:rsid w:val="52F32469"/>
    <w:rsid w:val="535E2B61"/>
    <w:rsid w:val="5453081C"/>
    <w:rsid w:val="54546B8D"/>
    <w:rsid w:val="54A56FC5"/>
    <w:rsid w:val="54D13CF2"/>
    <w:rsid w:val="55663322"/>
    <w:rsid w:val="569F6540"/>
    <w:rsid w:val="56CA4983"/>
    <w:rsid w:val="57C86004"/>
    <w:rsid w:val="5AB15D76"/>
    <w:rsid w:val="5AC24903"/>
    <w:rsid w:val="5BF44F90"/>
    <w:rsid w:val="5C8262C5"/>
    <w:rsid w:val="5D22703A"/>
    <w:rsid w:val="5D4C0A06"/>
    <w:rsid w:val="60397415"/>
    <w:rsid w:val="63A24596"/>
    <w:rsid w:val="63CA644B"/>
    <w:rsid w:val="64BF1F2A"/>
    <w:rsid w:val="65416C31"/>
    <w:rsid w:val="67765CE5"/>
    <w:rsid w:val="6947747F"/>
    <w:rsid w:val="6B611022"/>
    <w:rsid w:val="6C4A2BCC"/>
    <w:rsid w:val="6DCD2DC3"/>
    <w:rsid w:val="6E9D3792"/>
    <w:rsid w:val="6F0F4BAE"/>
    <w:rsid w:val="719B7F30"/>
    <w:rsid w:val="73460977"/>
    <w:rsid w:val="75271ADB"/>
    <w:rsid w:val="76DF5187"/>
    <w:rsid w:val="77533239"/>
    <w:rsid w:val="7820118F"/>
    <w:rsid w:val="79816F6A"/>
    <w:rsid w:val="79D87727"/>
    <w:rsid w:val="7B87299F"/>
    <w:rsid w:val="7E546050"/>
    <w:rsid w:val="7E86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69C1B6-710D-4B14-B074-3F6D3E56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autoRedefine/>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jc w:val="left"/>
    </w:pPr>
  </w:style>
  <w:style w:type="paragraph" w:styleId="a5">
    <w:name w:val="Plain Text"/>
    <w:basedOn w:val="a"/>
    <w:autoRedefine/>
    <w:qFormat/>
    <w:rPr>
      <w:rFonts w:ascii="宋体" w:hAnsi="Courier New" w:hint="eastAsia"/>
      <w:szCs w:val="20"/>
    </w:rPr>
  </w:style>
  <w:style w:type="paragraph" w:styleId="a6">
    <w:name w:val="Balloon Text"/>
    <w:basedOn w:val="a"/>
    <w:link w:val="a7"/>
    <w:autoRedefine/>
    <w:qFormat/>
    <w:rPr>
      <w:sz w:val="18"/>
      <w:szCs w:val="18"/>
    </w:rPr>
  </w:style>
  <w:style w:type="paragraph" w:styleId="a8">
    <w:name w:val="footer"/>
    <w:basedOn w:val="a"/>
    <w:link w:val="a9"/>
    <w:autoRedefine/>
    <w:uiPriority w:val="99"/>
    <w:qFormat/>
    <w:rsid w:val="006D6CD8"/>
    <w:pPr>
      <w:tabs>
        <w:tab w:val="center" w:pos="4153"/>
        <w:tab w:val="right" w:pos="8306"/>
      </w:tabs>
      <w:wordWrap w:val="0"/>
      <w:snapToGrid w:val="0"/>
      <w:jc w:val="right"/>
    </w:pPr>
    <w:rPr>
      <w:sz w:val="28"/>
      <w:szCs w:val="2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qFormat/>
    <w:rPr>
      <w:sz w:val="24"/>
    </w:rPr>
  </w:style>
  <w:style w:type="paragraph" w:styleId="ad">
    <w:name w:val="Title"/>
    <w:basedOn w:val="a"/>
    <w:next w:val="a"/>
    <w:link w:val="ae"/>
    <w:autoRedefine/>
    <w:qFormat/>
    <w:pPr>
      <w:spacing w:before="240" w:after="60"/>
      <w:jc w:val="center"/>
      <w:outlineLvl w:val="0"/>
    </w:pPr>
    <w:rPr>
      <w:rFonts w:ascii="Cambria" w:hAnsi="Cambria"/>
      <w:b/>
      <w:bCs/>
      <w:sz w:val="32"/>
      <w:szCs w:val="32"/>
    </w:rPr>
  </w:style>
  <w:style w:type="paragraph" w:styleId="af">
    <w:name w:val="annotation subject"/>
    <w:basedOn w:val="a3"/>
    <w:next w:val="a3"/>
    <w:link w:val="af0"/>
    <w:autoRedefine/>
    <w:qFormat/>
    <w:rPr>
      <w:b/>
      <w:bCs/>
    </w:rPr>
  </w:style>
  <w:style w:type="character" w:styleId="af1">
    <w:name w:val="page number"/>
    <w:autoRedefine/>
    <w:qFormat/>
  </w:style>
  <w:style w:type="character" w:styleId="af2">
    <w:name w:val="annotation reference"/>
    <w:basedOn w:val="a0"/>
    <w:autoRedefine/>
    <w:qFormat/>
    <w:rPr>
      <w:sz w:val="21"/>
      <w:szCs w:val="21"/>
    </w:rPr>
  </w:style>
  <w:style w:type="paragraph" w:styleId="af3">
    <w:name w:val="No Spacing"/>
    <w:autoRedefine/>
    <w:qFormat/>
    <w:pPr>
      <w:adjustRightInd w:val="0"/>
      <w:snapToGrid w:val="0"/>
    </w:pPr>
    <w:rPr>
      <w:rFonts w:ascii="Tahoma" w:eastAsia="微软雅黑" w:hAnsi="Tahoma"/>
      <w:sz w:val="22"/>
      <w:szCs w:val="22"/>
    </w:rPr>
  </w:style>
  <w:style w:type="character" w:customStyle="1" w:styleId="10">
    <w:name w:val="标题 1 字符"/>
    <w:link w:val="1"/>
    <w:autoRedefine/>
    <w:qFormat/>
    <w:rPr>
      <w:rFonts w:eastAsia="宋体"/>
      <w:b/>
      <w:bCs/>
      <w:kern w:val="44"/>
      <w:sz w:val="44"/>
      <w:szCs w:val="44"/>
      <w:lang w:val="en-US" w:eastAsia="zh-CN" w:bidi="ar-SA"/>
    </w:rPr>
  </w:style>
  <w:style w:type="character" w:customStyle="1" w:styleId="a9">
    <w:name w:val="页脚 字符"/>
    <w:link w:val="a8"/>
    <w:autoRedefine/>
    <w:uiPriority w:val="99"/>
    <w:qFormat/>
    <w:rsid w:val="006D6CD8"/>
    <w:rPr>
      <w:kern w:val="2"/>
      <w:sz w:val="28"/>
      <w:szCs w:val="28"/>
    </w:rPr>
  </w:style>
  <w:style w:type="character" w:customStyle="1" w:styleId="ab">
    <w:name w:val="页眉 字符"/>
    <w:link w:val="aa"/>
    <w:autoRedefine/>
    <w:qFormat/>
    <w:rPr>
      <w:kern w:val="2"/>
      <w:sz w:val="18"/>
      <w:szCs w:val="18"/>
    </w:rPr>
  </w:style>
  <w:style w:type="character" w:customStyle="1" w:styleId="ae">
    <w:name w:val="标题 字符"/>
    <w:link w:val="ad"/>
    <w:autoRedefine/>
    <w:qFormat/>
    <w:rPr>
      <w:rFonts w:ascii="Cambria" w:eastAsia="宋体" w:hAnsi="Cambria"/>
      <w:b/>
      <w:bCs/>
      <w:kern w:val="2"/>
      <w:sz w:val="32"/>
      <w:szCs w:val="32"/>
      <w:lang w:val="en-US" w:eastAsia="zh-CN" w:bidi="ar-SA"/>
    </w:rPr>
  </w:style>
  <w:style w:type="character" w:customStyle="1" w:styleId="ca-10">
    <w:name w:val="ca-10"/>
    <w:autoRedefine/>
    <w:qFormat/>
  </w:style>
  <w:style w:type="character" w:customStyle="1" w:styleId="ca-9">
    <w:name w:val="ca-9"/>
    <w:autoRedefine/>
    <w:qFormat/>
  </w:style>
  <w:style w:type="character" w:customStyle="1" w:styleId="f101">
    <w:name w:val="f101"/>
    <w:autoRedefine/>
    <w:qFormat/>
    <w:rPr>
      <w:sz w:val="24"/>
      <w:szCs w:val="24"/>
    </w:rPr>
  </w:style>
  <w:style w:type="character" w:customStyle="1" w:styleId="ca-8">
    <w:name w:val="ca-8"/>
    <w:autoRedefine/>
    <w:qFormat/>
  </w:style>
  <w:style w:type="character" w:customStyle="1" w:styleId="CharChar">
    <w:name w:val="王奕改内文 Char Char"/>
    <w:link w:val="af4"/>
    <w:autoRedefine/>
    <w:qFormat/>
    <w:rPr>
      <w:rFonts w:ascii="宋体" w:eastAsia="宋体" w:hAnsi="宋体" w:cs="MS Shell Dlg"/>
      <w:color w:val="000000"/>
      <w:spacing w:val="-4"/>
      <w:sz w:val="24"/>
      <w:szCs w:val="24"/>
      <w:lang w:val="en-US" w:eastAsia="zh-CN" w:bidi="ar-SA"/>
    </w:rPr>
  </w:style>
  <w:style w:type="paragraph" w:customStyle="1" w:styleId="af4">
    <w:name w:val="王奕改内文"/>
    <w:basedOn w:val="af5"/>
    <w:link w:val="CharChar"/>
    <w:autoRedefine/>
    <w:qFormat/>
    <w:rPr>
      <w:rFonts w:ascii="宋体" w:hAnsi="宋体"/>
      <w:spacing w:val="-4"/>
    </w:rPr>
  </w:style>
  <w:style w:type="paragraph" w:customStyle="1" w:styleId="af5">
    <w:name w:val="王奕，内文"/>
    <w:basedOn w:val="ac"/>
    <w:autoRedefine/>
    <w:qFormat/>
    <w:rsid w:val="006D6CD8"/>
    <w:pPr>
      <w:widowControl/>
      <w:spacing w:line="520" w:lineRule="exact"/>
      <w:jc w:val="center"/>
    </w:pPr>
    <w:rPr>
      <w:rFonts w:ascii="方正小标宋简体" w:eastAsia="方正小标宋简体" w:cs="黑体"/>
      <w:bCs/>
      <w:sz w:val="44"/>
      <w:szCs w:val="44"/>
    </w:rPr>
  </w:style>
  <w:style w:type="character" w:customStyle="1" w:styleId="ca-3">
    <w:name w:val="ca-3"/>
    <w:autoRedefine/>
    <w:qFormat/>
  </w:style>
  <w:style w:type="paragraph" w:customStyle="1" w:styleId="af6">
    <w:name w:val="段"/>
    <w:autoRedefine/>
    <w:qFormat/>
    <w:pPr>
      <w:autoSpaceDE w:val="0"/>
      <w:autoSpaceDN w:val="0"/>
      <w:ind w:firstLineChars="200" w:firstLine="200"/>
      <w:jc w:val="both"/>
    </w:pPr>
    <w:rPr>
      <w:rFonts w:ascii="宋体"/>
      <w:sz w:val="21"/>
    </w:rPr>
  </w:style>
  <w:style w:type="paragraph" w:customStyle="1" w:styleId="pa-5">
    <w:name w:val="pa-5"/>
    <w:basedOn w:val="a"/>
    <w:autoRedefine/>
    <w:qFormat/>
    <w:pPr>
      <w:widowControl/>
      <w:spacing w:before="150" w:after="150"/>
      <w:jc w:val="left"/>
    </w:pPr>
    <w:rPr>
      <w:rFonts w:ascii="宋体" w:hAnsi="宋体" w:cs="宋体"/>
      <w:kern w:val="0"/>
      <w:sz w:val="24"/>
    </w:rPr>
  </w:style>
  <w:style w:type="paragraph" w:customStyle="1" w:styleId="pa-6">
    <w:name w:val="pa-6"/>
    <w:basedOn w:val="a"/>
    <w:autoRedefine/>
    <w:qFormat/>
    <w:pPr>
      <w:widowControl/>
      <w:spacing w:before="150" w:after="150"/>
      <w:jc w:val="left"/>
    </w:pPr>
    <w:rPr>
      <w:rFonts w:ascii="宋体" w:hAnsi="宋体" w:cs="宋体"/>
      <w:kern w:val="0"/>
      <w:sz w:val="24"/>
    </w:rPr>
  </w:style>
  <w:style w:type="paragraph" w:styleId="af7">
    <w:name w:val="List Paragraph"/>
    <w:basedOn w:val="a"/>
    <w:autoRedefine/>
    <w:uiPriority w:val="34"/>
    <w:qFormat/>
    <w:pPr>
      <w:ind w:firstLineChars="200" w:firstLine="420"/>
    </w:pPr>
    <w:rPr>
      <w:rFonts w:asciiTheme="minorHAnsi" w:eastAsiaTheme="minorEastAsia" w:hAnsiTheme="minorHAnsi" w:cstheme="minorBidi"/>
      <w:szCs w:val="22"/>
    </w:rPr>
  </w:style>
  <w:style w:type="character" w:customStyle="1" w:styleId="a7">
    <w:name w:val="批注框文本 字符"/>
    <w:basedOn w:val="a0"/>
    <w:link w:val="a6"/>
    <w:autoRedefine/>
    <w:qFormat/>
    <w:rPr>
      <w:kern w:val="2"/>
      <w:sz w:val="18"/>
      <w:szCs w:val="18"/>
    </w:rPr>
  </w:style>
  <w:style w:type="character" w:customStyle="1" w:styleId="a4">
    <w:name w:val="批注文字 字符"/>
    <w:basedOn w:val="a0"/>
    <w:link w:val="a3"/>
    <w:autoRedefine/>
    <w:qFormat/>
    <w:rPr>
      <w:kern w:val="2"/>
      <w:sz w:val="21"/>
      <w:szCs w:val="24"/>
    </w:rPr>
  </w:style>
  <w:style w:type="character" w:customStyle="1" w:styleId="af0">
    <w:name w:val="批注主题 字符"/>
    <w:basedOn w:val="a4"/>
    <w:link w:val="af"/>
    <w:autoRedefine/>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413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818</Words>
  <Characters>4666</Characters>
  <Application>Microsoft Office Word</Application>
  <DocSecurity>0</DocSecurity>
  <Lines>38</Lines>
  <Paragraphs>10</Paragraphs>
  <ScaleCrop>false</ScaleCrop>
  <Company>神州网信技术有限公司</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负压引流装置技术审查指导原则</dc:title>
  <dc:creator>lx</dc:creator>
  <cp:lastModifiedBy>孙俊仁</cp:lastModifiedBy>
  <cp:revision>19</cp:revision>
  <cp:lastPrinted>2013-04-16T02:24:00Z</cp:lastPrinted>
  <dcterms:created xsi:type="dcterms:W3CDTF">2011-05-16T08:34:00Z</dcterms:created>
  <dcterms:modified xsi:type="dcterms:W3CDTF">2024-06-14T10:24:00Z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F7FE876EF2444BA5873B541D805CAD0B_13</vt:lpwstr>
  </property>
</Properties>
</file>