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68A" w:rsidRPr="005B36C1" w:rsidRDefault="00813DF8" w:rsidP="005B36C1">
      <w:pPr>
        <w:pStyle w:val="2"/>
        <w:spacing w:line="600" w:lineRule="exact"/>
        <w:ind w:left="0"/>
        <w:jc w:val="both"/>
        <w:rPr>
          <w:rFonts w:ascii="Times New Roman" w:eastAsia="黑体" w:hAnsi="Times New Roman"/>
          <w:b w:val="0"/>
          <w:spacing w:val="-6"/>
          <w:sz w:val="32"/>
          <w:szCs w:val="32"/>
        </w:rPr>
      </w:pPr>
      <w:bookmarkStart w:id="0" w:name="_Toc2038"/>
      <w:bookmarkStart w:id="1" w:name="_Toc2301"/>
      <w:r w:rsidRPr="005B36C1">
        <w:rPr>
          <w:rFonts w:ascii="Times New Roman" w:eastAsia="黑体" w:hAnsi="Times New Roman"/>
          <w:b w:val="0"/>
          <w:spacing w:val="-6"/>
          <w:sz w:val="32"/>
          <w:szCs w:val="32"/>
        </w:rPr>
        <w:t>附件</w:t>
      </w:r>
      <w:r w:rsidRPr="005B36C1">
        <w:rPr>
          <w:rFonts w:ascii="Times New Roman" w:eastAsia="黑体" w:hAnsi="Times New Roman"/>
          <w:b w:val="0"/>
          <w:spacing w:val="-6"/>
          <w:sz w:val="32"/>
          <w:szCs w:val="32"/>
        </w:rPr>
        <w:t>11</w:t>
      </w:r>
    </w:p>
    <w:p w:rsidR="00B3168A" w:rsidRDefault="00B3168A" w:rsidP="005B36C1">
      <w:pPr>
        <w:pStyle w:val="2"/>
        <w:spacing w:line="600" w:lineRule="exact"/>
        <w:ind w:left="0"/>
        <w:jc w:val="both"/>
        <w:rPr>
          <w:rFonts w:ascii="Times New Roman" w:eastAsia="黑体" w:hAnsi="Times New Roman"/>
          <w:b w:val="0"/>
          <w:spacing w:val="-6"/>
          <w:sz w:val="32"/>
          <w:szCs w:val="32"/>
        </w:rPr>
      </w:pPr>
      <w:bookmarkStart w:id="2" w:name="_Hlk140335463"/>
      <w:bookmarkStart w:id="3" w:name="_Toc233025302"/>
      <w:bookmarkEnd w:id="0"/>
      <w:bookmarkEnd w:id="1"/>
    </w:p>
    <w:p w:rsidR="00B3168A" w:rsidRDefault="00813DF8" w:rsidP="005B36C1">
      <w:pPr>
        <w:pStyle w:val="2"/>
        <w:spacing w:line="600" w:lineRule="exact"/>
        <w:ind w:left="0"/>
        <w:rPr>
          <w:rFonts w:ascii="Times New Roman" w:eastAsia="方正小标宋简体" w:hAnsi="Times New Roman"/>
          <w:b w:val="0"/>
          <w:spacing w:val="-6"/>
          <w:sz w:val="44"/>
          <w:szCs w:val="44"/>
        </w:rPr>
      </w:pPr>
      <w:r>
        <w:rPr>
          <w:rFonts w:ascii="Times New Roman" w:eastAsia="方正小标宋简体" w:hAnsi="Times New Roman"/>
          <w:b w:val="0"/>
          <w:spacing w:val="-6"/>
          <w:sz w:val="44"/>
          <w:szCs w:val="44"/>
        </w:rPr>
        <w:t>一次性使用脑积水分流器</w:t>
      </w:r>
      <w:bookmarkEnd w:id="2"/>
      <w:r>
        <w:rPr>
          <w:rFonts w:ascii="Times New Roman" w:eastAsia="方正小标宋简体" w:hAnsi="Times New Roman"/>
          <w:b w:val="0"/>
          <w:spacing w:val="-6"/>
          <w:sz w:val="44"/>
          <w:szCs w:val="44"/>
        </w:rPr>
        <w:t>注册审查指导原则（</w:t>
      </w:r>
      <w:r>
        <w:rPr>
          <w:rFonts w:ascii="Times New Roman" w:eastAsia="方正小标宋简体" w:hAnsi="Times New Roman"/>
          <w:b w:val="0"/>
          <w:spacing w:val="-6"/>
          <w:sz w:val="44"/>
          <w:szCs w:val="44"/>
        </w:rPr>
        <w:t>202</w:t>
      </w:r>
      <w:r>
        <w:rPr>
          <w:rFonts w:ascii="Times New Roman" w:eastAsia="方正小标宋简体" w:hAnsi="Times New Roman" w:hint="eastAsia"/>
          <w:b w:val="0"/>
          <w:spacing w:val="-6"/>
          <w:sz w:val="44"/>
          <w:szCs w:val="44"/>
        </w:rPr>
        <w:t>4</w:t>
      </w:r>
      <w:r>
        <w:rPr>
          <w:rFonts w:ascii="Times New Roman" w:eastAsia="方正小标宋简体" w:hAnsi="Times New Roman"/>
          <w:b w:val="0"/>
          <w:spacing w:val="-6"/>
          <w:sz w:val="44"/>
          <w:szCs w:val="44"/>
        </w:rPr>
        <w:t>年修订版）</w:t>
      </w:r>
    </w:p>
    <w:bookmarkEnd w:id="3"/>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本指导原则旨在帮助和指导注册申请人对一次性使用脑积水分流器注册申报资料进行准备，同时也为技术审评部门提供参考。</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本指导原则是对一次性使用脑积水分流器产品注册申报资料的一般要求，注册申请人可依据具体产品的特性对注册申报资料的内容进行充分说明和细化。注册申请人还可依据具体产品的特性确定其中的具体内容是否适用</w:t>
      </w:r>
      <w:r w:rsidRPr="005B36C1">
        <w:rPr>
          <w:rFonts w:ascii="Times New Roman" w:eastAsia="仿宋_GB2312" w:hAnsi="Times New Roman"/>
          <w:color w:val="000000"/>
          <w:sz w:val="32"/>
          <w:szCs w:val="32"/>
        </w:rPr>
        <w:t>，若不适用，需详细阐述理由及相应的科学依据</w:t>
      </w:r>
      <w:r w:rsidRPr="005B36C1">
        <w:rPr>
          <w:rFonts w:ascii="Times New Roman" w:eastAsia="仿宋_GB2312" w:hAnsi="Times New Roman"/>
          <w:bCs/>
          <w:sz w:val="32"/>
          <w:szCs w:val="32"/>
        </w:rPr>
        <w:t>。</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本指导原则是对注册申请人和技术审评人员的指导性文件</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但不包括注册审批所涉及的行政事项，亦不作为法规强制执行</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rsidR="00B3168A" w:rsidRPr="005B36C1" w:rsidRDefault="00813DF8">
      <w:pPr>
        <w:spacing w:line="520" w:lineRule="exact"/>
        <w:ind w:firstLineChars="200" w:firstLine="640"/>
        <w:rPr>
          <w:rFonts w:ascii="Times New Roman" w:eastAsia="仿宋_GB2312" w:hAnsi="Times New Roman"/>
          <w:bCs/>
          <w:color w:val="000000"/>
          <w:sz w:val="32"/>
          <w:szCs w:val="32"/>
        </w:rPr>
      </w:pPr>
      <w:r w:rsidRPr="005B36C1">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4" w:name="_Toc233025303"/>
    </w:p>
    <w:p w:rsidR="00B3168A" w:rsidRPr="005B36C1" w:rsidRDefault="00813DF8">
      <w:pPr>
        <w:spacing w:line="520" w:lineRule="exact"/>
        <w:ind w:firstLineChars="200" w:firstLine="640"/>
        <w:outlineLvl w:val="0"/>
        <w:rPr>
          <w:rFonts w:ascii="Times New Roman" w:eastAsia="黑体" w:hAnsi="Times New Roman"/>
          <w:sz w:val="32"/>
          <w:szCs w:val="32"/>
        </w:rPr>
      </w:pPr>
      <w:bookmarkStart w:id="5" w:name="_Toc22258"/>
      <w:bookmarkStart w:id="6" w:name="_Toc22535"/>
      <w:r w:rsidRPr="005B36C1">
        <w:rPr>
          <w:rFonts w:ascii="Times New Roman" w:eastAsia="黑体" w:hAnsi="Times New Roman"/>
          <w:sz w:val="32"/>
          <w:szCs w:val="32"/>
        </w:rPr>
        <w:t>一、适用范围</w:t>
      </w:r>
      <w:bookmarkEnd w:id="4"/>
      <w:bookmarkEnd w:id="5"/>
      <w:bookmarkEnd w:id="6"/>
    </w:p>
    <w:p w:rsidR="00B3168A" w:rsidRPr="005B36C1" w:rsidRDefault="00813DF8">
      <w:pPr>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本指导原则适用于一次性使用脑积水分流器产品的注册。</w:t>
      </w:r>
    </w:p>
    <w:p w:rsidR="00B3168A" w:rsidRPr="005B36C1" w:rsidRDefault="00813DF8">
      <w:pPr>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一次性使用脑积水分流器是一种包含单向压力激活装置或流量控制装置，或两者组合的管路系统，预期通过外科手术植入脑积水患者体内，旨在将脑脊液从中枢神经系统</w:t>
      </w:r>
      <w:r w:rsidRPr="005B36C1">
        <w:rPr>
          <w:rFonts w:ascii="Times New Roman" w:eastAsia="仿宋_GB2312" w:hAnsi="Times New Roman"/>
          <w:color w:val="000000"/>
          <w:sz w:val="32"/>
          <w:szCs w:val="32"/>
        </w:rPr>
        <w:lastRenderedPageBreak/>
        <w:t>（</w:t>
      </w:r>
      <w:r w:rsidRPr="005B36C1">
        <w:rPr>
          <w:rFonts w:ascii="Times New Roman" w:eastAsia="仿宋_GB2312" w:hAnsi="Times New Roman"/>
          <w:color w:val="000000"/>
          <w:sz w:val="32"/>
          <w:szCs w:val="32"/>
        </w:rPr>
        <w:t>CNS</w:t>
      </w:r>
      <w:r w:rsidRPr="005B36C1">
        <w:rPr>
          <w:rFonts w:ascii="Times New Roman" w:eastAsia="仿宋_GB2312" w:hAnsi="Times New Roman"/>
          <w:color w:val="000000"/>
          <w:sz w:val="32"/>
          <w:szCs w:val="32"/>
        </w:rPr>
        <w:t>）的液腔（脑室或含有脑脊液的其他部位）引向身体另一部分的内部输送部位，以降低颅内或脊髓内压力，或减少脑脊液的量的医疗器械。目前该产品常见的腔室连接型式有：脑室</w:t>
      </w:r>
      <w:r w:rsidRPr="005B36C1">
        <w:rPr>
          <w:rFonts w:ascii="Times New Roman" w:eastAsia="仿宋_GB2312" w:hAnsi="Times New Roman"/>
          <w:color w:val="000000"/>
          <w:sz w:val="32"/>
          <w:szCs w:val="32"/>
        </w:rPr>
        <w:t>-</w:t>
      </w:r>
      <w:r w:rsidRPr="005B36C1">
        <w:rPr>
          <w:rFonts w:ascii="Times New Roman" w:eastAsia="仿宋_GB2312" w:hAnsi="Times New Roman"/>
          <w:color w:val="000000"/>
          <w:sz w:val="32"/>
          <w:szCs w:val="32"/>
        </w:rPr>
        <w:t>腹腔分流、腰</w:t>
      </w:r>
      <w:r w:rsidRPr="005B36C1">
        <w:rPr>
          <w:rFonts w:ascii="Times New Roman" w:eastAsia="仿宋_GB2312" w:hAnsi="Times New Roman"/>
          <w:color w:val="000000"/>
          <w:sz w:val="32"/>
          <w:szCs w:val="32"/>
        </w:rPr>
        <w:t>-</w:t>
      </w:r>
      <w:r w:rsidRPr="005B36C1">
        <w:rPr>
          <w:rFonts w:ascii="Times New Roman" w:eastAsia="仿宋_GB2312" w:hAnsi="Times New Roman"/>
          <w:color w:val="000000"/>
          <w:sz w:val="32"/>
          <w:szCs w:val="32"/>
        </w:rPr>
        <w:t>腹腔分流、脑室</w:t>
      </w:r>
      <w:r w:rsidRPr="005B36C1">
        <w:rPr>
          <w:rFonts w:ascii="Times New Roman" w:eastAsia="仿宋_GB2312" w:hAnsi="Times New Roman"/>
          <w:color w:val="000000"/>
          <w:sz w:val="32"/>
          <w:szCs w:val="32"/>
        </w:rPr>
        <w:t>-</w:t>
      </w:r>
      <w:r w:rsidRPr="005B36C1">
        <w:rPr>
          <w:rFonts w:ascii="Times New Roman" w:eastAsia="仿宋_GB2312" w:hAnsi="Times New Roman"/>
          <w:color w:val="000000"/>
          <w:sz w:val="32"/>
          <w:szCs w:val="32"/>
        </w:rPr>
        <w:t>心房分流、脊髓中央管</w:t>
      </w:r>
      <w:r w:rsidRPr="005B36C1">
        <w:rPr>
          <w:rFonts w:ascii="Times New Roman" w:eastAsia="仿宋_GB2312" w:hAnsi="Times New Roman"/>
          <w:color w:val="000000"/>
          <w:sz w:val="32"/>
          <w:szCs w:val="32"/>
        </w:rPr>
        <w:t>-</w:t>
      </w:r>
      <w:r w:rsidRPr="005B36C1">
        <w:rPr>
          <w:rFonts w:ascii="Times New Roman" w:eastAsia="仿宋_GB2312" w:hAnsi="Times New Roman"/>
          <w:color w:val="000000"/>
          <w:sz w:val="32"/>
          <w:szCs w:val="32"/>
        </w:rPr>
        <w:t>腹腔分流等。</w:t>
      </w:r>
    </w:p>
    <w:p w:rsidR="00B3168A" w:rsidRPr="005B36C1" w:rsidRDefault="00813DF8">
      <w:pPr>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本指导原则适用范围不包括用于植入一次性使用脑积水分流器辅助器械，如穿刺针、导引器械等；以及与一次性使用脑积水分流器适配的体外调节器。</w:t>
      </w:r>
    </w:p>
    <w:p w:rsidR="00B3168A" w:rsidRPr="005B36C1" w:rsidRDefault="00813DF8">
      <w:pPr>
        <w:spacing w:line="520" w:lineRule="exact"/>
        <w:ind w:firstLineChars="200" w:firstLine="640"/>
        <w:outlineLvl w:val="0"/>
        <w:rPr>
          <w:rFonts w:ascii="Times New Roman" w:eastAsia="黑体" w:hAnsi="Times New Roman"/>
          <w:bCs/>
          <w:sz w:val="32"/>
          <w:szCs w:val="32"/>
        </w:rPr>
      </w:pPr>
      <w:r w:rsidRPr="005B36C1">
        <w:rPr>
          <w:rFonts w:ascii="Times New Roman" w:eastAsia="黑体" w:hAnsi="Times New Roman"/>
          <w:bCs/>
          <w:sz w:val="32"/>
          <w:szCs w:val="32"/>
        </w:rPr>
        <w:t>二、注册审查要点</w:t>
      </w:r>
    </w:p>
    <w:p w:rsidR="00B3168A" w:rsidRPr="005B36C1" w:rsidRDefault="00813DF8">
      <w:pPr>
        <w:spacing w:line="520" w:lineRule="exact"/>
        <w:ind w:firstLineChars="200" w:firstLine="640"/>
        <w:outlineLvl w:val="1"/>
        <w:rPr>
          <w:rFonts w:ascii="Times New Roman" w:eastAsia="楷体_GB2312" w:hAnsi="Times New Roman"/>
          <w:bCs/>
          <w:sz w:val="32"/>
          <w:szCs w:val="32"/>
        </w:rPr>
      </w:pPr>
      <w:r w:rsidRPr="005B36C1">
        <w:rPr>
          <w:rFonts w:ascii="Times New Roman" w:eastAsia="楷体_GB2312" w:hAnsi="Times New Roman"/>
          <w:bCs/>
          <w:sz w:val="32"/>
          <w:szCs w:val="32"/>
        </w:rPr>
        <w:t>（一）监管信息</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应准确填写申报产品申请表、产品列表、既往沟通记录、主文档授权信以及其它管理信息等。</w:t>
      </w:r>
    </w:p>
    <w:p w:rsidR="00B3168A" w:rsidRPr="005B36C1" w:rsidRDefault="00813DF8">
      <w:pPr>
        <w:spacing w:line="520" w:lineRule="exact"/>
        <w:ind w:firstLineChars="200" w:firstLine="640"/>
        <w:outlineLvl w:val="1"/>
        <w:rPr>
          <w:rFonts w:ascii="Times New Roman" w:eastAsia="楷体_GB2312" w:hAnsi="Times New Roman"/>
          <w:bCs/>
          <w:sz w:val="32"/>
          <w:szCs w:val="32"/>
        </w:rPr>
      </w:pPr>
      <w:r w:rsidRPr="005B36C1">
        <w:rPr>
          <w:rFonts w:ascii="Times New Roman" w:eastAsia="楷体_GB2312" w:hAnsi="Times New Roman"/>
          <w:bCs/>
          <w:sz w:val="32"/>
          <w:szCs w:val="32"/>
        </w:rPr>
        <w:t>（二）综述资料</w:t>
      </w:r>
    </w:p>
    <w:p w:rsidR="00B3168A" w:rsidRPr="005B36C1" w:rsidRDefault="00813DF8">
      <w:pPr>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概述</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描述申报产品的管理类别、分类编码及名称的确定依据。产品应符合《医疗器械分类目录》中</w:t>
      </w:r>
      <w:r w:rsidRPr="005B36C1">
        <w:rPr>
          <w:rFonts w:ascii="Times New Roman" w:eastAsia="仿宋_GB2312" w:hAnsi="Times New Roman"/>
          <w:color w:val="000000"/>
          <w:sz w:val="32"/>
          <w:szCs w:val="32"/>
        </w:rPr>
        <w:t>13</w:t>
      </w:r>
      <w:r w:rsidRPr="005B36C1">
        <w:rPr>
          <w:rFonts w:ascii="Times New Roman" w:eastAsia="仿宋_GB2312" w:hAnsi="Times New Roman"/>
          <w:color w:val="000000"/>
          <w:sz w:val="32"/>
          <w:szCs w:val="32"/>
        </w:rPr>
        <w:t>无源植入器械</w:t>
      </w:r>
      <w:r w:rsidRPr="005B36C1">
        <w:rPr>
          <w:rFonts w:ascii="Times New Roman" w:eastAsia="仿宋_GB2312" w:hAnsi="Times New Roman"/>
          <w:bCs/>
          <w:sz w:val="32"/>
          <w:szCs w:val="32"/>
        </w:rPr>
        <w:t>、</w:t>
      </w:r>
      <w:r w:rsidRPr="005B36C1">
        <w:rPr>
          <w:rFonts w:ascii="Times New Roman" w:eastAsia="仿宋_GB2312" w:hAnsi="Times New Roman"/>
          <w:color w:val="000000"/>
          <w:sz w:val="32"/>
          <w:szCs w:val="32"/>
        </w:rPr>
        <w:t>06</w:t>
      </w:r>
      <w:r w:rsidRPr="005B36C1">
        <w:rPr>
          <w:rFonts w:ascii="Times New Roman" w:eastAsia="仿宋_GB2312" w:hAnsi="Times New Roman"/>
          <w:color w:val="000000"/>
          <w:sz w:val="32"/>
          <w:szCs w:val="32"/>
        </w:rPr>
        <w:t>神经内</w:t>
      </w:r>
      <w:r w:rsidRPr="005B36C1">
        <w:rPr>
          <w:rFonts w:ascii="Times New Roman" w:eastAsia="仿宋_GB2312" w:hAnsi="Times New Roman"/>
          <w:color w:val="000000"/>
          <w:sz w:val="32"/>
          <w:szCs w:val="32"/>
        </w:rPr>
        <w:t>/</w:t>
      </w:r>
      <w:r w:rsidRPr="005B36C1">
        <w:rPr>
          <w:rFonts w:ascii="Times New Roman" w:eastAsia="仿宋_GB2312" w:hAnsi="Times New Roman"/>
          <w:color w:val="000000"/>
          <w:sz w:val="32"/>
          <w:szCs w:val="32"/>
        </w:rPr>
        <w:t>外科植入物</w:t>
      </w:r>
      <w:r w:rsidRPr="005B36C1">
        <w:rPr>
          <w:rFonts w:ascii="Times New Roman" w:eastAsia="仿宋_GB2312" w:hAnsi="Times New Roman"/>
          <w:bCs/>
          <w:sz w:val="32"/>
          <w:szCs w:val="32"/>
        </w:rPr>
        <w:t>、</w:t>
      </w:r>
      <w:r w:rsidRPr="005B36C1">
        <w:rPr>
          <w:rFonts w:ascii="Times New Roman" w:eastAsia="仿宋_GB2312" w:hAnsi="Times New Roman"/>
          <w:color w:val="000000"/>
          <w:sz w:val="32"/>
          <w:szCs w:val="32"/>
        </w:rPr>
        <w:t>10</w:t>
      </w:r>
      <w:r w:rsidRPr="005B36C1">
        <w:rPr>
          <w:rFonts w:ascii="Times New Roman" w:eastAsia="仿宋_GB2312" w:hAnsi="Times New Roman"/>
          <w:color w:val="000000"/>
          <w:sz w:val="32"/>
          <w:szCs w:val="32"/>
        </w:rPr>
        <w:t>脑积水分流器及组件。管理类别为第三类。</w:t>
      </w:r>
    </w:p>
    <w:p w:rsidR="00B3168A" w:rsidRPr="005B36C1" w:rsidRDefault="00813DF8">
      <w:pPr>
        <w:spacing w:line="520" w:lineRule="exact"/>
        <w:ind w:firstLineChars="200" w:firstLine="640"/>
        <w:rPr>
          <w:rFonts w:ascii="Times New Roman" w:hAnsi="Times New Roman"/>
        </w:rPr>
      </w:pPr>
      <w:r w:rsidRPr="005B36C1">
        <w:rPr>
          <w:rFonts w:ascii="Times New Roman" w:eastAsia="仿宋_GB2312" w:hAnsi="Times New Roman"/>
          <w:bCs/>
          <w:sz w:val="32"/>
          <w:szCs w:val="32"/>
        </w:rPr>
        <w:t>脑积水分流器产品的</w:t>
      </w:r>
      <w:r w:rsidRPr="005B36C1">
        <w:rPr>
          <w:rFonts w:ascii="Times New Roman" w:eastAsia="仿宋_GB2312" w:hAnsi="Times New Roman"/>
          <w:bCs/>
          <w:color w:val="000000" w:themeColor="text1"/>
          <w:sz w:val="32"/>
          <w:szCs w:val="32"/>
        </w:rPr>
        <w:t>主要原材料、</w:t>
      </w:r>
      <w:r w:rsidRPr="005B36C1">
        <w:rPr>
          <w:rFonts w:ascii="Times New Roman" w:eastAsia="仿宋_GB2312" w:hAnsi="Times New Roman"/>
          <w:bCs/>
          <w:sz w:val="32"/>
          <w:szCs w:val="32"/>
        </w:rPr>
        <w:t>主要结构、</w:t>
      </w:r>
      <w:r w:rsidRPr="005B36C1">
        <w:rPr>
          <w:rFonts w:ascii="Times New Roman" w:eastAsia="仿宋_GB2312" w:hAnsi="Times New Roman"/>
          <w:bCs/>
          <w:color w:val="000000" w:themeColor="text1"/>
          <w:sz w:val="32"/>
          <w:szCs w:val="32"/>
        </w:rPr>
        <w:t>主要工作原理</w:t>
      </w:r>
      <w:r w:rsidRPr="005B36C1">
        <w:rPr>
          <w:rFonts w:ascii="Times New Roman" w:eastAsia="仿宋_GB2312" w:hAnsi="Times New Roman"/>
          <w:bCs/>
          <w:sz w:val="32"/>
          <w:szCs w:val="32"/>
        </w:rPr>
        <w:t>不同则划分为不同注册单元。</w:t>
      </w:r>
    </w:p>
    <w:p w:rsidR="00B3168A" w:rsidRPr="005B36C1" w:rsidRDefault="00813DF8">
      <w:pPr>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2.</w:t>
      </w:r>
      <w:r w:rsidRPr="005B36C1">
        <w:rPr>
          <w:rFonts w:ascii="Times New Roman" w:eastAsia="仿宋_GB2312" w:hAnsi="Times New Roman"/>
          <w:bCs/>
          <w:sz w:val="32"/>
          <w:szCs w:val="32"/>
        </w:rPr>
        <w:t>产品描述</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描述应准确、完整，至少应包括产品的腔室连接型式、结构组成、图示（标明各组成名称）、工作原理、制造原材料（使用国际通用规范化学名称）、产品及其关键组件的主要功能、交付状态等内容。产品如有区别于其他同类产品的特征也应加以描述。</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lastRenderedPageBreak/>
        <w:t>应阐明产品的开启压力及其设定理由或依据，提供压力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流量特性图，包括体位、皮下压力对装置特性影响的数据或图示。若产品整个系统（管路、储液囊和其他装置）会引起压力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流量特性产生较大变化，应给出整个分流器及其组件的压力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流量特性图。产品若设计为可调压产品，应详细阐述压力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流量的分档情况及产品植入后的体外调节方式，特别应说明压力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调节阀的档位调节原理，提供调压阀的剖面图或工程图，说明各组件的设计原理和功能。产品若带有其他流量控制部件（如防虹吸装置、流量控制装置等），也应提供其结构组成、设计原理以及对产品整体系统的影响等资料。</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该产品若预期与手术器械、体外调节工具等器械配合使用，提供与这些器械的配合使用说明，若配合使用器械已获得批准，应提交注册证编号和国家药监局官方网站公布的注册证信息。</w:t>
      </w:r>
    </w:p>
    <w:p w:rsidR="00B3168A" w:rsidRPr="005B36C1" w:rsidRDefault="00813DF8">
      <w:pPr>
        <w:tabs>
          <w:tab w:val="left" w:pos="540"/>
        </w:tabs>
        <w:spacing w:line="520" w:lineRule="exact"/>
        <w:ind w:firstLineChars="200" w:firstLine="640"/>
        <w:outlineLvl w:val="2"/>
        <w:rPr>
          <w:rFonts w:ascii="Times New Roman" w:eastAsia="仿宋_GB2312" w:hAnsi="Times New Roman"/>
          <w:color w:val="000000"/>
          <w:sz w:val="32"/>
          <w:szCs w:val="32"/>
        </w:rPr>
      </w:pPr>
      <w:r w:rsidRPr="005B36C1">
        <w:rPr>
          <w:rFonts w:ascii="Times New Roman" w:eastAsia="仿宋_GB2312" w:hAnsi="Times New Roman"/>
          <w:bCs/>
          <w:sz w:val="32"/>
          <w:szCs w:val="32"/>
        </w:rPr>
        <w:t>3.</w:t>
      </w:r>
      <w:r w:rsidRPr="005B36C1">
        <w:rPr>
          <w:rFonts w:ascii="Times New Roman" w:eastAsia="仿宋_GB2312" w:hAnsi="Times New Roman"/>
          <w:bCs/>
          <w:sz w:val="32"/>
          <w:szCs w:val="32"/>
        </w:rPr>
        <w:t>型号规格</w:t>
      </w:r>
    </w:p>
    <w:p w:rsidR="00B3168A" w:rsidRPr="005B36C1" w:rsidRDefault="00813DF8">
      <w:pPr>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应从结构组成、原材料、功能、产品特征、性能指标等方面详细列表说明各型号规格间的区别。应采用对比表及带有说明性文字的图片、图表对各种规格型号的不同之处加以区别。</w:t>
      </w:r>
    </w:p>
    <w:p w:rsidR="00B3168A" w:rsidRPr="005B36C1" w:rsidRDefault="00813DF8">
      <w:pPr>
        <w:tabs>
          <w:tab w:val="left" w:pos="312"/>
        </w:tabs>
        <w:spacing w:line="520" w:lineRule="exact"/>
        <w:ind w:firstLineChars="200" w:firstLine="640"/>
        <w:outlineLvl w:val="2"/>
        <w:rPr>
          <w:rFonts w:ascii="Times New Roman" w:eastAsia="仿宋_GB2312" w:hAnsi="Times New Roman"/>
          <w:color w:val="000000"/>
          <w:sz w:val="32"/>
          <w:szCs w:val="32"/>
        </w:rPr>
      </w:pPr>
      <w:r w:rsidRPr="005B36C1">
        <w:rPr>
          <w:rFonts w:ascii="Times New Roman" w:eastAsia="仿宋_GB2312" w:hAnsi="Times New Roman"/>
          <w:bCs/>
          <w:sz w:val="32"/>
          <w:szCs w:val="32"/>
        </w:rPr>
        <w:t>4.</w:t>
      </w:r>
      <w:r w:rsidRPr="005B36C1">
        <w:rPr>
          <w:rFonts w:ascii="Times New Roman" w:eastAsia="仿宋_GB2312" w:hAnsi="Times New Roman"/>
          <w:color w:val="000000"/>
          <w:sz w:val="32"/>
          <w:szCs w:val="32"/>
        </w:rPr>
        <w:t>包装说明</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应说明包装的相关信息，至少包括初包装材料、包装方法、产品在包装中的形态（如各组件及一起销售的配件分别放置或包装的情况）、初包装与灭菌方法相适应的特点等内容。</w:t>
      </w:r>
    </w:p>
    <w:p w:rsidR="00B3168A" w:rsidRPr="005B36C1" w:rsidRDefault="00813DF8">
      <w:pPr>
        <w:tabs>
          <w:tab w:val="left" w:pos="312"/>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w:t>
      </w:r>
      <w:r w:rsidRPr="005B36C1">
        <w:rPr>
          <w:rFonts w:ascii="Times New Roman" w:eastAsia="仿宋_GB2312" w:hAnsi="Times New Roman"/>
          <w:bCs/>
          <w:sz w:val="32"/>
          <w:szCs w:val="32"/>
        </w:rPr>
        <w:t>研发历程</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阐述申请注册产品的研发背景和目的，必要时写明研发</w:t>
      </w:r>
      <w:r w:rsidRPr="005B36C1">
        <w:rPr>
          <w:rFonts w:ascii="Times New Roman" w:eastAsia="仿宋_GB2312" w:hAnsi="Times New Roman"/>
          <w:color w:val="000000"/>
          <w:sz w:val="32"/>
          <w:szCs w:val="32"/>
        </w:rPr>
        <w:lastRenderedPageBreak/>
        <w:t>基础。如适用，申请人需提供有关申报产品的背景信息概述或特别细节，如：申报产品的历史概述、历次提交的信息，等。如有参考的同类产品或前代产品，应当提供同类产品或前代产品的信息，并说明选择其作为研发参考的原因。</w:t>
      </w:r>
    </w:p>
    <w:p w:rsidR="00B3168A" w:rsidRPr="005B36C1" w:rsidRDefault="00813DF8">
      <w:pPr>
        <w:tabs>
          <w:tab w:val="left" w:pos="540"/>
        </w:tabs>
        <w:spacing w:line="520" w:lineRule="exact"/>
        <w:ind w:firstLineChars="200" w:firstLine="640"/>
        <w:outlineLvl w:val="2"/>
        <w:rPr>
          <w:rFonts w:ascii="Times New Roman" w:eastAsia="仿宋_GB2312" w:hAnsi="Times New Roman"/>
          <w:color w:val="000000"/>
          <w:sz w:val="32"/>
          <w:szCs w:val="32"/>
        </w:rPr>
      </w:pPr>
      <w:r w:rsidRPr="005B36C1">
        <w:rPr>
          <w:rFonts w:ascii="Times New Roman" w:eastAsia="仿宋_GB2312" w:hAnsi="Times New Roman"/>
          <w:bCs/>
          <w:sz w:val="32"/>
          <w:szCs w:val="32"/>
        </w:rPr>
        <w:t>6.</w:t>
      </w:r>
      <w:r w:rsidRPr="005B36C1">
        <w:rPr>
          <w:rFonts w:ascii="Times New Roman" w:eastAsia="仿宋_GB2312" w:hAnsi="Times New Roman"/>
          <w:bCs/>
          <w:sz w:val="32"/>
          <w:szCs w:val="32"/>
        </w:rPr>
        <w:t>与同类和</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或前代产品比较</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综述参考产品国内外研究、临床使用现状及发展趋势。描述本次申报器械与国内外参考产品的相似点和不同点，建议以列表方式表述，比较的项目应包括产品名称、腔室连接型式、结构组成、工作原理（如适用，包括产品的可调压原理、防虹吸原理、流量控制原理等）、预期用途、产品设计、原材料信息、生产工艺、灭菌方式、性能指标、植入方式、有效期等。参考产品应符合本指导原则的定义范畴，可包括本企业或其他企业已上市同类产品，建议采用目前应用较为广泛的产品。</w:t>
      </w:r>
    </w:p>
    <w:p w:rsidR="00B3168A" w:rsidRPr="005B36C1" w:rsidRDefault="00813DF8">
      <w:pPr>
        <w:tabs>
          <w:tab w:val="left" w:pos="540"/>
        </w:tabs>
        <w:spacing w:line="520" w:lineRule="exact"/>
        <w:ind w:firstLineChars="200" w:firstLine="640"/>
        <w:outlineLvl w:val="2"/>
        <w:rPr>
          <w:rFonts w:ascii="Times New Roman" w:eastAsia="仿宋_GB2312" w:hAnsi="Times New Roman"/>
          <w:color w:val="000000"/>
          <w:sz w:val="32"/>
          <w:szCs w:val="32"/>
        </w:rPr>
      </w:pPr>
      <w:r w:rsidRPr="005B36C1">
        <w:rPr>
          <w:rFonts w:ascii="Times New Roman" w:eastAsia="仿宋_GB2312" w:hAnsi="Times New Roman"/>
          <w:bCs/>
          <w:sz w:val="32"/>
          <w:szCs w:val="32"/>
        </w:rPr>
        <w:t>7.</w:t>
      </w:r>
      <w:r w:rsidRPr="005B36C1">
        <w:rPr>
          <w:rFonts w:ascii="Times New Roman" w:eastAsia="仿宋_GB2312" w:hAnsi="Times New Roman"/>
          <w:color w:val="000000"/>
          <w:sz w:val="32"/>
          <w:szCs w:val="32"/>
        </w:rPr>
        <w:t>适用范围和禁忌证</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7.1</w:t>
      </w:r>
      <w:r w:rsidRPr="005B36C1">
        <w:rPr>
          <w:rFonts w:ascii="Times New Roman" w:eastAsia="仿宋_GB2312" w:hAnsi="Times New Roman"/>
          <w:color w:val="000000"/>
          <w:sz w:val="32"/>
          <w:szCs w:val="32"/>
        </w:rPr>
        <w:t>适用范围</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适用范围的表述应客观、清晰，使用有明确定义或有行业内公认的术语或名词。描述内容应包括产品适用的人体分流腔室、适用人群（如脑积水患者）。例如，产品用于将脑积水患者的脑脊液从脑室引流到腹膜腔中。</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7.2</w:t>
      </w:r>
      <w:r w:rsidRPr="005B36C1">
        <w:rPr>
          <w:rFonts w:ascii="Times New Roman" w:eastAsia="仿宋_GB2312" w:hAnsi="Times New Roman"/>
          <w:color w:val="000000"/>
          <w:sz w:val="32"/>
          <w:szCs w:val="32"/>
        </w:rPr>
        <w:t>预期使用环境</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明确该产品预期使用的地点，如医疗机构。明确可能影响其安全性和有效性的环境条件，如温度、湿度、压力、移动、振动、海拔等。</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7.3</w:t>
      </w:r>
      <w:r w:rsidRPr="005B36C1">
        <w:rPr>
          <w:rFonts w:ascii="Times New Roman" w:eastAsia="仿宋_GB2312" w:hAnsi="Times New Roman"/>
          <w:color w:val="000000"/>
          <w:sz w:val="32"/>
          <w:szCs w:val="32"/>
        </w:rPr>
        <w:t>适用人群</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明确目标患者人群的信息，患者选择标准的信息，以及</w:t>
      </w:r>
      <w:r w:rsidRPr="005B36C1">
        <w:rPr>
          <w:rFonts w:ascii="Times New Roman" w:eastAsia="仿宋_GB2312" w:hAnsi="Times New Roman"/>
          <w:color w:val="000000"/>
          <w:sz w:val="32"/>
          <w:szCs w:val="32"/>
        </w:rPr>
        <w:lastRenderedPageBreak/>
        <w:t>使用过程中需要监测的参数、考虑的因素。</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7.4</w:t>
      </w:r>
      <w:r w:rsidRPr="005B36C1">
        <w:rPr>
          <w:rFonts w:ascii="Times New Roman" w:eastAsia="仿宋_GB2312" w:hAnsi="Times New Roman"/>
          <w:color w:val="000000"/>
          <w:sz w:val="32"/>
          <w:szCs w:val="32"/>
        </w:rPr>
        <w:t>禁忌证</w:t>
      </w:r>
    </w:p>
    <w:p w:rsidR="00B3168A" w:rsidRPr="005B36C1" w:rsidRDefault="00813DF8">
      <w:pPr>
        <w:tabs>
          <w:tab w:val="left" w:pos="540"/>
        </w:tabs>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禁忌证应包括该器械不适用的疾病、情况及特定的人群，如新生儿、儿童、老年人、孕妇及哺乳期妇女、肝肾功能不全者等。</w:t>
      </w:r>
    </w:p>
    <w:p w:rsidR="00B3168A" w:rsidRPr="005B36C1" w:rsidRDefault="00813DF8">
      <w:pPr>
        <w:spacing w:line="520" w:lineRule="exact"/>
        <w:ind w:firstLineChars="200" w:firstLine="640"/>
        <w:outlineLvl w:val="1"/>
        <w:rPr>
          <w:rFonts w:ascii="Times New Roman" w:eastAsia="楷体_GB2312" w:hAnsi="Times New Roman"/>
          <w:color w:val="000000"/>
          <w:sz w:val="32"/>
          <w:szCs w:val="32"/>
        </w:rPr>
      </w:pPr>
      <w:r w:rsidRPr="005B36C1">
        <w:rPr>
          <w:rFonts w:ascii="Times New Roman" w:eastAsia="楷体_GB2312" w:hAnsi="Times New Roman"/>
          <w:color w:val="000000"/>
          <w:sz w:val="32"/>
          <w:szCs w:val="32"/>
        </w:rPr>
        <w:t>（三）非临床资料</w:t>
      </w:r>
    </w:p>
    <w:p w:rsidR="00B3168A" w:rsidRPr="005B36C1" w:rsidRDefault="00813DF8">
      <w:pPr>
        <w:spacing w:line="520" w:lineRule="exact"/>
        <w:ind w:firstLineChars="200" w:firstLine="640"/>
        <w:rPr>
          <w:rFonts w:ascii="Times New Roman" w:eastAsia="仿宋_GB2312" w:hAnsi="Times New Roman"/>
          <w:color w:val="000000"/>
          <w:sz w:val="32"/>
          <w:szCs w:val="32"/>
        </w:rPr>
      </w:pPr>
      <w:r w:rsidRPr="005B36C1">
        <w:rPr>
          <w:rFonts w:ascii="Times New Roman" w:eastAsia="仿宋_GB2312" w:hAnsi="Times New Roman"/>
          <w:color w:val="000000"/>
          <w:sz w:val="32"/>
          <w:szCs w:val="32"/>
        </w:rPr>
        <w:t>应包含但不局限于如下内容：</w:t>
      </w:r>
    </w:p>
    <w:p w:rsidR="00B3168A" w:rsidRPr="005B36C1" w:rsidRDefault="00813DF8">
      <w:pPr>
        <w:tabs>
          <w:tab w:val="left" w:pos="540"/>
        </w:tabs>
        <w:spacing w:line="520" w:lineRule="exact"/>
        <w:ind w:firstLineChars="200" w:firstLine="640"/>
        <w:outlineLvl w:val="2"/>
        <w:rPr>
          <w:rFonts w:ascii="Times New Roman" w:eastAsia="仿宋_GB2312" w:hAnsi="Times New Roman"/>
          <w:sz w:val="32"/>
          <w:szCs w:val="32"/>
        </w:rPr>
      </w:pP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产品</w:t>
      </w:r>
      <w:r w:rsidRPr="005B36C1">
        <w:rPr>
          <w:rFonts w:ascii="Times New Roman" w:eastAsia="仿宋_GB2312" w:hAnsi="Times New Roman"/>
          <w:sz w:val="32"/>
          <w:szCs w:val="32"/>
        </w:rPr>
        <w:t>风险管理资料</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按照</w:t>
      </w:r>
      <w:r w:rsidRPr="005B36C1">
        <w:rPr>
          <w:rFonts w:ascii="Times New Roman" w:eastAsia="仿宋_GB2312" w:hAnsi="Times New Roman"/>
          <w:sz w:val="32"/>
          <w:szCs w:val="32"/>
        </w:rPr>
        <w:t>GB/T 42062</w:t>
      </w:r>
      <w:r w:rsidRPr="005B36C1">
        <w:rPr>
          <w:rFonts w:ascii="Times New Roman" w:eastAsia="仿宋_GB2312" w:hAnsi="Times New Roman"/>
          <w:sz w:val="32"/>
          <w:szCs w:val="32"/>
        </w:rPr>
        <w:t>《医疗器械</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风险管理对医疗器械的应用》的要求，对产品生命周期全过程实施风险管理。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风险管理资料应重点关注以下信息：</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1.1</w:t>
      </w:r>
      <w:r w:rsidRPr="005B36C1">
        <w:rPr>
          <w:rFonts w:ascii="Times New Roman" w:eastAsia="仿宋_GB2312" w:hAnsi="Times New Roman"/>
          <w:sz w:val="32"/>
          <w:szCs w:val="32"/>
        </w:rPr>
        <w:t>可能影响产品安全性的特征问题清单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建议申请人参考</w:t>
      </w:r>
      <w:r w:rsidRPr="005B36C1">
        <w:rPr>
          <w:rFonts w:ascii="Times New Roman" w:eastAsia="仿宋_GB2312" w:hAnsi="Times New Roman"/>
          <w:sz w:val="32"/>
          <w:szCs w:val="32"/>
        </w:rPr>
        <w:t>GB/T 42062</w:t>
      </w:r>
      <w:r w:rsidRPr="005B36C1">
        <w:rPr>
          <w:rFonts w:ascii="Times New Roman" w:eastAsia="仿宋_GB2312" w:hAnsi="Times New Roman"/>
          <w:sz w:val="32"/>
          <w:szCs w:val="32"/>
        </w:rPr>
        <w:t>《医疗器械</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风险管理对医疗器械的应用》附录</w:t>
      </w:r>
      <w:r w:rsidRPr="005B36C1">
        <w:rPr>
          <w:rFonts w:ascii="Times New Roman" w:eastAsia="仿宋_GB2312" w:hAnsi="Times New Roman"/>
          <w:sz w:val="32"/>
          <w:szCs w:val="32"/>
        </w:rPr>
        <w:t>C</w:t>
      </w:r>
      <w:r w:rsidRPr="005B36C1">
        <w:rPr>
          <w:rFonts w:ascii="Times New Roman" w:eastAsia="仿宋_GB2312" w:hAnsi="Times New Roman"/>
          <w:sz w:val="32"/>
          <w:szCs w:val="32"/>
        </w:rPr>
        <w:t>的要求判定医疗器械与安全性有关特征的问题，但识别风险的来源并不局限于此。应对该类产品进行充分的风险识别，风险识别的信息来源需要具体列出，可包括但不局限于以下途径：类似产品的投诉</w:t>
      </w:r>
      <w:r w:rsidRPr="005B36C1">
        <w:rPr>
          <w:rFonts w:ascii="Times New Roman" w:eastAsia="仿宋_GB2312" w:hAnsi="Times New Roman"/>
          <w:sz w:val="32"/>
          <w:szCs w:val="32"/>
        </w:rPr>
        <w:t>/</w:t>
      </w:r>
      <w:r w:rsidRPr="005B36C1">
        <w:rPr>
          <w:rFonts w:ascii="Times New Roman" w:eastAsia="仿宋_GB2312" w:hAnsi="Times New Roman"/>
          <w:sz w:val="32"/>
          <w:szCs w:val="32"/>
        </w:rPr>
        <w:t>抱怨数据、医学文献、实验室检测、产品标签标识、专家观点等。对于风险识别信息的来源企业应具体说明，并提交有关支持文件或文献。</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w:t>
      </w:r>
      <w:r w:rsidRPr="005B36C1">
        <w:rPr>
          <w:rFonts w:ascii="Times New Roman" w:eastAsia="仿宋_GB2312" w:hAnsi="Times New Roman"/>
          <w:sz w:val="32"/>
          <w:szCs w:val="32"/>
        </w:rPr>
        <w:t>产品可预见的危险分析清单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申请人应详细列出与产品有关的已知和可预见危险的</w:t>
      </w:r>
      <w:r w:rsidRPr="005B36C1">
        <w:rPr>
          <w:rFonts w:ascii="Times New Roman" w:eastAsia="仿宋_GB2312" w:hAnsi="Times New Roman"/>
          <w:sz w:val="32"/>
          <w:szCs w:val="32"/>
        </w:rPr>
        <w:lastRenderedPageBreak/>
        <w:t>清单，以及对每个危险如何造成伤害的分析（包括可预见的事件序列、危险处境和可能发生的伤害）。对该类产品进行危险判定时，应包含但不限于以下几方面：</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1.2.1</w:t>
      </w:r>
      <w:r w:rsidRPr="005B36C1">
        <w:rPr>
          <w:rFonts w:ascii="Times New Roman" w:eastAsia="仿宋_GB2312" w:hAnsi="Times New Roman"/>
          <w:sz w:val="32"/>
          <w:szCs w:val="32"/>
        </w:rPr>
        <w:t>原材料的生物学和化学危险，如材料的化学结构及来源、材料的生物相容性等产生的风险。</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1.2.2</w:t>
      </w:r>
      <w:r w:rsidRPr="005B36C1">
        <w:rPr>
          <w:rFonts w:ascii="Times New Roman" w:eastAsia="仿宋_GB2312" w:hAnsi="Times New Roman"/>
          <w:sz w:val="32"/>
          <w:szCs w:val="32"/>
        </w:rPr>
        <w:t>生产加工过程可能产生的危害，如：污染，添加剂、助剂、辅剂的残留，工艺用水，生产环境洁净度，细菌内毒素等。</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1.2.3</w:t>
      </w:r>
      <w:r w:rsidRPr="005B36C1">
        <w:rPr>
          <w:rFonts w:ascii="Times New Roman" w:eastAsia="仿宋_GB2312" w:hAnsi="Times New Roman"/>
          <w:sz w:val="32"/>
          <w:szCs w:val="32"/>
        </w:rPr>
        <w:t>产品使用风险因素，如阻塞，引流量过度或引流不足，折断、断开或移位，功能失效等。</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1.2.4</w:t>
      </w:r>
      <w:r w:rsidRPr="005B36C1">
        <w:rPr>
          <w:rFonts w:ascii="Times New Roman" w:eastAsia="仿宋_GB2312" w:hAnsi="Times New Roman"/>
          <w:sz w:val="32"/>
          <w:szCs w:val="32"/>
        </w:rPr>
        <w:t>灭菌过程可能产生危险，如灭菌方式对产品不适宜、产品未完全灭菌、灭菌过程产生的有害物质（如环氧乙烷）等。</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1.2.5</w:t>
      </w:r>
      <w:r w:rsidRPr="005B36C1">
        <w:rPr>
          <w:rFonts w:ascii="Times New Roman" w:eastAsia="仿宋_GB2312" w:hAnsi="Times New Roman"/>
          <w:sz w:val="32"/>
          <w:szCs w:val="32"/>
        </w:rPr>
        <w:t>产品的不正确使用所产生的可能的危险，如植入产品时未按照说明书中操作方法操作，忽视说明书中禁忌证、警示信息内容，患者使用或维护时错误操作等。</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1.2.6</w:t>
      </w:r>
      <w:r w:rsidRPr="005B36C1">
        <w:rPr>
          <w:rFonts w:ascii="Times New Roman" w:eastAsia="仿宋_GB2312" w:hAnsi="Times New Roman"/>
          <w:sz w:val="32"/>
          <w:szCs w:val="32"/>
        </w:rPr>
        <w:t>产品包装可能产生的危害，如包装破损，标识不清，与贮存和运输过程不适宜。</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1.3</w:t>
      </w:r>
      <w:r w:rsidRPr="005B36C1">
        <w:rPr>
          <w:rFonts w:ascii="Times New Roman" w:eastAsia="仿宋_GB2312" w:hAnsi="Times New Roman"/>
          <w:sz w:val="32"/>
          <w:szCs w:val="32"/>
        </w:rPr>
        <w:t>风险评价</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估计每一危险情况下的风险，并对照风险可接受准则做出风险评价，对于风险管理报告及提交的风险管理资料的要求可参考</w:t>
      </w:r>
      <w:r w:rsidRPr="005B36C1">
        <w:rPr>
          <w:rFonts w:ascii="Times New Roman" w:eastAsia="仿宋_GB2312" w:hAnsi="Times New Roman"/>
          <w:sz w:val="32"/>
          <w:szCs w:val="32"/>
        </w:rPr>
        <w:t>GB/T 42062</w:t>
      </w:r>
      <w:r w:rsidRPr="005B36C1">
        <w:rPr>
          <w:rFonts w:ascii="Times New Roman" w:eastAsia="仿宋_GB2312" w:hAnsi="Times New Roman"/>
          <w:sz w:val="32"/>
          <w:szCs w:val="32"/>
        </w:rPr>
        <w:t>《医疗器械</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风险管理对医疗器械的应用》附件。</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bCs/>
          <w:sz w:val="32"/>
          <w:szCs w:val="32"/>
        </w:rPr>
        <w:t>1.4</w:t>
      </w:r>
      <w:r w:rsidRPr="005B36C1">
        <w:rPr>
          <w:rFonts w:ascii="Times New Roman" w:eastAsia="仿宋_GB2312" w:hAnsi="Times New Roman"/>
          <w:sz w:val="32"/>
          <w:szCs w:val="32"/>
        </w:rPr>
        <w:t>风险控制措施及剩余风险评价汇总</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描述每一不可接受的风险所采取的风险控制措施的方案及相关文档（如：设计图纸、工艺文件、管理规定等）清</w:t>
      </w:r>
      <w:r w:rsidRPr="005B36C1">
        <w:rPr>
          <w:rFonts w:ascii="Times New Roman" w:eastAsia="仿宋_GB2312" w:hAnsi="Times New Roman"/>
          <w:sz w:val="32"/>
          <w:szCs w:val="32"/>
        </w:rPr>
        <w:lastRenderedPageBreak/>
        <w:t>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应对所识别的风险提出具体的降低风险的措施。降低所申报产品的风险应依据</w:t>
      </w:r>
      <w:r w:rsidRPr="005B36C1">
        <w:rPr>
          <w:rFonts w:ascii="Times New Roman" w:eastAsia="仿宋_GB2312" w:hAnsi="Times New Roman"/>
          <w:sz w:val="32"/>
          <w:szCs w:val="32"/>
        </w:rPr>
        <w:t>GB/T 42062</w:t>
      </w:r>
      <w:r w:rsidRPr="005B36C1">
        <w:rPr>
          <w:rFonts w:ascii="Times New Roman" w:eastAsia="仿宋_GB2312" w:hAnsi="Times New Roman"/>
          <w:sz w:val="32"/>
          <w:szCs w:val="32"/>
        </w:rPr>
        <w:t>《医疗器械</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风险管理对医疗器械的应用》要求依次从设计、保护、说明书进行考虑。</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申请人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2.</w:t>
      </w:r>
      <w:r w:rsidRPr="005B36C1">
        <w:rPr>
          <w:rFonts w:ascii="Times New Roman" w:eastAsia="仿宋_GB2312" w:hAnsi="Times New Roman"/>
          <w:bCs/>
          <w:sz w:val="32"/>
          <w:szCs w:val="32"/>
        </w:rPr>
        <w:t>医疗器械安全和性能基本原则清单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说明一次性使用脑积水分流器符合《医疗器械安全和性能基本原则清单》各项适用要求所采用的方法，以及证明其符合性的文件。对于不适用的各项要求，应当说明理由。</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3.</w:t>
      </w:r>
      <w:r w:rsidRPr="005B36C1">
        <w:rPr>
          <w:rFonts w:ascii="Times New Roman" w:eastAsia="仿宋_GB2312" w:hAnsi="Times New Roman"/>
          <w:bCs/>
          <w:sz w:val="32"/>
          <w:szCs w:val="32"/>
        </w:rPr>
        <w:t>产品技术要求</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根据所申报产品特点制定产品技术要求，产品技术要求应符合《医疗器械产品技术要求编写指导原则》中的相关要求。对可客观判定的成品的功能性、安全性指标，在产品技术要求中予以规定，产品的性能指标应不低于相关的强制性国家标准和行业标准。产品技术要求中的试验方法应有制定依据或为已经过验证的方法。</w:t>
      </w:r>
      <w:r w:rsidRPr="005B36C1">
        <w:rPr>
          <w:rFonts w:ascii="Times New Roman" w:eastAsia="仿宋_GB2312" w:hAnsi="Times New Roman"/>
          <w:bCs/>
          <w:sz w:val="32"/>
          <w:szCs w:val="32"/>
        </w:rPr>
        <w:t xml:space="preserve"> </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产品技术要求中应标明产品的型号规格并说明型号规格划分的依据，不使用</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主要</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等</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之类模糊词语，</w:t>
      </w:r>
      <w:r w:rsidRPr="005B36C1">
        <w:rPr>
          <w:rFonts w:ascii="Times New Roman" w:eastAsia="仿宋_GB2312" w:hAnsi="Times New Roman"/>
          <w:bCs/>
          <w:color w:val="000000" w:themeColor="text1"/>
          <w:sz w:val="32"/>
          <w:szCs w:val="32"/>
        </w:rPr>
        <w:t>此外，产品若带有涂层，应明确涂层的化学成分、比例，若产品含有药物，应明确药物的通用名称、性状、含量等基本信息。</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产品的性能指标及试验方法可参考</w:t>
      </w:r>
      <w:r w:rsidRPr="005B36C1">
        <w:rPr>
          <w:rFonts w:ascii="Times New Roman" w:eastAsia="仿宋_GB2312" w:hAnsi="Times New Roman"/>
          <w:bCs/>
          <w:sz w:val="32"/>
          <w:szCs w:val="32"/>
        </w:rPr>
        <w:t>YY/T 0487</w:t>
      </w:r>
      <w:r w:rsidRPr="005B36C1">
        <w:rPr>
          <w:rFonts w:ascii="Times New Roman" w:eastAsia="仿宋_GB2312" w:hAnsi="Times New Roman"/>
          <w:bCs/>
          <w:sz w:val="32"/>
          <w:szCs w:val="32"/>
        </w:rPr>
        <w:t>《一次性使用无菌脑积水分流器及组件》，性能指标一般应至少包括</w:t>
      </w:r>
      <w:r w:rsidRPr="005B36C1">
        <w:rPr>
          <w:rFonts w:ascii="Times New Roman" w:eastAsia="仿宋_GB2312" w:hAnsi="Times New Roman"/>
          <w:bCs/>
          <w:sz w:val="32"/>
          <w:szCs w:val="32"/>
        </w:rPr>
        <w:lastRenderedPageBreak/>
        <w:t>以下内容：</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物理性能：外观、尺寸、不透射线、抗泄漏性、分流器在体内识别、压力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流量特性、抗过压性能、动态断裂强度、破坏压力、回流性能、长期稳定性等。若产品带有可穿刺的储液囊，还应包括穿刺限位、穿刺泄漏等内容。</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化学性能：结合原材料特性制定适宜的化学性能指标及试验方法。若为硅橡胶植入物，则应符合</w:t>
      </w:r>
      <w:r w:rsidRPr="005B36C1">
        <w:rPr>
          <w:rFonts w:ascii="Times New Roman" w:eastAsia="仿宋_GB2312" w:hAnsi="Times New Roman"/>
          <w:bCs/>
          <w:sz w:val="32"/>
          <w:szCs w:val="32"/>
        </w:rPr>
        <w:t>YY/T 0334</w:t>
      </w:r>
      <w:r w:rsidRPr="005B36C1">
        <w:rPr>
          <w:rFonts w:ascii="Times New Roman" w:eastAsia="仿宋_GB2312" w:hAnsi="Times New Roman"/>
          <w:bCs/>
          <w:sz w:val="32"/>
          <w:szCs w:val="32"/>
        </w:rPr>
        <w:t>《硅橡胶外科植入物通用要求》或符合供应商质量标准的要求，若为其他原材料，则参考相应标准。</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其他性能：产品应无菌，细菌内毒素应小于</w:t>
      </w:r>
      <w:r w:rsidRPr="005B36C1">
        <w:rPr>
          <w:rFonts w:ascii="Times New Roman" w:eastAsia="仿宋_GB2312" w:hAnsi="Times New Roman"/>
          <w:bCs/>
          <w:sz w:val="32"/>
          <w:szCs w:val="32"/>
        </w:rPr>
        <w:t>2.15EU/</w:t>
      </w:r>
      <w:r w:rsidRPr="005B36C1">
        <w:rPr>
          <w:rFonts w:ascii="Times New Roman" w:eastAsia="仿宋_GB2312" w:hAnsi="Times New Roman"/>
          <w:bCs/>
          <w:sz w:val="32"/>
          <w:szCs w:val="32"/>
        </w:rPr>
        <w:t>件。</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此外，产品若带有涂层，应明确涂层的使用性能。</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对于采用新材料制造的产品以及具有其他特殊性能的产品，性能指标的制定依据、试验方法的来源及方法学验证资料应在产品性能研究资料中阐明。</w:t>
      </w:r>
    </w:p>
    <w:p w:rsidR="00B3168A" w:rsidRPr="005B36C1" w:rsidRDefault="00813DF8">
      <w:pPr>
        <w:tabs>
          <w:tab w:val="left" w:pos="540"/>
        </w:tabs>
        <w:spacing w:line="520" w:lineRule="exact"/>
        <w:ind w:firstLineChars="200" w:firstLine="640"/>
        <w:outlineLvl w:val="2"/>
        <w:rPr>
          <w:rFonts w:ascii="Times New Roman" w:eastAsia="仿宋_GB2312" w:hAnsi="Times New Roman"/>
          <w:sz w:val="32"/>
          <w:szCs w:val="32"/>
        </w:rPr>
      </w:pPr>
      <w:r w:rsidRPr="005B36C1">
        <w:rPr>
          <w:rFonts w:ascii="Times New Roman" w:eastAsia="仿宋_GB2312" w:hAnsi="Times New Roman"/>
          <w:bCs/>
          <w:sz w:val="32"/>
          <w:szCs w:val="32"/>
        </w:rPr>
        <w:t>4.</w:t>
      </w:r>
      <w:r w:rsidRPr="005B36C1">
        <w:rPr>
          <w:rFonts w:ascii="Times New Roman" w:eastAsia="仿宋_GB2312" w:hAnsi="Times New Roman"/>
          <w:sz w:val="32"/>
          <w:szCs w:val="32"/>
        </w:rPr>
        <w:t>产品检验报告</w:t>
      </w:r>
    </w:p>
    <w:p w:rsidR="00B3168A" w:rsidRPr="005B36C1" w:rsidRDefault="00813DF8">
      <w:pPr>
        <w:pStyle w:val="a5"/>
        <w:spacing w:line="520" w:lineRule="exact"/>
        <w:ind w:firstLineChars="200" w:firstLine="640"/>
        <w:jc w:val="left"/>
        <w:rPr>
          <w:rFonts w:ascii="Times New Roman" w:eastAsia="仿宋_GB2312" w:hAnsi="Times New Roman"/>
          <w:bCs/>
          <w:sz w:val="32"/>
          <w:szCs w:val="32"/>
        </w:rPr>
      </w:pPr>
      <w:r w:rsidRPr="005B36C1">
        <w:rPr>
          <w:rFonts w:ascii="Times New Roman" w:eastAsia="仿宋_GB2312" w:hAnsi="Times New Roman"/>
          <w:sz w:val="32"/>
          <w:szCs w:val="32"/>
        </w:rPr>
        <w:t>申请人应当按照产品技术要求进行检验，并提交检验报告。应选择结构组成最复杂、所使用的原材料最全面、功能最完全的产品作为典型</w:t>
      </w:r>
      <w:r w:rsidRPr="005B36C1">
        <w:rPr>
          <w:rFonts w:ascii="Times New Roman" w:eastAsia="仿宋_GB2312" w:hAnsi="Times New Roman"/>
          <w:bCs/>
          <w:sz w:val="32"/>
          <w:szCs w:val="32"/>
        </w:rPr>
        <w:t>样品。若型号间的差异可能导致对产品性能和技术特征的影响，应分别选作典型样品。</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w:t>
      </w:r>
      <w:r w:rsidRPr="005B36C1">
        <w:rPr>
          <w:rFonts w:ascii="Times New Roman" w:eastAsia="仿宋_GB2312" w:hAnsi="Times New Roman"/>
          <w:bCs/>
          <w:sz w:val="32"/>
          <w:szCs w:val="32"/>
        </w:rPr>
        <w:t>研究资料</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至少应包含如下内容：</w:t>
      </w:r>
    </w:p>
    <w:p w:rsidR="00B3168A" w:rsidRPr="005B36C1" w:rsidRDefault="00813DF8">
      <w:pPr>
        <w:tabs>
          <w:tab w:val="left" w:pos="540"/>
        </w:tabs>
        <w:spacing w:line="520" w:lineRule="exact"/>
        <w:ind w:firstLineChars="200" w:firstLine="640"/>
        <w:outlineLvl w:val="2"/>
        <w:rPr>
          <w:rFonts w:ascii="Times New Roman" w:eastAsia="仿宋_GB2312" w:hAnsi="Times New Roman"/>
          <w:color w:val="000000"/>
          <w:sz w:val="32"/>
          <w:szCs w:val="32"/>
        </w:rPr>
      </w:pPr>
      <w:r w:rsidRPr="005B36C1">
        <w:rPr>
          <w:rFonts w:ascii="Times New Roman" w:eastAsia="仿宋_GB2312" w:hAnsi="Times New Roman"/>
          <w:bCs/>
          <w:sz w:val="32"/>
          <w:szCs w:val="32"/>
        </w:rPr>
        <w:t>5.1</w:t>
      </w:r>
      <w:r w:rsidRPr="005B36C1">
        <w:rPr>
          <w:rFonts w:ascii="Times New Roman" w:eastAsia="仿宋_GB2312" w:hAnsi="Times New Roman"/>
          <w:color w:val="000000"/>
          <w:sz w:val="32"/>
          <w:szCs w:val="32"/>
        </w:rPr>
        <w:t>产品性能研究</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根据申报产品适用范围和技术特征，提供产品化学</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材料表征、物理和</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或机械性能指标的确定依据、设计输入来源以及临床意义，所采用的标准或方法、采用的原因及理论基础。</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产品的性能研究主要包括产品设计、物理性能、化学性</w:t>
      </w:r>
      <w:r w:rsidRPr="005B36C1">
        <w:rPr>
          <w:rFonts w:ascii="Times New Roman" w:eastAsia="仿宋_GB2312" w:hAnsi="Times New Roman"/>
          <w:bCs/>
          <w:sz w:val="32"/>
          <w:szCs w:val="32"/>
        </w:rPr>
        <w:lastRenderedPageBreak/>
        <w:t>能、其他性能等方面的要求。</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产品的性能要求及试验方法可参考</w:t>
      </w:r>
      <w:r w:rsidRPr="005B36C1">
        <w:rPr>
          <w:rFonts w:ascii="Times New Roman" w:eastAsia="仿宋_GB2312" w:hAnsi="Times New Roman"/>
          <w:bCs/>
          <w:sz w:val="32"/>
          <w:szCs w:val="32"/>
        </w:rPr>
        <w:t>YY/T 0487</w:t>
      </w:r>
      <w:r w:rsidRPr="005B36C1">
        <w:rPr>
          <w:rFonts w:ascii="Times New Roman" w:eastAsia="仿宋_GB2312" w:hAnsi="Times New Roman"/>
          <w:bCs/>
          <w:sz w:val="32"/>
          <w:szCs w:val="32"/>
        </w:rPr>
        <w:t>《一次性使用无菌脑积水分流器及其组件》进行制定。若未采用</w:t>
      </w:r>
      <w:r w:rsidRPr="005B36C1">
        <w:rPr>
          <w:rFonts w:ascii="Times New Roman" w:eastAsia="仿宋_GB2312" w:hAnsi="Times New Roman"/>
          <w:bCs/>
          <w:sz w:val="32"/>
          <w:szCs w:val="32"/>
        </w:rPr>
        <w:t>YY/T 0487</w:t>
      </w:r>
      <w:r w:rsidRPr="005B36C1">
        <w:rPr>
          <w:rFonts w:ascii="Times New Roman" w:eastAsia="仿宋_GB2312" w:hAnsi="Times New Roman"/>
          <w:bCs/>
          <w:sz w:val="32"/>
          <w:szCs w:val="32"/>
        </w:rPr>
        <w:t>中给出的试验方法，应提供所使用的试验方法的来源依据或方法学验证资料。应在一定流量范围内对阀的压力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流量特性进行试验，提供压力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流量特性验证资料。明确整个分流系统（管路、储液囊和其他组件如防虹吸装置、流量控制装置、压力调节装置等）、体位变化、皮下压力、植入部位、核磁环境等对压力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流量特性的影响，并提供相应影响因素下压力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流量特性研究资料。应关注产品有效期末压力</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流量特性曲线是否发生变化，抗泄漏性能及回流性能是否满足要求。</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对于压差阀组件，应从临床应用角度说明对该组件的精度要求。</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可调压产品应提供体外调节性能验证资料，调节方式应按照使用说明书进行，调节次数应考虑临床实际应用最大情况。</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含防虹吸装置产品应提供模拟实际使用时虹吸装置发挥预期用途的性能研究资料、抗虹吸装置关闭时及开启时产品流速变化相关研究资料。</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含储液囊产品应提交穿刺泄漏、抽取液体密合性、穿刺落屑研究资料，应考虑最大穿刺次数、临床使用过程引起压力变化的最差情况。</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应提供核磁兼容性研究资料及磁共振检查对分流阀性能、调压性能等影响的研究资料。</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产品若带有涂层，阐明涂层物质的基本信息，如化学组成、配方、涂层工艺及辅料、挥发物及迁移物等。明确涂层</w:t>
      </w:r>
      <w:r w:rsidRPr="005B36C1">
        <w:rPr>
          <w:rFonts w:ascii="Times New Roman" w:eastAsia="仿宋_GB2312" w:hAnsi="Times New Roman"/>
          <w:bCs/>
          <w:sz w:val="32"/>
          <w:szCs w:val="32"/>
        </w:rPr>
        <w:lastRenderedPageBreak/>
        <w:t>的添加目的和研发背景，包括涂层物质的选用理由或依据，添加涂层的临床意义等内容。对涂层的预期使用性能、覆盖率</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完整性、对产品的影响、临床上可能带来的风险进行分析，并对上述问题进行研究并逐一验证。</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产品若含有药物，应明确药物的名称、含量、预期使用目的、来源等。建议参考《以医疗器械作用为主的药械组合产品注册审查指导原则》提交相关研究资料，此外应关注颅内用药的风险。</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5.2</w:t>
      </w:r>
      <w:r w:rsidRPr="005B36C1">
        <w:rPr>
          <w:rFonts w:ascii="Times New Roman" w:eastAsia="仿宋_GB2312" w:hAnsi="Times New Roman"/>
          <w:bCs/>
          <w:sz w:val="32"/>
          <w:szCs w:val="32"/>
        </w:rPr>
        <w:t>原材料控制资料</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应逐一列明产品全部材料的化学名称、商品名</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材料代号、化学结构式</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分子式、分子量及分子量分布、供应商名称、符合的标准等基本信息，建议以列表的形式提供。</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说明原材料的选择理由，明确所用原材料的质控标准，提交原材料符合相应标准的证书或全性能验证报告。对于首次应用于该产品的新材料，应提供该材料适合用于人体预期使用部位、预期使用方式的相关研究资料。</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对生产加工过程中所使用的添加剂（辅剂、助剂、粘合剂等）的使用剂量、迁移物的控制措施和标准，提供验证性资料。对含有涂层、药物浸渍的产品，应详细说明涂层和药物的制备、涂层或浸渍工艺和原理。</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对于分流阀所采用的关键部件（如换挡拨片、弹簧）应进行耐疲劳试验，试验次数应能代表临床使用最恶劣情况（例如不小于</w:t>
      </w:r>
      <w:r w:rsidRPr="005B36C1">
        <w:rPr>
          <w:rFonts w:ascii="Times New Roman" w:eastAsia="仿宋_GB2312" w:hAnsi="Times New Roman"/>
          <w:bCs/>
          <w:sz w:val="32"/>
          <w:szCs w:val="32"/>
        </w:rPr>
        <w:t>100</w:t>
      </w:r>
      <w:r w:rsidRPr="005B36C1">
        <w:rPr>
          <w:rFonts w:ascii="Times New Roman" w:eastAsia="仿宋_GB2312" w:hAnsi="Times New Roman"/>
          <w:bCs/>
          <w:sz w:val="32"/>
          <w:szCs w:val="32"/>
        </w:rPr>
        <w:t>万次），试验条件及方法应模拟临床实际使用情况（考虑永久植入、植入部位的环境、温度等）。</w:t>
      </w:r>
    </w:p>
    <w:p w:rsidR="00B3168A" w:rsidRPr="005B36C1" w:rsidRDefault="00813DF8">
      <w:pPr>
        <w:tabs>
          <w:tab w:val="left" w:pos="540"/>
        </w:tabs>
        <w:spacing w:line="520" w:lineRule="exact"/>
        <w:ind w:firstLineChars="200" w:firstLine="640"/>
        <w:outlineLvl w:val="2"/>
        <w:rPr>
          <w:rFonts w:ascii="Times New Roman" w:eastAsia="仿宋_GB2312" w:hAnsi="Times New Roman"/>
          <w:sz w:val="32"/>
          <w:szCs w:val="32"/>
        </w:rPr>
      </w:pPr>
      <w:r w:rsidRPr="005B36C1">
        <w:rPr>
          <w:rFonts w:ascii="Times New Roman" w:eastAsia="仿宋_GB2312" w:hAnsi="Times New Roman"/>
          <w:bCs/>
          <w:sz w:val="32"/>
          <w:szCs w:val="32"/>
        </w:rPr>
        <w:t>5.3</w:t>
      </w:r>
      <w:r w:rsidRPr="005B36C1">
        <w:rPr>
          <w:rFonts w:ascii="Times New Roman" w:eastAsia="仿宋_GB2312" w:hAnsi="Times New Roman"/>
          <w:bCs/>
          <w:sz w:val="32"/>
          <w:szCs w:val="32"/>
        </w:rPr>
        <w:t>生物学特性研究</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一次性使用脑积水分流器应根据与人体的接触部位、接</w:t>
      </w:r>
      <w:r w:rsidRPr="005B36C1">
        <w:rPr>
          <w:rFonts w:ascii="Times New Roman" w:eastAsia="仿宋_GB2312" w:hAnsi="Times New Roman"/>
          <w:sz w:val="32"/>
          <w:szCs w:val="32"/>
        </w:rPr>
        <w:lastRenderedPageBreak/>
        <w:t>触方式及接触时间，依据</w:t>
      </w:r>
      <w:r w:rsidRPr="005B36C1">
        <w:rPr>
          <w:rFonts w:ascii="Times New Roman" w:eastAsia="仿宋_GB2312" w:hAnsi="Times New Roman"/>
          <w:sz w:val="32"/>
          <w:szCs w:val="32"/>
        </w:rPr>
        <w:t>GB/T 16886.1</w:t>
      </w:r>
      <w:r w:rsidRPr="005B36C1">
        <w:rPr>
          <w:rFonts w:ascii="Times New Roman" w:eastAsia="仿宋_GB2312" w:hAnsi="Times New Roman"/>
          <w:sz w:val="32"/>
          <w:szCs w:val="32"/>
        </w:rPr>
        <w:t>进行生物相容性评价。该产品接触类型为与组织（分流入心血管系统则为组织和血液）持久接触（＞</w:t>
      </w:r>
      <w:r w:rsidRPr="005B36C1">
        <w:rPr>
          <w:rFonts w:ascii="Times New Roman" w:eastAsia="仿宋_GB2312" w:hAnsi="Times New Roman"/>
          <w:sz w:val="32"/>
          <w:szCs w:val="32"/>
        </w:rPr>
        <w:t>30</w:t>
      </w:r>
      <w:r w:rsidRPr="005B36C1">
        <w:rPr>
          <w:rFonts w:ascii="Times New Roman" w:eastAsia="仿宋_GB2312" w:hAnsi="Times New Roman"/>
          <w:sz w:val="32"/>
          <w:szCs w:val="32"/>
        </w:rPr>
        <w:t>天）的植入器械。若有其他接触方式的产品，应详细描述产品所用的材料及与人体接触的性质。</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应按照产品与人体的接触方式和累积接触时间来选择合适的生物学评价终点。</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5.4</w:t>
      </w:r>
      <w:r w:rsidRPr="005B36C1">
        <w:rPr>
          <w:rFonts w:ascii="Times New Roman" w:eastAsia="仿宋_GB2312" w:hAnsi="Times New Roman"/>
          <w:bCs/>
          <w:sz w:val="32"/>
          <w:szCs w:val="32"/>
        </w:rPr>
        <w:t>生物安全性研究</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若产品带有包含动物源性成分物质的涂层或其他组成，应参考《动物源性医疗器械注册技术审查指导原则》提交研究资料。</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5.5</w:t>
      </w:r>
      <w:r w:rsidRPr="005B36C1">
        <w:rPr>
          <w:rFonts w:ascii="Times New Roman" w:eastAsia="仿宋_GB2312" w:hAnsi="Times New Roman"/>
          <w:bCs/>
          <w:sz w:val="32"/>
          <w:szCs w:val="32"/>
        </w:rPr>
        <w:t>灭菌研究</w:t>
      </w:r>
    </w:p>
    <w:p w:rsidR="00B3168A" w:rsidRPr="005B36C1" w:rsidRDefault="00813DF8">
      <w:pPr>
        <w:spacing w:line="520" w:lineRule="exact"/>
        <w:ind w:firstLineChars="200" w:firstLine="640"/>
        <w:rPr>
          <w:rFonts w:ascii="Times New Roman" w:eastAsia="仿宋_GB2312" w:hAnsi="Times New Roman"/>
          <w:sz w:val="32"/>
          <w:szCs w:val="32"/>
        </w:rPr>
      </w:pPr>
      <w:bookmarkStart w:id="7" w:name="_Toc15478"/>
      <w:bookmarkStart w:id="8" w:name="_Toc13054"/>
      <w:r w:rsidRPr="005B36C1">
        <w:rPr>
          <w:rFonts w:ascii="Times New Roman" w:eastAsia="仿宋_GB2312" w:hAnsi="Times New Roman"/>
          <w:sz w:val="32"/>
          <w:szCs w:val="32"/>
        </w:rPr>
        <w:t>提交产品灭菌方法的选择依据及验证报告。器械的灭菌应通过</w:t>
      </w:r>
      <w:r w:rsidRPr="005B36C1">
        <w:rPr>
          <w:rFonts w:ascii="Times New Roman" w:eastAsia="仿宋_GB2312" w:hAnsi="Times New Roman"/>
          <w:sz w:val="32"/>
          <w:szCs w:val="32"/>
        </w:rPr>
        <w:t>GB 18280</w:t>
      </w:r>
      <w:r w:rsidRPr="005B36C1">
        <w:rPr>
          <w:rFonts w:ascii="Times New Roman" w:eastAsia="仿宋_GB2312" w:hAnsi="Times New Roman"/>
          <w:sz w:val="32"/>
          <w:szCs w:val="32"/>
        </w:rPr>
        <w:t>《医疗保健产品灭菌辐射》系列标准、</w:t>
      </w:r>
      <w:r w:rsidRPr="005B36C1">
        <w:rPr>
          <w:rFonts w:ascii="Times New Roman" w:eastAsia="仿宋_GB2312" w:hAnsi="Times New Roman"/>
          <w:sz w:val="32"/>
          <w:szCs w:val="32"/>
        </w:rPr>
        <w:t>GB 18279</w:t>
      </w:r>
      <w:r w:rsidRPr="005B36C1">
        <w:rPr>
          <w:rFonts w:ascii="Times New Roman" w:eastAsia="仿宋_GB2312" w:hAnsi="Times New Roman"/>
          <w:sz w:val="32"/>
          <w:szCs w:val="32"/>
        </w:rPr>
        <w:t>《医疗保健产品灭菌</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环氧乙烷》系列标准、</w:t>
      </w:r>
      <w:r w:rsidRPr="005B36C1">
        <w:rPr>
          <w:rFonts w:ascii="Times New Roman" w:eastAsia="仿宋_GB2312" w:hAnsi="Times New Roman"/>
          <w:color w:val="333333"/>
          <w:sz w:val="32"/>
          <w:szCs w:val="32"/>
          <w:shd w:val="clear" w:color="auto" w:fill="FFFFFF"/>
        </w:rPr>
        <w:t xml:space="preserve">GB </w:t>
      </w:r>
      <w:r w:rsidRPr="005B36C1">
        <w:rPr>
          <w:rFonts w:ascii="Times New Roman" w:eastAsia="仿宋_GB2312" w:hAnsi="Times New Roman"/>
          <w:sz w:val="32"/>
          <w:szCs w:val="32"/>
        </w:rPr>
        <w:t>18278.1</w:t>
      </w:r>
      <w:r w:rsidRPr="005B36C1">
        <w:rPr>
          <w:rFonts w:ascii="Times New Roman" w:eastAsia="仿宋_GB2312" w:hAnsi="Times New Roman"/>
          <w:sz w:val="32"/>
          <w:szCs w:val="32"/>
        </w:rPr>
        <w:t>《医疗保健产品灭菌</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湿热</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第</w:t>
      </w:r>
      <w:r w:rsidRPr="005B36C1">
        <w:rPr>
          <w:rFonts w:ascii="Times New Roman" w:eastAsia="仿宋_GB2312" w:hAnsi="Times New Roman"/>
          <w:sz w:val="32"/>
          <w:szCs w:val="32"/>
        </w:rPr>
        <w:t>1</w:t>
      </w:r>
      <w:r w:rsidRPr="005B36C1">
        <w:rPr>
          <w:rFonts w:ascii="Times New Roman" w:eastAsia="仿宋_GB2312" w:hAnsi="Times New Roman"/>
          <w:sz w:val="32"/>
          <w:szCs w:val="32"/>
        </w:rPr>
        <w:t>部分</w:t>
      </w:r>
      <w:r w:rsidRPr="005B36C1">
        <w:rPr>
          <w:rFonts w:ascii="Times New Roman" w:eastAsia="仿宋_GB2312" w:hAnsi="Times New Roman"/>
          <w:sz w:val="32"/>
          <w:szCs w:val="32"/>
        </w:rPr>
        <w:t xml:space="preserve"> </w:t>
      </w:r>
      <w:r w:rsidRPr="005B36C1">
        <w:rPr>
          <w:rFonts w:ascii="Times New Roman" w:eastAsia="仿宋_GB2312" w:hAnsi="Times New Roman"/>
          <w:sz w:val="32"/>
          <w:szCs w:val="32"/>
        </w:rPr>
        <w:t>医疗器械灭菌过程的开发、确认和常规》</w:t>
      </w:r>
      <w:r w:rsidRPr="005B36C1">
        <w:rPr>
          <w:rFonts w:ascii="Times New Roman" w:eastAsia="仿宋_GB2312" w:hAnsi="Times New Roman"/>
          <w:color w:val="333333"/>
          <w:sz w:val="32"/>
          <w:szCs w:val="32"/>
          <w:shd w:val="clear" w:color="auto" w:fill="FFFFFF"/>
        </w:rPr>
        <w:t>和</w:t>
      </w:r>
      <w:r w:rsidRPr="005B36C1">
        <w:rPr>
          <w:rFonts w:ascii="Times New Roman" w:eastAsia="仿宋_GB2312" w:hAnsi="Times New Roman"/>
          <w:sz w:val="32"/>
          <w:szCs w:val="32"/>
        </w:rPr>
        <w:t>GB/T 16886.7</w:t>
      </w:r>
      <w:r w:rsidRPr="005B36C1">
        <w:rPr>
          <w:rFonts w:ascii="Times New Roman" w:eastAsia="仿宋_GB2312" w:hAnsi="Times New Roman"/>
          <w:sz w:val="32"/>
          <w:szCs w:val="32"/>
        </w:rPr>
        <w:t>《医疗器械生物学评价第</w:t>
      </w:r>
      <w:r w:rsidRPr="005B36C1">
        <w:rPr>
          <w:rFonts w:ascii="Times New Roman" w:eastAsia="仿宋_GB2312" w:hAnsi="Times New Roman"/>
          <w:sz w:val="32"/>
          <w:szCs w:val="32"/>
        </w:rPr>
        <w:t>7</w:t>
      </w:r>
      <w:r w:rsidRPr="005B36C1">
        <w:rPr>
          <w:rFonts w:ascii="Times New Roman" w:eastAsia="仿宋_GB2312" w:hAnsi="Times New Roman"/>
          <w:sz w:val="32"/>
          <w:szCs w:val="32"/>
        </w:rPr>
        <w:t>部分：环氧乙烷灭菌残留量》等确认并进行常规控制，无菌保证水平应保证（</w:t>
      </w:r>
      <w:r w:rsidRPr="005B36C1">
        <w:rPr>
          <w:rFonts w:ascii="Times New Roman" w:eastAsia="仿宋_GB2312" w:hAnsi="Times New Roman"/>
          <w:sz w:val="32"/>
          <w:szCs w:val="32"/>
        </w:rPr>
        <w:t>SAL</w:t>
      </w:r>
      <w:r w:rsidRPr="005B36C1">
        <w:rPr>
          <w:rFonts w:ascii="Times New Roman" w:eastAsia="仿宋_GB2312" w:hAnsi="Times New Roman"/>
          <w:sz w:val="32"/>
          <w:szCs w:val="32"/>
        </w:rPr>
        <w:t>）达到</w:t>
      </w:r>
      <w:r w:rsidRPr="005B36C1">
        <w:rPr>
          <w:rFonts w:ascii="Times New Roman" w:eastAsia="仿宋_GB2312" w:hAnsi="Times New Roman"/>
          <w:sz w:val="32"/>
          <w:szCs w:val="32"/>
        </w:rPr>
        <w:t>1×10</w:t>
      </w:r>
      <w:r w:rsidRPr="005B36C1">
        <w:rPr>
          <w:rFonts w:ascii="Times New Roman" w:eastAsia="仿宋_GB2312" w:hAnsi="Times New Roman"/>
          <w:sz w:val="32"/>
          <w:szCs w:val="32"/>
          <w:vertAlign w:val="superscript"/>
        </w:rPr>
        <w:t>－</w:t>
      </w:r>
      <w:r w:rsidRPr="005B36C1">
        <w:rPr>
          <w:rFonts w:ascii="Times New Roman" w:eastAsia="仿宋_GB2312" w:hAnsi="Times New Roman"/>
          <w:sz w:val="32"/>
          <w:szCs w:val="32"/>
          <w:vertAlign w:val="superscript"/>
        </w:rPr>
        <w:t>6</w:t>
      </w:r>
      <w:r w:rsidRPr="005B36C1">
        <w:rPr>
          <w:rFonts w:ascii="Times New Roman" w:eastAsia="仿宋_GB2312" w:hAnsi="Times New Roman"/>
          <w:sz w:val="32"/>
          <w:szCs w:val="32"/>
        </w:rPr>
        <w:t>。</w:t>
      </w:r>
    </w:p>
    <w:p w:rsidR="00B3168A" w:rsidRPr="005B36C1" w:rsidRDefault="00813DF8">
      <w:pPr>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灭菌过程的选择应考虑以下因素：产品与灭菌过程间的适应性；包装材料与灭菌过程的适应性。若灭菌使用的方法易出现残留，应明确残留物的名称、限量及其确定依据、采取的处理措施及相应的残留量检测报告。</w:t>
      </w:r>
      <w:bookmarkEnd w:id="7"/>
      <w:bookmarkEnd w:id="8"/>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5.6</w:t>
      </w:r>
      <w:r w:rsidRPr="005B36C1">
        <w:rPr>
          <w:rFonts w:ascii="Times New Roman" w:eastAsia="仿宋_GB2312" w:hAnsi="Times New Roman"/>
          <w:bCs/>
          <w:sz w:val="32"/>
          <w:szCs w:val="32"/>
        </w:rPr>
        <w:t>临床前动物试验</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若产品为新型结构设计、新型作用机理、药械组合产品等特殊情况，必要时开展动物试验，可参照《医疗器械动物试验研究注册审查指导原则》进行。</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lastRenderedPageBreak/>
        <w:t>6.</w:t>
      </w:r>
      <w:r w:rsidRPr="005B36C1">
        <w:rPr>
          <w:rFonts w:ascii="Times New Roman" w:eastAsia="仿宋_GB2312" w:hAnsi="Times New Roman"/>
          <w:bCs/>
          <w:sz w:val="32"/>
          <w:szCs w:val="32"/>
        </w:rPr>
        <w:t>稳定性研究</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6.1</w:t>
      </w:r>
      <w:r w:rsidRPr="005B36C1">
        <w:rPr>
          <w:rFonts w:ascii="Times New Roman" w:eastAsia="仿宋_GB2312" w:hAnsi="Times New Roman"/>
          <w:bCs/>
          <w:sz w:val="32"/>
          <w:szCs w:val="32"/>
        </w:rPr>
        <w:t>货架有效期</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产品货架有效期是指产品在一定的温度、湿度、光线等条件的影响下保持其物理、化学、生物学和微生物学性质满足适用要求的期限。有效期的研究应贯穿于产品研究与开发的全过程，在产品上市后还应继续进行有效期的研究。</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货架有效期包括产品有效期和包装有效期。产品有效期验证可采用加速老化或实时老化的研究。加速老化研究试验的具体要求可参考</w:t>
      </w:r>
      <w:r w:rsidRPr="005B36C1">
        <w:rPr>
          <w:rFonts w:ascii="Times New Roman" w:eastAsia="仿宋_GB2312" w:hAnsi="Times New Roman"/>
          <w:bCs/>
          <w:sz w:val="32"/>
          <w:szCs w:val="32"/>
        </w:rPr>
        <w:t>YY/T 0681.1</w:t>
      </w:r>
      <w:r w:rsidRPr="005B36C1">
        <w:rPr>
          <w:rFonts w:ascii="Times New Roman" w:eastAsia="仿宋_GB2312" w:hAnsi="Times New Roman"/>
          <w:bCs/>
          <w:sz w:val="32"/>
          <w:szCs w:val="32"/>
        </w:rPr>
        <w:t>。在进行加速老化试验研究时应注意：产品选择的环境条件的老化机制应与宣称的贮存、运输环境条件下产品老化的机制相匹配。对于材料退化性能不适合加速老化的产品应进行实时老化。有效期研究中应监测整个有效期内确保产品安全性和有效性的性能指标，并提交所选择测试方法的验证资料。</w:t>
      </w:r>
    </w:p>
    <w:p w:rsidR="00B3168A" w:rsidRPr="005B36C1" w:rsidRDefault="00813DF8">
      <w:pPr>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对于包装的有效期验证，建议提交最终成品包装的初始完整性和维持完整性的检测结果。产品包装验证可依据有关国内、国际标准进行（如</w:t>
      </w:r>
      <w:r w:rsidRPr="005B36C1">
        <w:rPr>
          <w:rFonts w:ascii="Times New Roman" w:eastAsia="仿宋_GB2312" w:hAnsi="Times New Roman"/>
          <w:bCs/>
          <w:sz w:val="32"/>
          <w:szCs w:val="32"/>
        </w:rPr>
        <w:t>GB/T 19633</w:t>
      </w:r>
      <w:r w:rsidRPr="005B36C1">
        <w:rPr>
          <w:rFonts w:ascii="Times New Roman" w:eastAsia="仿宋_GB2312" w:hAnsi="Times New Roman"/>
          <w:bCs/>
          <w:sz w:val="32"/>
          <w:szCs w:val="32"/>
        </w:rPr>
        <w:t>《最终灭菌医疗器械包装》系列标准、</w:t>
      </w:r>
      <w:r w:rsidRPr="005B36C1">
        <w:rPr>
          <w:rFonts w:ascii="Times New Roman" w:eastAsia="仿宋_GB2312" w:hAnsi="Times New Roman"/>
          <w:bCs/>
          <w:sz w:val="32"/>
          <w:szCs w:val="32"/>
        </w:rPr>
        <w:t>YY/T 0681</w:t>
      </w:r>
      <w:r w:rsidRPr="005B36C1">
        <w:rPr>
          <w:rFonts w:ascii="Times New Roman" w:eastAsia="仿宋_GB2312" w:hAnsi="Times New Roman"/>
          <w:bCs/>
          <w:sz w:val="32"/>
          <w:szCs w:val="32"/>
        </w:rPr>
        <w:t>《无菌医疗器械包装试验方法》系列标准等）进行。包装验证的资料内容应与包装说明中给出的信息相符。</w:t>
      </w:r>
    </w:p>
    <w:p w:rsidR="00B3168A" w:rsidRPr="005B36C1" w:rsidRDefault="00813DF8">
      <w:pPr>
        <w:tabs>
          <w:tab w:val="left" w:pos="540"/>
        </w:tabs>
        <w:spacing w:line="520" w:lineRule="exact"/>
        <w:ind w:firstLineChars="200" w:firstLine="640"/>
        <w:outlineLvl w:val="2"/>
        <w:rPr>
          <w:rFonts w:ascii="Times New Roman" w:eastAsia="仿宋_GB2312" w:hAnsi="Times New Roman"/>
          <w:bCs/>
          <w:sz w:val="32"/>
          <w:szCs w:val="32"/>
        </w:rPr>
      </w:pPr>
      <w:r w:rsidRPr="005B36C1">
        <w:rPr>
          <w:rFonts w:ascii="Times New Roman" w:eastAsia="仿宋_GB2312" w:hAnsi="Times New Roman"/>
          <w:bCs/>
          <w:sz w:val="32"/>
          <w:szCs w:val="32"/>
        </w:rPr>
        <w:t>6.2</w:t>
      </w:r>
      <w:r w:rsidRPr="005B36C1">
        <w:rPr>
          <w:rFonts w:ascii="Times New Roman" w:eastAsia="仿宋_GB2312" w:hAnsi="Times New Roman"/>
          <w:bCs/>
          <w:sz w:val="32"/>
          <w:szCs w:val="32"/>
        </w:rPr>
        <w:t>运输稳定性</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应当提供运输稳定性和包装研究资料，证明在生产企业规定的运输条件下（如适宜的温度、湿度、震动、振动、压力等），运输过程不会对医疗器械的特性和性能，包括完整性和清洁度，造成不利影响。</w:t>
      </w:r>
    </w:p>
    <w:p w:rsidR="00B3168A" w:rsidRPr="005B36C1" w:rsidRDefault="00813DF8">
      <w:pPr>
        <w:spacing w:line="520" w:lineRule="exact"/>
        <w:ind w:firstLineChars="200" w:firstLine="640"/>
        <w:outlineLvl w:val="1"/>
        <w:rPr>
          <w:rFonts w:ascii="Times New Roman" w:eastAsia="楷体_GB2312" w:hAnsi="Times New Roman"/>
          <w:color w:val="000000"/>
          <w:sz w:val="32"/>
          <w:szCs w:val="32"/>
        </w:rPr>
      </w:pPr>
      <w:r w:rsidRPr="005B36C1">
        <w:rPr>
          <w:rFonts w:ascii="Times New Roman" w:eastAsia="楷体_GB2312" w:hAnsi="Times New Roman"/>
          <w:color w:val="000000"/>
          <w:sz w:val="32"/>
          <w:szCs w:val="32"/>
        </w:rPr>
        <w:t>（四）临床评价资料</w:t>
      </w:r>
    </w:p>
    <w:p w:rsidR="00B3168A" w:rsidRPr="005B36C1" w:rsidRDefault="00813DF8">
      <w:pPr>
        <w:pStyle w:val="af0"/>
        <w:spacing w:line="520" w:lineRule="exact"/>
        <w:ind w:firstLine="640"/>
        <w:rPr>
          <w:rFonts w:ascii="Times New Roman" w:eastAsia="仿宋_GB2312" w:hAnsi="Times New Roman"/>
          <w:sz w:val="32"/>
          <w:szCs w:val="32"/>
        </w:rPr>
      </w:pPr>
      <w:r w:rsidRPr="005B36C1">
        <w:rPr>
          <w:rFonts w:ascii="Times New Roman" w:eastAsia="仿宋_GB2312" w:hAnsi="Times New Roman"/>
          <w:sz w:val="32"/>
          <w:szCs w:val="32"/>
        </w:rPr>
        <w:lastRenderedPageBreak/>
        <w:t>该类产品不属于免于进行临床评价目录内产品。在满足注册法规要求的前提下，可按照《医疗器械临床评价技术指导原则》来论证产品临床应用的安全有效性。</w:t>
      </w:r>
    </w:p>
    <w:p w:rsidR="00B3168A" w:rsidRPr="005B36C1" w:rsidRDefault="00813DF8">
      <w:pPr>
        <w:spacing w:line="520" w:lineRule="exact"/>
        <w:ind w:firstLineChars="150" w:firstLine="480"/>
        <w:outlineLvl w:val="1"/>
        <w:rPr>
          <w:rFonts w:ascii="Times New Roman" w:eastAsia="仿宋_GB2312" w:hAnsi="Times New Roman"/>
          <w:bCs/>
          <w:sz w:val="32"/>
          <w:szCs w:val="32"/>
        </w:rPr>
      </w:pPr>
      <w:bookmarkStart w:id="9" w:name="_Toc16988"/>
      <w:bookmarkStart w:id="10" w:name="_Toc31174"/>
      <w:bookmarkStart w:id="11" w:name="_Toc233025310"/>
      <w:r w:rsidRPr="005B36C1">
        <w:rPr>
          <w:rFonts w:ascii="Times New Roman" w:eastAsia="楷体_GB2312" w:hAnsi="Times New Roman"/>
          <w:bCs/>
          <w:sz w:val="32"/>
          <w:szCs w:val="32"/>
        </w:rPr>
        <w:t>（五）产品说明书</w:t>
      </w:r>
      <w:bookmarkEnd w:id="9"/>
      <w:bookmarkEnd w:id="10"/>
      <w:bookmarkEnd w:id="11"/>
      <w:r w:rsidRPr="005B36C1">
        <w:rPr>
          <w:rFonts w:ascii="Times New Roman" w:eastAsia="楷体_GB2312" w:hAnsi="Times New Roman"/>
          <w:bCs/>
          <w:sz w:val="32"/>
          <w:szCs w:val="32"/>
        </w:rPr>
        <w:t>和标签样稿</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产品说明书、标签和包装标识应符合《医疗器械说明书和标签管理规定》及行业标准</w:t>
      </w:r>
      <w:r w:rsidRPr="005B36C1">
        <w:rPr>
          <w:rFonts w:ascii="Times New Roman" w:eastAsia="仿宋_GB2312" w:hAnsi="Times New Roman"/>
          <w:sz w:val="32"/>
          <w:szCs w:val="32"/>
        </w:rPr>
        <w:t>YY/T 0487</w:t>
      </w:r>
      <w:r w:rsidRPr="005B36C1">
        <w:rPr>
          <w:rFonts w:ascii="Times New Roman" w:eastAsia="仿宋_GB2312" w:hAnsi="Times New Roman"/>
          <w:sz w:val="32"/>
          <w:szCs w:val="32"/>
        </w:rPr>
        <w:t>中的相关要求。所提交的文本和标签样图应内容清晰、完整。说明书中所描述的临床适用范围、禁忌证、注意事项应与产品的临床资料保持一致。产品的描述、灭菌方式、货架有效期应与综述资料和研究资料中所描述及验证的内容一致。此外，还应特别注意以下内容：</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1.</w:t>
      </w:r>
      <w:r w:rsidRPr="005B36C1">
        <w:rPr>
          <w:rFonts w:ascii="Times New Roman" w:eastAsia="仿宋_GB2312" w:hAnsi="Times New Roman"/>
          <w:sz w:val="32"/>
          <w:szCs w:val="32"/>
        </w:rPr>
        <w:t>应列明所有相关的禁忌证。</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2.</w:t>
      </w:r>
      <w:r w:rsidRPr="005B36C1">
        <w:rPr>
          <w:rFonts w:ascii="Times New Roman" w:eastAsia="仿宋_GB2312" w:hAnsi="Times New Roman"/>
          <w:sz w:val="32"/>
          <w:szCs w:val="32"/>
        </w:rPr>
        <w:t>所有相关的警示信息，至少包括：</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适宜的植入部位及放置位置</w:t>
      </w:r>
      <w:r w:rsidRPr="005B36C1">
        <w:rPr>
          <w:rFonts w:ascii="Times New Roman" w:eastAsia="仿宋_GB2312" w:hAnsi="Times New Roman"/>
          <w:sz w:val="32"/>
          <w:szCs w:val="32"/>
        </w:rPr>
        <w:t>/</w:t>
      </w:r>
      <w:r w:rsidRPr="005B36C1">
        <w:rPr>
          <w:rFonts w:ascii="Times New Roman" w:eastAsia="仿宋_GB2312" w:hAnsi="Times New Roman"/>
          <w:sz w:val="32"/>
          <w:szCs w:val="32"/>
        </w:rPr>
        <w:t>角度，阀门应放置于易于感知的部位；</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已知的潜在并发症列表；</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与环境的兼容性（如暴露于磁场、微波、高电压等环境的影响）；</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与患者携带的其他器械的兼容性（如携带起搏器的患者，产品是否与起搏器有相互影响）；</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频繁的抽吸操作可能导致过度引流；</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患者体位的变化可能导致的影响；</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储液囊的穿刺次数限定及所使用穿刺针的规格；</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当产品组成或组分为已知或疑似致敏原时，应警告过敏者；</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所有列入警示信息内容，须得到相应研究资料支持。</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lastRenderedPageBreak/>
        <w:t>3.</w:t>
      </w:r>
      <w:r w:rsidRPr="005B36C1">
        <w:rPr>
          <w:rFonts w:ascii="Times New Roman" w:eastAsia="仿宋_GB2312" w:hAnsi="Times New Roman"/>
          <w:sz w:val="32"/>
          <w:szCs w:val="32"/>
        </w:rPr>
        <w:t>操作信息，至少包括：</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产品及患者的术前准备，包括产品植入前的性能测试和植入前调压操作内容；</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植入说明，包括手术方法和与产品特点相关的操作内容；</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植入后的调压操作及调压读数方法；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通过</w:t>
      </w:r>
      <w:r w:rsidRPr="005B36C1">
        <w:rPr>
          <w:rFonts w:ascii="Times New Roman" w:eastAsia="仿宋_GB2312" w:hAnsi="Times New Roman"/>
          <w:sz w:val="32"/>
          <w:szCs w:val="32"/>
        </w:rPr>
        <w:t>X</w:t>
      </w:r>
      <w:r w:rsidRPr="005B36C1">
        <w:rPr>
          <w:rFonts w:ascii="Times New Roman" w:eastAsia="仿宋_GB2312" w:hAnsi="Times New Roman"/>
          <w:sz w:val="32"/>
          <w:szCs w:val="32"/>
        </w:rPr>
        <w:t>光检查植入后产品情况的方法；</w:t>
      </w:r>
    </w:p>
    <w:p w:rsidR="00B3168A" w:rsidRPr="005B36C1" w:rsidRDefault="00813DF8">
      <w:pPr>
        <w:tabs>
          <w:tab w:val="left" w:pos="540"/>
        </w:tabs>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故障处理及措施。</w:t>
      </w:r>
    </w:p>
    <w:p w:rsidR="00B3168A" w:rsidRPr="005B36C1" w:rsidRDefault="00813DF8">
      <w:pPr>
        <w:spacing w:line="520" w:lineRule="exact"/>
        <w:ind w:firstLineChars="150" w:firstLine="480"/>
        <w:outlineLvl w:val="1"/>
        <w:rPr>
          <w:rFonts w:ascii="Times New Roman" w:eastAsia="楷体_GB2312" w:hAnsi="Times New Roman"/>
          <w:bCs/>
          <w:sz w:val="32"/>
          <w:szCs w:val="32"/>
        </w:rPr>
      </w:pPr>
      <w:bookmarkStart w:id="12" w:name="_Toc431215395"/>
      <w:bookmarkStart w:id="13" w:name="_Toc32556"/>
      <w:bookmarkStart w:id="14" w:name="_Toc8681"/>
      <w:bookmarkStart w:id="15" w:name="_Toc431215857"/>
      <w:r w:rsidRPr="005B36C1">
        <w:rPr>
          <w:rFonts w:ascii="Times New Roman" w:eastAsia="楷体_GB2312" w:hAnsi="Times New Roman"/>
          <w:bCs/>
          <w:sz w:val="32"/>
          <w:szCs w:val="32"/>
        </w:rPr>
        <w:t>（六）</w:t>
      </w:r>
      <w:bookmarkEnd w:id="12"/>
      <w:bookmarkEnd w:id="13"/>
      <w:bookmarkEnd w:id="14"/>
      <w:bookmarkEnd w:id="15"/>
      <w:r w:rsidRPr="005B36C1">
        <w:rPr>
          <w:rFonts w:ascii="Times New Roman" w:eastAsia="楷体_GB2312" w:hAnsi="Times New Roman"/>
          <w:bCs/>
          <w:sz w:val="32"/>
          <w:szCs w:val="32"/>
        </w:rPr>
        <w:t>质量管理体系文件</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按照《关于公布医疗器械注册申报资料要求和批准证明文件格式的公告》要求提交资料。</w:t>
      </w:r>
    </w:p>
    <w:p w:rsidR="00B3168A" w:rsidRPr="005B36C1" w:rsidRDefault="00813DF8">
      <w:pPr>
        <w:spacing w:line="520" w:lineRule="exact"/>
        <w:ind w:firstLineChars="200" w:firstLine="640"/>
        <w:outlineLvl w:val="0"/>
        <w:rPr>
          <w:rFonts w:ascii="Times New Roman" w:eastAsia="仿宋_GB2312" w:hAnsi="Times New Roman"/>
          <w:bCs/>
          <w:sz w:val="32"/>
          <w:szCs w:val="32"/>
        </w:rPr>
      </w:pPr>
      <w:bookmarkStart w:id="16" w:name="_Toc233025313"/>
      <w:bookmarkStart w:id="17" w:name="_Toc24950"/>
      <w:bookmarkStart w:id="18" w:name="_Toc1061"/>
      <w:r w:rsidRPr="005B36C1">
        <w:rPr>
          <w:rFonts w:ascii="Times New Roman" w:eastAsia="黑体" w:hAnsi="Times New Roman"/>
          <w:sz w:val="32"/>
          <w:szCs w:val="32"/>
        </w:rPr>
        <w:t>三、参考文献</w:t>
      </w:r>
      <w:bookmarkEnd w:id="16"/>
      <w:bookmarkEnd w:id="17"/>
      <w:bookmarkEnd w:id="18"/>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w:t>
      </w:r>
      <w:r w:rsidRPr="005B36C1">
        <w:rPr>
          <w:rFonts w:ascii="Times New Roman" w:eastAsia="仿宋_GB2312" w:hAnsi="Times New Roman"/>
          <w:color w:val="000000"/>
          <w:kern w:val="0"/>
          <w:sz w:val="32"/>
          <w:szCs w:val="32"/>
        </w:rPr>
        <w:t>中华人民共和国国务院</w:t>
      </w:r>
      <w:r w:rsidRPr="005B36C1">
        <w:rPr>
          <w:rFonts w:ascii="Times New Roman" w:eastAsia="仿宋_GB2312" w:hAnsi="Times New Roman"/>
          <w:color w:val="000000"/>
          <w:kern w:val="0"/>
          <w:sz w:val="32"/>
          <w:szCs w:val="32"/>
        </w:rPr>
        <w:t>.</w:t>
      </w:r>
      <w:r w:rsidRPr="005B36C1">
        <w:rPr>
          <w:rFonts w:ascii="Times New Roman" w:eastAsia="仿宋_GB2312" w:hAnsi="Times New Roman"/>
          <w:bCs/>
          <w:sz w:val="32"/>
          <w:szCs w:val="32"/>
        </w:rPr>
        <w:t>医疗器械监督管理条例</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中华人民共和国国务院令第</w:t>
      </w:r>
      <w:r w:rsidRPr="005B36C1">
        <w:rPr>
          <w:rFonts w:ascii="Times New Roman" w:eastAsia="仿宋_GB2312" w:hAnsi="Times New Roman"/>
          <w:bCs/>
          <w:sz w:val="32"/>
          <w:szCs w:val="32"/>
        </w:rPr>
        <w:t>739</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[2]</w:t>
      </w:r>
      <w:r w:rsidRPr="005B36C1">
        <w:rPr>
          <w:rFonts w:ascii="Times New Roman" w:eastAsia="仿宋_GB2312" w:hAnsi="Times New Roman"/>
          <w:color w:val="000000"/>
          <w:kern w:val="0"/>
          <w:sz w:val="32"/>
          <w:szCs w:val="32"/>
        </w:rPr>
        <w:t>国家市场监督管理总局</w:t>
      </w:r>
      <w:r w:rsidRPr="005B36C1">
        <w:rPr>
          <w:rFonts w:ascii="Times New Roman" w:eastAsia="仿宋_GB2312" w:hAnsi="Times New Roman"/>
          <w:color w:val="000000"/>
          <w:kern w:val="0"/>
          <w:sz w:val="32"/>
          <w:szCs w:val="32"/>
        </w:rPr>
        <w:t>.</w:t>
      </w:r>
      <w:r w:rsidRPr="005B36C1">
        <w:rPr>
          <w:rFonts w:ascii="Times New Roman" w:eastAsia="仿宋_GB2312" w:hAnsi="Times New Roman"/>
          <w:bCs/>
          <w:sz w:val="32"/>
          <w:szCs w:val="32"/>
        </w:rPr>
        <w:t>医疗器械注册与备案管理办法</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国家市场监督管理总局令第</w:t>
      </w:r>
      <w:r w:rsidRPr="005B36C1">
        <w:rPr>
          <w:rFonts w:ascii="Times New Roman" w:eastAsia="仿宋_GB2312" w:hAnsi="Times New Roman"/>
          <w:bCs/>
          <w:sz w:val="32"/>
          <w:szCs w:val="32"/>
        </w:rPr>
        <w:t>47</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sidRPr="005B36C1">
        <w:rPr>
          <w:rFonts w:ascii="Times New Roman" w:eastAsia="仿宋_GB2312" w:hAnsi="Times New Roman"/>
          <w:bCs/>
          <w:sz w:val="32"/>
          <w:szCs w:val="32"/>
        </w:rPr>
        <w:t>[3]</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关于公布医疗器械注册申报资料要求和批准证明文件格式的公告</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2021</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121</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[4]</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国家卫生健康委员会</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医疗器械临床试验质量管理规范</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国家卫生健康委员会</w:t>
      </w:r>
      <w:r w:rsidRPr="005B36C1">
        <w:rPr>
          <w:rFonts w:ascii="Times New Roman" w:eastAsia="仿宋_GB2312" w:hAnsi="Times New Roman"/>
          <w:bCs/>
          <w:sz w:val="32"/>
          <w:szCs w:val="32"/>
        </w:rPr>
        <w:t>2022</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28</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[5]</w:t>
      </w:r>
      <w:r w:rsidRPr="005B36C1">
        <w:rPr>
          <w:rFonts w:ascii="Times New Roman" w:eastAsia="仿宋_GB2312" w:hAnsi="Times New Roman"/>
          <w:bCs/>
          <w:sz w:val="32"/>
          <w:szCs w:val="32"/>
        </w:rPr>
        <w:t>国家食品药品监督管理总局</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医疗器械说明书和标签管理规定</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国家食品药品监督管理总局令第</w:t>
      </w:r>
      <w:r w:rsidRPr="005B36C1">
        <w:rPr>
          <w:rFonts w:ascii="Times New Roman" w:eastAsia="仿宋_GB2312" w:hAnsi="Times New Roman"/>
          <w:bCs/>
          <w:sz w:val="32"/>
          <w:szCs w:val="32"/>
        </w:rPr>
        <w:t>6</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[6]</w:t>
      </w:r>
      <w:r w:rsidRPr="005B36C1">
        <w:rPr>
          <w:rFonts w:ascii="Times New Roman" w:eastAsia="仿宋_GB2312" w:hAnsi="Times New Roman"/>
          <w:bCs/>
          <w:sz w:val="32"/>
          <w:szCs w:val="32"/>
        </w:rPr>
        <w:t>国家食品药品监督管理总局</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医疗器械分类目录</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国家食品药品监督管理总局</w:t>
      </w:r>
      <w:r w:rsidRPr="005B36C1">
        <w:rPr>
          <w:rFonts w:ascii="Times New Roman" w:eastAsia="仿宋_GB2312" w:hAnsi="Times New Roman"/>
          <w:bCs/>
          <w:sz w:val="32"/>
          <w:szCs w:val="32"/>
        </w:rPr>
        <w:t>2017</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104</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[7]</w:t>
      </w:r>
      <w:r w:rsidRPr="005B36C1">
        <w:rPr>
          <w:rFonts w:ascii="Times New Roman" w:eastAsia="仿宋_GB2312" w:hAnsi="Times New Roman"/>
          <w:bCs/>
          <w:sz w:val="32"/>
          <w:szCs w:val="32"/>
        </w:rPr>
        <w:t>国家食品药品监督管理总局</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医疗器械注册单元划分</w:t>
      </w:r>
      <w:r w:rsidRPr="005B36C1">
        <w:rPr>
          <w:rFonts w:ascii="Times New Roman" w:eastAsia="仿宋_GB2312" w:hAnsi="Times New Roman"/>
          <w:bCs/>
          <w:sz w:val="32"/>
          <w:szCs w:val="32"/>
        </w:rPr>
        <w:lastRenderedPageBreak/>
        <w:t>指导原则</w:t>
      </w:r>
      <w:r w:rsidRPr="005B36C1">
        <w:rPr>
          <w:rFonts w:ascii="Times New Roman" w:eastAsia="仿宋_GB2312" w:hAnsi="Times New Roman"/>
          <w:bCs/>
          <w:sz w:val="32"/>
          <w:szCs w:val="32"/>
        </w:rPr>
        <w:t>:</w:t>
      </w:r>
      <w:r w:rsidRPr="005B36C1">
        <w:rPr>
          <w:rFonts w:ascii="Times New Roman" w:hAnsi="Times New Roman"/>
        </w:rPr>
        <w:t xml:space="preserve"> </w:t>
      </w:r>
      <w:r w:rsidRPr="005B36C1">
        <w:rPr>
          <w:rFonts w:ascii="Times New Roman" w:eastAsia="仿宋_GB2312" w:hAnsi="Times New Roman"/>
          <w:bCs/>
          <w:sz w:val="32"/>
          <w:szCs w:val="32"/>
        </w:rPr>
        <w:t>国家食品药品监督管理总局通告</w:t>
      </w:r>
      <w:r w:rsidRPr="005B36C1">
        <w:rPr>
          <w:rFonts w:ascii="Times New Roman" w:eastAsia="仿宋_GB2312" w:hAnsi="Times New Roman"/>
          <w:bCs/>
          <w:sz w:val="32"/>
          <w:szCs w:val="32"/>
        </w:rPr>
        <w:t>2017</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187</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[8]</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医疗器械临床评价技术指导原则</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国家药品监督管理局</w:t>
      </w:r>
      <w:r w:rsidRPr="005B36C1">
        <w:rPr>
          <w:rFonts w:ascii="Times New Roman" w:eastAsia="仿宋_GB2312" w:hAnsi="Times New Roman"/>
          <w:bCs/>
          <w:sz w:val="32"/>
          <w:szCs w:val="32"/>
        </w:rPr>
        <w:t>2021</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73</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[9]YY/T 0487-2010</w:t>
      </w:r>
      <w:r w:rsidRPr="005B36C1">
        <w:rPr>
          <w:rFonts w:ascii="Times New Roman" w:eastAsia="仿宋_GB2312" w:hAnsi="Times New Roman"/>
          <w:bCs/>
          <w:sz w:val="32"/>
          <w:szCs w:val="32"/>
        </w:rPr>
        <w:t>，一次性使用无菌脑积水分流器及组件</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[10]GB/T 16886.1-2022</w:t>
      </w:r>
      <w:r w:rsidRPr="005B36C1">
        <w:rPr>
          <w:rFonts w:ascii="Times New Roman" w:eastAsia="仿宋_GB2312" w:hAnsi="Times New Roman"/>
          <w:bCs/>
          <w:sz w:val="32"/>
          <w:szCs w:val="32"/>
        </w:rPr>
        <w:t>，医疗器械生物学评价</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部分：风险管理过程中的评价与试验</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[11]GB 18278.1-2015</w:t>
      </w:r>
      <w:r w:rsidRPr="005B36C1">
        <w:rPr>
          <w:rFonts w:ascii="Times New Roman" w:eastAsia="仿宋_GB2312" w:hAnsi="Times New Roman"/>
          <w:bCs/>
          <w:sz w:val="32"/>
          <w:szCs w:val="32"/>
        </w:rPr>
        <w:t>，医疗保健产品灭菌</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湿热</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医疗器械灭菌过程的开发、确认和常规控制要求</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[12]GB 18280.1-2015</w:t>
      </w:r>
      <w:r w:rsidRPr="005B36C1">
        <w:rPr>
          <w:rFonts w:ascii="Times New Roman" w:eastAsia="仿宋_GB2312" w:hAnsi="Times New Roman"/>
          <w:bCs/>
          <w:sz w:val="32"/>
          <w:szCs w:val="32"/>
        </w:rPr>
        <w:t>，医疗保健产品灭菌</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辐射</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部分：医疗器械灭菌过程的开发、确认和常规控制要求</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[13]GB 18279.1-2015</w:t>
      </w:r>
      <w:r w:rsidRPr="005B36C1">
        <w:rPr>
          <w:rFonts w:ascii="Times New Roman" w:eastAsia="仿宋_GB2312" w:hAnsi="Times New Roman"/>
          <w:bCs/>
          <w:sz w:val="32"/>
          <w:szCs w:val="32"/>
        </w:rPr>
        <w:t>，医疗保健产品灭菌</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环氧乙烷灭菌第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部分：医疗器械灭菌过程的开发、确认和常规控制的要求</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[14]</w:t>
      </w:r>
      <w:r w:rsidRPr="005B36C1">
        <w:rPr>
          <w:rFonts w:ascii="Times New Roman" w:eastAsia="仿宋_GB2312" w:hAnsi="Times New Roman"/>
          <w:sz w:val="32"/>
          <w:szCs w:val="32"/>
        </w:rPr>
        <w:t>GB/T 16886.7-2015</w:t>
      </w:r>
      <w:r w:rsidRPr="005B36C1">
        <w:rPr>
          <w:rFonts w:ascii="Times New Roman" w:eastAsia="仿宋_GB2312" w:hAnsi="Times New Roman"/>
          <w:sz w:val="32"/>
          <w:szCs w:val="32"/>
        </w:rPr>
        <w:t>，医疗器械生物学评价第</w:t>
      </w:r>
      <w:r w:rsidRPr="005B36C1">
        <w:rPr>
          <w:rFonts w:ascii="Times New Roman" w:eastAsia="仿宋_GB2312" w:hAnsi="Times New Roman"/>
          <w:sz w:val="32"/>
          <w:szCs w:val="32"/>
        </w:rPr>
        <w:t>7</w:t>
      </w:r>
      <w:r w:rsidRPr="005B36C1">
        <w:rPr>
          <w:rFonts w:ascii="Times New Roman" w:eastAsia="仿宋_GB2312" w:hAnsi="Times New Roman"/>
          <w:sz w:val="32"/>
          <w:szCs w:val="32"/>
        </w:rPr>
        <w:t>部分：环氧乙烷灭菌残留量</w:t>
      </w:r>
      <w:r w:rsidRPr="005B36C1">
        <w:rPr>
          <w:rFonts w:ascii="Times New Roman" w:eastAsia="仿宋_GB2312" w:hAnsi="Times New Roman"/>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[15]GB/T 19633.1-2015</w:t>
      </w:r>
      <w:r w:rsidRPr="005B36C1">
        <w:rPr>
          <w:rFonts w:ascii="Times New Roman" w:eastAsia="仿宋_GB2312" w:hAnsi="Times New Roman"/>
          <w:bCs/>
          <w:sz w:val="32"/>
          <w:szCs w:val="32"/>
        </w:rPr>
        <w:t>，最终灭菌医疗器械包装</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部分：材料、无菌屏障系统和包装系统的要求</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[16]YY/T 0681.1-2018</w:t>
      </w:r>
      <w:r w:rsidRPr="005B36C1">
        <w:rPr>
          <w:rFonts w:ascii="Times New Roman" w:eastAsia="仿宋_GB2312" w:hAnsi="Times New Roman"/>
          <w:bCs/>
          <w:sz w:val="32"/>
          <w:szCs w:val="32"/>
        </w:rPr>
        <w:t>，无菌医疗器械包装试验方法</w:t>
      </w:r>
      <w:r w:rsidRPr="005B36C1">
        <w:rPr>
          <w:rFonts w:ascii="Times New Roman" w:eastAsia="仿宋_GB2312" w:hAnsi="Times New Roman"/>
          <w:bCs/>
          <w:sz w:val="32"/>
          <w:szCs w:val="32"/>
        </w:rPr>
        <w:t xml:space="preserve"> </w:t>
      </w:r>
      <w:r w:rsidRPr="005B36C1">
        <w:rPr>
          <w:rFonts w:ascii="Times New Roman" w:eastAsia="仿宋_GB2312" w:hAnsi="Times New Roman"/>
          <w:bCs/>
          <w:sz w:val="32"/>
          <w:szCs w:val="32"/>
        </w:rPr>
        <w:t>第</w:t>
      </w:r>
      <w:r w:rsidRPr="005B36C1">
        <w:rPr>
          <w:rFonts w:ascii="Times New Roman" w:eastAsia="仿宋_GB2312" w:hAnsi="Times New Roman"/>
          <w:bCs/>
          <w:sz w:val="32"/>
          <w:szCs w:val="32"/>
        </w:rPr>
        <w:t>1</w:t>
      </w:r>
      <w:r w:rsidRPr="005B36C1">
        <w:rPr>
          <w:rFonts w:ascii="Times New Roman" w:eastAsia="仿宋_GB2312" w:hAnsi="Times New Roman"/>
          <w:bCs/>
          <w:sz w:val="32"/>
          <w:szCs w:val="32"/>
        </w:rPr>
        <w:t>部分：加速老化试验指南</w:t>
      </w:r>
      <w:r w:rsidRPr="005B36C1">
        <w:rPr>
          <w:rFonts w:ascii="Times New Roman" w:eastAsia="仿宋_GB2312" w:hAnsi="Times New Roman"/>
          <w:bCs/>
          <w:sz w:val="32"/>
          <w:szCs w:val="32"/>
        </w:rPr>
        <w:t>[S].</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[17]</w:t>
      </w:r>
      <w:r w:rsidRPr="005B36C1">
        <w:rPr>
          <w:rFonts w:ascii="Times New Roman" w:eastAsia="仿宋_GB2312" w:hAnsi="Times New Roman"/>
          <w:sz w:val="32"/>
          <w:szCs w:val="32"/>
        </w:rPr>
        <w:t>国家药品监督管理局</w:t>
      </w:r>
      <w:r w:rsidRPr="005B36C1">
        <w:rPr>
          <w:rFonts w:ascii="Times New Roman" w:eastAsia="仿宋_GB2312" w:hAnsi="Times New Roman"/>
          <w:sz w:val="32"/>
          <w:szCs w:val="32"/>
        </w:rPr>
        <w:t>.</w:t>
      </w:r>
      <w:r w:rsidRPr="005B36C1">
        <w:rPr>
          <w:rFonts w:ascii="Times New Roman" w:eastAsia="仿宋_GB2312" w:hAnsi="Times New Roman"/>
          <w:sz w:val="32"/>
          <w:szCs w:val="32"/>
        </w:rPr>
        <w:t>医疗器械产品技术要求编写指导原则</w:t>
      </w:r>
      <w:r w:rsidRPr="005B36C1">
        <w:rPr>
          <w:rFonts w:ascii="Times New Roman" w:eastAsia="仿宋_GB2312" w:hAnsi="Times New Roman"/>
          <w:bCs/>
          <w:sz w:val="32"/>
          <w:szCs w:val="32"/>
        </w:rPr>
        <w:t>：</w:t>
      </w:r>
      <w:bookmarkStart w:id="19" w:name="_Hlk144581169"/>
      <w:r w:rsidRPr="005B36C1">
        <w:rPr>
          <w:rFonts w:ascii="Times New Roman" w:eastAsia="仿宋_GB2312" w:hAnsi="Times New Roman"/>
          <w:bCs/>
          <w:sz w:val="32"/>
          <w:szCs w:val="32"/>
        </w:rPr>
        <w:t>国家药品监督管理局</w:t>
      </w:r>
      <w:bookmarkEnd w:id="19"/>
      <w:r w:rsidRPr="005B36C1">
        <w:rPr>
          <w:rFonts w:ascii="Times New Roman" w:eastAsia="仿宋_GB2312" w:hAnsi="Times New Roman"/>
          <w:bCs/>
          <w:sz w:val="32"/>
          <w:szCs w:val="32"/>
        </w:rPr>
        <w:t>2022</w:t>
      </w:r>
      <w:r w:rsidRPr="005B36C1">
        <w:rPr>
          <w:rFonts w:ascii="Times New Roman" w:eastAsia="仿宋_GB2312" w:hAnsi="Times New Roman"/>
          <w:bCs/>
          <w:sz w:val="32"/>
          <w:szCs w:val="32"/>
        </w:rPr>
        <w:t>年第</w:t>
      </w:r>
      <w:r w:rsidRPr="005B36C1">
        <w:rPr>
          <w:rFonts w:ascii="Times New Roman" w:eastAsia="仿宋_GB2312" w:hAnsi="Times New Roman"/>
          <w:bCs/>
          <w:sz w:val="32"/>
          <w:szCs w:val="32"/>
        </w:rPr>
        <w:t>8</w:t>
      </w:r>
      <w:r w:rsidRPr="005B36C1">
        <w:rPr>
          <w:rFonts w:ascii="Times New Roman" w:eastAsia="仿宋_GB2312" w:hAnsi="Times New Roman"/>
          <w:bCs/>
          <w:sz w:val="32"/>
          <w:szCs w:val="32"/>
        </w:rPr>
        <w:t>号</w:t>
      </w:r>
      <w:r w:rsidRPr="005B36C1">
        <w:rPr>
          <w:rFonts w:ascii="Times New Roman" w:eastAsia="仿宋_GB2312" w:hAnsi="Times New Roman"/>
          <w:bCs/>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sz w:val="32"/>
          <w:szCs w:val="32"/>
        </w:rPr>
        <w:t>[18]</w:t>
      </w:r>
      <w:r w:rsidRPr="005B36C1">
        <w:rPr>
          <w:rFonts w:ascii="Times New Roman" w:eastAsia="仿宋_GB2312" w:hAnsi="Times New Roman"/>
          <w:sz w:val="32"/>
          <w:szCs w:val="32"/>
        </w:rPr>
        <w:t>国家药品监督管理局医疗器械技术审评中心</w:t>
      </w:r>
      <w:r w:rsidRPr="005B36C1">
        <w:rPr>
          <w:rFonts w:ascii="Times New Roman" w:eastAsia="仿宋_GB2312" w:hAnsi="Times New Roman"/>
          <w:sz w:val="32"/>
          <w:szCs w:val="32"/>
        </w:rPr>
        <w:t>.</w:t>
      </w:r>
      <w:r w:rsidRPr="005B36C1">
        <w:rPr>
          <w:rFonts w:ascii="Times New Roman" w:eastAsia="仿宋_GB2312" w:hAnsi="Times New Roman"/>
          <w:sz w:val="32"/>
          <w:szCs w:val="32"/>
        </w:rPr>
        <w:t>无源植入性医疗器械货架有效期注册申报资料指导原则（</w:t>
      </w:r>
      <w:r w:rsidRPr="005B36C1">
        <w:rPr>
          <w:rFonts w:ascii="Times New Roman" w:eastAsia="仿宋_GB2312" w:hAnsi="Times New Roman"/>
          <w:sz w:val="32"/>
          <w:szCs w:val="32"/>
        </w:rPr>
        <w:t>2022</w:t>
      </w:r>
      <w:r w:rsidRPr="005B36C1">
        <w:rPr>
          <w:rFonts w:ascii="Times New Roman" w:eastAsia="仿宋_GB2312" w:hAnsi="Times New Roman"/>
          <w:sz w:val="32"/>
          <w:szCs w:val="32"/>
        </w:rPr>
        <w:t>年修订版）：国家药品监督管理局医疗器械技术审评中心</w:t>
      </w:r>
      <w:r w:rsidRPr="005B36C1">
        <w:rPr>
          <w:rFonts w:ascii="Times New Roman" w:eastAsia="仿宋_GB2312" w:hAnsi="Times New Roman"/>
          <w:sz w:val="32"/>
          <w:szCs w:val="32"/>
        </w:rPr>
        <w:t>2022</w:t>
      </w:r>
      <w:r w:rsidRPr="005B36C1">
        <w:rPr>
          <w:rFonts w:ascii="Times New Roman" w:eastAsia="仿宋_GB2312" w:hAnsi="Times New Roman"/>
          <w:sz w:val="32"/>
          <w:szCs w:val="32"/>
        </w:rPr>
        <w:t>年</w:t>
      </w:r>
      <w:r w:rsidRPr="005B36C1">
        <w:rPr>
          <w:rFonts w:ascii="Times New Roman" w:eastAsia="仿宋_GB2312" w:hAnsi="Times New Roman"/>
          <w:sz w:val="32"/>
          <w:szCs w:val="32"/>
        </w:rPr>
        <w:lastRenderedPageBreak/>
        <w:t>第</w:t>
      </w:r>
      <w:r w:rsidRPr="005B36C1">
        <w:rPr>
          <w:rFonts w:ascii="Times New Roman" w:eastAsia="仿宋_GB2312" w:hAnsi="Times New Roman"/>
          <w:sz w:val="32"/>
          <w:szCs w:val="32"/>
        </w:rPr>
        <w:t>12</w:t>
      </w:r>
      <w:r w:rsidRPr="005B36C1">
        <w:rPr>
          <w:rFonts w:ascii="Times New Roman" w:eastAsia="仿宋_GB2312" w:hAnsi="Times New Roman"/>
          <w:sz w:val="32"/>
          <w:szCs w:val="32"/>
        </w:rPr>
        <w:t>号</w:t>
      </w:r>
      <w:r w:rsidRPr="005B36C1">
        <w:rPr>
          <w:rFonts w:ascii="Times New Roman" w:eastAsia="仿宋_GB2312" w:hAnsi="Times New Roman"/>
          <w:bCs/>
          <w:sz w:val="32"/>
          <w:szCs w:val="32"/>
        </w:rPr>
        <w:t>[Z]</w:t>
      </w:r>
      <w:r w:rsidRPr="005B36C1">
        <w:rPr>
          <w:rFonts w:ascii="Times New Roman" w:eastAsia="仿宋_GB2312" w:hAnsi="Times New Roman"/>
          <w:sz w:val="32"/>
          <w:szCs w:val="32"/>
        </w:rPr>
        <w:t>.</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[19]Standard Practice for Evaluating and Specifying Implantable Shunt Assemblies for Neurosurgical Application1</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F647-22(Reapproved 2022)</w:t>
      </w:r>
      <w:r w:rsidRPr="005B36C1">
        <w:rPr>
          <w:rFonts w:ascii="Times New Roman" w:eastAsia="仿宋_GB2312" w:hAnsi="Times New Roman"/>
          <w:bCs/>
          <w:sz w:val="32"/>
          <w:szCs w:val="32"/>
        </w:rPr>
        <w:t>；</w:t>
      </w:r>
      <w:r w:rsidRPr="005B36C1">
        <w:rPr>
          <w:rFonts w:ascii="Times New Roman" w:eastAsia="仿宋_GB2312" w:hAnsi="Times New Roman"/>
          <w:bCs/>
          <w:sz w:val="32"/>
          <w:szCs w:val="32"/>
        </w:rPr>
        <w:t>ASTM.</w:t>
      </w:r>
    </w:p>
    <w:p w:rsidR="00B3168A" w:rsidRPr="005B36C1" w:rsidRDefault="00813DF8">
      <w:pPr>
        <w:tabs>
          <w:tab w:val="left" w:pos="540"/>
        </w:tabs>
        <w:spacing w:line="520" w:lineRule="exact"/>
        <w:ind w:firstLineChars="200" w:firstLine="640"/>
        <w:rPr>
          <w:rFonts w:ascii="Times New Roman" w:eastAsia="仿宋_GB2312" w:hAnsi="Times New Roman"/>
          <w:bCs/>
          <w:sz w:val="32"/>
          <w:szCs w:val="32"/>
        </w:rPr>
      </w:pPr>
      <w:r w:rsidRPr="005B36C1">
        <w:rPr>
          <w:rFonts w:ascii="Times New Roman" w:eastAsia="仿宋_GB2312" w:hAnsi="Times New Roman"/>
          <w:bCs/>
          <w:sz w:val="32"/>
          <w:szCs w:val="32"/>
        </w:rPr>
        <w:t>[20]</w:t>
      </w:r>
      <w:r w:rsidRPr="005B36C1">
        <w:rPr>
          <w:rFonts w:ascii="Times New Roman" w:eastAsia="仿宋_GB2312" w:hAnsi="Times New Roman"/>
          <w:sz w:val="32"/>
          <w:szCs w:val="32"/>
        </w:rPr>
        <w:t>国家药品监督管理局</w:t>
      </w:r>
      <w:r w:rsidRPr="005B36C1">
        <w:rPr>
          <w:rFonts w:ascii="Times New Roman" w:eastAsia="仿宋_GB2312" w:hAnsi="Times New Roman"/>
          <w:sz w:val="32"/>
          <w:szCs w:val="32"/>
        </w:rPr>
        <w:t>.</w:t>
      </w:r>
      <w:r w:rsidRPr="005B36C1">
        <w:rPr>
          <w:rFonts w:ascii="Times New Roman" w:eastAsia="仿宋_GB2312" w:hAnsi="Times New Roman"/>
          <w:sz w:val="32"/>
          <w:szCs w:val="32"/>
        </w:rPr>
        <w:t>动物源性医疗器械注册技术审查指导原则（</w:t>
      </w:r>
      <w:r w:rsidRPr="005B36C1">
        <w:rPr>
          <w:rFonts w:ascii="Times New Roman" w:eastAsia="仿宋_GB2312" w:hAnsi="Times New Roman"/>
          <w:sz w:val="32"/>
          <w:szCs w:val="32"/>
        </w:rPr>
        <w:t>2017</w:t>
      </w:r>
      <w:r w:rsidRPr="005B36C1">
        <w:rPr>
          <w:rFonts w:ascii="Times New Roman" w:eastAsia="仿宋_GB2312" w:hAnsi="Times New Roman"/>
          <w:sz w:val="32"/>
          <w:szCs w:val="32"/>
        </w:rPr>
        <w:t>年修订版）</w:t>
      </w:r>
      <w:r w:rsidRPr="005B36C1">
        <w:rPr>
          <w:rFonts w:ascii="Times New Roman" w:eastAsia="仿宋_GB2312" w:hAnsi="Times New Roman"/>
          <w:sz w:val="32"/>
          <w:szCs w:val="32"/>
        </w:rPr>
        <w:t>:</w:t>
      </w:r>
      <w:r w:rsidRPr="005B36C1">
        <w:rPr>
          <w:rFonts w:ascii="Times New Roman" w:eastAsia="仿宋_GB2312" w:hAnsi="Times New Roman"/>
          <w:sz w:val="32"/>
          <w:szCs w:val="32"/>
        </w:rPr>
        <w:t>国家药品监督管理局</w:t>
      </w:r>
      <w:r w:rsidRPr="005B36C1">
        <w:rPr>
          <w:rFonts w:ascii="Times New Roman" w:eastAsia="仿宋_GB2312" w:hAnsi="Times New Roman"/>
          <w:sz w:val="32"/>
          <w:szCs w:val="32"/>
        </w:rPr>
        <w:t>2017</w:t>
      </w:r>
      <w:r w:rsidRPr="005B36C1">
        <w:rPr>
          <w:rFonts w:ascii="Times New Roman" w:eastAsia="仿宋_GB2312" w:hAnsi="Times New Roman"/>
          <w:sz w:val="32"/>
          <w:szCs w:val="32"/>
        </w:rPr>
        <w:t>年第</w:t>
      </w:r>
      <w:r w:rsidRPr="005B36C1">
        <w:rPr>
          <w:rFonts w:ascii="Times New Roman" w:eastAsia="仿宋_GB2312" w:hAnsi="Times New Roman"/>
          <w:sz w:val="32"/>
          <w:szCs w:val="32"/>
        </w:rPr>
        <w:t>224</w:t>
      </w:r>
      <w:r w:rsidRPr="005B36C1">
        <w:rPr>
          <w:rFonts w:ascii="Times New Roman" w:eastAsia="仿宋_GB2312" w:hAnsi="Times New Roman"/>
          <w:sz w:val="32"/>
          <w:szCs w:val="32"/>
        </w:rPr>
        <w:t>号</w:t>
      </w:r>
      <w:r w:rsidRPr="005B36C1">
        <w:rPr>
          <w:rFonts w:ascii="Times New Roman" w:eastAsia="仿宋_GB2312" w:hAnsi="Times New Roman"/>
          <w:sz w:val="32"/>
          <w:szCs w:val="32"/>
        </w:rPr>
        <w:t>[Z].</w:t>
      </w:r>
    </w:p>
    <w:p w:rsidR="00B3168A" w:rsidRPr="005B36C1" w:rsidRDefault="00813DF8">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5B36C1">
        <w:rPr>
          <w:rFonts w:ascii="Times New Roman" w:eastAsia="仿宋_GB2312" w:hAnsi="Times New Roman"/>
          <w:sz w:val="32"/>
          <w:szCs w:val="32"/>
        </w:rPr>
        <w:t>[21]</w:t>
      </w:r>
      <w:r w:rsidRPr="005B36C1">
        <w:rPr>
          <w:rFonts w:ascii="Times New Roman" w:eastAsia="仿宋_GB2312" w:hAnsi="Times New Roman"/>
          <w:sz w:val="32"/>
          <w:szCs w:val="32"/>
        </w:rPr>
        <w:t>国家药品监督管理局</w:t>
      </w:r>
      <w:r w:rsidRPr="005B36C1">
        <w:rPr>
          <w:rFonts w:ascii="Times New Roman" w:eastAsia="仿宋_GB2312" w:hAnsi="Times New Roman"/>
          <w:sz w:val="32"/>
          <w:szCs w:val="32"/>
        </w:rPr>
        <w:t>.</w:t>
      </w:r>
      <w:r w:rsidRPr="005B36C1">
        <w:rPr>
          <w:rFonts w:ascii="Times New Roman" w:eastAsia="仿宋_GB2312" w:hAnsi="Times New Roman"/>
          <w:sz w:val="32"/>
          <w:szCs w:val="32"/>
        </w:rPr>
        <w:t>医疗器械动物试验研究注册审查指导原则第一部分：决策原则（</w:t>
      </w:r>
      <w:r w:rsidRPr="005B36C1">
        <w:rPr>
          <w:rFonts w:ascii="Times New Roman" w:eastAsia="仿宋_GB2312" w:hAnsi="Times New Roman"/>
          <w:sz w:val="32"/>
          <w:szCs w:val="32"/>
        </w:rPr>
        <w:t>2021</w:t>
      </w:r>
      <w:r w:rsidRPr="005B36C1">
        <w:rPr>
          <w:rFonts w:ascii="Times New Roman" w:eastAsia="仿宋_GB2312" w:hAnsi="Times New Roman"/>
          <w:sz w:val="32"/>
          <w:szCs w:val="32"/>
        </w:rPr>
        <w:t>年修订版）</w:t>
      </w:r>
      <w:r w:rsidRPr="005B36C1">
        <w:rPr>
          <w:rFonts w:ascii="Times New Roman" w:eastAsia="仿宋_GB2312" w:hAnsi="Times New Roman"/>
          <w:sz w:val="32"/>
          <w:szCs w:val="32"/>
        </w:rPr>
        <w:t>:</w:t>
      </w:r>
      <w:r w:rsidRPr="005B36C1">
        <w:rPr>
          <w:rFonts w:ascii="Times New Roman" w:eastAsia="仿宋_GB2312" w:hAnsi="Times New Roman"/>
          <w:sz w:val="32"/>
          <w:szCs w:val="32"/>
        </w:rPr>
        <w:t>国家药品监督管理局</w:t>
      </w:r>
      <w:r w:rsidRPr="005B36C1">
        <w:rPr>
          <w:rFonts w:ascii="Times New Roman" w:eastAsia="仿宋_GB2312" w:hAnsi="Times New Roman"/>
          <w:sz w:val="32"/>
          <w:szCs w:val="32"/>
        </w:rPr>
        <w:t>2021</w:t>
      </w:r>
      <w:r w:rsidRPr="005B36C1">
        <w:rPr>
          <w:rFonts w:ascii="Times New Roman" w:eastAsia="仿宋_GB2312" w:hAnsi="Times New Roman"/>
          <w:sz w:val="32"/>
          <w:szCs w:val="32"/>
        </w:rPr>
        <w:t>年第</w:t>
      </w:r>
      <w:r w:rsidRPr="005B36C1">
        <w:rPr>
          <w:rFonts w:ascii="Times New Roman" w:eastAsia="仿宋_GB2312" w:hAnsi="Times New Roman"/>
          <w:sz w:val="32"/>
          <w:szCs w:val="32"/>
        </w:rPr>
        <w:t>75</w:t>
      </w:r>
      <w:r w:rsidRPr="005B36C1">
        <w:rPr>
          <w:rFonts w:ascii="Times New Roman" w:eastAsia="仿宋_GB2312" w:hAnsi="Times New Roman"/>
          <w:sz w:val="32"/>
          <w:szCs w:val="32"/>
        </w:rPr>
        <w:t>号</w:t>
      </w:r>
      <w:r w:rsidRPr="005B36C1">
        <w:rPr>
          <w:rFonts w:ascii="Times New Roman" w:eastAsia="仿宋_GB2312" w:hAnsi="Times New Roman"/>
          <w:bCs/>
          <w:sz w:val="32"/>
          <w:szCs w:val="32"/>
        </w:rPr>
        <w:t>[Z]</w:t>
      </w:r>
      <w:r w:rsidRPr="005B36C1">
        <w:rPr>
          <w:rFonts w:ascii="Times New Roman" w:eastAsia="仿宋_GB2312" w:hAnsi="Times New Roman"/>
          <w:sz w:val="32"/>
          <w:szCs w:val="32"/>
        </w:rPr>
        <w:t>.</w:t>
      </w:r>
    </w:p>
    <w:sectPr w:rsidR="00B3168A" w:rsidRPr="005B36C1" w:rsidSect="003045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21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7CE" w:rsidRDefault="000417CE">
      <w:r>
        <w:separator/>
      </w:r>
    </w:p>
  </w:endnote>
  <w:endnote w:type="continuationSeparator" w:id="0">
    <w:p w:rsidR="000417CE" w:rsidRDefault="0004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434559"/>
    </w:sdtPr>
    <w:sdtEndPr/>
    <w:sdtContent>
      <w:sdt>
        <w:sdtPr>
          <w:id w:val="1655651047"/>
        </w:sdtPr>
        <w:sdtEndPr>
          <w:rPr>
            <w:rFonts w:ascii="Times New Roman" w:hAnsi="Times New Roman"/>
            <w:sz w:val="28"/>
            <w:szCs w:val="28"/>
          </w:rPr>
        </w:sdtEndPr>
        <w:sdtContent>
          <w:p w:rsidR="00B3168A" w:rsidRPr="005B36C1" w:rsidRDefault="005B36C1">
            <w:pPr>
              <w:pStyle w:val="a9"/>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30459E" w:rsidRPr="0030459E">
              <w:rPr>
                <w:rFonts w:ascii="Times New Roman" w:hAnsi="Times New Roman"/>
                <w:noProof/>
                <w:sz w:val="28"/>
                <w:szCs w:val="28"/>
                <w:lang w:val="zh-CN"/>
              </w:rPr>
              <w:t>212</w:t>
            </w:r>
            <w:r>
              <w:rPr>
                <w:rFonts w:ascii="Times New Roman" w:hAnsi="Times New Roman"/>
                <w:sz w:val="28"/>
                <w:szCs w:val="28"/>
              </w:rPr>
              <w:fldChar w:fldCharType="end"/>
            </w:r>
            <w:r>
              <w:rPr>
                <w:rFonts w:ascii="Times New Roman" w:hAnsi="Times New Roman"/>
                <w:sz w:val="28"/>
                <w:szCs w:val="28"/>
              </w:rPr>
              <w:t xml:space="preserve"> —</w:t>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355742"/>
    </w:sdtPr>
    <w:sdtEndPr/>
    <w:sdtContent>
      <w:sdt>
        <w:sdtPr>
          <w:id w:val="1107777899"/>
        </w:sdtPr>
        <w:sdtEndPr>
          <w:rPr>
            <w:rFonts w:ascii="Times New Roman" w:hAnsi="Times New Roman"/>
            <w:sz w:val="28"/>
            <w:szCs w:val="28"/>
          </w:rPr>
        </w:sdtEndPr>
        <w:sdtContent>
          <w:bookmarkStart w:id="20" w:name="_GoBack" w:displacedByCustomXml="prev"/>
          <w:bookmarkEnd w:id="20" w:displacedByCustomXml="prev"/>
          <w:p w:rsidR="00B3168A" w:rsidRPr="005B36C1" w:rsidRDefault="005B36C1" w:rsidP="005B36C1">
            <w:pPr>
              <w:pStyle w:val="a9"/>
              <w:jc w:val="righ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0030459E" w:rsidRPr="0030459E">
              <w:rPr>
                <w:rFonts w:ascii="Times New Roman" w:hAnsi="Times New Roman"/>
                <w:noProof/>
                <w:sz w:val="28"/>
                <w:szCs w:val="28"/>
                <w:lang w:val="zh-CN"/>
              </w:rPr>
              <w:t>211</w:t>
            </w:r>
            <w:r>
              <w:rPr>
                <w:rFonts w:ascii="Times New Roman" w:hAnsi="Times New Roman"/>
                <w:sz w:val="28"/>
                <w:szCs w:val="28"/>
              </w:rPr>
              <w:fldChar w:fldCharType="end"/>
            </w:r>
            <w:r>
              <w:rPr>
                <w:rFonts w:ascii="Times New Roman" w:hAnsi="Times New Roman"/>
                <w:sz w:val="28"/>
                <w:szCs w:val="28"/>
              </w:rPr>
              <w:t xml:space="preserve"> —</w:t>
            </w:r>
          </w:p>
        </w:sdtContent>
      </w:sdt>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59E" w:rsidRDefault="0030459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7CE" w:rsidRDefault="000417CE">
      <w:r>
        <w:separator/>
      </w:r>
    </w:p>
  </w:footnote>
  <w:footnote w:type="continuationSeparator" w:id="0">
    <w:p w:rsidR="000417CE" w:rsidRDefault="000417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59E" w:rsidRDefault="0030459E">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59E" w:rsidRDefault="0030459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59E" w:rsidRDefault="0030459E">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mOWUxNTM5ZDdhZjdiYzBhOGEzMzBjZGI5ZjZhZmQifQ=="/>
  </w:docVars>
  <w:rsids>
    <w:rsidRoot w:val="00887CAB"/>
    <w:rsid w:val="00007EB8"/>
    <w:rsid w:val="00013D68"/>
    <w:rsid w:val="0001579E"/>
    <w:rsid w:val="0001635E"/>
    <w:rsid w:val="00016FB2"/>
    <w:rsid w:val="00020A85"/>
    <w:rsid w:val="0002161B"/>
    <w:rsid w:val="00022DDE"/>
    <w:rsid w:val="00026D2E"/>
    <w:rsid w:val="00040B9C"/>
    <w:rsid w:val="000417CE"/>
    <w:rsid w:val="00041EDD"/>
    <w:rsid w:val="00053087"/>
    <w:rsid w:val="0005776A"/>
    <w:rsid w:val="00063C8E"/>
    <w:rsid w:val="00063FE5"/>
    <w:rsid w:val="00086F19"/>
    <w:rsid w:val="000C613C"/>
    <w:rsid w:val="000C7C56"/>
    <w:rsid w:val="000E0844"/>
    <w:rsid w:val="000E1473"/>
    <w:rsid w:val="000E6FBA"/>
    <w:rsid w:val="000F57B4"/>
    <w:rsid w:val="000F5B48"/>
    <w:rsid w:val="000F681B"/>
    <w:rsid w:val="001109CC"/>
    <w:rsid w:val="00114850"/>
    <w:rsid w:val="00116BC1"/>
    <w:rsid w:val="001203D0"/>
    <w:rsid w:val="00121FE6"/>
    <w:rsid w:val="00131D31"/>
    <w:rsid w:val="00133C2E"/>
    <w:rsid w:val="001364F7"/>
    <w:rsid w:val="00142C48"/>
    <w:rsid w:val="00146C41"/>
    <w:rsid w:val="00151481"/>
    <w:rsid w:val="00152AE5"/>
    <w:rsid w:val="0015663B"/>
    <w:rsid w:val="00162352"/>
    <w:rsid w:val="001709E5"/>
    <w:rsid w:val="00170FF3"/>
    <w:rsid w:val="00171AE1"/>
    <w:rsid w:val="001738F5"/>
    <w:rsid w:val="00176877"/>
    <w:rsid w:val="00196417"/>
    <w:rsid w:val="001A44F3"/>
    <w:rsid w:val="001B0711"/>
    <w:rsid w:val="001B5E65"/>
    <w:rsid w:val="001C0C70"/>
    <w:rsid w:val="001C212E"/>
    <w:rsid w:val="001C6C17"/>
    <w:rsid w:val="001D1EDA"/>
    <w:rsid w:val="001D7EB1"/>
    <w:rsid w:val="001E48F7"/>
    <w:rsid w:val="001F17D1"/>
    <w:rsid w:val="001F4630"/>
    <w:rsid w:val="002050C3"/>
    <w:rsid w:val="00206F8B"/>
    <w:rsid w:val="002163A4"/>
    <w:rsid w:val="00237C3F"/>
    <w:rsid w:val="00244F7E"/>
    <w:rsid w:val="002475B3"/>
    <w:rsid w:val="0025411E"/>
    <w:rsid w:val="00256098"/>
    <w:rsid w:val="002571EF"/>
    <w:rsid w:val="00270F54"/>
    <w:rsid w:val="00274CB2"/>
    <w:rsid w:val="002777F7"/>
    <w:rsid w:val="002817FA"/>
    <w:rsid w:val="00284232"/>
    <w:rsid w:val="00294AB4"/>
    <w:rsid w:val="002A2BA9"/>
    <w:rsid w:val="002B61F1"/>
    <w:rsid w:val="002C3859"/>
    <w:rsid w:val="002C6404"/>
    <w:rsid w:val="002D0532"/>
    <w:rsid w:val="002D2296"/>
    <w:rsid w:val="002D6028"/>
    <w:rsid w:val="002E092B"/>
    <w:rsid w:val="002E2349"/>
    <w:rsid w:val="002E5D29"/>
    <w:rsid w:val="002E7BEF"/>
    <w:rsid w:val="002F60E6"/>
    <w:rsid w:val="00302C0A"/>
    <w:rsid w:val="00304428"/>
    <w:rsid w:val="0030459E"/>
    <w:rsid w:val="003056FC"/>
    <w:rsid w:val="00306BDC"/>
    <w:rsid w:val="003217B0"/>
    <w:rsid w:val="00321E84"/>
    <w:rsid w:val="00323733"/>
    <w:rsid w:val="0033017F"/>
    <w:rsid w:val="00330B56"/>
    <w:rsid w:val="0033673D"/>
    <w:rsid w:val="00340E5B"/>
    <w:rsid w:val="003421FF"/>
    <w:rsid w:val="00343780"/>
    <w:rsid w:val="00351E58"/>
    <w:rsid w:val="00354C35"/>
    <w:rsid w:val="00371DE7"/>
    <w:rsid w:val="0037276B"/>
    <w:rsid w:val="003860E8"/>
    <w:rsid w:val="00387F48"/>
    <w:rsid w:val="003933B2"/>
    <w:rsid w:val="00393F7E"/>
    <w:rsid w:val="003B5C60"/>
    <w:rsid w:val="003C0353"/>
    <w:rsid w:val="003C2E46"/>
    <w:rsid w:val="003D1011"/>
    <w:rsid w:val="003D6245"/>
    <w:rsid w:val="003E62F1"/>
    <w:rsid w:val="003F1940"/>
    <w:rsid w:val="003F1EBA"/>
    <w:rsid w:val="003F7155"/>
    <w:rsid w:val="00405455"/>
    <w:rsid w:val="00443CA0"/>
    <w:rsid w:val="00456071"/>
    <w:rsid w:val="00456B54"/>
    <w:rsid w:val="00463C05"/>
    <w:rsid w:val="00464E07"/>
    <w:rsid w:val="00466C54"/>
    <w:rsid w:val="00471E0C"/>
    <w:rsid w:val="004736DB"/>
    <w:rsid w:val="0047752F"/>
    <w:rsid w:val="00485A7A"/>
    <w:rsid w:val="00486E3A"/>
    <w:rsid w:val="004900CB"/>
    <w:rsid w:val="00490D5C"/>
    <w:rsid w:val="00491BDC"/>
    <w:rsid w:val="004946C0"/>
    <w:rsid w:val="0049647D"/>
    <w:rsid w:val="00497C0D"/>
    <w:rsid w:val="004A1E27"/>
    <w:rsid w:val="004B7B79"/>
    <w:rsid w:val="004C17AE"/>
    <w:rsid w:val="004C2EF6"/>
    <w:rsid w:val="004C437A"/>
    <w:rsid w:val="004D2475"/>
    <w:rsid w:val="004D5FBB"/>
    <w:rsid w:val="004D62F0"/>
    <w:rsid w:val="004E3318"/>
    <w:rsid w:val="004F1175"/>
    <w:rsid w:val="004F1BFD"/>
    <w:rsid w:val="004F36A0"/>
    <w:rsid w:val="004F46A9"/>
    <w:rsid w:val="004F6AD3"/>
    <w:rsid w:val="00501755"/>
    <w:rsid w:val="00502A0C"/>
    <w:rsid w:val="0050373F"/>
    <w:rsid w:val="00510805"/>
    <w:rsid w:val="0052546B"/>
    <w:rsid w:val="0053315C"/>
    <w:rsid w:val="005413EE"/>
    <w:rsid w:val="00541CDB"/>
    <w:rsid w:val="00550256"/>
    <w:rsid w:val="00553B5D"/>
    <w:rsid w:val="00555473"/>
    <w:rsid w:val="00565405"/>
    <w:rsid w:val="00573A50"/>
    <w:rsid w:val="005742CC"/>
    <w:rsid w:val="005877F0"/>
    <w:rsid w:val="005940B6"/>
    <w:rsid w:val="00595E36"/>
    <w:rsid w:val="00596B5A"/>
    <w:rsid w:val="0059793D"/>
    <w:rsid w:val="005A6761"/>
    <w:rsid w:val="005B15BF"/>
    <w:rsid w:val="005B2AD9"/>
    <w:rsid w:val="005B36C1"/>
    <w:rsid w:val="005B632B"/>
    <w:rsid w:val="005C00BB"/>
    <w:rsid w:val="005C5F63"/>
    <w:rsid w:val="005D13DA"/>
    <w:rsid w:val="005D3FE7"/>
    <w:rsid w:val="005D6C20"/>
    <w:rsid w:val="005E1BE6"/>
    <w:rsid w:val="005E54FA"/>
    <w:rsid w:val="006021B0"/>
    <w:rsid w:val="00602951"/>
    <w:rsid w:val="00622150"/>
    <w:rsid w:val="006322CD"/>
    <w:rsid w:val="00635ECB"/>
    <w:rsid w:val="00635F4C"/>
    <w:rsid w:val="006449C3"/>
    <w:rsid w:val="00654F09"/>
    <w:rsid w:val="00655EDD"/>
    <w:rsid w:val="006642DF"/>
    <w:rsid w:val="00667D8A"/>
    <w:rsid w:val="00670368"/>
    <w:rsid w:val="006726E5"/>
    <w:rsid w:val="00672E60"/>
    <w:rsid w:val="0067413B"/>
    <w:rsid w:val="00677FE7"/>
    <w:rsid w:val="00683982"/>
    <w:rsid w:val="006866EB"/>
    <w:rsid w:val="0069057D"/>
    <w:rsid w:val="00691B85"/>
    <w:rsid w:val="00693FE4"/>
    <w:rsid w:val="006A56C0"/>
    <w:rsid w:val="006A759F"/>
    <w:rsid w:val="006B7D68"/>
    <w:rsid w:val="006C5832"/>
    <w:rsid w:val="006D0587"/>
    <w:rsid w:val="006F6AA5"/>
    <w:rsid w:val="006F6B57"/>
    <w:rsid w:val="00703B45"/>
    <w:rsid w:val="00704865"/>
    <w:rsid w:val="00712A1A"/>
    <w:rsid w:val="00713040"/>
    <w:rsid w:val="007157D3"/>
    <w:rsid w:val="00721D1E"/>
    <w:rsid w:val="00726E77"/>
    <w:rsid w:val="007318D9"/>
    <w:rsid w:val="00734C0C"/>
    <w:rsid w:val="00741976"/>
    <w:rsid w:val="00746B65"/>
    <w:rsid w:val="00755A98"/>
    <w:rsid w:val="00756516"/>
    <w:rsid w:val="00771127"/>
    <w:rsid w:val="00777FF3"/>
    <w:rsid w:val="0078339A"/>
    <w:rsid w:val="00785F4F"/>
    <w:rsid w:val="00786405"/>
    <w:rsid w:val="00790410"/>
    <w:rsid w:val="00790B60"/>
    <w:rsid w:val="00791221"/>
    <w:rsid w:val="007912CF"/>
    <w:rsid w:val="0079384D"/>
    <w:rsid w:val="007967E7"/>
    <w:rsid w:val="007A22F6"/>
    <w:rsid w:val="007C2D5B"/>
    <w:rsid w:val="007C5F8B"/>
    <w:rsid w:val="007D00DF"/>
    <w:rsid w:val="007E65B8"/>
    <w:rsid w:val="007E7587"/>
    <w:rsid w:val="007F073C"/>
    <w:rsid w:val="007F3AD2"/>
    <w:rsid w:val="007F5264"/>
    <w:rsid w:val="0080202B"/>
    <w:rsid w:val="0080228F"/>
    <w:rsid w:val="00810881"/>
    <w:rsid w:val="008116EE"/>
    <w:rsid w:val="00813DF8"/>
    <w:rsid w:val="00826499"/>
    <w:rsid w:val="008278EE"/>
    <w:rsid w:val="00827D3B"/>
    <w:rsid w:val="00833C48"/>
    <w:rsid w:val="00835374"/>
    <w:rsid w:val="00840247"/>
    <w:rsid w:val="00840C51"/>
    <w:rsid w:val="0084447D"/>
    <w:rsid w:val="0085357C"/>
    <w:rsid w:val="00853CBF"/>
    <w:rsid w:val="008551CF"/>
    <w:rsid w:val="00863B58"/>
    <w:rsid w:val="00870E4F"/>
    <w:rsid w:val="008774C0"/>
    <w:rsid w:val="00882679"/>
    <w:rsid w:val="00887CAB"/>
    <w:rsid w:val="00892859"/>
    <w:rsid w:val="0089446E"/>
    <w:rsid w:val="008A6A1F"/>
    <w:rsid w:val="008B13BE"/>
    <w:rsid w:val="008C2482"/>
    <w:rsid w:val="008C77AD"/>
    <w:rsid w:val="008D12D3"/>
    <w:rsid w:val="008D3948"/>
    <w:rsid w:val="008D538F"/>
    <w:rsid w:val="008F07CD"/>
    <w:rsid w:val="008F70A9"/>
    <w:rsid w:val="009175CE"/>
    <w:rsid w:val="0092158C"/>
    <w:rsid w:val="0092434A"/>
    <w:rsid w:val="00926265"/>
    <w:rsid w:val="009319AF"/>
    <w:rsid w:val="00933FAA"/>
    <w:rsid w:val="00942074"/>
    <w:rsid w:val="00945073"/>
    <w:rsid w:val="00950B15"/>
    <w:rsid w:val="009568E6"/>
    <w:rsid w:val="009638CF"/>
    <w:rsid w:val="00967894"/>
    <w:rsid w:val="0097622F"/>
    <w:rsid w:val="00980734"/>
    <w:rsid w:val="00992697"/>
    <w:rsid w:val="00992FC5"/>
    <w:rsid w:val="0099412D"/>
    <w:rsid w:val="009B381B"/>
    <w:rsid w:val="009C1515"/>
    <w:rsid w:val="009C3EED"/>
    <w:rsid w:val="009C7AEB"/>
    <w:rsid w:val="009D2340"/>
    <w:rsid w:val="009D3EFB"/>
    <w:rsid w:val="009D4143"/>
    <w:rsid w:val="009D5515"/>
    <w:rsid w:val="009D7064"/>
    <w:rsid w:val="009E1989"/>
    <w:rsid w:val="009E7CB7"/>
    <w:rsid w:val="009F5CE5"/>
    <w:rsid w:val="00A1101F"/>
    <w:rsid w:val="00A14627"/>
    <w:rsid w:val="00A146D4"/>
    <w:rsid w:val="00A1520A"/>
    <w:rsid w:val="00A1704E"/>
    <w:rsid w:val="00A20447"/>
    <w:rsid w:val="00A32554"/>
    <w:rsid w:val="00A3362B"/>
    <w:rsid w:val="00A353D3"/>
    <w:rsid w:val="00A3552D"/>
    <w:rsid w:val="00A359BC"/>
    <w:rsid w:val="00A54C9F"/>
    <w:rsid w:val="00A55F03"/>
    <w:rsid w:val="00A5651A"/>
    <w:rsid w:val="00A56AE8"/>
    <w:rsid w:val="00A62865"/>
    <w:rsid w:val="00A656BD"/>
    <w:rsid w:val="00A84294"/>
    <w:rsid w:val="00A9295E"/>
    <w:rsid w:val="00A96912"/>
    <w:rsid w:val="00AA525E"/>
    <w:rsid w:val="00AA6A5B"/>
    <w:rsid w:val="00AB4D55"/>
    <w:rsid w:val="00AC25B4"/>
    <w:rsid w:val="00AC694D"/>
    <w:rsid w:val="00AC6EAF"/>
    <w:rsid w:val="00AC7CED"/>
    <w:rsid w:val="00AE1338"/>
    <w:rsid w:val="00AE61EF"/>
    <w:rsid w:val="00AF4C84"/>
    <w:rsid w:val="00AF60AE"/>
    <w:rsid w:val="00AF70DB"/>
    <w:rsid w:val="00B0112D"/>
    <w:rsid w:val="00B023DC"/>
    <w:rsid w:val="00B14B41"/>
    <w:rsid w:val="00B165E1"/>
    <w:rsid w:val="00B21064"/>
    <w:rsid w:val="00B234E7"/>
    <w:rsid w:val="00B26B5D"/>
    <w:rsid w:val="00B2752C"/>
    <w:rsid w:val="00B30CDA"/>
    <w:rsid w:val="00B3168A"/>
    <w:rsid w:val="00B34856"/>
    <w:rsid w:val="00B438BE"/>
    <w:rsid w:val="00B54F53"/>
    <w:rsid w:val="00B57FBF"/>
    <w:rsid w:val="00B6107D"/>
    <w:rsid w:val="00B64C5C"/>
    <w:rsid w:val="00B708B2"/>
    <w:rsid w:val="00B711C8"/>
    <w:rsid w:val="00B739E9"/>
    <w:rsid w:val="00B83AA2"/>
    <w:rsid w:val="00B84693"/>
    <w:rsid w:val="00B87E17"/>
    <w:rsid w:val="00B944B5"/>
    <w:rsid w:val="00BA4DBB"/>
    <w:rsid w:val="00BA71BA"/>
    <w:rsid w:val="00BB42EB"/>
    <w:rsid w:val="00BC1502"/>
    <w:rsid w:val="00BD09C0"/>
    <w:rsid w:val="00BD2DCF"/>
    <w:rsid w:val="00BD65FE"/>
    <w:rsid w:val="00BE239A"/>
    <w:rsid w:val="00BE3075"/>
    <w:rsid w:val="00BE5435"/>
    <w:rsid w:val="00BE65FE"/>
    <w:rsid w:val="00BE68E9"/>
    <w:rsid w:val="00BF122A"/>
    <w:rsid w:val="00BF42D4"/>
    <w:rsid w:val="00C03FF5"/>
    <w:rsid w:val="00C045C5"/>
    <w:rsid w:val="00C11D1D"/>
    <w:rsid w:val="00C208A1"/>
    <w:rsid w:val="00C2617D"/>
    <w:rsid w:val="00C320F2"/>
    <w:rsid w:val="00C33259"/>
    <w:rsid w:val="00C409E5"/>
    <w:rsid w:val="00C410F1"/>
    <w:rsid w:val="00C42122"/>
    <w:rsid w:val="00C45A61"/>
    <w:rsid w:val="00C46002"/>
    <w:rsid w:val="00C46306"/>
    <w:rsid w:val="00C46538"/>
    <w:rsid w:val="00C47948"/>
    <w:rsid w:val="00C47BDB"/>
    <w:rsid w:val="00C52E47"/>
    <w:rsid w:val="00C64CB4"/>
    <w:rsid w:val="00C651A9"/>
    <w:rsid w:val="00C71243"/>
    <w:rsid w:val="00C76FCB"/>
    <w:rsid w:val="00C81078"/>
    <w:rsid w:val="00C82A76"/>
    <w:rsid w:val="00C83584"/>
    <w:rsid w:val="00C970C5"/>
    <w:rsid w:val="00CA52EC"/>
    <w:rsid w:val="00CA6BBA"/>
    <w:rsid w:val="00CB2509"/>
    <w:rsid w:val="00CC33A0"/>
    <w:rsid w:val="00CD04CF"/>
    <w:rsid w:val="00CD5E90"/>
    <w:rsid w:val="00CE4EF1"/>
    <w:rsid w:val="00CE60B2"/>
    <w:rsid w:val="00CF136E"/>
    <w:rsid w:val="00CF50B2"/>
    <w:rsid w:val="00D024E7"/>
    <w:rsid w:val="00D04AFD"/>
    <w:rsid w:val="00D056F6"/>
    <w:rsid w:val="00D060D7"/>
    <w:rsid w:val="00D11B3D"/>
    <w:rsid w:val="00D22DE8"/>
    <w:rsid w:val="00D3692C"/>
    <w:rsid w:val="00D40E41"/>
    <w:rsid w:val="00D54EBF"/>
    <w:rsid w:val="00D56326"/>
    <w:rsid w:val="00D565EB"/>
    <w:rsid w:val="00D65018"/>
    <w:rsid w:val="00D6775C"/>
    <w:rsid w:val="00D72748"/>
    <w:rsid w:val="00D90C71"/>
    <w:rsid w:val="00D9543E"/>
    <w:rsid w:val="00DA3D8E"/>
    <w:rsid w:val="00DA5D0E"/>
    <w:rsid w:val="00DB354E"/>
    <w:rsid w:val="00DB42F5"/>
    <w:rsid w:val="00DC0045"/>
    <w:rsid w:val="00DD4238"/>
    <w:rsid w:val="00DD54E4"/>
    <w:rsid w:val="00DD5ACA"/>
    <w:rsid w:val="00DF148D"/>
    <w:rsid w:val="00DF3C0B"/>
    <w:rsid w:val="00DF4619"/>
    <w:rsid w:val="00E0009F"/>
    <w:rsid w:val="00E001CD"/>
    <w:rsid w:val="00E24F5A"/>
    <w:rsid w:val="00E3405E"/>
    <w:rsid w:val="00E45C81"/>
    <w:rsid w:val="00E46A13"/>
    <w:rsid w:val="00E471E1"/>
    <w:rsid w:val="00E600D7"/>
    <w:rsid w:val="00E61C99"/>
    <w:rsid w:val="00E62AE2"/>
    <w:rsid w:val="00E662A9"/>
    <w:rsid w:val="00E7591C"/>
    <w:rsid w:val="00E75DEF"/>
    <w:rsid w:val="00E7796A"/>
    <w:rsid w:val="00E80A38"/>
    <w:rsid w:val="00E8274E"/>
    <w:rsid w:val="00E83253"/>
    <w:rsid w:val="00E9328F"/>
    <w:rsid w:val="00E94193"/>
    <w:rsid w:val="00E95575"/>
    <w:rsid w:val="00EA20C7"/>
    <w:rsid w:val="00EA23DC"/>
    <w:rsid w:val="00EB4470"/>
    <w:rsid w:val="00EB47FD"/>
    <w:rsid w:val="00EB4F2D"/>
    <w:rsid w:val="00EB7FE3"/>
    <w:rsid w:val="00EC6365"/>
    <w:rsid w:val="00ED5686"/>
    <w:rsid w:val="00EE12B4"/>
    <w:rsid w:val="00EE3B1E"/>
    <w:rsid w:val="00EE62E6"/>
    <w:rsid w:val="00EF1537"/>
    <w:rsid w:val="00EF1DE2"/>
    <w:rsid w:val="00EF4B92"/>
    <w:rsid w:val="00EF7B6A"/>
    <w:rsid w:val="00F033FF"/>
    <w:rsid w:val="00F10402"/>
    <w:rsid w:val="00F227B3"/>
    <w:rsid w:val="00F30596"/>
    <w:rsid w:val="00F30838"/>
    <w:rsid w:val="00F33B35"/>
    <w:rsid w:val="00F3520D"/>
    <w:rsid w:val="00F54F41"/>
    <w:rsid w:val="00F5640A"/>
    <w:rsid w:val="00F57BD1"/>
    <w:rsid w:val="00F61743"/>
    <w:rsid w:val="00F629E8"/>
    <w:rsid w:val="00F643FC"/>
    <w:rsid w:val="00F66C82"/>
    <w:rsid w:val="00F67E28"/>
    <w:rsid w:val="00F74F6F"/>
    <w:rsid w:val="00F93FF7"/>
    <w:rsid w:val="00F9731D"/>
    <w:rsid w:val="00FA0FAD"/>
    <w:rsid w:val="00FA1824"/>
    <w:rsid w:val="00FA251D"/>
    <w:rsid w:val="00FC1EC5"/>
    <w:rsid w:val="00FC4544"/>
    <w:rsid w:val="00FC5F23"/>
    <w:rsid w:val="00FD03A3"/>
    <w:rsid w:val="00FE25B0"/>
    <w:rsid w:val="00FF7A07"/>
    <w:rsid w:val="00FF7A22"/>
    <w:rsid w:val="46A21E56"/>
    <w:rsid w:val="48145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9F0B25-705A-4AA2-9CAD-B2F05639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hAnsi="Courier New"/>
      <w:kern w:val="0"/>
      <w:sz w:val="20"/>
      <w:szCs w:val="21"/>
    </w:rPr>
  </w:style>
  <w:style w:type="paragraph" w:styleId="2">
    <w:name w:val="Body Text Indent 2"/>
    <w:basedOn w:val="a"/>
    <w:link w:val="20"/>
    <w:qFormat/>
    <w:pPr>
      <w:ind w:left="270"/>
      <w:jc w:val="center"/>
    </w:pPr>
    <w:rPr>
      <w:rFonts w:ascii="宋体" w:hAnsi="宋体"/>
      <w:b/>
      <w:sz w:val="36"/>
      <w:szCs w:val="28"/>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20">
    <w:name w:val="正文文本缩进 2 字符"/>
    <w:basedOn w:val="a0"/>
    <w:link w:val="2"/>
    <w:qFormat/>
    <w:rPr>
      <w:rFonts w:ascii="宋体" w:eastAsia="宋体" w:hAnsi="宋体" w:cs="Times New Roman"/>
      <w:b/>
      <w:sz w:val="36"/>
      <w:szCs w:val="28"/>
    </w:rPr>
  </w:style>
  <w:style w:type="character" w:customStyle="1" w:styleId="a6">
    <w:name w:val="纯文本 字符"/>
    <w:basedOn w:val="a0"/>
    <w:link w:val="a5"/>
    <w:uiPriority w:val="99"/>
    <w:qFormat/>
    <w:rPr>
      <w:rFonts w:ascii="宋体" w:eastAsia="宋体" w:hAnsi="Courier New" w:cs="Times New Roman"/>
      <w:kern w:val="0"/>
      <w:sz w:val="20"/>
      <w:szCs w:val="21"/>
    </w:rPr>
  </w:style>
  <w:style w:type="paragraph" w:styleId="af0">
    <w:name w:val="List Paragraph"/>
    <w:basedOn w:val="a"/>
    <w:uiPriority w:val="34"/>
    <w:qFormat/>
    <w:pPr>
      <w:ind w:firstLineChars="200" w:firstLine="420"/>
    </w:pPr>
  </w:style>
  <w:style w:type="character" w:customStyle="1" w:styleId="a8">
    <w:name w:val="批注框文本 字符"/>
    <w:basedOn w:val="a0"/>
    <w:link w:val="a7"/>
    <w:uiPriority w:val="99"/>
    <w:semiHidden/>
    <w:qFormat/>
    <w:rPr>
      <w:rFonts w:ascii="Calibri" w:eastAsia="宋体" w:hAnsi="Calibri" w:cs="Times New Roman"/>
      <w:sz w:val="18"/>
      <w:szCs w:val="18"/>
    </w:rPr>
  </w:style>
  <w:style w:type="character" w:customStyle="1" w:styleId="a4">
    <w:name w:val="批注文字 字符"/>
    <w:basedOn w:val="a0"/>
    <w:link w:val="a3"/>
    <w:uiPriority w:val="99"/>
    <w:semiHidden/>
    <w:qFormat/>
    <w:rPr>
      <w:rFonts w:ascii="Calibri" w:eastAsia="宋体" w:hAnsi="Calibri" w:cs="Times New Roman"/>
    </w:rPr>
  </w:style>
  <w:style w:type="character" w:customStyle="1" w:styleId="ae">
    <w:name w:val="批注主题 字符"/>
    <w:basedOn w:val="a4"/>
    <w:link w:val="ad"/>
    <w:uiPriority w:val="99"/>
    <w:semiHidden/>
    <w:qFormat/>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A156B-041D-4C77-888B-0FAB781B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16</Pages>
  <Words>1303</Words>
  <Characters>7428</Characters>
  <Application>Microsoft Office Word</Application>
  <DocSecurity>0</DocSecurity>
  <Lines>61</Lines>
  <Paragraphs>17</Paragraphs>
  <ScaleCrop>false</ScaleCrop>
  <Company>神州网信技术有限公司</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李丽玉</dc:creator>
  <cp:lastModifiedBy>孙俊仁</cp:lastModifiedBy>
  <cp:revision>347</cp:revision>
  <cp:lastPrinted>2023-09-11T06:26:00Z</cp:lastPrinted>
  <dcterms:created xsi:type="dcterms:W3CDTF">2023-09-11T06:38:00Z</dcterms:created>
  <dcterms:modified xsi:type="dcterms:W3CDTF">2024-08-12T02:16:00Z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7BD25C30FAD54E51915A6EAB80718A55</vt:lpwstr>
  </property>
</Properties>
</file>