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D69" w:rsidRDefault="00077D46" w:rsidP="0057511C">
      <w:pPr>
        <w:spacing w:line="600" w:lineRule="exact"/>
        <w:jc w:val="left"/>
        <w:rPr>
          <w:rFonts w:ascii="Times New Roman" w:eastAsia="黑体" w:hAnsi="Times New Roman" w:cs="Times New Roman"/>
          <w:sz w:val="32"/>
          <w:szCs w:val="32"/>
        </w:rPr>
      </w:pPr>
      <w:r w:rsidRPr="0057511C">
        <w:rPr>
          <w:rFonts w:ascii="Times New Roman" w:eastAsia="黑体" w:hAnsi="Times New Roman" w:cs="Times New Roman"/>
          <w:sz w:val="32"/>
          <w:szCs w:val="32"/>
        </w:rPr>
        <w:t>附件</w:t>
      </w:r>
      <w:r w:rsidRPr="0057511C">
        <w:rPr>
          <w:rFonts w:ascii="Times New Roman" w:eastAsia="黑体" w:hAnsi="Times New Roman" w:cs="Times New Roman"/>
          <w:sz w:val="32"/>
          <w:szCs w:val="32"/>
        </w:rPr>
        <w:t>1</w:t>
      </w:r>
    </w:p>
    <w:p w:rsidR="0057511C" w:rsidRPr="0057511C" w:rsidRDefault="0057511C" w:rsidP="0057511C">
      <w:pPr>
        <w:spacing w:line="600" w:lineRule="exact"/>
        <w:jc w:val="left"/>
        <w:rPr>
          <w:rFonts w:ascii="Times New Roman" w:eastAsia="黑体" w:hAnsi="Times New Roman" w:cs="Times New Roman"/>
          <w:sz w:val="32"/>
          <w:szCs w:val="32"/>
        </w:rPr>
      </w:pPr>
    </w:p>
    <w:p w:rsidR="00317D69" w:rsidRPr="0057511C" w:rsidRDefault="00077D46" w:rsidP="0057511C">
      <w:pPr>
        <w:spacing w:line="60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水凝胶敷料注册审查指导原则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本指导原则旨在指导注册申请人对水凝胶敷料产品的注册申报资料进行准备及撰写，同时也为技术审评部门对注册申报资料的审评提供技术参考。</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本指导原则是对水凝胶敷料产品注册申报资料的一般要求，注册申请人需依据产品的具体特性确定其中内容是否适用。若不适用，需具体阐述理由及相应的科学依据，并依据产品的具体特性对注册申报资料的内容进行充实和细化。</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本指导原则是</w:t>
      </w:r>
      <w:proofErr w:type="gramStart"/>
      <w:r w:rsidRPr="0057511C">
        <w:rPr>
          <w:rFonts w:ascii="Times New Roman" w:eastAsia="仿宋_GB2312" w:hAnsi="Times New Roman" w:cs="Times New Roman"/>
          <w:sz w:val="32"/>
          <w:szCs w:val="32"/>
        </w:rPr>
        <w:t>供注册</w:t>
      </w:r>
      <w:proofErr w:type="gramEnd"/>
      <w:r w:rsidRPr="0057511C">
        <w:rPr>
          <w:rFonts w:ascii="Times New Roman" w:eastAsia="仿宋_GB2312" w:hAnsi="Times New Roman" w:cs="Times New Roman"/>
          <w:sz w:val="32"/>
          <w:szCs w:val="32"/>
        </w:rPr>
        <w:t>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本指导原则是在现行法规和标准体系以及当前认知水平下制定的，随着法规和标准的不断完善，以及科学技术的不断发展，本指导原则相关内容也将进行适时的调整。</w:t>
      </w:r>
    </w:p>
    <w:p w:rsidR="00317D69" w:rsidRPr="0057511C" w:rsidRDefault="00077D46" w:rsidP="0057511C">
      <w:pPr>
        <w:adjustRightInd w:val="0"/>
        <w:snapToGrid w:val="0"/>
        <w:spacing w:line="560" w:lineRule="exact"/>
        <w:ind w:firstLineChars="200" w:firstLine="640"/>
        <w:outlineLvl w:val="0"/>
        <w:rPr>
          <w:rFonts w:ascii="Times New Roman" w:eastAsia="黑体" w:hAnsi="Times New Roman" w:cs="Times New Roman"/>
          <w:sz w:val="32"/>
          <w:szCs w:val="32"/>
        </w:rPr>
      </w:pPr>
      <w:r w:rsidRPr="0057511C">
        <w:rPr>
          <w:rFonts w:ascii="Times New Roman" w:eastAsia="黑体" w:hAnsi="Times New Roman" w:cs="Times New Roman"/>
          <w:sz w:val="32"/>
          <w:szCs w:val="32"/>
        </w:rPr>
        <w:t>一、适用范围</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本指导原则适用于作为第三类医疗器械管理的水凝胶敷料产品注册申报资料的准备及产品技术审评的参考。</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kern w:val="0"/>
          <w:sz w:val="32"/>
          <w:szCs w:val="32"/>
        </w:rPr>
      </w:pPr>
      <w:r w:rsidRPr="0057511C">
        <w:rPr>
          <w:rFonts w:ascii="Times New Roman" w:eastAsia="仿宋_GB2312" w:hAnsi="Times New Roman" w:cs="Times New Roman"/>
          <w:sz w:val="32"/>
          <w:szCs w:val="32"/>
        </w:rPr>
        <w:t>本指导原则所涉及的水凝胶敷料通常为成胶物质与水组成的无定形或定形凝胶敷料，可含有缓冲盐，无菌提供</w:t>
      </w:r>
      <w:r w:rsidRPr="0057511C">
        <w:rPr>
          <w:rFonts w:ascii="Times New Roman" w:eastAsia="仿宋_GB2312" w:hAnsi="Times New Roman" w:cs="Times New Roman"/>
          <w:kern w:val="0"/>
          <w:sz w:val="32"/>
          <w:szCs w:val="32"/>
        </w:rPr>
        <w:t>。</w:t>
      </w:r>
    </w:p>
    <w:p w:rsidR="00317D69" w:rsidRPr="0057511C" w:rsidRDefault="00077D46" w:rsidP="0057511C">
      <w:pPr>
        <w:adjustRightInd w:val="0"/>
        <w:snapToGrid w:val="0"/>
        <w:spacing w:line="560" w:lineRule="exact"/>
        <w:ind w:firstLineChars="200" w:firstLine="640"/>
        <w:outlineLvl w:val="0"/>
        <w:rPr>
          <w:rFonts w:ascii="Times New Roman" w:eastAsia="黑体" w:hAnsi="Times New Roman" w:cs="Times New Roman"/>
          <w:sz w:val="32"/>
          <w:szCs w:val="32"/>
        </w:rPr>
      </w:pPr>
      <w:bookmarkStart w:id="0" w:name="_Toc363650875"/>
      <w:bookmarkStart w:id="1" w:name="_Toc431215376"/>
      <w:bookmarkStart w:id="2" w:name="_Toc431215854"/>
      <w:r w:rsidRPr="0057511C">
        <w:rPr>
          <w:rFonts w:ascii="Times New Roman" w:eastAsia="黑体" w:hAnsi="Times New Roman" w:cs="Times New Roman"/>
          <w:sz w:val="32"/>
          <w:szCs w:val="32"/>
        </w:rPr>
        <w:t>二、</w:t>
      </w:r>
      <w:bookmarkEnd w:id="0"/>
      <w:bookmarkEnd w:id="1"/>
      <w:bookmarkEnd w:id="2"/>
      <w:r w:rsidRPr="0057511C">
        <w:rPr>
          <w:rFonts w:ascii="Times New Roman" w:eastAsia="黑体" w:hAnsi="Times New Roman" w:cs="Times New Roman"/>
          <w:sz w:val="32"/>
          <w:szCs w:val="32"/>
        </w:rPr>
        <w:t>注册审查要点</w:t>
      </w:r>
      <w:bookmarkStart w:id="3" w:name="_GoBack"/>
      <w:bookmarkEnd w:id="3"/>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楷体_GB2312" w:hAnsi="Times New Roman" w:cs="Times New Roman"/>
          <w:sz w:val="32"/>
          <w:szCs w:val="32"/>
        </w:rPr>
        <w:lastRenderedPageBreak/>
        <w:t>（一）监管信息</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包括申请表、术语和缩写词列表（如适用）、产品列表、既往沟通记录（如适用）、主文档授权信（如适用）以及符合性声明等，需符合《医疗器械注册申报资料要求及说明》的要求。</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申请表</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1.1</w:t>
      </w:r>
      <w:r w:rsidRPr="0057511C">
        <w:rPr>
          <w:rFonts w:ascii="Times New Roman" w:eastAsia="仿宋_GB2312" w:hAnsi="Times New Roman" w:cs="Times New Roman"/>
          <w:sz w:val="32"/>
          <w:szCs w:val="32"/>
        </w:rPr>
        <w:t>确认产品的类别及分类编码，依据《医疗器械分类目录》，水凝胶敷料的分类编码为</w:t>
      </w:r>
      <w:r w:rsidRPr="0057511C">
        <w:rPr>
          <w:rFonts w:ascii="Times New Roman" w:eastAsia="仿宋_GB2312" w:hAnsi="Times New Roman" w:cs="Times New Roman"/>
          <w:sz w:val="32"/>
          <w:szCs w:val="32"/>
        </w:rPr>
        <w:t>14-10-04</w:t>
      </w:r>
      <w:r w:rsidRPr="0057511C">
        <w:rPr>
          <w:rFonts w:ascii="Times New Roman" w:eastAsia="仿宋_GB2312" w:hAnsi="Times New Roman" w:cs="Times New Roman"/>
          <w:sz w:val="32"/>
          <w:szCs w:val="32"/>
        </w:rPr>
        <w:t>，产品的适用范围，应为按第三类医疗器械管理的预期用途。</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1.2</w:t>
      </w:r>
      <w:r w:rsidRPr="0057511C">
        <w:rPr>
          <w:rFonts w:ascii="Times New Roman" w:eastAsia="仿宋_GB2312" w:hAnsi="Times New Roman" w:cs="Times New Roman"/>
          <w:sz w:val="32"/>
          <w:szCs w:val="32"/>
        </w:rPr>
        <w:t>关注产品中文名称，其命名需符合《医疗器械通用名称命名规则》《注输、护理和防护器械通用名称命名指导原则》等医疗器械命名有关指南的规定。</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对于进口注册产品，水凝胶敷料的原文名称应与原产国的上市销售证明文件及原产国说明书中的相应内容一致。</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产品列表</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2.1</w:t>
      </w:r>
      <w:r w:rsidRPr="0057511C">
        <w:rPr>
          <w:rFonts w:ascii="Times New Roman" w:eastAsia="仿宋_GB2312" w:hAnsi="Times New Roman" w:cs="Times New Roman"/>
          <w:sz w:val="32"/>
          <w:szCs w:val="32"/>
        </w:rPr>
        <w:t>对于进口注册产品，水凝胶敷料的各型号规格、结构组成应与原产国上市销售证明文件及原产国说明书中的相应内容一致。</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2.2</w:t>
      </w:r>
      <w:r w:rsidRPr="0057511C">
        <w:rPr>
          <w:rFonts w:ascii="Times New Roman" w:eastAsia="仿宋_GB2312" w:hAnsi="Times New Roman" w:cs="Times New Roman"/>
          <w:sz w:val="32"/>
          <w:szCs w:val="32"/>
        </w:rPr>
        <w:t>产品的注册单元划分原则上需符合《医疗器械注册单元划分指导原则》的要求，水凝胶敷料的主要原材料不同或物理性状不同的产品，建议划分为不同注册单元，如注射器预灌装的无定形水凝胶产品和片状的水凝胶敷料宜划分为不同注册单元；产品的各组成成分百分含量差异较大导致产品的适用范围不同时，建议划分为不同的注册单元。</w:t>
      </w:r>
      <w:r w:rsidRPr="0057511C">
        <w:rPr>
          <w:rFonts w:ascii="Times New Roman" w:eastAsia="仿宋_GB2312" w:hAnsi="Times New Roman" w:cs="Times New Roman"/>
          <w:sz w:val="32"/>
          <w:szCs w:val="32"/>
        </w:rPr>
        <w:t xml:space="preserve"> </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bookmarkStart w:id="4" w:name="_Toc431215855"/>
      <w:bookmarkStart w:id="5" w:name="_Toc431215377"/>
      <w:r w:rsidRPr="0057511C">
        <w:rPr>
          <w:rFonts w:ascii="Times New Roman" w:eastAsia="楷体_GB2312" w:hAnsi="Times New Roman" w:cs="Times New Roman"/>
          <w:sz w:val="32"/>
          <w:szCs w:val="32"/>
        </w:rPr>
        <w:lastRenderedPageBreak/>
        <w:t>（二）综述资料</w:t>
      </w:r>
      <w:bookmarkEnd w:id="4"/>
      <w:bookmarkEnd w:id="5"/>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bookmarkStart w:id="6" w:name="_Toc431215378"/>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概述</w:t>
      </w:r>
      <w:bookmarkEnd w:id="6"/>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描述申报产品通用名称及其确定依据、管理类别、分类编码和适用范围等。</w:t>
      </w:r>
      <w:bookmarkStart w:id="7" w:name="_Toc431215379"/>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产品描述</w:t>
      </w:r>
      <w:bookmarkEnd w:id="7"/>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产品描述应全面、详细，至少应包括申报产品名称、结构组成及相应图示、尺寸、各组成成分及组成百分比、各组分在产品中的功能、产品工作机理、技术性能指标、灭菌方式、有效期、预期用途、适用伤口类型、配合使用的产品信息、区别于其他同类产品的特征和符合的标准等。</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3.</w:t>
      </w:r>
      <w:r w:rsidRPr="0057511C">
        <w:rPr>
          <w:rFonts w:ascii="Times New Roman" w:eastAsia="仿宋_GB2312" w:hAnsi="Times New Roman" w:cs="Times New Roman"/>
          <w:sz w:val="32"/>
          <w:szCs w:val="32"/>
        </w:rPr>
        <w:t>型号规格</w:t>
      </w:r>
    </w:p>
    <w:p w:rsidR="00317D69" w:rsidRPr="0057511C" w:rsidRDefault="00077D46" w:rsidP="0057511C">
      <w:pPr>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对于存在多种型号规格的产品，说明型号规格的划分及依据、明确各型号规格的区别，说明型号规格表述方式中每一字母、数字或符号的代表含义。应当采用对比表及带有说明性文字的图片、图表对各种型号规格的结构组成、功能、产品特征、性能指标等加以描述。</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bookmarkStart w:id="8" w:name="_Toc431215381"/>
      <w:r w:rsidRPr="0057511C">
        <w:rPr>
          <w:rFonts w:ascii="Times New Roman" w:eastAsia="仿宋_GB2312" w:hAnsi="Times New Roman" w:cs="Times New Roman"/>
          <w:sz w:val="32"/>
          <w:szCs w:val="32"/>
        </w:rPr>
        <w:t>4.</w:t>
      </w:r>
      <w:r w:rsidRPr="0057511C">
        <w:rPr>
          <w:rFonts w:ascii="Times New Roman" w:eastAsia="仿宋_GB2312" w:hAnsi="Times New Roman" w:cs="Times New Roman"/>
          <w:sz w:val="32"/>
          <w:szCs w:val="32"/>
        </w:rPr>
        <w:t>包装说明</w:t>
      </w:r>
      <w:bookmarkEnd w:id="8"/>
    </w:p>
    <w:p w:rsidR="00317D69" w:rsidRPr="0057511C" w:rsidRDefault="00077D46" w:rsidP="0057511C">
      <w:pPr>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说明产品的包装层次，明确产品各层次包装（初包装、二级包装等）的材料信息；特别应当说明其无菌屏障系统（包括与灭菌方法相适应的初包装）的材料信息。</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5.</w:t>
      </w:r>
      <w:r w:rsidRPr="0057511C">
        <w:rPr>
          <w:rFonts w:ascii="Times New Roman" w:eastAsia="仿宋_GB2312" w:hAnsi="Times New Roman" w:cs="Times New Roman"/>
          <w:sz w:val="32"/>
          <w:szCs w:val="32"/>
        </w:rPr>
        <w:t>与同类和</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或前代产品的参考和比较</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列表比较说明申报产品与同类产品和</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或前代产品在工作原理、结构组成、制造材料、性能指标、作用方式、适用范围、生产工艺以及灭菌方式等方面的异同。</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bookmarkStart w:id="9" w:name="_Toc431215382"/>
      <w:r w:rsidRPr="0057511C">
        <w:rPr>
          <w:rFonts w:ascii="Times New Roman" w:eastAsia="仿宋_GB2312" w:hAnsi="Times New Roman" w:cs="Times New Roman"/>
          <w:sz w:val="32"/>
          <w:szCs w:val="32"/>
        </w:rPr>
        <w:lastRenderedPageBreak/>
        <w:t>6.</w:t>
      </w:r>
      <w:r w:rsidRPr="0057511C">
        <w:rPr>
          <w:rFonts w:ascii="Times New Roman" w:eastAsia="仿宋_GB2312" w:hAnsi="Times New Roman" w:cs="Times New Roman"/>
          <w:sz w:val="32"/>
          <w:szCs w:val="32"/>
        </w:rPr>
        <w:t>适用范围</w:t>
      </w:r>
      <w:bookmarkEnd w:id="9"/>
      <w:r w:rsidRPr="0057511C">
        <w:rPr>
          <w:rFonts w:ascii="Times New Roman" w:eastAsia="仿宋_GB2312" w:hAnsi="Times New Roman" w:cs="Times New Roman"/>
          <w:sz w:val="32"/>
          <w:szCs w:val="32"/>
        </w:rPr>
        <w:t>和禁忌证</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6.1</w:t>
      </w:r>
      <w:r w:rsidRPr="0057511C">
        <w:rPr>
          <w:rFonts w:ascii="Times New Roman" w:eastAsia="仿宋_GB2312" w:hAnsi="Times New Roman" w:cs="Times New Roman"/>
          <w:sz w:val="32"/>
          <w:szCs w:val="32"/>
        </w:rPr>
        <w:t>适用范围：应当明确具体的适用范围，包括伤口类型、组织深度、伤口渗液情况、伤口愈合阶段以及配合使用的器械（如适用）。</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6.2</w:t>
      </w:r>
      <w:r w:rsidRPr="0057511C">
        <w:rPr>
          <w:rFonts w:ascii="Times New Roman" w:eastAsia="仿宋_GB2312" w:hAnsi="Times New Roman" w:cs="Times New Roman"/>
          <w:sz w:val="32"/>
          <w:szCs w:val="32"/>
        </w:rPr>
        <w:t>禁忌证：如适用，应当明确说明该产品禁忌应用的人群、伤口类型等。</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7.</w:t>
      </w:r>
      <w:r w:rsidRPr="0057511C">
        <w:rPr>
          <w:rFonts w:ascii="Times New Roman" w:eastAsia="仿宋_GB2312" w:hAnsi="Times New Roman" w:cs="Times New Roman"/>
          <w:sz w:val="32"/>
          <w:szCs w:val="32"/>
        </w:rPr>
        <w:t>申报产品上市历史</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楷体_GB2312" w:hAnsi="Times New Roman" w:cs="Times New Roman"/>
          <w:sz w:val="32"/>
          <w:szCs w:val="32"/>
        </w:rPr>
        <w:t>（三）非临床资料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产品风险管理资料</w:t>
      </w:r>
    </w:p>
    <w:p w:rsidR="00317D69" w:rsidRPr="0057511C" w:rsidRDefault="00077D46" w:rsidP="0057511C">
      <w:pPr>
        <w:overflowPunct w:val="0"/>
        <w:spacing w:line="560" w:lineRule="exact"/>
        <w:ind w:firstLineChars="200" w:firstLine="640"/>
        <w:rPr>
          <w:rFonts w:ascii="Times New Roman" w:eastAsia="仿宋_GB2312" w:hAnsi="Times New Roman" w:cs="Times New Roman"/>
          <w:bCs/>
          <w:sz w:val="32"/>
          <w:szCs w:val="32"/>
        </w:rPr>
      </w:pPr>
      <w:r w:rsidRPr="0057511C">
        <w:rPr>
          <w:rFonts w:ascii="Times New Roman" w:eastAsia="仿宋_GB2312" w:hAnsi="Times New Roman" w:cs="Times New Roman"/>
          <w:bCs/>
          <w:sz w:val="32"/>
          <w:szCs w:val="32"/>
        </w:rPr>
        <w:t>按照</w:t>
      </w:r>
      <w:r w:rsidRPr="0057511C">
        <w:rPr>
          <w:rFonts w:ascii="Times New Roman" w:eastAsia="仿宋_GB2312" w:hAnsi="Times New Roman" w:cs="Times New Roman"/>
          <w:bCs/>
          <w:sz w:val="32"/>
          <w:szCs w:val="32"/>
        </w:rPr>
        <w:t>GB/T 42062</w:t>
      </w:r>
      <w:r w:rsidRPr="0057511C">
        <w:rPr>
          <w:rFonts w:ascii="Times New Roman" w:eastAsia="仿宋_GB2312" w:hAnsi="Times New Roman" w:cs="Times New Roman"/>
          <w:bCs/>
          <w:sz w:val="32"/>
          <w:szCs w:val="32"/>
        </w:rPr>
        <w:t>《医疗器械风险管理对医疗器械的应用》标准的要求，注册申请人需对产品生命周期全过程实施风险管理。</w:t>
      </w:r>
      <w:r w:rsidRPr="0057511C">
        <w:rPr>
          <w:rFonts w:ascii="Times New Roman" w:eastAsia="仿宋" w:hAnsi="Times New Roman" w:cs="Times New Roman"/>
          <w:bCs/>
          <w:sz w:val="32"/>
          <w:szCs w:val="32"/>
        </w:rPr>
        <w:t>注册申请人在产品注册上市前，应对风险管理过程进行评审。</w:t>
      </w:r>
      <w:r w:rsidRPr="0057511C">
        <w:rPr>
          <w:rFonts w:ascii="Times New Roman" w:eastAsia="仿宋_GB2312" w:hAnsi="Times New Roman" w:cs="Times New Roman"/>
          <w:bCs/>
          <w:sz w:val="32"/>
          <w:szCs w:val="32"/>
        </w:rPr>
        <w:t>应提供产品风险分析、风险评价、风险控制、任何一个或多个剩余风险的可接受性评定，以及与产品受益相比，综合评价水凝胶敷料风险可接受的文件，并说明对于每项已判定危害的下列各个过程的可追溯性。</w:t>
      </w:r>
    </w:p>
    <w:p w:rsidR="00317D69" w:rsidRPr="0057511C" w:rsidRDefault="00077D46" w:rsidP="0057511C">
      <w:pPr>
        <w:overflowPunct w:val="0"/>
        <w:spacing w:line="560" w:lineRule="exact"/>
        <w:ind w:firstLineChars="200" w:firstLine="640"/>
        <w:rPr>
          <w:rFonts w:ascii="Times New Roman" w:eastAsia="仿宋_GB2312" w:hAnsi="Times New Roman" w:cs="Times New Roman"/>
          <w:bCs/>
          <w:sz w:val="32"/>
          <w:szCs w:val="32"/>
        </w:rPr>
      </w:pPr>
      <w:r w:rsidRPr="0057511C">
        <w:rPr>
          <w:rFonts w:ascii="Times New Roman" w:eastAsia="仿宋_GB2312" w:hAnsi="Times New Roman" w:cs="Times New Roman"/>
          <w:bCs/>
          <w:sz w:val="32"/>
          <w:szCs w:val="32"/>
        </w:rPr>
        <w:t>制定该文件时，应充分考虑水凝胶敷料产品的结构组成、临床使用方式等因素。常见风险因素包括但不限于：原材料的生物学和化学危害（如材料或材料来源变化、原材料纯度变化）、生产加工过程可能产生的危害（如不期望的加工</w:t>
      </w:r>
      <w:r w:rsidRPr="0057511C">
        <w:rPr>
          <w:rFonts w:ascii="Times New Roman" w:eastAsia="仿宋_GB2312" w:hAnsi="Times New Roman" w:cs="Times New Roman"/>
          <w:bCs/>
          <w:sz w:val="32"/>
          <w:szCs w:val="32"/>
        </w:rPr>
        <w:lastRenderedPageBreak/>
        <w:t>助剂残留、生产环境洁净度）、产品使用风险因素（如未按照产品说明书使用、伤口部位留存时间过长）、灭菌过程可能产生的危害（如灭菌方式对产品不适宜、灭菌不完全）、产品包装可能产生的危害（如包装破损、标识不清）等。</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产品技术要求</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产品技术要求的制定需符合《医疗器械产品技术要求编写指导原则》的要求，应根据产品的技术特征和临床使用情况来确定产品安全有效、质量可控的性能指标与检验方法。对宣称的所有与产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对于相关国家标准、行业标准中不适用的推荐要求条款，应说明不适用的原因。</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2.1</w:t>
      </w:r>
      <w:r w:rsidRPr="0057511C">
        <w:rPr>
          <w:rFonts w:ascii="Times New Roman" w:eastAsia="仿宋_GB2312" w:hAnsi="Times New Roman"/>
          <w:sz w:val="32"/>
          <w:szCs w:val="32"/>
        </w:rPr>
        <w:t>产品型号规格及划分说明</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产品技术要求中应明确产品型号规格并阐明各型号规格之间的区别和划分依据，提供产品结构及示意图。</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2.2</w:t>
      </w:r>
      <w:r w:rsidRPr="0057511C">
        <w:rPr>
          <w:rFonts w:ascii="Times New Roman" w:eastAsia="仿宋_GB2312" w:hAnsi="Times New Roman"/>
          <w:sz w:val="32"/>
          <w:szCs w:val="32"/>
        </w:rPr>
        <w:t>产品的基本信息</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描述产品一般信息：明确产品各组成成分及其百分含量，与人体直接或间接接触的组件，应写明其原材料牌号或者符合的国家</w:t>
      </w:r>
      <w:r w:rsidRPr="0057511C">
        <w:rPr>
          <w:rFonts w:ascii="Times New Roman" w:eastAsia="仿宋_GB2312" w:hAnsi="Times New Roman"/>
          <w:sz w:val="32"/>
          <w:szCs w:val="32"/>
        </w:rPr>
        <w:t>/</w:t>
      </w:r>
      <w:r w:rsidRPr="0057511C">
        <w:rPr>
          <w:rFonts w:ascii="Times New Roman" w:eastAsia="仿宋_GB2312" w:hAnsi="Times New Roman"/>
          <w:sz w:val="32"/>
          <w:szCs w:val="32"/>
        </w:rPr>
        <w:t>行业标准。描述产品灭菌方法、有效期等信息。</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2.3</w:t>
      </w:r>
      <w:r w:rsidRPr="0057511C">
        <w:rPr>
          <w:rFonts w:ascii="Times New Roman" w:eastAsia="仿宋_GB2312" w:hAnsi="Times New Roman"/>
          <w:sz w:val="32"/>
          <w:szCs w:val="32"/>
        </w:rPr>
        <w:t>性能要求及试验方法</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常见的通用技术指标包括以下项目：</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2.3.1</w:t>
      </w:r>
      <w:r w:rsidRPr="0057511C">
        <w:rPr>
          <w:rFonts w:ascii="Times New Roman" w:eastAsia="仿宋_GB2312" w:hAnsi="Times New Roman"/>
          <w:sz w:val="32"/>
          <w:szCs w:val="32"/>
        </w:rPr>
        <w:t>物理性能和使用性能（如不适用请说明）</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lastRenderedPageBreak/>
        <w:t>外观、装量、含水量、弥散</w:t>
      </w:r>
      <w:r w:rsidRPr="0057511C">
        <w:rPr>
          <w:rFonts w:ascii="Times New Roman" w:eastAsia="仿宋_GB2312" w:hAnsi="Times New Roman"/>
          <w:sz w:val="32"/>
          <w:szCs w:val="32"/>
        </w:rPr>
        <w:t>/</w:t>
      </w:r>
      <w:r w:rsidRPr="0057511C">
        <w:rPr>
          <w:rFonts w:ascii="Times New Roman" w:eastAsia="仿宋_GB2312" w:hAnsi="Times New Roman"/>
          <w:sz w:val="32"/>
          <w:szCs w:val="32"/>
        </w:rPr>
        <w:t>可溶性、黏度、折光率、液体亲和力、尺寸（包括厚度）、水蒸气透过率、</w:t>
      </w:r>
      <w:proofErr w:type="gramStart"/>
      <w:r w:rsidRPr="0057511C">
        <w:rPr>
          <w:rFonts w:ascii="Times New Roman" w:eastAsia="仿宋_GB2312" w:hAnsi="Times New Roman"/>
          <w:sz w:val="32"/>
          <w:szCs w:val="32"/>
        </w:rPr>
        <w:t>阻菌性</w:t>
      </w:r>
      <w:proofErr w:type="gramEnd"/>
      <w:r w:rsidRPr="0057511C">
        <w:rPr>
          <w:rFonts w:ascii="Times New Roman" w:eastAsia="仿宋_GB2312" w:hAnsi="Times New Roman"/>
          <w:sz w:val="32"/>
          <w:szCs w:val="32"/>
        </w:rPr>
        <w:t>、阻水性、持粘性、剥离强度等。</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2.3.2</w:t>
      </w:r>
      <w:r w:rsidRPr="0057511C">
        <w:rPr>
          <w:rFonts w:ascii="Times New Roman" w:eastAsia="仿宋_GB2312" w:hAnsi="Times New Roman"/>
          <w:sz w:val="32"/>
          <w:szCs w:val="32"/>
        </w:rPr>
        <w:t>化学性能</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重金属含量、酸碱度、环氧乙烷残留量（如适用）等。</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2.3.3</w:t>
      </w:r>
      <w:r w:rsidR="002C7352" w:rsidRPr="0057511C">
        <w:rPr>
          <w:rFonts w:ascii="Times New Roman" w:eastAsia="仿宋_GB2312" w:hAnsi="Times New Roman"/>
          <w:sz w:val="32"/>
          <w:szCs w:val="32"/>
        </w:rPr>
        <w:t>其他</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无菌、细菌内毒素。</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3.</w:t>
      </w:r>
      <w:r w:rsidRPr="0057511C">
        <w:rPr>
          <w:rFonts w:ascii="Times New Roman" w:eastAsia="仿宋_GB2312" w:hAnsi="Times New Roman" w:cs="Times New Roman"/>
          <w:sz w:val="32"/>
          <w:szCs w:val="32"/>
        </w:rPr>
        <w:t>产品的检验报告</w:t>
      </w:r>
    </w:p>
    <w:p w:rsidR="00317D69" w:rsidRPr="0057511C" w:rsidRDefault="00077D46" w:rsidP="0057511C">
      <w:pPr>
        <w:pStyle w:val="a5"/>
        <w:adjustRightInd w:val="0"/>
        <w:snapToGrid w:val="0"/>
        <w:spacing w:line="560" w:lineRule="exact"/>
        <w:ind w:firstLineChars="200" w:firstLine="640"/>
        <w:jc w:val="left"/>
        <w:rPr>
          <w:rFonts w:ascii="Times New Roman" w:eastAsia="仿宋_GB2312" w:hAnsi="Times New Roman"/>
          <w:sz w:val="32"/>
          <w:szCs w:val="32"/>
        </w:rPr>
      </w:pPr>
      <w:r w:rsidRPr="0057511C">
        <w:rPr>
          <w:rFonts w:ascii="Times New Roman" w:eastAsia="仿宋_GB2312" w:hAnsi="Times New Roman"/>
          <w:sz w:val="32"/>
          <w:szCs w:val="32"/>
        </w:rPr>
        <w:t>注册申请人应提供产品检验报告，其可以是医疗器械注册申请人的自检报告，也可以是委托具有医疗器械检验资质的医疗器械检验机构出具的检验报告。</w:t>
      </w:r>
    </w:p>
    <w:p w:rsidR="00317D69" w:rsidRPr="0057511C" w:rsidRDefault="00077D46" w:rsidP="0057511C">
      <w:pPr>
        <w:pStyle w:val="a5"/>
        <w:adjustRightInd w:val="0"/>
        <w:snapToGrid w:val="0"/>
        <w:spacing w:line="560" w:lineRule="exact"/>
        <w:ind w:firstLineChars="200" w:firstLine="640"/>
        <w:jc w:val="left"/>
        <w:rPr>
          <w:rFonts w:ascii="Times New Roman" w:eastAsia="仿宋_GB2312" w:hAnsi="Times New Roman"/>
          <w:strike/>
          <w:sz w:val="32"/>
          <w:szCs w:val="32"/>
        </w:rPr>
      </w:pPr>
      <w:r w:rsidRPr="0057511C">
        <w:rPr>
          <w:rFonts w:ascii="Times New Roman" w:eastAsia="仿宋_GB2312" w:hAnsi="Times New Roman"/>
          <w:sz w:val="32"/>
          <w:szCs w:val="32"/>
        </w:rPr>
        <w:t>若申报的产品包括多个型号，</w:t>
      </w:r>
      <w:r w:rsidRPr="0057511C">
        <w:rPr>
          <w:rFonts w:ascii="Times New Roman" w:eastAsia="仿宋" w:hAnsi="Times New Roman"/>
          <w:bCs/>
          <w:sz w:val="32"/>
          <w:szCs w:val="32"/>
        </w:rPr>
        <w:t>注册申请人应提供典型性检验样品的选择说明，所检验型号产品应是本注册单元内能够代表其他申报型号安全性和有效性的典型产品。</w:t>
      </w:r>
      <w:r w:rsidRPr="0057511C">
        <w:rPr>
          <w:rFonts w:ascii="Times New Roman" w:eastAsia="仿宋_GB2312" w:hAnsi="Times New Roman"/>
          <w:sz w:val="32"/>
          <w:szCs w:val="32"/>
        </w:rPr>
        <w:t>如被检型号产品无法覆盖</w:t>
      </w:r>
      <w:proofErr w:type="gramStart"/>
      <w:r w:rsidRPr="0057511C">
        <w:rPr>
          <w:rFonts w:ascii="Times New Roman" w:eastAsia="仿宋_GB2312" w:hAnsi="Times New Roman"/>
          <w:sz w:val="32"/>
          <w:szCs w:val="32"/>
        </w:rPr>
        <w:t>本注册</w:t>
      </w:r>
      <w:proofErr w:type="gramEnd"/>
      <w:r w:rsidRPr="0057511C">
        <w:rPr>
          <w:rFonts w:ascii="Times New Roman" w:eastAsia="仿宋_GB2312" w:hAnsi="Times New Roman"/>
          <w:sz w:val="32"/>
          <w:szCs w:val="32"/>
        </w:rPr>
        <w:t>单元，应同时选择其他型号产品进行差异性检验。</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w:t>
      </w:r>
      <w:r w:rsidRPr="0057511C">
        <w:rPr>
          <w:rFonts w:ascii="Times New Roman" w:eastAsia="仿宋_GB2312" w:hAnsi="Times New Roman" w:cs="Times New Roman"/>
          <w:sz w:val="32"/>
          <w:szCs w:val="32"/>
        </w:rPr>
        <w:t>研究资料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根据申报产品适用范围和技术特征，提供非临床研究综述，逐项描述所开展的研究，概述研究方法和研究结论。</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应当从技术层面论述申报产品的设计、技术特征、性能指标及制定依据、生物相容性评价研究、灭菌工艺研究等，内容至少应包含但不限于以下方面：</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4.1</w:t>
      </w:r>
      <w:r w:rsidRPr="0057511C">
        <w:rPr>
          <w:rFonts w:ascii="Times New Roman" w:eastAsia="仿宋_GB2312" w:hAnsi="Times New Roman" w:cs="Times New Roman"/>
          <w:sz w:val="32"/>
          <w:szCs w:val="32"/>
        </w:rPr>
        <w:t>设计特征</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应列明产品各组件的名称、材料、结构和功能，提交各</w:t>
      </w:r>
      <w:r w:rsidRPr="0057511C">
        <w:rPr>
          <w:rFonts w:ascii="Times New Roman" w:eastAsia="仿宋_GB2312" w:hAnsi="Times New Roman" w:cs="Times New Roman"/>
          <w:sz w:val="32"/>
          <w:szCs w:val="32"/>
        </w:rPr>
        <w:lastRenderedPageBreak/>
        <w:t>部件功能与实现功能的工作原理、途径。明确全部原材料的名称、分子量及分布、可能存在的单体、催化剂、添加剂等。明确全部成分含量、预期发挥的作用。提供水凝胶分子结构的示意图。</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如存在水凝胶聚合网络形成过程，明确化学反应式，明确主反应和副反应。提交全部原材料信息，说明交联剂、溶剂、加工助剂等成分添加量，去除工艺、残留量控制等信息。</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bookmarkStart w:id="10" w:name="_Toc431215386"/>
      <w:r w:rsidRPr="0057511C">
        <w:rPr>
          <w:rFonts w:ascii="Times New Roman" w:eastAsia="仿宋_GB2312" w:hAnsi="Times New Roman" w:cs="Times New Roman"/>
          <w:sz w:val="32"/>
          <w:szCs w:val="32"/>
        </w:rPr>
        <w:t>4.</w:t>
      </w:r>
      <w:bookmarkStart w:id="11" w:name="_Toc431215388"/>
      <w:bookmarkEnd w:id="10"/>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产品性能</w:t>
      </w:r>
      <w:bookmarkEnd w:id="11"/>
      <w:r w:rsidRPr="0057511C">
        <w:rPr>
          <w:rFonts w:ascii="Times New Roman" w:eastAsia="仿宋_GB2312" w:hAnsi="Times New Roman" w:cs="Times New Roman"/>
          <w:sz w:val="32"/>
          <w:szCs w:val="32"/>
        </w:rPr>
        <w:t>研究</w:t>
      </w:r>
    </w:p>
    <w:p w:rsidR="00317D69" w:rsidRPr="0057511C" w:rsidRDefault="00077D46" w:rsidP="0057511C">
      <w:pPr>
        <w:tabs>
          <w:tab w:val="left" w:pos="540"/>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注册申请人应提供产品性能研究资料。包括有效性、安全性指标以及与质量控制相关的其他指标的确定依据，所采用的标准或方法、采用的理由及理论基础。</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产品的使用性能应进行研究和验证，其结果应能证明符合临床使用要求。常见性能研究指标可参考技术要求中性能指标要求。</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对以下性能研究中的关注点予以说明：</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4.2.1</w:t>
      </w:r>
      <w:r w:rsidRPr="0057511C">
        <w:rPr>
          <w:rFonts w:ascii="Times New Roman" w:eastAsia="仿宋_GB2312" w:hAnsi="Times New Roman" w:cs="Times New Roman"/>
          <w:sz w:val="32"/>
          <w:szCs w:val="32"/>
        </w:rPr>
        <w:t>水凝胶敷料的含水量</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水凝胶材料是亲水的，在水中不溶解、只溶胀的一类材料，一般来说含水量较高。建议结合产品自身特性和临床使用特点，开展含水量研究，建议考虑温度、湿度、外界压力等因素的影响。此外，建议提供敷料的单位面积产品重量、厚度、密度等技术指标。</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必要时评估水凝胶敷料的溶胀速率，即含水量随时间的变化。除溶胀速率外，</w:t>
      </w:r>
      <w:proofErr w:type="gramStart"/>
      <w:r w:rsidRPr="0057511C">
        <w:rPr>
          <w:rFonts w:ascii="Times New Roman" w:eastAsia="仿宋_GB2312" w:hAnsi="Times New Roman" w:cs="Times New Roman"/>
          <w:sz w:val="32"/>
          <w:szCs w:val="32"/>
        </w:rPr>
        <w:t>宜确定</w:t>
      </w:r>
      <w:proofErr w:type="gramEnd"/>
      <w:r w:rsidRPr="0057511C">
        <w:rPr>
          <w:rFonts w:ascii="Times New Roman" w:eastAsia="仿宋_GB2312" w:hAnsi="Times New Roman" w:cs="Times New Roman"/>
          <w:sz w:val="32"/>
          <w:szCs w:val="32"/>
        </w:rPr>
        <w:t>溶胀平衡的程度，通常用平衡体积溶胀比或平衡重量溶胀比来表述。</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lastRenderedPageBreak/>
        <w:t>4.2.2</w:t>
      </w:r>
      <w:r w:rsidRPr="0057511C">
        <w:rPr>
          <w:rFonts w:ascii="Times New Roman" w:eastAsia="仿宋_GB2312" w:hAnsi="Times New Roman" w:cs="Times New Roman"/>
          <w:sz w:val="32"/>
          <w:szCs w:val="32"/>
        </w:rPr>
        <w:t>液体亲和力</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水凝胶敷料的液体亲和力是指从模拟创面吸收液体或向模拟创面交付液体的能力。液体亲和性可以吸收或交付的百分率表示。</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检测方法可以参考标准</w:t>
      </w:r>
      <w:r w:rsidRPr="0057511C">
        <w:rPr>
          <w:rFonts w:ascii="Times New Roman" w:eastAsia="仿宋_GB2312" w:hAnsi="Times New Roman" w:cs="Times New Roman"/>
          <w:sz w:val="32"/>
          <w:szCs w:val="32"/>
        </w:rPr>
        <w:t xml:space="preserve">YY/T 0471.1 </w:t>
      </w:r>
      <w:r w:rsidRPr="0057511C">
        <w:rPr>
          <w:rFonts w:ascii="Times New Roman" w:eastAsia="仿宋_GB2312" w:hAnsi="Times New Roman" w:cs="Times New Roman"/>
          <w:sz w:val="32"/>
          <w:szCs w:val="32"/>
        </w:rPr>
        <w:t>《接触性创面敷料试验方法</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液体吸收性》，也可结合申报产品特点自行制定。</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4.2.3</w:t>
      </w:r>
      <w:r w:rsidRPr="0057511C">
        <w:rPr>
          <w:rFonts w:ascii="Times New Roman" w:eastAsia="仿宋_GB2312" w:hAnsi="Times New Roman" w:cs="Times New Roman"/>
          <w:sz w:val="32"/>
          <w:szCs w:val="32"/>
        </w:rPr>
        <w:t>敷料的弥散</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可溶性</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弥散</w:t>
      </w:r>
      <w:r w:rsidRPr="0057511C">
        <w:rPr>
          <w:rFonts w:ascii="Times New Roman" w:eastAsia="仿宋_GB2312" w:hAnsi="Times New Roman"/>
          <w:sz w:val="32"/>
          <w:szCs w:val="32"/>
        </w:rPr>
        <w:t>/</w:t>
      </w:r>
      <w:r w:rsidRPr="0057511C">
        <w:rPr>
          <w:rFonts w:ascii="Times New Roman" w:eastAsia="仿宋_GB2312" w:hAnsi="Times New Roman"/>
          <w:sz w:val="32"/>
          <w:szCs w:val="32"/>
        </w:rPr>
        <w:t>可溶性是无定形水凝胶创面敷料在吸收渗液时的物理特性。按照产品特性和预期适用的伤口类型，选择合适的试验液，如由氯化钠和氯化钙</w:t>
      </w:r>
      <w:r w:rsidR="000E7868" w:rsidRPr="0057511C">
        <w:rPr>
          <w:rFonts w:ascii="Times New Roman" w:eastAsia="仿宋_GB2312" w:hAnsi="Times New Roman"/>
          <w:sz w:val="32"/>
          <w:szCs w:val="32"/>
        </w:rPr>
        <w:t>组成</w:t>
      </w:r>
      <w:r w:rsidRPr="0057511C">
        <w:rPr>
          <w:rFonts w:ascii="Times New Roman" w:eastAsia="仿宋_GB2312" w:hAnsi="Times New Roman"/>
          <w:sz w:val="32"/>
          <w:szCs w:val="32"/>
        </w:rPr>
        <w:t>的溶液，溶液的离子含量相当于人体血清或创面渗出液。如果样品在试验溶液中溶解，则表明可溶；如果有两种不同的</w:t>
      </w:r>
      <w:proofErr w:type="gramStart"/>
      <w:r w:rsidRPr="0057511C">
        <w:rPr>
          <w:rFonts w:ascii="Times New Roman" w:eastAsia="仿宋_GB2312" w:hAnsi="Times New Roman"/>
          <w:sz w:val="32"/>
          <w:szCs w:val="32"/>
        </w:rPr>
        <w:t>相存在</w:t>
      </w:r>
      <w:proofErr w:type="gramEnd"/>
      <w:r w:rsidRPr="0057511C">
        <w:rPr>
          <w:rFonts w:ascii="Times New Roman" w:eastAsia="仿宋_GB2312" w:hAnsi="Times New Roman"/>
          <w:sz w:val="32"/>
          <w:szCs w:val="32"/>
        </w:rPr>
        <w:t>或弥散不均，然后又形成两个不同的层面，则表明可弥散；如果样品保持其结构，则表明不可弥散。</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4.2.4</w:t>
      </w:r>
      <w:r w:rsidRPr="0057511C">
        <w:rPr>
          <w:rFonts w:ascii="Times New Roman" w:eastAsia="仿宋_GB2312" w:hAnsi="Times New Roman" w:cs="Times New Roman"/>
          <w:sz w:val="32"/>
          <w:szCs w:val="32"/>
        </w:rPr>
        <w:t>与其他敷料联合使用</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若申报产品需要与次级敷料联合使用，应明确次级敷料的要求（包括尺寸、种类等），例如不应与有吸收渗液能力的次级敷料联合使用，避免吸收水凝胶向伤口提供的水分。建议选择典型次级敷料产品开展研究，提供联合使用研究资料。</w:t>
      </w:r>
    </w:p>
    <w:p w:rsidR="00317D69" w:rsidRPr="0057511C" w:rsidRDefault="00077D46" w:rsidP="0057511C">
      <w:pPr>
        <w:spacing w:line="560" w:lineRule="exact"/>
        <w:ind w:firstLineChars="200" w:firstLine="640"/>
        <w:jc w:val="left"/>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4.2.5</w:t>
      </w:r>
      <w:r w:rsidRPr="0057511C">
        <w:rPr>
          <w:rFonts w:ascii="Times New Roman" w:eastAsia="仿宋_GB2312" w:hAnsi="Times New Roman" w:cs="Times New Roman"/>
          <w:sz w:val="32"/>
          <w:szCs w:val="32"/>
        </w:rPr>
        <w:t>临床前动物试验</w:t>
      </w:r>
    </w:p>
    <w:p w:rsidR="00317D69" w:rsidRPr="0057511C" w:rsidRDefault="00077D46" w:rsidP="0057511C">
      <w:pPr>
        <w:spacing w:line="560" w:lineRule="exact"/>
        <w:ind w:firstLineChars="200" w:firstLine="640"/>
        <w:jc w:val="left"/>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对于适用范围、宣称功效、作用机理、材料工艺等与已上市产品存在较大差异的，如产品宣称促进伤口愈合或其他特殊功能等。在开展人体临床评价前有必要进行动物</w:t>
      </w:r>
      <w:r w:rsidRPr="0057511C">
        <w:rPr>
          <w:rFonts w:ascii="Times New Roman" w:eastAsia="仿宋_GB2312" w:hAnsi="Times New Roman" w:cs="Times New Roman"/>
          <w:sz w:val="32"/>
          <w:szCs w:val="32"/>
        </w:rPr>
        <w:lastRenderedPageBreak/>
        <w:t>试验初步确认其安全有效性的产品，应提交动物试验资料。</w:t>
      </w:r>
    </w:p>
    <w:p w:rsidR="00317D69" w:rsidRPr="0057511C" w:rsidRDefault="00077D46" w:rsidP="0057511C">
      <w:pPr>
        <w:spacing w:line="560" w:lineRule="exact"/>
        <w:ind w:firstLineChars="200" w:firstLine="640"/>
        <w:jc w:val="left"/>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参照《医疗器械动物试验研究注册审查指导原则</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第二部分：试验设计、实施质量保证》设计并开展动物试验，提供规范的动物试验研究资料。建议申请人建立与拟申报产品预期用途相对应的动物模型。</w:t>
      </w:r>
    </w:p>
    <w:p w:rsidR="00317D69" w:rsidRPr="0057511C" w:rsidRDefault="00077D46" w:rsidP="0057511C">
      <w:pPr>
        <w:spacing w:line="560" w:lineRule="exact"/>
        <w:ind w:firstLineChars="200" w:firstLine="640"/>
        <w:jc w:val="left"/>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4.2.6</w:t>
      </w:r>
      <w:r w:rsidRPr="0057511C">
        <w:rPr>
          <w:rFonts w:ascii="Times New Roman" w:eastAsia="仿宋_GB2312" w:hAnsi="Times New Roman" w:cs="Times New Roman"/>
          <w:sz w:val="32"/>
          <w:szCs w:val="32"/>
        </w:rPr>
        <w:t>特殊设计、功能和结构</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sz w:val="32"/>
          <w:szCs w:val="32"/>
        </w:rPr>
        <w:t>如果产品具有特殊设计、性能和结构，针对特殊之处提供对应研究和验证资料。若有不符合国家</w:t>
      </w:r>
      <w:r w:rsidRPr="0057511C">
        <w:rPr>
          <w:rFonts w:ascii="Times New Roman" w:eastAsia="仿宋_GB2312" w:hAnsi="Times New Roman"/>
          <w:sz w:val="32"/>
          <w:szCs w:val="32"/>
        </w:rPr>
        <w:t>/</w:t>
      </w:r>
      <w:r w:rsidRPr="0057511C">
        <w:rPr>
          <w:rFonts w:ascii="Times New Roman" w:eastAsia="仿宋_GB2312" w:hAnsi="Times New Roman"/>
          <w:sz w:val="32"/>
          <w:szCs w:val="32"/>
        </w:rPr>
        <w:t>行业标准的情形，应说明原因，提交特殊设计的科学性和合理性验证资料。</w:t>
      </w:r>
    </w:p>
    <w:p w:rsidR="00317D69" w:rsidRPr="0057511C" w:rsidRDefault="00077D46" w:rsidP="0057511C">
      <w:pPr>
        <w:tabs>
          <w:tab w:val="left" w:pos="540"/>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5.</w:t>
      </w:r>
      <w:r w:rsidRPr="0057511C">
        <w:rPr>
          <w:rFonts w:ascii="Times New Roman" w:eastAsia="仿宋_GB2312" w:hAnsi="Times New Roman" w:cs="Times New Roman"/>
          <w:sz w:val="32"/>
          <w:szCs w:val="32"/>
        </w:rPr>
        <w:t>化学</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材料表征</w:t>
      </w:r>
    </w:p>
    <w:p w:rsidR="00317D69" w:rsidRPr="0057511C" w:rsidRDefault="00077D46" w:rsidP="0057511C">
      <w:pPr>
        <w:tabs>
          <w:tab w:val="left" w:pos="540"/>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原材料特性是产品最终质量控制的重要因素。应说明原材料的选择依据，列明生产过程中所需全部材料（包括添加剂、催化剂及相应加工助剂）的化学名称、商品名</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材料代号、化学结构式</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分子式、符合的标准等基本信息，建议以列表的形式提供。</w:t>
      </w:r>
    </w:p>
    <w:p w:rsidR="00317D69" w:rsidRPr="0057511C" w:rsidRDefault="00077D46" w:rsidP="0057511C">
      <w:pPr>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注册申请人应提供产品全部原材料符合相应标准的质量控制资料，对于首次用于医疗器械方面的新材料，应提供该材料适合用于人体的预期使用部位的相关研究资料。</w:t>
      </w:r>
    </w:p>
    <w:p w:rsidR="00317D69" w:rsidRPr="0057511C" w:rsidRDefault="00077D46" w:rsidP="0057511C">
      <w:pPr>
        <w:tabs>
          <w:tab w:val="left" w:pos="540"/>
        </w:tabs>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6.</w:t>
      </w:r>
      <w:r w:rsidRPr="0057511C">
        <w:rPr>
          <w:rFonts w:ascii="Times New Roman" w:eastAsia="仿宋_GB2312" w:hAnsi="Times New Roman" w:cs="Times New Roman"/>
          <w:sz w:val="32"/>
          <w:szCs w:val="32"/>
        </w:rPr>
        <w:t>生物相容性评价研究</w:t>
      </w:r>
    </w:p>
    <w:p w:rsidR="00317D69" w:rsidRPr="0057511C" w:rsidRDefault="00077D46" w:rsidP="0057511C">
      <w:pPr>
        <w:tabs>
          <w:tab w:val="left" w:pos="540"/>
        </w:tabs>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生物学评价资料应当包括：生物相容性评价的依据、项目和方法；产品所用材料的描述及与人体接触的性质；实施或豁免生物学试验的理由和论证；对于现有数据或试验结果的评价。</w:t>
      </w:r>
    </w:p>
    <w:p w:rsidR="00317D69" w:rsidRPr="0057511C" w:rsidRDefault="00077D46" w:rsidP="0057511C">
      <w:pPr>
        <w:tabs>
          <w:tab w:val="left" w:pos="540"/>
        </w:tabs>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lastRenderedPageBreak/>
        <w:t>建议参考</w:t>
      </w:r>
      <w:r w:rsidRPr="0057511C">
        <w:rPr>
          <w:rFonts w:ascii="Times New Roman" w:eastAsia="仿宋_GB2312" w:hAnsi="Times New Roman" w:cs="Times New Roman"/>
          <w:sz w:val="32"/>
          <w:szCs w:val="32"/>
        </w:rPr>
        <w:t>GB/T 16886.1</w:t>
      </w:r>
      <w:r w:rsidRPr="0057511C">
        <w:rPr>
          <w:rFonts w:ascii="Times New Roman" w:eastAsia="仿宋_GB2312" w:hAnsi="Times New Roman" w:cs="Times New Roman"/>
          <w:sz w:val="32"/>
          <w:szCs w:val="32"/>
        </w:rPr>
        <w:t>《医疗器械生物学评价第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部分：风险管理过程中的评价与试验》，结合产品的预期用途、与人体接触方式、接触时间等，提供生物学评价文件。对于水凝胶敷料产品，应考虑其潜在的与人体的累积接触时间。</w:t>
      </w:r>
    </w:p>
    <w:p w:rsidR="00317D69" w:rsidRPr="0057511C" w:rsidRDefault="00077D46" w:rsidP="0057511C">
      <w:pPr>
        <w:tabs>
          <w:tab w:val="left" w:pos="540"/>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生物学风险评定过程中需要评价的终点包括但不限于：物理化学信息、细胞毒性、致敏反应、皮内反应、材料</w:t>
      </w:r>
      <w:proofErr w:type="gramStart"/>
      <w:r w:rsidRPr="0057511C">
        <w:rPr>
          <w:rFonts w:ascii="Times New Roman" w:eastAsia="仿宋_GB2312" w:hAnsi="Times New Roman" w:cs="Times New Roman"/>
          <w:sz w:val="32"/>
          <w:szCs w:val="32"/>
        </w:rPr>
        <w:t>介</w:t>
      </w:r>
      <w:proofErr w:type="gramEnd"/>
      <w:r w:rsidRPr="0057511C">
        <w:rPr>
          <w:rFonts w:ascii="Times New Roman" w:eastAsia="仿宋_GB2312" w:hAnsi="Times New Roman" w:cs="Times New Roman"/>
          <w:sz w:val="32"/>
          <w:szCs w:val="32"/>
        </w:rPr>
        <w:t>导的致热性、急性全身毒性、亚急性全身毒性、亚慢性全身毒性、植入反应、遗传毒性、慢性全身毒性和致癌性。</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7.</w:t>
      </w:r>
      <w:r w:rsidRPr="0057511C">
        <w:rPr>
          <w:rFonts w:ascii="Times New Roman" w:eastAsia="仿宋_GB2312" w:hAnsi="Times New Roman" w:cs="Times New Roman"/>
          <w:sz w:val="32"/>
          <w:szCs w:val="32"/>
        </w:rPr>
        <w:t>灭菌工艺研究</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bCs/>
          <w:sz w:val="32"/>
          <w:szCs w:val="32"/>
        </w:rPr>
      </w:pPr>
      <w:r w:rsidRPr="0057511C">
        <w:rPr>
          <w:rFonts w:ascii="Times New Roman" w:eastAsia="仿宋_GB2312" w:hAnsi="Times New Roman"/>
          <w:bCs/>
          <w:sz w:val="32"/>
          <w:szCs w:val="32"/>
        </w:rPr>
        <w:t>7.1</w:t>
      </w:r>
      <w:r w:rsidRPr="0057511C">
        <w:rPr>
          <w:rFonts w:ascii="Times New Roman" w:eastAsia="仿宋_GB2312" w:hAnsi="Times New Roman"/>
          <w:bCs/>
          <w:sz w:val="32"/>
          <w:szCs w:val="32"/>
        </w:rPr>
        <w:t>应明确灭菌工艺（方法和参数）及其选择依据，并附产品灭菌方法适宜性的验证报告，同时提供选用的灭菌方法可以使产品达到的无菌保证水平（</w:t>
      </w:r>
      <w:r w:rsidRPr="0057511C">
        <w:rPr>
          <w:rFonts w:ascii="Times New Roman" w:eastAsia="仿宋_GB2312" w:hAnsi="Times New Roman"/>
          <w:bCs/>
          <w:sz w:val="32"/>
          <w:szCs w:val="32"/>
        </w:rPr>
        <w:t>SAL</w:t>
      </w:r>
      <w:r w:rsidRPr="0057511C">
        <w:rPr>
          <w:rFonts w:ascii="Times New Roman" w:eastAsia="仿宋_GB2312" w:hAnsi="Times New Roman"/>
          <w:bCs/>
          <w:sz w:val="32"/>
          <w:szCs w:val="32"/>
        </w:rPr>
        <w:t>）的灭菌确认报告，产品的无菌保证水平（</w:t>
      </w:r>
      <w:r w:rsidRPr="0057511C">
        <w:rPr>
          <w:rFonts w:ascii="Times New Roman" w:eastAsia="仿宋_GB2312" w:hAnsi="Times New Roman"/>
          <w:bCs/>
          <w:sz w:val="32"/>
          <w:szCs w:val="32"/>
        </w:rPr>
        <w:t>SAL</w:t>
      </w:r>
      <w:r w:rsidRPr="0057511C">
        <w:rPr>
          <w:rFonts w:ascii="Times New Roman" w:eastAsia="仿宋_GB2312" w:hAnsi="Times New Roman"/>
          <w:bCs/>
          <w:sz w:val="32"/>
          <w:szCs w:val="32"/>
        </w:rPr>
        <w:t>）应不低于</w:t>
      </w:r>
      <w:r w:rsidRPr="0057511C">
        <w:rPr>
          <w:rFonts w:ascii="Times New Roman" w:eastAsia="仿宋_GB2312" w:hAnsi="Times New Roman"/>
          <w:bCs/>
          <w:sz w:val="32"/>
          <w:szCs w:val="32"/>
        </w:rPr>
        <w:t>10</w:t>
      </w:r>
      <w:r w:rsidRPr="0057511C">
        <w:rPr>
          <w:rFonts w:ascii="Times New Roman" w:eastAsia="仿宋_GB2312" w:hAnsi="Times New Roman"/>
          <w:bCs/>
          <w:sz w:val="32"/>
          <w:szCs w:val="32"/>
          <w:vertAlign w:val="superscript"/>
        </w:rPr>
        <w:t>-6</w:t>
      </w:r>
      <w:r w:rsidRPr="0057511C">
        <w:rPr>
          <w:rFonts w:ascii="Times New Roman" w:eastAsia="仿宋_GB2312" w:hAnsi="Times New Roman"/>
          <w:bCs/>
          <w:sz w:val="32"/>
          <w:szCs w:val="32"/>
        </w:rPr>
        <w:t>。如采用其它无菌保障水平，应进行科学的验证。</w:t>
      </w:r>
    </w:p>
    <w:p w:rsidR="00317D69" w:rsidRPr="0057511C" w:rsidRDefault="00077D46" w:rsidP="0057511C">
      <w:pPr>
        <w:pStyle w:val="a5"/>
        <w:adjustRightInd w:val="0"/>
        <w:snapToGrid w:val="0"/>
        <w:spacing w:line="560" w:lineRule="exact"/>
        <w:ind w:firstLineChars="200" w:firstLine="640"/>
        <w:rPr>
          <w:rFonts w:ascii="Times New Roman" w:eastAsia="仿宋_GB2312" w:hAnsi="Times New Roman"/>
          <w:sz w:val="32"/>
          <w:szCs w:val="32"/>
        </w:rPr>
      </w:pPr>
      <w:r w:rsidRPr="0057511C">
        <w:rPr>
          <w:rFonts w:ascii="Times New Roman" w:eastAsia="仿宋_GB2312" w:hAnsi="Times New Roman"/>
          <w:bCs/>
          <w:sz w:val="32"/>
          <w:szCs w:val="32"/>
        </w:rPr>
        <w:t>7.2</w:t>
      </w:r>
      <w:r w:rsidRPr="0057511C">
        <w:rPr>
          <w:rFonts w:ascii="Times New Roman" w:eastAsia="仿宋_GB2312" w:hAnsi="Times New Roman"/>
          <w:bCs/>
          <w:sz w:val="32"/>
          <w:szCs w:val="32"/>
        </w:rPr>
        <w:t>残留毒性：若灭菌使用的方法容易出现残留，如环氧乙烷灭菌，应当明确残留物信息及采取的处理方法，并提供研究资料。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8.</w:t>
      </w:r>
      <w:r w:rsidRPr="0057511C">
        <w:rPr>
          <w:rFonts w:ascii="Times New Roman" w:eastAsia="仿宋_GB2312" w:hAnsi="Times New Roman" w:cs="Times New Roman"/>
          <w:sz w:val="32"/>
          <w:szCs w:val="32"/>
        </w:rPr>
        <w:t>产品货架有效期和包装研究</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8.1</w:t>
      </w:r>
      <w:r w:rsidRPr="0057511C">
        <w:rPr>
          <w:rFonts w:ascii="Times New Roman" w:eastAsia="仿宋_GB2312" w:hAnsi="Times New Roman" w:cs="Times New Roman"/>
          <w:sz w:val="32"/>
          <w:szCs w:val="32"/>
        </w:rPr>
        <w:t>货架有效期</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医疗器械货架有效期包括产品有效期和包装有效期，货架有效期的验证试验类型通常可分为加速稳定性试验和实时稳定性试验两类，产品货架有效期的研究可参照《无源植入性医疗器械稳定性研究指导原则》。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加速稳定性试验的具体要求可参考</w:t>
      </w:r>
      <w:r w:rsidRPr="0057511C">
        <w:rPr>
          <w:rFonts w:ascii="Times New Roman" w:eastAsia="仿宋_GB2312" w:hAnsi="Times New Roman" w:cs="Times New Roman"/>
          <w:sz w:val="32"/>
          <w:szCs w:val="32"/>
        </w:rPr>
        <w:t>YY/T 0681</w:t>
      </w:r>
      <w:r w:rsidRPr="0057511C">
        <w:rPr>
          <w:rFonts w:ascii="Times New Roman" w:eastAsia="仿宋_GB2312" w:hAnsi="Times New Roman" w:cs="Times New Roman"/>
          <w:sz w:val="32"/>
          <w:szCs w:val="32"/>
        </w:rPr>
        <w:t>系列标准，</w:t>
      </w:r>
      <w:r w:rsidRPr="0057511C">
        <w:rPr>
          <w:rFonts w:ascii="Times New Roman" w:eastAsia="仿宋_GB2312" w:hAnsi="Times New Roman" w:cs="Times New Roman"/>
          <w:sz w:val="32"/>
          <w:szCs w:val="32"/>
        </w:rPr>
        <w:lastRenderedPageBreak/>
        <w:t>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8.2</w:t>
      </w:r>
      <w:r w:rsidRPr="0057511C">
        <w:rPr>
          <w:rFonts w:ascii="Times New Roman" w:eastAsia="仿宋_GB2312" w:hAnsi="Times New Roman" w:cs="Times New Roman"/>
          <w:sz w:val="32"/>
          <w:szCs w:val="32"/>
        </w:rPr>
        <w:t>包装及包装完整性</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proofErr w:type="gramStart"/>
      <w:r w:rsidRPr="0057511C">
        <w:rPr>
          <w:rFonts w:ascii="Times New Roman" w:eastAsia="仿宋_GB2312" w:hAnsi="Times New Roman" w:cs="Times New Roman"/>
          <w:sz w:val="32"/>
          <w:szCs w:val="32"/>
        </w:rPr>
        <w:t>产品初</w:t>
      </w:r>
      <w:proofErr w:type="gramEnd"/>
      <w:r w:rsidRPr="0057511C">
        <w:rPr>
          <w:rFonts w:ascii="Times New Roman" w:eastAsia="仿宋_GB2312" w:hAnsi="Times New Roman" w:cs="Times New Roman"/>
          <w:sz w:val="32"/>
          <w:szCs w:val="32"/>
        </w:rPr>
        <w:t>包装采用的材料应能保证产品在灭菌、贮存和运输过程中对产品性能和安全性不产生不利影响；应提供初包装材料的来源、质量控制标准及验证数据的资料。</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提交在宣称的有效期内以及运输储存条件下，保持包装完整性的依据。申请人应提交产品有效期内的包装验证和运输验证资料，产品包装验证可依据有关国内外标准（如</w:t>
      </w:r>
      <w:r w:rsidRPr="0057511C">
        <w:rPr>
          <w:rFonts w:ascii="Times New Roman" w:eastAsia="仿宋_GB2312" w:hAnsi="Times New Roman" w:cs="Times New Roman"/>
          <w:sz w:val="32"/>
          <w:szCs w:val="32"/>
        </w:rPr>
        <w:t>GB/T 19633</w:t>
      </w:r>
      <w:r w:rsidRPr="0057511C">
        <w:rPr>
          <w:rFonts w:ascii="Times New Roman" w:eastAsia="仿宋_GB2312" w:hAnsi="Times New Roman" w:cs="Times New Roman"/>
          <w:sz w:val="32"/>
          <w:szCs w:val="32"/>
        </w:rPr>
        <w:t>系列标准等）进行，提交产品的包装验证报告。</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9.</w:t>
      </w:r>
      <w:r w:rsidRPr="0057511C">
        <w:rPr>
          <w:rFonts w:ascii="Times New Roman" w:eastAsia="仿宋_GB2312" w:hAnsi="Times New Roman" w:cs="Times New Roman"/>
          <w:sz w:val="32"/>
          <w:szCs w:val="32"/>
        </w:rPr>
        <w:t>其他资料</w:t>
      </w:r>
      <w:r w:rsidRPr="0057511C">
        <w:rPr>
          <w:rFonts w:ascii="Times New Roman" w:eastAsia="仿宋_GB2312" w:hAnsi="Times New Roman" w:cs="Times New Roman"/>
          <w:sz w:val="32"/>
          <w:szCs w:val="32"/>
        </w:rPr>
        <w:t xml:space="preserve">  </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结合申报产品的特点，提交证明产品安全性、有效性的其他研究资料。</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楷体_GB2312" w:hAnsi="Times New Roman" w:cs="Times New Roman"/>
          <w:sz w:val="32"/>
          <w:szCs w:val="32"/>
        </w:rPr>
        <w:t>（四）临床评价资料</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仿宋_GB2312" w:hAnsi="Times New Roman" w:cs="Times New Roman"/>
          <w:sz w:val="32"/>
          <w:szCs w:val="32"/>
        </w:rPr>
        <w:t>按第三类医疗器械管理的水凝胶敷料目前不属于《免于临床评价医疗器械目录》收录产品，应按照《医疗器械临床评价技术指导原则》等文件规定格式和内容，提供相应临床评价资料</w:t>
      </w:r>
      <w:r w:rsidRPr="0057511C">
        <w:rPr>
          <w:rFonts w:ascii="Times New Roman" w:eastAsia="楷体_GB2312" w:hAnsi="Times New Roman" w:cs="Times New Roman"/>
          <w:sz w:val="32"/>
          <w:szCs w:val="32"/>
        </w:rPr>
        <w:t>。</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楷体_GB2312" w:hAnsi="Times New Roman" w:cs="Times New Roman"/>
          <w:sz w:val="32"/>
          <w:szCs w:val="32"/>
        </w:rPr>
        <w:t>（五）产品说明书和标签样稿</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lastRenderedPageBreak/>
        <w:t>产品说明书、标签需符合《医疗器械说明书和标签管理规定》的要求。语言应清晰、准确，应提供关于使用步骤、使用环境、禁忌证、注意事项的完整信息。同时，还应满足以下要求：</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产品一般信息，包括产品结构及组成、产品主要原材料等。</w:t>
      </w:r>
    </w:p>
    <w:p w:rsidR="00317D69" w:rsidRPr="0057511C" w:rsidRDefault="00077D46" w:rsidP="0057511C">
      <w:pPr>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进口产品说明书中内容应忠实于原文，提交产品随附的完整版原文说明书、标签及中文翻译件。</w:t>
      </w:r>
    </w:p>
    <w:p w:rsidR="00317D69" w:rsidRPr="0057511C" w:rsidRDefault="00077D46" w:rsidP="0057511C">
      <w:pPr>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3.</w:t>
      </w:r>
      <w:r w:rsidRPr="0057511C">
        <w:rPr>
          <w:rFonts w:ascii="Times New Roman" w:eastAsia="仿宋_GB2312" w:hAnsi="Times New Roman" w:cs="Times New Roman"/>
          <w:sz w:val="32"/>
          <w:szCs w:val="32"/>
        </w:rPr>
        <w:t>产品适用范围及相关性能介绍所宣称内容应客观准确，应有技术资料支持，避免夸大、非科学性的表述。</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w:t>
      </w:r>
      <w:r w:rsidRPr="0057511C">
        <w:rPr>
          <w:rFonts w:ascii="Times New Roman" w:eastAsia="仿宋_GB2312" w:hAnsi="Times New Roman" w:cs="Times New Roman"/>
          <w:sz w:val="32"/>
          <w:szCs w:val="32"/>
        </w:rPr>
        <w:t>在说明书中明确产品的禁忌证、针对产品特点的特殊注意事项、警示信息、可能的不良事件及处理措施等。</w:t>
      </w:r>
    </w:p>
    <w:p w:rsidR="00317D69" w:rsidRPr="0057511C" w:rsidRDefault="00077D46" w:rsidP="0057511C">
      <w:pPr>
        <w:pStyle w:val="1"/>
        <w:tabs>
          <w:tab w:val="left" w:pos="1432"/>
        </w:tabs>
        <w:adjustRightInd w:val="0"/>
        <w:snapToGrid w:val="0"/>
        <w:spacing w:line="560" w:lineRule="exact"/>
        <w:ind w:firstLine="640"/>
        <w:rPr>
          <w:rFonts w:ascii="Times New Roman" w:eastAsia="仿宋_GB2312" w:hAnsi="Times New Roman"/>
          <w:sz w:val="32"/>
          <w:szCs w:val="32"/>
        </w:rPr>
      </w:pPr>
      <w:r w:rsidRPr="0057511C">
        <w:rPr>
          <w:rFonts w:ascii="Times New Roman" w:eastAsia="仿宋_GB2312" w:hAnsi="Times New Roman"/>
          <w:sz w:val="32"/>
          <w:szCs w:val="32"/>
        </w:rPr>
        <w:t>5.</w:t>
      </w:r>
      <w:r w:rsidRPr="0057511C">
        <w:rPr>
          <w:rFonts w:ascii="Times New Roman" w:eastAsia="仿宋_GB2312" w:hAnsi="Times New Roman"/>
          <w:sz w:val="32"/>
          <w:szCs w:val="32"/>
        </w:rPr>
        <w:t>运输和储存条件。企业确定的运输和储存条件均应经过验证，特别是储存的温度和湿度，应被产品有效期验证的条件所覆盖。</w:t>
      </w:r>
    </w:p>
    <w:p w:rsidR="00317D69" w:rsidRPr="0057511C" w:rsidRDefault="00077D46" w:rsidP="0057511C">
      <w:pPr>
        <w:tabs>
          <w:tab w:val="left" w:pos="6015"/>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6.</w:t>
      </w:r>
      <w:r w:rsidRPr="0057511C">
        <w:rPr>
          <w:rFonts w:ascii="Times New Roman" w:eastAsia="仿宋_GB2312" w:hAnsi="Times New Roman" w:cs="Times New Roman"/>
          <w:sz w:val="32"/>
          <w:szCs w:val="32"/>
        </w:rPr>
        <w:t>其他应载明的内容。</w:t>
      </w:r>
    </w:p>
    <w:p w:rsidR="00317D69" w:rsidRPr="0057511C" w:rsidRDefault="00077D46" w:rsidP="0057511C">
      <w:pPr>
        <w:adjustRightInd w:val="0"/>
        <w:snapToGrid w:val="0"/>
        <w:spacing w:line="560" w:lineRule="exact"/>
        <w:ind w:firstLineChars="200" w:firstLine="640"/>
        <w:rPr>
          <w:rFonts w:ascii="Times New Roman" w:eastAsia="楷体_GB2312" w:hAnsi="Times New Roman" w:cs="Times New Roman"/>
          <w:sz w:val="32"/>
          <w:szCs w:val="32"/>
        </w:rPr>
      </w:pPr>
      <w:r w:rsidRPr="0057511C">
        <w:rPr>
          <w:rFonts w:ascii="Times New Roman" w:eastAsia="楷体_GB2312" w:hAnsi="Times New Roman" w:cs="Times New Roman"/>
          <w:sz w:val="32"/>
          <w:szCs w:val="32"/>
        </w:rPr>
        <w:t>（六）质量管理体系文件</w:t>
      </w:r>
    </w:p>
    <w:p w:rsidR="00317D69" w:rsidRPr="0057511C" w:rsidRDefault="00077D46" w:rsidP="0057511C">
      <w:pPr>
        <w:tabs>
          <w:tab w:val="left" w:pos="6015"/>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提供确保产品和质量管理体系符合相关要求文件。说明生产工艺和步骤，列出工艺图表，对生产工艺的可控性、稳定性应进行确认。生产加工过程中所使用的添加剂、助剂等应说明对残留量的控制标准、毒性信息，并提供安全性评价报告；应提供产品加工过程中以及</w:t>
      </w:r>
      <w:proofErr w:type="gramStart"/>
      <w:r w:rsidRPr="0057511C">
        <w:rPr>
          <w:rFonts w:ascii="Times New Roman" w:eastAsia="仿宋_GB2312" w:hAnsi="Times New Roman" w:cs="Times New Roman"/>
          <w:sz w:val="32"/>
          <w:szCs w:val="32"/>
        </w:rPr>
        <w:t>终产品</w:t>
      </w:r>
      <w:proofErr w:type="gramEnd"/>
      <w:r w:rsidRPr="0057511C">
        <w:rPr>
          <w:rFonts w:ascii="Times New Roman" w:eastAsia="仿宋_GB2312" w:hAnsi="Times New Roman" w:cs="Times New Roman"/>
          <w:sz w:val="32"/>
          <w:szCs w:val="32"/>
        </w:rPr>
        <w:t>的质量控制要求。</w:t>
      </w:r>
    </w:p>
    <w:p w:rsidR="00317D69" w:rsidRPr="0057511C" w:rsidRDefault="00077D46" w:rsidP="0057511C">
      <w:pPr>
        <w:tabs>
          <w:tab w:val="left" w:pos="6015"/>
        </w:tabs>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若产品有多个研制、生产场地，应当概述每个研制、生产场地的实际情况。</w:t>
      </w:r>
    </w:p>
    <w:p w:rsidR="00317D69" w:rsidRPr="0057511C" w:rsidRDefault="00077D46" w:rsidP="0057511C">
      <w:pPr>
        <w:adjustRightInd w:val="0"/>
        <w:snapToGrid w:val="0"/>
        <w:spacing w:line="560" w:lineRule="exact"/>
        <w:ind w:firstLineChars="200" w:firstLine="640"/>
        <w:rPr>
          <w:rFonts w:ascii="Times New Roman" w:eastAsia="黑体" w:hAnsi="Times New Roman" w:cs="Times New Roman"/>
          <w:bCs/>
          <w:sz w:val="32"/>
          <w:szCs w:val="32"/>
        </w:rPr>
      </w:pPr>
      <w:r w:rsidRPr="0057511C">
        <w:rPr>
          <w:rFonts w:ascii="Times New Roman" w:eastAsia="黑体" w:hAnsi="Times New Roman" w:cs="Times New Roman"/>
          <w:bCs/>
          <w:sz w:val="32"/>
          <w:szCs w:val="32"/>
        </w:rPr>
        <w:lastRenderedPageBreak/>
        <w:t>三、参考文献</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中华人民共和国国务院</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医疗器械监督管理条例</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中华人民共和国国务院令第</w:t>
      </w:r>
      <w:r w:rsidRPr="0057511C">
        <w:rPr>
          <w:rFonts w:ascii="Times New Roman" w:eastAsia="仿宋_GB2312" w:hAnsi="Times New Roman" w:cs="Times New Roman"/>
          <w:sz w:val="32"/>
          <w:szCs w:val="32"/>
        </w:rPr>
        <w:t>739</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国家市场监督管理总局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医疗器械注册与备案管理办法</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国家市场监督管理总局令第</w:t>
      </w:r>
      <w:r w:rsidRPr="0057511C">
        <w:rPr>
          <w:rFonts w:ascii="Times New Roman" w:eastAsia="仿宋_GB2312" w:hAnsi="Times New Roman" w:cs="Times New Roman"/>
          <w:sz w:val="32"/>
          <w:szCs w:val="32"/>
        </w:rPr>
        <w:t>47</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tabs>
          <w:tab w:val="left" w:pos="360"/>
          <w:tab w:val="left" w:pos="952"/>
          <w:tab w:val="left" w:pos="1078"/>
          <w:tab w:val="left" w:pos="1140"/>
        </w:tabs>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57511C">
        <w:rPr>
          <w:rFonts w:ascii="Times New Roman" w:eastAsia="仿宋_GB2312" w:hAnsi="Times New Roman" w:cs="Times New Roman"/>
          <w:bCs/>
          <w:sz w:val="32"/>
          <w:szCs w:val="32"/>
        </w:rPr>
        <w:t>[3]</w:t>
      </w:r>
      <w:r w:rsidRPr="0057511C">
        <w:rPr>
          <w:rFonts w:ascii="Times New Roman" w:eastAsia="仿宋_GB2312" w:hAnsi="Times New Roman" w:cs="Times New Roman"/>
          <w:bCs/>
          <w:sz w:val="32"/>
          <w:szCs w:val="32"/>
        </w:rPr>
        <w:t>国家药品监督管理局</w:t>
      </w:r>
      <w:r w:rsidRPr="0057511C">
        <w:rPr>
          <w:rFonts w:ascii="Times New Roman" w:eastAsia="仿宋_GB2312" w:hAnsi="Times New Roman" w:cs="Times New Roman"/>
          <w:bCs/>
          <w:sz w:val="32"/>
          <w:szCs w:val="32"/>
        </w:rPr>
        <w:t>.</w:t>
      </w:r>
      <w:r w:rsidRPr="0057511C">
        <w:rPr>
          <w:rFonts w:ascii="Times New Roman" w:eastAsia="仿宋_GB2312" w:hAnsi="Times New Roman" w:cs="Times New Roman"/>
          <w:bCs/>
          <w:sz w:val="32"/>
          <w:szCs w:val="32"/>
        </w:rPr>
        <w:t>关于公布医疗器械注册申报资料要求和批准证明文件格式的公告</w:t>
      </w:r>
      <w:r w:rsidRPr="0057511C">
        <w:rPr>
          <w:rFonts w:ascii="Times New Roman" w:eastAsia="仿宋_GB2312" w:hAnsi="Times New Roman" w:cs="Times New Roman"/>
          <w:bCs/>
          <w:sz w:val="32"/>
          <w:szCs w:val="32"/>
        </w:rPr>
        <w:t>:</w:t>
      </w:r>
      <w:r w:rsidRPr="0057511C">
        <w:rPr>
          <w:rFonts w:ascii="Times New Roman" w:eastAsia="仿宋_GB2312" w:hAnsi="Times New Roman" w:cs="Times New Roman"/>
          <w:bCs/>
          <w:sz w:val="32"/>
          <w:szCs w:val="32"/>
        </w:rPr>
        <w:t>国家药品监督管理局</w:t>
      </w:r>
      <w:r w:rsidRPr="0057511C">
        <w:rPr>
          <w:rFonts w:ascii="Times New Roman" w:eastAsia="仿宋_GB2312" w:hAnsi="Times New Roman" w:cs="Times New Roman"/>
          <w:bCs/>
          <w:sz w:val="32"/>
          <w:szCs w:val="32"/>
        </w:rPr>
        <w:t>2021</w:t>
      </w:r>
      <w:r w:rsidRPr="0057511C">
        <w:rPr>
          <w:rFonts w:ascii="Times New Roman" w:eastAsia="仿宋_GB2312" w:hAnsi="Times New Roman" w:cs="Times New Roman"/>
          <w:bCs/>
          <w:sz w:val="32"/>
          <w:szCs w:val="32"/>
        </w:rPr>
        <w:t>年第</w:t>
      </w:r>
      <w:r w:rsidRPr="0057511C">
        <w:rPr>
          <w:rFonts w:ascii="Times New Roman" w:eastAsia="仿宋_GB2312" w:hAnsi="Times New Roman" w:cs="Times New Roman"/>
          <w:bCs/>
          <w:sz w:val="32"/>
          <w:szCs w:val="32"/>
        </w:rPr>
        <w:t>121</w:t>
      </w:r>
      <w:r w:rsidRPr="0057511C">
        <w:rPr>
          <w:rFonts w:ascii="Times New Roman" w:eastAsia="仿宋_GB2312" w:hAnsi="Times New Roman" w:cs="Times New Roman"/>
          <w:bCs/>
          <w:sz w:val="32"/>
          <w:szCs w:val="32"/>
        </w:rPr>
        <w:t>号</w:t>
      </w:r>
      <w:r w:rsidRPr="0057511C">
        <w:rPr>
          <w:rFonts w:ascii="Times New Roman" w:eastAsia="仿宋_GB2312" w:hAnsi="Times New Roman" w:cs="Times New Roman"/>
          <w:bCs/>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[4]</w:t>
      </w:r>
      <w:r w:rsidRPr="0057511C">
        <w:rPr>
          <w:rFonts w:ascii="Times New Roman" w:eastAsia="仿宋_GB2312" w:hAnsi="Times New Roman" w:cs="Times New Roman"/>
          <w:bCs/>
          <w:sz w:val="32"/>
          <w:szCs w:val="32"/>
        </w:rPr>
        <w:t>国家食品药品监督管理总局</w:t>
      </w:r>
      <w:r w:rsidRPr="0057511C">
        <w:rPr>
          <w:rFonts w:ascii="Times New Roman" w:eastAsia="仿宋_GB2312" w:hAnsi="Times New Roman" w:cs="Times New Roman"/>
          <w:bCs/>
          <w:sz w:val="32"/>
          <w:szCs w:val="32"/>
        </w:rPr>
        <w:t>.</w:t>
      </w:r>
      <w:r w:rsidRPr="0057511C">
        <w:rPr>
          <w:rFonts w:ascii="Times New Roman" w:eastAsia="仿宋_GB2312" w:hAnsi="Times New Roman" w:cs="Times New Roman"/>
          <w:bCs/>
          <w:sz w:val="32"/>
          <w:szCs w:val="32"/>
        </w:rPr>
        <w:t>医疗器械说明书和标签管理规定</w:t>
      </w:r>
      <w:r w:rsidRPr="0057511C">
        <w:rPr>
          <w:rFonts w:ascii="Times New Roman" w:eastAsia="仿宋_GB2312" w:hAnsi="Times New Roman" w:cs="Times New Roman"/>
          <w:bCs/>
          <w:sz w:val="32"/>
          <w:szCs w:val="32"/>
        </w:rPr>
        <w:t>:</w:t>
      </w:r>
      <w:r w:rsidRPr="0057511C">
        <w:rPr>
          <w:rFonts w:ascii="Times New Roman" w:eastAsia="仿宋_GB2312" w:hAnsi="Times New Roman" w:cs="Times New Roman"/>
          <w:bCs/>
          <w:sz w:val="32"/>
          <w:szCs w:val="32"/>
        </w:rPr>
        <w:t>国家食品药品监督管理总局令第</w:t>
      </w:r>
      <w:r w:rsidRPr="0057511C">
        <w:rPr>
          <w:rFonts w:ascii="Times New Roman" w:eastAsia="仿宋_GB2312" w:hAnsi="Times New Roman" w:cs="Times New Roman"/>
          <w:bCs/>
          <w:sz w:val="32"/>
          <w:szCs w:val="32"/>
        </w:rPr>
        <w:t>6</w:t>
      </w:r>
      <w:r w:rsidRPr="0057511C">
        <w:rPr>
          <w:rFonts w:ascii="Times New Roman" w:eastAsia="仿宋_GB2312" w:hAnsi="Times New Roman" w:cs="Times New Roman"/>
          <w:bCs/>
          <w:sz w:val="32"/>
          <w:szCs w:val="32"/>
        </w:rPr>
        <w:t>号</w:t>
      </w:r>
      <w:r w:rsidRPr="0057511C">
        <w:rPr>
          <w:rFonts w:ascii="Times New Roman" w:eastAsia="仿宋_GB2312" w:hAnsi="Times New Roman" w:cs="Times New Roman"/>
          <w:bCs/>
          <w:sz w:val="32"/>
          <w:szCs w:val="32"/>
        </w:rPr>
        <w:t>[Z]</w:t>
      </w:r>
      <w:r w:rsidRPr="0057511C">
        <w:rPr>
          <w:rFonts w:ascii="Times New Roman" w:eastAsia="仿宋_GB2312" w:hAnsi="Times New Roman" w:cs="Times New Roman"/>
          <w:sz w:val="32"/>
          <w:szCs w:val="32"/>
        </w:rPr>
        <w:t>.</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[5]</w:t>
      </w:r>
      <w:r w:rsidRPr="0057511C">
        <w:rPr>
          <w:rFonts w:ascii="Times New Roman" w:eastAsia="仿宋_GB2312" w:hAnsi="Times New Roman" w:cs="Times New Roman"/>
          <w:sz w:val="32"/>
          <w:szCs w:val="32"/>
        </w:rPr>
        <w:t>国家食品药品监督管理总局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医疗器械注册单元划分指导原则</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国家食品药品监督管理总局通告</w:t>
      </w:r>
      <w:r w:rsidRPr="0057511C">
        <w:rPr>
          <w:rFonts w:ascii="Times New Roman" w:eastAsia="仿宋_GB2312" w:hAnsi="Times New Roman" w:cs="Times New Roman"/>
          <w:sz w:val="32"/>
          <w:szCs w:val="32"/>
        </w:rPr>
        <w:t>2017</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187</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[6]</w:t>
      </w:r>
      <w:r w:rsidRPr="0057511C">
        <w:rPr>
          <w:rFonts w:ascii="Times New Roman" w:eastAsia="仿宋_GB2312" w:hAnsi="Times New Roman" w:cs="Times New Roman"/>
          <w:sz w:val="32"/>
          <w:szCs w:val="32"/>
        </w:rPr>
        <w:t>国家食品药品监督管理总局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医疗器械通用名称命名规则</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国家食品药品监督管理总局令第</w:t>
      </w:r>
      <w:r w:rsidRPr="0057511C">
        <w:rPr>
          <w:rFonts w:ascii="Times New Roman" w:eastAsia="仿宋_GB2312" w:hAnsi="Times New Roman" w:cs="Times New Roman"/>
          <w:sz w:val="32"/>
          <w:szCs w:val="32"/>
        </w:rPr>
        <w:t>19</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[7]</w:t>
      </w:r>
      <w:r w:rsidRPr="0057511C">
        <w:rPr>
          <w:rFonts w:ascii="Times New Roman" w:eastAsia="仿宋_GB2312" w:hAnsi="Times New Roman" w:cs="Times New Roman"/>
          <w:sz w:val="32"/>
          <w:szCs w:val="32"/>
        </w:rPr>
        <w:t>国家食品药品监督管理总局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医疗器械分类目录：国家食品药品监督管理总局公告</w:t>
      </w:r>
      <w:r w:rsidRPr="0057511C">
        <w:rPr>
          <w:rFonts w:ascii="Times New Roman" w:eastAsia="仿宋_GB2312" w:hAnsi="Times New Roman" w:cs="Times New Roman"/>
          <w:sz w:val="32"/>
          <w:szCs w:val="32"/>
        </w:rPr>
        <w:t>2017</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104</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[8]</w:t>
      </w:r>
      <w:r w:rsidRPr="0057511C">
        <w:rPr>
          <w:rFonts w:ascii="Times New Roman" w:eastAsia="仿宋_GB2312" w:hAnsi="Times New Roman" w:cs="Times New Roman"/>
          <w:sz w:val="32"/>
          <w:szCs w:val="32"/>
        </w:rPr>
        <w:t>国家药品监督管理局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医疗器械产品技术要求编写指导原则</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国家药品监督管理局通告</w:t>
      </w:r>
      <w:r w:rsidRPr="0057511C">
        <w:rPr>
          <w:rFonts w:ascii="Times New Roman" w:eastAsia="仿宋_GB2312" w:hAnsi="Times New Roman" w:cs="Times New Roman"/>
          <w:sz w:val="32"/>
          <w:szCs w:val="32"/>
        </w:rPr>
        <w:t>2022</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8</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[9]</w:t>
      </w:r>
      <w:r w:rsidRPr="0057511C">
        <w:rPr>
          <w:rFonts w:ascii="Times New Roman" w:eastAsia="仿宋_GB2312" w:hAnsi="Times New Roman" w:cs="Times New Roman"/>
          <w:sz w:val="32"/>
          <w:szCs w:val="32"/>
        </w:rPr>
        <w:t>国家药品监督管理局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医疗器械动物试验研究注册审查指导原则系列指导原则</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国家药品监督管理局通告</w:t>
      </w:r>
      <w:r w:rsidRPr="0057511C">
        <w:rPr>
          <w:rFonts w:ascii="Times New Roman" w:eastAsia="仿宋_GB2312" w:hAnsi="Times New Roman" w:cs="Times New Roman"/>
          <w:sz w:val="32"/>
          <w:szCs w:val="32"/>
        </w:rPr>
        <w:t>2021</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75</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[10]</w:t>
      </w:r>
      <w:r w:rsidRPr="0057511C">
        <w:rPr>
          <w:rFonts w:ascii="Times New Roman" w:eastAsia="仿宋_GB2312" w:hAnsi="Times New Roman" w:cs="Times New Roman"/>
          <w:sz w:val="32"/>
          <w:szCs w:val="32"/>
        </w:rPr>
        <w:t>国家药品监督管理局医疗器械技术审评中心</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无源植入性医疗器械稳定性研究指导原则（</w:t>
      </w:r>
      <w:r w:rsidRPr="0057511C">
        <w:rPr>
          <w:rFonts w:ascii="Times New Roman" w:eastAsia="仿宋_GB2312" w:hAnsi="Times New Roman" w:cs="Times New Roman"/>
          <w:sz w:val="32"/>
          <w:szCs w:val="32"/>
        </w:rPr>
        <w:t>2022</w:t>
      </w:r>
      <w:r w:rsidRPr="0057511C">
        <w:rPr>
          <w:rFonts w:ascii="Times New Roman" w:eastAsia="仿宋_GB2312" w:hAnsi="Times New Roman" w:cs="Times New Roman"/>
          <w:sz w:val="32"/>
          <w:szCs w:val="32"/>
        </w:rPr>
        <w:t>年修订版）：国家</w:t>
      </w:r>
      <w:r w:rsidRPr="0057511C">
        <w:rPr>
          <w:rFonts w:ascii="Times New Roman" w:eastAsia="仿宋_GB2312" w:hAnsi="Times New Roman" w:cs="Times New Roman"/>
          <w:sz w:val="32"/>
          <w:szCs w:val="32"/>
        </w:rPr>
        <w:lastRenderedPageBreak/>
        <w:t>药品监督管理局医疗器械技术审评中心通告</w:t>
      </w:r>
      <w:r w:rsidRPr="0057511C">
        <w:rPr>
          <w:rFonts w:ascii="Times New Roman" w:eastAsia="仿宋_GB2312" w:hAnsi="Times New Roman" w:cs="Times New Roman"/>
          <w:sz w:val="32"/>
          <w:szCs w:val="32"/>
        </w:rPr>
        <w:t>2022</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12</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[11]</w:t>
      </w:r>
      <w:r w:rsidRPr="0057511C">
        <w:rPr>
          <w:rFonts w:ascii="Times New Roman" w:eastAsia="仿宋_GB2312" w:hAnsi="Times New Roman" w:cs="Times New Roman"/>
          <w:sz w:val="32"/>
          <w:szCs w:val="32"/>
        </w:rPr>
        <w:t>国家药品监督管理局</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医疗器械临床评价技术指导原则</w:t>
      </w:r>
      <w:r w:rsidRPr="0057511C">
        <w:rPr>
          <w:rFonts w:ascii="Times New Roman" w:eastAsia="仿宋_GB2312" w:hAnsi="Times New Roman" w:cs="Times New Roman"/>
          <w:sz w:val="32"/>
          <w:szCs w:val="32"/>
        </w:rPr>
        <w:t>:</w:t>
      </w:r>
      <w:r w:rsidRPr="0057511C">
        <w:rPr>
          <w:rFonts w:ascii="Times New Roman" w:eastAsia="仿宋_GB2312" w:hAnsi="Times New Roman" w:cs="Times New Roman"/>
          <w:sz w:val="32"/>
          <w:szCs w:val="32"/>
        </w:rPr>
        <w:t>国家药品监督管理局</w:t>
      </w:r>
      <w:r w:rsidRPr="0057511C">
        <w:rPr>
          <w:rFonts w:ascii="Times New Roman" w:eastAsia="仿宋_GB2312" w:hAnsi="Times New Roman" w:cs="Times New Roman"/>
          <w:sz w:val="32"/>
          <w:szCs w:val="32"/>
        </w:rPr>
        <w:t>2021</w:t>
      </w:r>
      <w:r w:rsidRPr="0057511C">
        <w:rPr>
          <w:rFonts w:ascii="Times New Roman" w:eastAsia="仿宋_GB2312" w:hAnsi="Times New Roman" w:cs="Times New Roman"/>
          <w:sz w:val="32"/>
          <w:szCs w:val="32"/>
        </w:rPr>
        <w:t>年第</w:t>
      </w:r>
      <w:r w:rsidRPr="0057511C">
        <w:rPr>
          <w:rFonts w:ascii="Times New Roman" w:eastAsia="仿宋_GB2312" w:hAnsi="Times New Roman" w:cs="Times New Roman"/>
          <w:sz w:val="32"/>
          <w:szCs w:val="32"/>
        </w:rPr>
        <w:t>73</w:t>
      </w:r>
      <w:r w:rsidRPr="0057511C">
        <w:rPr>
          <w:rFonts w:ascii="Times New Roman" w:eastAsia="仿宋_GB2312" w:hAnsi="Times New Roman" w:cs="Times New Roman"/>
          <w:sz w:val="32"/>
          <w:szCs w:val="32"/>
        </w:rPr>
        <w:t>号</w:t>
      </w:r>
      <w:r w:rsidRPr="0057511C">
        <w:rPr>
          <w:rFonts w:ascii="Times New Roman" w:eastAsia="仿宋_GB2312" w:hAnsi="Times New Roman" w:cs="Times New Roman"/>
          <w:sz w:val="32"/>
          <w:szCs w:val="32"/>
        </w:rPr>
        <w:t>[Z].</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[12]GB/T 16886.1-2022, </w:t>
      </w:r>
      <w:r w:rsidRPr="0057511C">
        <w:rPr>
          <w:rFonts w:ascii="Times New Roman" w:eastAsia="仿宋_GB2312" w:hAnsi="Times New Roman" w:cs="Times New Roman"/>
          <w:sz w:val="32"/>
          <w:szCs w:val="32"/>
        </w:rPr>
        <w:t>医疗器械生物学评价</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部分：风险管理过程中的评价与试验</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[13]GB/T 16886.7-2015, </w:t>
      </w:r>
      <w:r w:rsidRPr="0057511C">
        <w:rPr>
          <w:rFonts w:ascii="Times New Roman" w:eastAsia="仿宋_GB2312" w:hAnsi="Times New Roman" w:cs="Times New Roman"/>
          <w:sz w:val="32"/>
          <w:szCs w:val="32"/>
        </w:rPr>
        <w:t>医疗器械生物学评价</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7</w:t>
      </w:r>
      <w:r w:rsidRPr="0057511C">
        <w:rPr>
          <w:rFonts w:ascii="Times New Roman" w:eastAsia="仿宋_GB2312" w:hAnsi="Times New Roman" w:cs="Times New Roman"/>
          <w:sz w:val="32"/>
          <w:szCs w:val="32"/>
        </w:rPr>
        <w:t>部分：环氧乙烷灭菌残留量</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[14]</w:t>
      </w:r>
      <w:r w:rsidRPr="0057511C">
        <w:rPr>
          <w:rFonts w:ascii="Times New Roman" w:hAnsi="Times New Roman" w:cs="Times New Roman"/>
        </w:rPr>
        <w:t xml:space="preserve"> </w:t>
      </w:r>
      <w:r w:rsidRPr="0057511C">
        <w:rPr>
          <w:rFonts w:ascii="Times New Roman" w:eastAsia="仿宋_GB2312" w:hAnsi="Times New Roman" w:cs="Times New Roman"/>
          <w:sz w:val="32"/>
          <w:szCs w:val="32"/>
        </w:rPr>
        <w:t xml:space="preserve">GB/T 19633.1-2015, </w:t>
      </w:r>
      <w:r w:rsidRPr="0057511C">
        <w:rPr>
          <w:rFonts w:ascii="Times New Roman" w:eastAsia="仿宋_GB2312" w:hAnsi="Times New Roman" w:cs="Times New Roman"/>
          <w:sz w:val="32"/>
          <w:szCs w:val="32"/>
        </w:rPr>
        <w:t>最终灭菌医疗器械包装</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部分：材料、无菌屏障系统和包装系统的要求</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[15]GB/T 19633.2-2015, </w:t>
      </w:r>
      <w:r w:rsidRPr="0057511C">
        <w:rPr>
          <w:rFonts w:ascii="Times New Roman" w:eastAsia="仿宋_GB2312" w:hAnsi="Times New Roman" w:cs="Times New Roman"/>
          <w:sz w:val="32"/>
          <w:szCs w:val="32"/>
        </w:rPr>
        <w:t>最终灭菌医疗器械包装</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2</w:t>
      </w:r>
      <w:r w:rsidRPr="0057511C">
        <w:rPr>
          <w:rFonts w:ascii="Times New Roman" w:eastAsia="仿宋_GB2312" w:hAnsi="Times New Roman" w:cs="Times New Roman"/>
          <w:sz w:val="32"/>
          <w:szCs w:val="32"/>
        </w:rPr>
        <w:t>部分：成形、密封和装配过程的确认的要求</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[16]YY/T 0681.1-2018, </w:t>
      </w:r>
      <w:r w:rsidRPr="0057511C">
        <w:rPr>
          <w:rFonts w:ascii="Times New Roman" w:eastAsia="仿宋_GB2312" w:hAnsi="Times New Roman" w:cs="Times New Roman"/>
          <w:sz w:val="32"/>
          <w:szCs w:val="32"/>
        </w:rPr>
        <w:t>无菌医疗器械包装试验方法</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部分：加速老化试验指南</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[17]GB/T 42062-2022, </w:t>
      </w:r>
      <w:r w:rsidRPr="0057511C">
        <w:rPr>
          <w:rFonts w:ascii="Times New Roman" w:eastAsia="仿宋_GB2312" w:hAnsi="Times New Roman" w:cs="Times New Roman"/>
          <w:sz w:val="32"/>
          <w:szCs w:val="32"/>
        </w:rPr>
        <w:t>医疗器械风险管理对医疗器械的应用</w:t>
      </w:r>
      <w:r w:rsidRPr="0057511C">
        <w:rPr>
          <w:rFonts w:ascii="Times New Roman" w:eastAsia="仿宋_GB2312" w:hAnsi="Times New Roman" w:cs="Times New Roman"/>
          <w:sz w:val="32"/>
          <w:szCs w:val="32"/>
        </w:rPr>
        <w:t>[S].</w:t>
      </w:r>
    </w:p>
    <w:p w:rsidR="00317D69" w:rsidRPr="0057511C" w:rsidRDefault="00077D46" w:rsidP="0057511C">
      <w:pPr>
        <w:adjustRightInd w:val="0"/>
        <w:snapToGrid w:val="0"/>
        <w:spacing w:line="560" w:lineRule="exact"/>
        <w:ind w:firstLineChars="200" w:firstLine="640"/>
        <w:rPr>
          <w:rFonts w:ascii="Times New Roman" w:eastAsia="仿宋_GB2312" w:hAnsi="Times New Roman" w:cs="Times New Roman"/>
          <w:sz w:val="32"/>
          <w:szCs w:val="32"/>
        </w:rPr>
      </w:pPr>
      <w:r w:rsidRPr="0057511C">
        <w:rPr>
          <w:rFonts w:ascii="Times New Roman" w:eastAsia="仿宋_GB2312" w:hAnsi="Times New Roman" w:cs="Times New Roman"/>
          <w:sz w:val="32"/>
          <w:szCs w:val="32"/>
        </w:rPr>
        <w:t xml:space="preserve">[18] YY/T 0471.1-2004 , </w:t>
      </w:r>
      <w:r w:rsidRPr="0057511C">
        <w:rPr>
          <w:rFonts w:ascii="Times New Roman" w:eastAsia="仿宋_GB2312" w:hAnsi="Times New Roman" w:cs="Times New Roman"/>
          <w:sz w:val="32"/>
          <w:szCs w:val="32"/>
        </w:rPr>
        <w:t>接触性创面敷料试验方法</w:t>
      </w:r>
      <w:r w:rsidRPr="0057511C">
        <w:rPr>
          <w:rFonts w:ascii="Times New Roman" w:eastAsia="仿宋_GB2312" w:hAnsi="Times New Roman" w:cs="Times New Roman"/>
          <w:sz w:val="32"/>
          <w:szCs w:val="32"/>
        </w:rPr>
        <w:t xml:space="preserve"> </w:t>
      </w:r>
      <w:r w:rsidRPr="0057511C">
        <w:rPr>
          <w:rFonts w:ascii="Times New Roman" w:eastAsia="仿宋_GB2312" w:hAnsi="Times New Roman" w:cs="Times New Roman"/>
          <w:sz w:val="32"/>
          <w:szCs w:val="32"/>
        </w:rPr>
        <w:t>第</w:t>
      </w:r>
      <w:r w:rsidRPr="0057511C">
        <w:rPr>
          <w:rFonts w:ascii="Times New Roman" w:eastAsia="仿宋_GB2312" w:hAnsi="Times New Roman" w:cs="Times New Roman"/>
          <w:sz w:val="32"/>
          <w:szCs w:val="32"/>
        </w:rPr>
        <w:t>1</w:t>
      </w:r>
      <w:r w:rsidRPr="0057511C">
        <w:rPr>
          <w:rFonts w:ascii="Times New Roman" w:eastAsia="仿宋_GB2312" w:hAnsi="Times New Roman" w:cs="Times New Roman"/>
          <w:sz w:val="32"/>
          <w:szCs w:val="32"/>
        </w:rPr>
        <w:t>部分液体吸收性</w:t>
      </w:r>
      <w:r w:rsidRPr="0057511C">
        <w:rPr>
          <w:rFonts w:ascii="Times New Roman" w:eastAsia="仿宋_GB2312" w:hAnsi="Times New Roman" w:cs="Times New Roman"/>
          <w:sz w:val="32"/>
          <w:szCs w:val="32"/>
        </w:rPr>
        <w:t>[S].</w:t>
      </w:r>
    </w:p>
    <w:sectPr w:rsidR="00317D69" w:rsidRPr="0057511C" w:rsidSect="008B11B5">
      <w:footerReference w:type="even" r:id="rId7"/>
      <w:footerReference w:type="default" r:id="rId8"/>
      <w:pgSz w:w="11906" w:h="16838"/>
      <w:pgMar w:top="1440" w:right="1803" w:bottom="1440" w:left="1803"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1C0" w:rsidRDefault="000501C0">
      <w:r>
        <w:separator/>
      </w:r>
    </w:p>
  </w:endnote>
  <w:endnote w:type="continuationSeparator" w:id="0">
    <w:p w:rsidR="000501C0" w:rsidRDefault="0005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51047"/>
    </w:sdtPr>
    <w:sdtEndPr>
      <w:rPr>
        <w:rFonts w:ascii="Times New Roman" w:hAnsi="Times New Roman" w:cs="Times New Roman"/>
        <w:sz w:val="28"/>
        <w:szCs w:val="28"/>
      </w:rPr>
    </w:sdtEndPr>
    <w:sdtContent>
      <w:p w:rsidR="00317D69" w:rsidRDefault="00077D46">
        <w:pPr>
          <w:pStyle w:val="ab"/>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8B11B5" w:rsidRPr="008B11B5">
          <w:rPr>
            <w:rFonts w:ascii="Times New Roman" w:hAnsi="Times New Roman" w:cs="Times New Roman"/>
            <w:noProof/>
            <w:sz w:val="28"/>
            <w:szCs w:val="28"/>
            <w:lang w:val="zh-CN"/>
          </w:rPr>
          <w:t>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117514"/>
    </w:sdtPr>
    <w:sdtEndPr>
      <w:rPr>
        <w:rFonts w:ascii="Times New Roman" w:hAnsi="Times New Roman" w:cs="Times New Roman"/>
        <w:sz w:val="28"/>
        <w:szCs w:val="28"/>
      </w:rPr>
    </w:sdtEndPr>
    <w:sdtContent>
      <w:sdt>
        <w:sdtPr>
          <w:id w:val="1107777899"/>
        </w:sdtPr>
        <w:sdtEndPr>
          <w:rPr>
            <w:rFonts w:ascii="Times New Roman" w:hAnsi="Times New Roman" w:cs="Times New Roman"/>
            <w:sz w:val="28"/>
            <w:szCs w:val="28"/>
          </w:rPr>
        </w:sdtEndPr>
        <w:sdtContent>
          <w:p w:rsidR="00317D69" w:rsidRDefault="008F39BF" w:rsidP="008F39BF">
            <w:pPr>
              <w:pStyle w:val="ab"/>
              <w:jc w:val="right"/>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8B11B5" w:rsidRPr="008B11B5">
              <w:rPr>
                <w:rFonts w:ascii="Times New Roman" w:hAnsi="Times New Roman" w:cs="Times New Roman"/>
                <w:noProof/>
                <w:sz w:val="28"/>
                <w:szCs w:val="28"/>
                <w:lang w:val="zh-CN"/>
              </w:rPr>
              <w:t>5</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1C0" w:rsidRDefault="000501C0">
      <w:r>
        <w:separator/>
      </w:r>
    </w:p>
  </w:footnote>
  <w:footnote w:type="continuationSeparator" w:id="0">
    <w:p w:rsidR="000501C0" w:rsidRDefault="000501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ZmOWUxNTM5ZDdhZjdiYzBhOGEzMzBjZGI5ZjZhZmQifQ=="/>
  </w:docVars>
  <w:rsids>
    <w:rsidRoot w:val="00360594"/>
    <w:rsid w:val="000021E7"/>
    <w:rsid w:val="00004874"/>
    <w:rsid w:val="000056A2"/>
    <w:rsid w:val="00013B16"/>
    <w:rsid w:val="00014FB9"/>
    <w:rsid w:val="00016AAA"/>
    <w:rsid w:val="000208D0"/>
    <w:rsid w:val="00022F56"/>
    <w:rsid w:val="00030B9F"/>
    <w:rsid w:val="0003473E"/>
    <w:rsid w:val="000357D3"/>
    <w:rsid w:val="000359CF"/>
    <w:rsid w:val="00036CD4"/>
    <w:rsid w:val="000501C0"/>
    <w:rsid w:val="00053B7B"/>
    <w:rsid w:val="000540E9"/>
    <w:rsid w:val="00057E66"/>
    <w:rsid w:val="000637A8"/>
    <w:rsid w:val="00076D6A"/>
    <w:rsid w:val="00077D46"/>
    <w:rsid w:val="00083E14"/>
    <w:rsid w:val="000A4BC8"/>
    <w:rsid w:val="000A7307"/>
    <w:rsid w:val="000B0D3E"/>
    <w:rsid w:val="000B32DF"/>
    <w:rsid w:val="000C0B86"/>
    <w:rsid w:val="000D524C"/>
    <w:rsid w:val="000E0C4A"/>
    <w:rsid w:val="000E24D5"/>
    <w:rsid w:val="000E46F8"/>
    <w:rsid w:val="000E4BDD"/>
    <w:rsid w:val="000E7868"/>
    <w:rsid w:val="000F0966"/>
    <w:rsid w:val="000F1769"/>
    <w:rsid w:val="000F635B"/>
    <w:rsid w:val="00101429"/>
    <w:rsid w:val="00122E9F"/>
    <w:rsid w:val="001234E3"/>
    <w:rsid w:val="001324EA"/>
    <w:rsid w:val="0013343F"/>
    <w:rsid w:val="00133AB1"/>
    <w:rsid w:val="00135BB0"/>
    <w:rsid w:val="00135CCA"/>
    <w:rsid w:val="00137311"/>
    <w:rsid w:val="00140993"/>
    <w:rsid w:val="00142491"/>
    <w:rsid w:val="00146AD3"/>
    <w:rsid w:val="00154EB7"/>
    <w:rsid w:val="001556D6"/>
    <w:rsid w:val="0015698B"/>
    <w:rsid w:val="00157E92"/>
    <w:rsid w:val="001602EE"/>
    <w:rsid w:val="00164790"/>
    <w:rsid w:val="00167F3B"/>
    <w:rsid w:val="0017166B"/>
    <w:rsid w:val="0017471A"/>
    <w:rsid w:val="00174DAB"/>
    <w:rsid w:val="001772DE"/>
    <w:rsid w:val="00181CEE"/>
    <w:rsid w:val="0018222F"/>
    <w:rsid w:val="00183AA6"/>
    <w:rsid w:val="001858C3"/>
    <w:rsid w:val="001910B9"/>
    <w:rsid w:val="001A0281"/>
    <w:rsid w:val="001A08AD"/>
    <w:rsid w:val="001A1F90"/>
    <w:rsid w:val="001A459B"/>
    <w:rsid w:val="001A53DD"/>
    <w:rsid w:val="001B1126"/>
    <w:rsid w:val="001B2591"/>
    <w:rsid w:val="001B4F3D"/>
    <w:rsid w:val="001B5242"/>
    <w:rsid w:val="001B7839"/>
    <w:rsid w:val="001B7E8F"/>
    <w:rsid w:val="001C11F5"/>
    <w:rsid w:val="001C5B80"/>
    <w:rsid w:val="001D2148"/>
    <w:rsid w:val="001D582E"/>
    <w:rsid w:val="001D7625"/>
    <w:rsid w:val="001E583A"/>
    <w:rsid w:val="001E63C4"/>
    <w:rsid w:val="001F048A"/>
    <w:rsid w:val="001F5EBE"/>
    <w:rsid w:val="002000F4"/>
    <w:rsid w:val="00201D08"/>
    <w:rsid w:val="0021177C"/>
    <w:rsid w:val="00215677"/>
    <w:rsid w:val="002242DB"/>
    <w:rsid w:val="00237905"/>
    <w:rsid w:val="00241020"/>
    <w:rsid w:val="00245E00"/>
    <w:rsid w:val="00257595"/>
    <w:rsid w:val="002645BB"/>
    <w:rsid w:val="00280387"/>
    <w:rsid w:val="0028049A"/>
    <w:rsid w:val="00281BF7"/>
    <w:rsid w:val="00282EA5"/>
    <w:rsid w:val="002916BB"/>
    <w:rsid w:val="00291737"/>
    <w:rsid w:val="00295C24"/>
    <w:rsid w:val="002B0C11"/>
    <w:rsid w:val="002B12CB"/>
    <w:rsid w:val="002B2939"/>
    <w:rsid w:val="002B2D3C"/>
    <w:rsid w:val="002C71FC"/>
    <w:rsid w:val="002C7352"/>
    <w:rsid w:val="002C7E76"/>
    <w:rsid w:val="002D3FF2"/>
    <w:rsid w:val="002D408C"/>
    <w:rsid w:val="002D4944"/>
    <w:rsid w:val="002F1E5C"/>
    <w:rsid w:val="002F4DD2"/>
    <w:rsid w:val="002F77AA"/>
    <w:rsid w:val="00303B4F"/>
    <w:rsid w:val="003054FA"/>
    <w:rsid w:val="00317C94"/>
    <w:rsid w:val="00317D69"/>
    <w:rsid w:val="00317DC2"/>
    <w:rsid w:val="00324280"/>
    <w:rsid w:val="00325B01"/>
    <w:rsid w:val="00325C26"/>
    <w:rsid w:val="00325EE7"/>
    <w:rsid w:val="0032767A"/>
    <w:rsid w:val="00334942"/>
    <w:rsid w:val="0033520E"/>
    <w:rsid w:val="003369E2"/>
    <w:rsid w:val="00337306"/>
    <w:rsid w:val="0034332B"/>
    <w:rsid w:val="00355BC4"/>
    <w:rsid w:val="00357C5B"/>
    <w:rsid w:val="00360594"/>
    <w:rsid w:val="003818E3"/>
    <w:rsid w:val="00381BB5"/>
    <w:rsid w:val="00385AA1"/>
    <w:rsid w:val="00392693"/>
    <w:rsid w:val="003974E9"/>
    <w:rsid w:val="003A178D"/>
    <w:rsid w:val="003B0470"/>
    <w:rsid w:val="003B46F0"/>
    <w:rsid w:val="003B57DE"/>
    <w:rsid w:val="003B6353"/>
    <w:rsid w:val="003C0859"/>
    <w:rsid w:val="003C0A32"/>
    <w:rsid w:val="003C0C85"/>
    <w:rsid w:val="003C65D9"/>
    <w:rsid w:val="003D20BB"/>
    <w:rsid w:val="003D61A8"/>
    <w:rsid w:val="003E0B7D"/>
    <w:rsid w:val="003F1489"/>
    <w:rsid w:val="003F272D"/>
    <w:rsid w:val="003F3155"/>
    <w:rsid w:val="003F3BA2"/>
    <w:rsid w:val="003F628D"/>
    <w:rsid w:val="003F63E7"/>
    <w:rsid w:val="003F6EF9"/>
    <w:rsid w:val="004062DD"/>
    <w:rsid w:val="00410763"/>
    <w:rsid w:val="004203E1"/>
    <w:rsid w:val="0042198D"/>
    <w:rsid w:val="0042219A"/>
    <w:rsid w:val="00424798"/>
    <w:rsid w:val="00433DDF"/>
    <w:rsid w:val="004422B3"/>
    <w:rsid w:val="0044768F"/>
    <w:rsid w:val="00456BD8"/>
    <w:rsid w:val="00461965"/>
    <w:rsid w:val="00462858"/>
    <w:rsid w:val="00462E85"/>
    <w:rsid w:val="0047027F"/>
    <w:rsid w:val="004754E9"/>
    <w:rsid w:val="00480E48"/>
    <w:rsid w:val="004815C0"/>
    <w:rsid w:val="00487EDC"/>
    <w:rsid w:val="00494582"/>
    <w:rsid w:val="00495954"/>
    <w:rsid w:val="004A5C74"/>
    <w:rsid w:val="004B10FE"/>
    <w:rsid w:val="004B634D"/>
    <w:rsid w:val="004B66D7"/>
    <w:rsid w:val="004C048C"/>
    <w:rsid w:val="004C25BE"/>
    <w:rsid w:val="004C2C78"/>
    <w:rsid w:val="004C7D4E"/>
    <w:rsid w:val="004D4C87"/>
    <w:rsid w:val="004D4EA6"/>
    <w:rsid w:val="004D4F52"/>
    <w:rsid w:val="004D7E73"/>
    <w:rsid w:val="004F291F"/>
    <w:rsid w:val="004F3C32"/>
    <w:rsid w:val="004F3E52"/>
    <w:rsid w:val="00503658"/>
    <w:rsid w:val="00503ED7"/>
    <w:rsid w:val="0051049E"/>
    <w:rsid w:val="005155FB"/>
    <w:rsid w:val="00517EF8"/>
    <w:rsid w:val="005209A4"/>
    <w:rsid w:val="00521F76"/>
    <w:rsid w:val="00526B5C"/>
    <w:rsid w:val="0053202D"/>
    <w:rsid w:val="0053318D"/>
    <w:rsid w:val="00535AEA"/>
    <w:rsid w:val="00540B7F"/>
    <w:rsid w:val="00542F3F"/>
    <w:rsid w:val="0054314D"/>
    <w:rsid w:val="0055696C"/>
    <w:rsid w:val="00567B17"/>
    <w:rsid w:val="0057511C"/>
    <w:rsid w:val="00580151"/>
    <w:rsid w:val="00585143"/>
    <w:rsid w:val="005900F9"/>
    <w:rsid w:val="005903C1"/>
    <w:rsid w:val="00597622"/>
    <w:rsid w:val="005A78CC"/>
    <w:rsid w:val="005B1667"/>
    <w:rsid w:val="005B29DF"/>
    <w:rsid w:val="005B2F32"/>
    <w:rsid w:val="005B3D27"/>
    <w:rsid w:val="005B46F0"/>
    <w:rsid w:val="005B51BC"/>
    <w:rsid w:val="005B720E"/>
    <w:rsid w:val="005D00B5"/>
    <w:rsid w:val="005D7678"/>
    <w:rsid w:val="005F5C67"/>
    <w:rsid w:val="005F7FB5"/>
    <w:rsid w:val="006063D8"/>
    <w:rsid w:val="006079E9"/>
    <w:rsid w:val="00610AC4"/>
    <w:rsid w:val="006166D3"/>
    <w:rsid w:val="00616771"/>
    <w:rsid w:val="00621020"/>
    <w:rsid w:val="00621096"/>
    <w:rsid w:val="006228D8"/>
    <w:rsid w:val="00625AED"/>
    <w:rsid w:val="00625EA8"/>
    <w:rsid w:val="00630EA4"/>
    <w:rsid w:val="00633B58"/>
    <w:rsid w:val="006343CB"/>
    <w:rsid w:val="00637D15"/>
    <w:rsid w:val="00643A31"/>
    <w:rsid w:val="00643C23"/>
    <w:rsid w:val="00644991"/>
    <w:rsid w:val="00644B00"/>
    <w:rsid w:val="00645A89"/>
    <w:rsid w:val="006475D7"/>
    <w:rsid w:val="00654271"/>
    <w:rsid w:val="00671B4F"/>
    <w:rsid w:val="0067247F"/>
    <w:rsid w:val="00683E4E"/>
    <w:rsid w:val="00693124"/>
    <w:rsid w:val="006936AB"/>
    <w:rsid w:val="006975FF"/>
    <w:rsid w:val="006A2A48"/>
    <w:rsid w:val="006B04AC"/>
    <w:rsid w:val="006B3867"/>
    <w:rsid w:val="006B631E"/>
    <w:rsid w:val="006C3130"/>
    <w:rsid w:val="006C6360"/>
    <w:rsid w:val="006D2D9E"/>
    <w:rsid w:val="006D5A60"/>
    <w:rsid w:val="006E04A2"/>
    <w:rsid w:val="006F2F16"/>
    <w:rsid w:val="00700E6F"/>
    <w:rsid w:val="00716208"/>
    <w:rsid w:val="0071673C"/>
    <w:rsid w:val="00723350"/>
    <w:rsid w:val="0072718B"/>
    <w:rsid w:val="00741E96"/>
    <w:rsid w:val="0074571C"/>
    <w:rsid w:val="00745AA6"/>
    <w:rsid w:val="00754EB6"/>
    <w:rsid w:val="007557A3"/>
    <w:rsid w:val="00757564"/>
    <w:rsid w:val="00761CD8"/>
    <w:rsid w:val="007759F6"/>
    <w:rsid w:val="007828C7"/>
    <w:rsid w:val="00785144"/>
    <w:rsid w:val="007941AB"/>
    <w:rsid w:val="007945BC"/>
    <w:rsid w:val="00796EEB"/>
    <w:rsid w:val="007A213C"/>
    <w:rsid w:val="007A41AB"/>
    <w:rsid w:val="007A4BA6"/>
    <w:rsid w:val="007B1FA8"/>
    <w:rsid w:val="007C262A"/>
    <w:rsid w:val="007C608B"/>
    <w:rsid w:val="007C6739"/>
    <w:rsid w:val="007D08A0"/>
    <w:rsid w:val="007D7908"/>
    <w:rsid w:val="007E160B"/>
    <w:rsid w:val="007E28DD"/>
    <w:rsid w:val="007E29BC"/>
    <w:rsid w:val="007E5E92"/>
    <w:rsid w:val="007E7229"/>
    <w:rsid w:val="00800F7D"/>
    <w:rsid w:val="00804854"/>
    <w:rsid w:val="00811AF0"/>
    <w:rsid w:val="008121F0"/>
    <w:rsid w:val="00822AF8"/>
    <w:rsid w:val="00824589"/>
    <w:rsid w:val="00826EFC"/>
    <w:rsid w:val="00830E0E"/>
    <w:rsid w:val="00832A92"/>
    <w:rsid w:val="00840000"/>
    <w:rsid w:val="00842259"/>
    <w:rsid w:val="008436D1"/>
    <w:rsid w:val="008467F7"/>
    <w:rsid w:val="00860848"/>
    <w:rsid w:val="00870CD6"/>
    <w:rsid w:val="00870FF1"/>
    <w:rsid w:val="0087309E"/>
    <w:rsid w:val="00873270"/>
    <w:rsid w:val="00875093"/>
    <w:rsid w:val="008756CF"/>
    <w:rsid w:val="00875B01"/>
    <w:rsid w:val="0087780D"/>
    <w:rsid w:val="008844E4"/>
    <w:rsid w:val="00896FCD"/>
    <w:rsid w:val="008A07C2"/>
    <w:rsid w:val="008A6236"/>
    <w:rsid w:val="008A66C3"/>
    <w:rsid w:val="008B11B5"/>
    <w:rsid w:val="008B1B1A"/>
    <w:rsid w:val="008B2CED"/>
    <w:rsid w:val="008B3EE7"/>
    <w:rsid w:val="008B5246"/>
    <w:rsid w:val="008B606A"/>
    <w:rsid w:val="008C2448"/>
    <w:rsid w:val="008C3A34"/>
    <w:rsid w:val="008C6866"/>
    <w:rsid w:val="008D0EAA"/>
    <w:rsid w:val="008D2986"/>
    <w:rsid w:val="008D610B"/>
    <w:rsid w:val="008E2444"/>
    <w:rsid w:val="008E26C0"/>
    <w:rsid w:val="008E7AA4"/>
    <w:rsid w:val="008F39BF"/>
    <w:rsid w:val="008F3EAC"/>
    <w:rsid w:val="008F7286"/>
    <w:rsid w:val="008F75D7"/>
    <w:rsid w:val="0090278E"/>
    <w:rsid w:val="00904DB4"/>
    <w:rsid w:val="0090630E"/>
    <w:rsid w:val="0091545D"/>
    <w:rsid w:val="00924E10"/>
    <w:rsid w:val="009276C7"/>
    <w:rsid w:val="00933906"/>
    <w:rsid w:val="00936799"/>
    <w:rsid w:val="00937442"/>
    <w:rsid w:val="0093781F"/>
    <w:rsid w:val="00943A44"/>
    <w:rsid w:val="00943ECF"/>
    <w:rsid w:val="00944F2A"/>
    <w:rsid w:val="009467FF"/>
    <w:rsid w:val="0094696D"/>
    <w:rsid w:val="00946F56"/>
    <w:rsid w:val="009477A2"/>
    <w:rsid w:val="00952723"/>
    <w:rsid w:val="0095388B"/>
    <w:rsid w:val="009564AE"/>
    <w:rsid w:val="009623DA"/>
    <w:rsid w:val="00962441"/>
    <w:rsid w:val="00962E72"/>
    <w:rsid w:val="00964150"/>
    <w:rsid w:val="009671E8"/>
    <w:rsid w:val="00967CC9"/>
    <w:rsid w:val="00972502"/>
    <w:rsid w:val="0097480E"/>
    <w:rsid w:val="00975C75"/>
    <w:rsid w:val="00983B57"/>
    <w:rsid w:val="00984AE5"/>
    <w:rsid w:val="00984BFE"/>
    <w:rsid w:val="0098753C"/>
    <w:rsid w:val="009938F7"/>
    <w:rsid w:val="009942DB"/>
    <w:rsid w:val="0099547B"/>
    <w:rsid w:val="00995B87"/>
    <w:rsid w:val="00996C20"/>
    <w:rsid w:val="009A15CC"/>
    <w:rsid w:val="009B2C38"/>
    <w:rsid w:val="009C23D2"/>
    <w:rsid w:val="009C34C7"/>
    <w:rsid w:val="009C6842"/>
    <w:rsid w:val="009D4DE8"/>
    <w:rsid w:val="009E1E23"/>
    <w:rsid w:val="009E3601"/>
    <w:rsid w:val="009E3F92"/>
    <w:rsid w:val="009E4D7A"/>
    <w:rsid w:val="009F10A8"/>
    <w:rsid w:val="009F1BBC"/>
    <w:rsid w:val="009F5F56"/>
    <w:rsid w:val="00A01A02"/>
    <w:rsid w:val="00A07D68"/>
    <w:rsid w:val="00A15E1B"/>
    <w:rsid w:val="00A15E47"/>
    <w:rsid w:val="00A17901"/>
    <w:rsid w:val="00A20FF7"/>
    <w:rsid w:val="00A23098"/>
    <w:rsid w:val="00A40DA7"/>
    <w:rsid w:val="00A43ECE"/>
    <w:rsid w:val="00A52D36"/>
    <w:rsid w:val="00A63DF7"/>
    <w:rsid w:val="00A64CEA"/>
    <w:rsid w:val="00A653C2"/>
    <w:rsid w:val="00A670DF"/>
    <w:rsid w:val="00A72A02"/>
    <w:rsid w:val="00A7496D"/>
    <w:rsid w:val="00A7673D"/>
    <w:rsid w:val="00A8215F"/>
    <w:rsid w:val="00A8260D"/>
    <w:rsid w:val="00A86C06"/>
    <w:rsid w:val="00A87F40"/>
    <w:rsid w:val="00A92C28"/>
    <w:rsid w:val="00A936FE"/>
    <w:rsid w:val="00AA23AA"/>
    <w:rsid w:val="00AA4BA2"/>
    <w:rsid w:val="00AB2192"/>
    <w:rsid w:val="00AD757F"/>
    <w:rsid w:val="00AE12DC"/>
    <w:rsid w:val="00AE20BD"/>
    <w:rsid w:val="00AE6D8C"/>
    <w:rsid w:val="00AE6E0B"/>
    <w:rsid w:val="00AF0DAB"/>
    <w:rsid w:val="00AF786F"/>
    <w:rsid w:val="00B00A82"/>
    <w:rsid w:val="00B05503"/>
    <w:rsid w:val="00B06E06"/>
    <w:rsid w:val="00B11288"/>
    <w:rsid w:val="00B11A49"/>
    <w:rsid w:val="00B27576"/>
    <w:rsid w:val="00B304FA"/>
    <w:rsid w:val="00B363BB"/>
    <w:rsid w:val="00B40188"/>
    <w:rsid w:val="00B435A6"/>
    <w:rsid w:val="00B447D2"/>
    <w:rsid w:val="00B45DA0"/>
    <w:rsid w:val="00B50231"/>
    <w:rsid w:val="00B52D38"/>
    <w:rsid w:val="00B56717"/>
    <w:rsid w:val="00B5728D"/>
    <w:rsid w:val="00B739BB"/>
    <w:rsid w:val="00B73EE2"/>
    <w:rsid w:val="00B745B6"/>
    <w:rsid w:val="00B757AC"/>
    <w:rsid w:val="00B76A18"/>
    <w:rsid w:val="00B877F7"/>
    <w:rsid w:val="00B87A42"/>
    <w:rsid w:val="00B91342"/>
    <w:rsid w:val="00BA32B6"/>
    <w:rsid w:val="00BA6BEE"/>
    <w:rsid w:val="00BB62D8"/>
    <w:rsid w:val="00BC2402"/>
    <w:rsid w:val="00BD6A32"/>
    <w:rsid w:val="00BD7260"/>
    <w:rsid w:val="00BF1155"/>
    <w:rsid w:val="00C00BF5"/>
    <w:rsid w:val="00C04B8D"/>
    <w:rsid w:val="00C07AF8"/>
    <w:rsid w:val="00C11EBA"/>
    <w:rsid w:val="00C12873"/>
    <w:rsid w:val="00C1702F"/>
    <w:rsid w:val="00C17CAA"/>
    <w:rsid w:val="00C200DD"/>
    <w:rsid w:val="00C20B22"/>
    <w:rsid w:val="00C21058"/>
    <w:rsid w:val="00C30C6C"/>
    <w:rsid w:val="00C31D59"/>
    <w:rsid w:val="00C37D1D"/>
    <w:rsid w:val="00C51D1B"/>
    <w:rsid w:val="00C54EA0"/>
    <w:rsid w:val="00C632EE"/>
    <w:rsid w:val="00C738AA"/>
    <w:rsid w:val="00C77021"/>
    <w:rsid w:val="00C808E6"/>
    <w:rsid w:val="00C813EF"/>
    <w:rsid w:val="00C85AC8"/>
    <w:rsid w:val="00C8645A"/>
    <w:rsid w:val="00C93F4A"/>
    <w:rsid w:val="00C951E3"/>
    <w:rsid w:val="00CB06B4"/>
    <w:rsid w:val="00CB3015"/>
    <w:rsid w:val="00CB56EE"/>
    <w:rsid w:val="00CC6FDC"/>
    <w:rsid w:val="00CD339A"/>
    <w:rsid w:val="00CD50E5"/>
    <w:rsid w:val="00CE42AD"/>
    <w:rsid w:val="00CE7DB2"/>
    <w:rsid w:val="00CF1856"/>
    <w:rsid w:val="00CF2AB8"/>
    <w:rsid w:val="00CF3741"/>
    <w:rsid w:val="00CF69C2"/>
    <w:rsid w:val="00D01380"/>
    <w:rsid w:val="00D02B15"/>
    <w:rsid w:val="00D0467C"/>
    <w:rsid w:val="00D04EEE"/>
    <w:rsid w:val="00D134C6"/>
    <w:rsid w:val="00D16CC8"/>
    <w:rsid w:val="00D25CEF"/>
    <w:rsid w:val="00D32048"/>
    <w:rsid w:val="00D34804"/>
    <w:rsid w:val="00D3635C"/>
    <w:rsid w:val="00D47F9C"/>
    <w:rsid w:val="00D504F0"/>
    <w:rsid w:val="00D625A4"/>
    <w:rsid w:val="00D7163A"/>
    <w:rsid w:val="00D745A8"/>
    <w:rsid w:val="00D810B6"/>
    <w:rsid w:val="00D822AC"/>
    <w:rsid w:val="00D90A5E"/>
    <w:rsid w:val="00D91950"/>
    <w:rsid w:val="00D957F1"/>
    <w:rsid w:val="00D9681E"/>
    <w:rsid w:val="00DA4AA9"/>
    <w:rsid w:val="00DA4F14"/>
    <w:rsid w:val="00DB114C"/>
    <w:rsid w:val="00DB1460"/>
    <w:rsid w:val="00DC088A"/>
    <w:rsid w:val="00DC4D66"/>
    <w:rsid w:val="00DC4F7A"/>
    <w:rsid w:val="00DC670C"/>
    <w:rsid w:val="00DD2B53"/>
    <w:rsid w:val="00DE50F7"/>
    <w:rsid w:val="00DE6916"/>
    <w:rsid w:val="00DE7FC0"/>
    <w:rsid w:val="00DF2278"/>
    <w:rsid w:val="00DF6A31"/>
    <w:rsid w:val="00E02217"/>
    <w:rsid w:val="00E10B4C"/>
    <w:rsid w:val="00E12B6F"/>
    <w:rsid w:val="00E13327"/>
    <w:rsid w:val="00E150C1"/>
    <w:rsid w:val="00E15F29"/>
    <w:rsid w:val="00E22BF7"/>
    <w:rsid w:val="00E314F0"/>
    <w:rsid w:val="00E3178A"/>
    <w:rsid w:val="00E36EF2"/>
    <w:rsid w:val="00E45D1E"/>
    <w:rsid w:val="00E479EE"/>
    <w:rsid w:val="00E56A69"/>
    <w:rsid w:val="00E61343"/>
    <w:rsid w:val="00E643EF"/>
    <w:rsid w:val="00E6567D"/>
    <w:rsid w:val="00E677D6"/>
    <w:rsid w:val="00E73037"/>
    <w:rsid w:val="00E742F2"/>
    <w:rsid w:val="00E74C3C"/>
    <w:rsid w:val="00E813D6"/>
    <w:rsid w:val="00E81950"/>
    <w:rsid w:val="00E84E3B"/>
    <w:rsid w:val="00E8531E"/>
    <w:rsid w:val="00E903DE"/>
    <w:rsid w:val="00E90C29"/>
    <w:rsid w:val="00E926CA"/>
    <w:rsid w:val="00E92BA3"/>
    <w:rsid w:val="00EB0C71"/>
    <w:rsid w:val="00EB0FF3"/>
    <w:rsid w:val="00EB3DE4"/>
    <w:rsid w:val="00EB53F1"/>
    <w:rsid w:val="00EB5828"/>
    <w:rsid w:val="00ED188F"/>
    <w:rsid w:val="00ED526C"/>
    <w:rsid w:val="00EE1E4A"/>
    <w:rsid w:val="00EE3BD2"/>
    <w:rsid w:val="00EE3CD9"/>
    <w:rsid w:val="00EE5507"/>
    <w:rsid w:val="00F11B0F"/>
    <w:rsid w:val="00F136D2"/>
    <w:rsid w:val="00F13E82"/>
    <w:rsid w:val="00F22075"/>
    <w:rsid w:val="00F220F1"/>
    <w:rsid w:val="00F26F14"/>
    <w:rsid w:val="00F279FB"/>
    <w:rsid w:val="00F30136"/>
    <w:rsid w:val="00F31CD1"/>
    <w:rsid w:val="00F364D2"/>
    <w:rsid w:val="00F37A26"/>
    <w:rsid w:val="00F509DE"/>
    <w:rsid w:val="00F5108B"/>
    <w:rsid w:val="00F51B88"/>
    <w:rsid w:val="00F62302"/>
    <w:rsid w:val="00F62367"/>
    <w:rsid w:val="00F65A80"/>
    <w:rsid w:val="00F66575"/>
    <w:rsid w:val="00F707D4"/>
    <w:rsid w:val="00F7116C"/>
    <w:rsid w:val="00F71896"/>
    <w:rsid w:val="00F73E8D"/>
    <w:rsid w:val="00F73F11"/>
    <w:rsid w:val="00F75159"/>
    <w:rsid w:val="00F829A2"/>
    <w:rsid w:val="00F82F70"/>
    <w:rsid w:val="00F904CF"/>
    <w:rsid w:val="00FA292E"/>
    <w:rsid w:val="00FA5108"/>
    <w:rsid w:val="00FA71D9"/>
    <w:rsid w:val="00FB066D"/>
    <w:rsid w:val="00FB3243"/>
    <w:rsid w:val="00FB392D"/>
    <w:rsid w:val="00FC26D8"/>
    <w:rsid w:val="00FC5931"/>
    <w:rsid w:val="00FD0B93"/>
    <w:rsid w:val="00FE738C"/>
    <w:rsid w:val="00FF3C57"/>
    <w:rsid w:val="00FF6EA9"/>
    <w:rsid w:val="00FF74FC"/>
    <w:rsid w:val="00FF77B3"/>
    <w:rsid w:val="11EB6D7E"/>
    <w:rsid w:val="14000FD3"/>
    <w:rsid w:val="3F881FEB"/>
    <w:rsid w:val="67B21B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D1A7B-DA78-4E94-84DC-5662C770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eastAsia="宋体" w:hAnsi="Courier New" w:cs="Times New Roman"/>
      <w:szCs w:val="21"/>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qFormat/>
    <w:rPr>
      <w:b/>
      <w:bCs/>
    </w:rPr>
  </w:style>
  <w:style w:type="character" w:styleId="af1">
    <w:name w:val="line number"/>
    <w:basedOn w:val="a0"/>
    <w:uiPriority w:val="99"/>
    <w:semiHidden/>
    <w:unhideWhenUsed/>
    <w:qFormat/>
  </w:style>
  <w:style w:type="character" w:styleId="af2">
    <w:name w:val="annotation reference"/>
    <w:basedOn w:val="a0"/>
    <w:uiPriority w:val="99"/>
    <w:semiHidden/>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6">
    <w:name w:val="纯文本 字符"/>
    <w:basedOn w:val="a0"/>
    <w:link w:val="a5"/>
    <w:uiPriority w:val="99"/>
    <w:qFormat/>
    <w:rPr>
      <w:rFonts w:ascii="宋体" w:eastAsia="宋体" w:hAnsi="Courier New" w:cs="Times New Roman"/>
      <w:szCs w:val="21"/>
    </w:rPr>
  </w:style>
  <w:style w:type="paragraph" w:customStyle="1" w:styleId="1">
    <w:name w:val="列出段落1"/>
    <w:basedOn w:val="a"/>
    <w:qFormat/>
    <w:pPr>
      <w:ind w:firstLineChars="200" w:firstLine="420"/>
    </w:pPr>
    <w:rPr>
      <w:rFonts w:ascii="Calibri" w:eastAsia="宋体" w:hAnsi="Calibri" w:cs="Times New Roman"/>
    </w:rPr>
  </w:style>
  <w:style w:type="character" w:customStyle="1" w:styleId="aa">
    <w:name w:val="批注框文本 字符"/>
    <w:basedOn w:val="a0"/>
    <w:link w:val="a9"/>
    <w:uiPriority w:val="99"/>
    <w:semiHidden/>
    <w:qFormat/>
    <w:rPr>
      <w:sz w:val="18"/>
      <w:szCs w:val="18"/>
    </w:rPr>
  </w:style>
  <w:style w:type="paragraph" w:customStyle="1" w:styleId="10">
    <w:name w:val="修订1"/>
    <w:hidden/>
    <w:uiPriority w:val="99"/>
    <w:semiHidden/>
    <w:qFormat/>
    <w:rPr>
      <w:kern w:val="2"/>
      <w:sz w:val="21"/>
      <w:szCs w:val="22"/>
    </w:rPr>
  </w:style>
  <w:style w:type="character" w:customStyle="1" w:styleId="a4">
    <w:name w:val="批注文字 字符"/>
    <w:basedOn w:val="a0"/>
    <w:link w:val="a3"/>
    <w:uiPriority w:val="99"/>
    <w:semiHidden/>
    <w:qFormat/>
  </w:style>
  <w:style w:type="character" w:customStyle="1" w:styleId="af0">
    <w:name w:val="批注主题 字符"/>
    <w:basedOn w:val="a4"/>
    <w:link w:val="af"/>
    <w:uiPriority w:val="99"/>
    <w:semiHidden/>
    <w:qFormat/>
    <w:rPr>
      <w:b/>
      <w:bCs/>
    </w:rPr>
  </w:style>
  <w:style w:type="character" w:customStyle="1" w:styleId="a8">
    <w:name w:val="日期 字符"/>
    <w:basedOn w:val="a0"/>
    <w:link w:val="a7"/>
    <w:uiPriority w:val="99"/>
    <w:semiHidden/>
    <w:qFormat/>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29431-BAB1-4E5E-AA0F-D259B9AA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1061</Words>
  <Characters>6049</Characters>
  <Application>Microsoft Office Word</Application>
  <DocSecurity>0</DocSecurity>
  <Lines>50</Lines>
  <Paragraphs>14</Paragraphs>
  <ScaleCrop>false</ScaleCrop>
  <Company>神州网信技术有限公司</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孙俊仁</cp:lastModifiedBy>
  <cp:revision>38</cp:revision>
  <cp:lastPrinted>2022-08-22T01:21:00Z</cp:lastPrinted>
  <dcterms:created xsi:type="dcterms:W3CDTF">2023-12-19T03:08:00Z</dcterms:created>
  <dcterms:modified xsi:type="dcterms:W3CDTF">2024-08-12T02:12:00Z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02CCC68D56BB405C994A71320EE134CB</vt:lpwstr>
  </property>
</Properties>
</file>