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20" w:lineRule="exact"/>
        <w:textAlignment w:val="auto"/>
        <w:rPr>
          <w:rFonts w:hint="default" w:ascii="Times New Roman" w:hAnsi="Times New Roman" w:eastAsia="黑体" w:cs="Times New Roman"/>
        </w:rPr>
      </w:pPr>
      <w:r>
        <w:rPr>
          <w:rFonts w:hint="default" w:ascii="Times New Roman" w:hAnsi="Times New Roman" w:eastAsia="黑体" w:cs="Times New Roman"/>
        </w:rPr>
        <w:t>附件5</w:t>
      </w:r>
    </w:p>
    <w:p>
      <w:pPr>
        <w:pStyle w:val="2"/>
        <w:keepNext w:val="0"/>
        <w:keepLines w:val="0"/>
        <w:pageBreakBefore w:val="0"/>
        <w:widowControl w:val="0"/>
        <w:kinsoku/>
        <w:wordWrap/>
        <w:overflowPunct/>
        <w:topLinePunct w:val="0"/>
        <w:autoSpaceDE/>
        <w:autoSpaceDN/>
        <w:bidi w:val="0"/>
        <w:spacing w:line="520" w:lineRule="exact"/>
        <w:textAlignment w:val="auto"/>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spacing w:line="520" w:lineRule="exact"/>
        <w:ind w:right="-102" w:rightChars="-32"/>
        <w:jc w:val="center"/>
        <w:textAlignment w:val="auto"/>
        <w:rPr>
          <w:rFonts w:hint="default" w:ascii="Times New Roman" w:hAnsi="Times New Roman" w:eastAsia="方正小标宋简体" w:cs="Times New Roman"/>
          <w:bCs/>
          <w:color w:val="000000"/>
          <w:sz w:val="44"/>
          <w:szCs w:val="44"/>
        </w:rPr>
      </w:pPr>
      <w:r>
        <w:rPr>
          <w:rFonts w:hint="default" w:ascii="Times New Roman" w:hAnsi="Times New Roman" w:eastAsia="方正小标宋简体" w:cs="Times New Roman"/>
          <w:bCs/>
          <w:color w:val="000000"/>
          <w:sz w:val="44"/>
          <w:szCs w:val="44"/>
        </w:rPr>
        <w:t>牙胶尖</w:t>
      </w:r>
      <w:r>
        <w:rPr>
          <w:rFonts w:hint="default" w:ascii="Times New Roman" w:hAnsi="Times New Roman" w:eastAsia="方正小标宋简体" w:cs="Times New Roman"/>
          <w:bCs/>
          <w:color w:val="000000"/>
          <w:sz w:val="44"/>
          <w:szCs w:val="44"/>
        </w:rPr>
        <w:t>注册审查指导原则</w:t>
      </w:r>
    </w:p>
    <w:p>
      <w:pPr>
        <w:pStyle w:val="2"/>
        <w:keepNext w:val="0"/>
        <w:keepLines w:val="0"/>
        <w:pageBreakBefore w:val="0"/>
        <w:widowControl w:val="0"/>
        <w:kinsoku/>
        <w:wordWrap/>
        <w:overflowPunct/>
        <w:topLinePunct w:val="0"/>
        <w:autoSpaceDE/>
        <w:autoSpaceDN/>
        <w:bidi w:val="0"/>
        <w:spacing w:line="520" w:lineRule="exact"/>
        <w:textAlignment w:val="auto"/>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本指导原则旨在指导注册申请人对</w:t>
      </w:r>
      <w:r>
        <w:rPr>
          <w:rFonts w:hint="default" w:ascii="Times New Roman" w:hAnsi="Times New Roman" w:eastAsia="仿宋_GB2312" w:cs="Times New Roman"/>
          <w:color w:val="000000"/>
          <w:szCs w:val="32"/>
        </w:rPr>
        <w:t>牙胶尖</w:t>
      </w:r>
      <w:r>
        <w:rPr>
          <w:rFonts w:hint="default" w:ascii="Times New Roman" w:hAnsi="Times New Roman" w:eastAsia="仿宋_GB2312" w:cs="Times New Roman"/>
          <w:color w:val="000000"/>
          <w:szCs w:val="32"/>
        </w:rPr>
        <w:t>注册申报资料的准备及撰写，同时也为技术审评部门对注册申报资料的审评提供技术参考。</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本指导原则是对</w:t>
      </w:r>
      <w:r>
        <w:rPr>
          <w:rFonts w:hint="default" w:ascii="Times New Roman" w:hAnsi="Times New Roman" w:eastAsia="仿宋_GB2312" w:cs="Times New Roman"/>
          <w:color w:val="000000"/>
          <w:szCs w:val="32"/>
        </w:rPr>
        <w:t>牙胶尖</w:t>
      </w:r>
      <w:r>
        <w:rPr>
          <w:rFonts w:hint="default" w:ascii="Times New Roman" w:hAnsi="Times New Roman" w:eastAsia="仿宋_GB2312" w:cs="Times New Roman"/>
          <w:color w:val="000000"/>
          <w:szCs w:val="32"/>
        </w:rPr>
        <w:t>注册申报资料的一般要求，注册申请人需依据产品的具体特性确定其中内容是否</w:t>
      </w:r>
      <w:r>
        <w:rPr>
          <w:rFonts w:hint="default" w:ascii="Times New Roman" w:hAnsi="Times New Roman" w:eastAsia="仿宋_GB2312" w:cs="Times New Roman"/>
          <w:color w:val="000000"/>
          <w:szCs w:val="32"/>
        </w:rPr>
        <w:t>适</w:t>
      </w:r>
      <w:r>
        <w:rPr>
          <w:rFonts w:hint="default" w:ascii="Times New Roman" w:hAnsi="Times New Roman" w:eastAsia="仿宋_GB2312" w:cs="Times New Roman"/>
          <w:color w:val="000000"/>
          <w:szCs w:val="32"/>
        </w:rPr>
        <w:t>用。若不适用，需具体阐述理由及相应的科学依据，并依据产品的具体特性对注册申报资料的内容进行充实和细化。</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本指导原则是供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黑体" w:cs="Times New Roman"/>
          <w:color w:val="000000"/>
          <w:szCs w:val="32"/>
        </w:rPr>
      </w:pPr>
      <w:r>
        <w:rPr>
          <w:rFonts w:hint="default" w:ascii="Times New Roman" w:hAnsi="Times New Roman" w:eastAsia="仿宋_GB2312" w:cs="Times New Roman"/>
          <w:color w:val="000000"/>
          <w:szCs w:val="32"/>
        </w:rPr>
        <w:t>本指导原则是在现行法规和标准体系以及当前认知水平下制定的，随着法规和标准的不断完善，以及科学技术的不断发展，本指导原则相关内容也将进行适时的调整。</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黑体" w:cs="Times New Roman"/>
          <w:color w:val="000000"/>
          <w:szCs w:val="32"/>
        </w:rPr>
      </w:pPr>
      <w:r>
        <w:rPr>
          <w:rFonts w:hint="default" w:ascii="Times New Roman" w:hAnsi="Times New Roman" w:eastAsia="黑体" w:cs="Times New Roman"/>
          <w:color w:val="000000"/>
          <w:szCs w:val="32"/>
        </w:rPr>
        <w:t>一、适用范围</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本指导原则适用于</w:t>
      </w:r>
      <w:r>
        <w:rPr>
          <w:rFonts w:hint="default" w:ascii="Times New Roman" w:hAnsi="Times New Roman" w:eastAsia="仿宋_GB2312" w:cs="Times New Roman"/>
          <w:color w:val="000000"/>
          <w:szCs w:val="32"/>
        </w:rPr>
        <w:t>根管治疗过程中充填或封闭牙髓腔的牙胶尖</w:t>
      </w:r>
      <w:r>
        <w:rPr>
          <w:rFonts w:hint="default" w:ascii="Times New Roman" w:hAnsi="Times New Roman" w:eastAsia="仿宋_GB2312" w:cs="Times New Roman"/>
          <w:color w:val="000000"/>
          <w:szCs w:val="32"/>
        </w:rPr>
        <w:t>产品。</w:t>
      </w:r>
      <w:r>
        <w:rPr>
          <w:rFonts w:hint="default" w:ascii="Times New Roman" w:hAnsi="Times New Roman" w:eastAsia="仿宋_GB2312" w:cs="Times New Roman"/>
          <w:color w:val="000000"/>
          <w:szCs w:val="32"/>
        </w:rPr>
        <w:t>牙胶尖一般</w:t>
      </w:r>
      <w:r>
        <w:rPr>
          <w:rFonts w:hint="default" w:ascii="Times New Roman" w:hAnsi="Times New Roman" w:eastAsia="仿宋_GB2312" w:cs="Times New Roman"/>
          <w:color w:val="000000"/>
          <w:szCs w:val="32"/>
        </w:rPr>
        <w:t>由古塔胶、氧化锌、硫酸钡</w:t>
      </w:r>
      <w:r>
        <w:rPr>
          <w:rFonts w:hint="default" w:ascii="Times New Roman" w:hAnsi="Times New Roman" w:eastAsia="仿宋_GB2312" w:cs="Times New Roman"/>
          <w:color w:val="000000"/>
          <w:szCs w:val="32"/>
        </w:rPr>
        <w:t>等组成，非通常</w:t>
      </w:r>
      <w:r>
        <w:rPr>
          <w:rFonts w:hint="default" w:ascii="Times New Roman" w:hAnsi="Times New Roman" w:eastAsia="仿宋_GB2312" w:cs="Times New Roman"/>
          <w:color w:val="000000"/>
          <w:szCs w:val="32"/>
        </w:rPr>
        <w:t>材质</w:t>
      </w:r>
      <w:r>
        <w:rPr>
          <w:rFonts w:hint="default" w:ascii="Times New Roman" w:hAnsi="Times New Roman" w:eastAsia="仿宋_GB2312" w:cs="Times New Roman"/>
          <w:color w:val="000000"/>
          <w:szCs w:val="32"/>
        </w:rPr>
        <w:t>的根管充填</w:t>
      </w:r>
      <w:r>
        <w:rPr>
          <w:rFonts w:hint="default" w:ascii="Times New Roman" w:hAnsi="Times New Roman" w:eastAsia="仿宋_GB2312" w:cs="Times New Roman"/>
          <w:color w:val="000000"/>
          <w:szCs w:val="32"/>
        </w:rPr>
        <w:t>尖可参考本指导</w:t>
      </w:r>
      <w:r>
        <w:rPr>
          <w:rFonts w:hint="default" w:ascii="Times New Roman" w:hAnsi="Times New Roman" w:eastAsia="仿宋_GB2312" w:cs="Times New Roman"/>
          <w:color w:val="000000"/>
          <w:szCs w:val="32"/>
        </w:rPr>
        <w:t>原则</w:t>
      </w:r>
      <w:r>
        <w:rPr>
          <w:rFonts w:hint="default" w:ascii="Times New Roman" w:hAnsi="Times New Roman" w:eastAsia="仿宋_GB2312" w:cs="Times New Roman"/>
          <w:color w:val="000000"/>
          <w:szCs w:val="32"/>
        </w:rPr>
        <w:t>适用部分。</w:t>
      </w:r>
      <w:r>
        <w:rPr>
          <w:rFonts w:hint="default" w:ascii="Times New Roman" w:hAnsi="Times New Roman" w:eastAsia="仿宋_GB2312" w:cs="Times New Roman"/>
          <w:color w:val="000000"/>
          <w:szCs w:val="32"/>
        </w:rPr>
        <w:t>本指导原则不适用特殊设计及创新设计的产品</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黑体" w:cs="Times New Roman"/>
          <w:color w:val="000000"/>
          <w:szCs w:val="32"/>
        </w:rPr>
      </w:pPr>
      <w:r>
        <w:rPr>
          <w:rFonts w:hint="default" w:ascii="Times New Roman" w:hAnsi="Times New Roman" w:eastAsia="黑体" w:cs="Times New Roman"/>
          <w:color w:val="000000"/>
          <w:szCs w:val="32"/>
        </w:rPr>
        <w:t>二、注册审查要点</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kern w:val="0"/>
          <w:szCs w:val="32"/>
        </w:rPr>
      </w:pPr>
      <w:r>
        <w:rPr>
          <w:rFonts w:hint="default" w:ascii="Times New Roman" w:hAnsi="Times New Roman" w:eastAsia="仿宋_GB2312" w:cs="Times New Roman"/>
          <w:kern w:val="0"/>
          <w:szCs w:val="32"/>
        </w:rPr>
        <w:t>注册申报资料宜符合国家药品监督管理局《关于公布医疗器械注册申报资料要求和批准证明文件格式的公告》中的要求，同时宜符合以下要求：</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楷体_GB2312" w:cs="Times New Roman"/>
          <w:color w:val="000000"/>
          <w:szCs w:val="32"/>
        </w:rPr>
      </w:pPr>
      <w:r>
        <w:rPr>
          <w:rFonts w:hint="default" w:ascii="Times New Roman" w:hAnsi="Times New Roman" w:eastAsia="楷体_GB2312" w:cs="Times New Roman"/>
          <w:color w:val="000000"/>
          <w:szCs w:val="32"/>
        </w:rPr>
        <w:t>（一）监管信息</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1.产品名称</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bookmarkStart w:id="0" w:name="_Hlk66554352"/>
      <w:r>
        <w:rPr>
          <w:rFonts w:hint="default" w:ascii="Times New Roman" w:hAnsi="Times New Roman" w:eastAsia="仿宋_GB2312" w:cs="Times New Roman"/>
          <w:color w:val="000000"/>
          <w:szCs w:val="32"/>
        </w:rPr>
        <w:t>产品的命名需采用《医疗器械分类目录》或国家标准、行业标准中的通用名称，或以产品</w:t>
      </w:r>
      <w:bookmarkEnd w:id="0"/>
      <w:r>
        <w:rPr>
          <w:rFonts w:hint="default" w:ascii="Times New Roman" w:hAnsi="Times New Roman" w:eastAsia="仿宋_GB2312" w:cs="Times New Roman"/>
          <w:color w:val="000000"/>
          <w:szCs w:val="32"/>
        </w:rPr>
        <w:t>临床预期用途、</w:t>
      </w:r>
      <w:r>
        <w:rPr>
          <w:rFonts w:hint="default" w:ascii="Times New Roman" w:hAnsi="Times New Roman" w:eastAsia="仿宋_GB2312" w:cs="Times New Roman"/>
          <w:color w:val="000000"/>
          <w:szCs w:val="32"/>
        </w:rPr>
        <w:t>固化方式</w:t>
      </w:r>
      <w:r>
        <w:rPr>
          <w:rFonts w:hint="default" w:ascii="Times New Roman" w:hAnsi="Times New Roman" w:eastAsia="仿宋_GB2312" w:cs="Times New Roman"/>
          <w:color w:val="000000"/>
          <w:szCs w:val="32"/>
        </w:rPr>
        <w:t>、适用部位为依据命名，需符合《医疗器械通用名称命名规则》</w:t>
      </w:r>
      <w:r>
        <w:rPr>
          <w:rFonts w:hint="default" w:ascii="Times New Roman" w:hAnsi="Times New Roman" w:eastAsia="仿宋_GB2312" w:cs="Times New Roman"/>
          <w:color w:val="000000"/>
          <w:szCs w:val="32"/>
        </w:rPr>
        <w:t>、《口腔科器械通用名称命名指导原则》</w:t>
      </w:r>
      <w:r>
        <w:rPr>
          <w:rFonts w:hint="default" w:ascii="Times New Roman" w:hAnsi="Times New Roman" w:eastAsia="仿宋_GB2312" w:cs="Times New Roman"/>
          <w:color w:val="000000"/>
          <w:szCs w:val="32"/>
        </w:rPr>
        <w:t>等相关法规的要求。</w:t>
      </w:r>
      <w:r>
        <w:rPr>
          <w:rFonts w:hint="default" w:ascii="Times New Roman" w:hAnsi="Times New Roman" w:eastAsia="仿宋_GB2312" w:cs="Times New Roman"/>
          <w:color w:val="000000"/>
          <w:szCs w:val="32"/>
        </w:rPr>
        <w:t>如牙胶尖、</w:t>
      </w:r>
      <w:r>
        <w:rPr>
          <w:rFonts w:hint="default" w:ascii="Times New Roman" w:hAnsi="Times New Roman" w:eastAsia="仿宋_GB2312" w:cs="Times New Roman"/>
          <w:color w:val="000000"/>
          <w:szCs w:val="32"/>
        </w:rPr>
        <w:t>牙根管充填尖、</w:t>
      </w:r>
      <w:r>
        <w:rPr>
          <w:rFonts w:hint="default" w:ascii="Times New Roman" w:hAnsi="Times New Roman" w:eastAsia="仿宋_GB2312" w:cs="Times New Roman"/>
          <w:color w:val="000000"/>
          <w:szCs w:val="32"/>
        </w:rPr>
        <w:t>回填</w:t>
      </w:r>
      <w:r>
        <w:rPr>
          <w:rFonts w:hint="default" w:ascii="Times New Roman" w:hAnsi="Times New Roman" w:eastAsia="仿宋_GB2312" w:cs="Times New Roman"/>
          <w:color w:val="000000"/>
          <w:szCs w:val="32"/>
        </w:rPr>
        <w:t>牙胶、热凝牙胶尖</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根管填塞</w:t>
      </w:r>
      <w:r>
        <w:rPr>
          <w:rFonts w:hint="default" w:ascii="Times New Roman" w:hAnsi="Times New Roman" w:eastAsia="仿宋_GB2312" w:cs="Times New Roman"/>
          <w:color w:val="000000"/>
          <w:szCs w:val="32"/>
        </w:rPr>
        <w:t>尖等</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2.分类编码</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根据《医疗器械分类目录》，分类编码为17-05-03，管理类别为</w:t>
      </w:r>
      <w:r>
        <w:rPr>
          <w:rFonts w:hint="default" w:ascii="Times New Roman" w:hAnsi="Times New Roman" w:cs="Times New Roman"/>
          <w:color w:val="000000"/>
          <w:szCs w:val="32"/>
        </w:rPr>
        <w:t>Ⅲ</w:t>
      </w:r>
      <w:r>
        <w:rPr>
          <w:rFonts w:hint="default" w:ascii="Times New Roman" w:hAnsi="Times New Roman" w:eastAsia="仿宋_GB2312" w:cs="Times New Roman"/>
          <w:color w:val="000000"/>
          <w:szCs w:val="32"/>
        </w:rPr>
        <w:t>类。</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w:t>
      </w:r>
      <w:r>
        <w:rPr>
          <w:rFonts w:hint="default" w:ascii="Times New Roman" w:hAnsi="Times New Roman" w:eastAsia="仿宋_GB2312" w:cs="Times New Roman"/>
          <w:color w:val="000000"/>
          <w:szCs w:val="32"/>
        </w:rPr>
        <w:t>注册单元划分</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产品注册单元的划分需符合《医疗器械注册单元划分指导原则》的要求。临床应用</w:t>
      </w:r>
      <w:r>
        <w:rPr>
          <w:rFonts w:hint="default" w:ascii="Times New Roman" w:hAnsi="Times New Roman" w:eastAsia="仿宋_GB2312" w:cs="Times New Roman"/>
          <w:color w:val="000000"/>
          <w:szCs w:val="32"/>
        </w:rPr>
        <w:t>技术不同的</w:t>
      </w:r>
      <w:r>
        <w:rPr>
          <w:rFonts w:hint="default" w:ascii="Times New Roman" w:hAnsi="Times New Roman" w:eastAsia="仿宋_GB2312" w:cs="Times New Roman"/>
          <w:color w:val="000000"/>
          <w:szCs w:val="32"/>
        </w:rPr>
        <w:t>宜</w:t>
      </w:r>
      <w:r>
        <w:rPr>
          <w:rFonts w:hint="default" w:ascii="Times New Roman" w:hAnsi="Times New Roman" w:eastAsia="仿宋_GB2312" w:cs="Times New Roman"/>
          <w:color w:val="000000"/>
          <w:szCs w:val="32"/>
        </w:rPr>
        <w:t>划分注册单元，如</w:t>
      </w:r>
      <w:r>
        <w:rPr>
          <w:rFonts w:hint="default" w:ascii="Times New Roman" w:hAnsi="Times New Roman" w:eastAsia="仿宋_GB2312" w:cs="Times New Roman"/>
          <w:color w:val="000000"/>
          <w:szCs w:val="32"/>
        </w:rPr>
        <w:t>冷牙</w:t>
      </w:r>
      <w:r>
        <w:rPr>
          <w:rFonts w:hint="default" w:ascii="Times New Roman" w:hAnsi="Times New Roman" w:eastAsia="仿宋_GB2312" w:cs="Times New Roman"/>
          <w:color w:val="000000"/>
          <w:szCs w:val="32"/>
        </w:rPr>
        <w:t>胶</w:t>
      </w:r>
      <w:r>
        <w:rPr>
          <w:rFonts w:hint="default" w:ascii="Times New Roman" w:hAnsi="Times New Roman" w:eastAsia="仿宋_GB2312" w:cs="Times New Roman"/>
          <w:color w:val="000000"/>
          <w:szCs w:val="32"/>
        </w:rPr>
        <w:t>、热牙胶</w:t>
      </w:r>
      <w:r>
        <w:rPr>
          <w:rFonts w:hint="default" w:ascii="Times New Roman" w:hAnsi="Times New Roman" w:eastAsia="仿宋_GB2312" w:cs="Times New Roman"/>
          <w:color w:val="000000"/>
          <w:szCs w:val="32"/>
        </w:rPr>
        <w:t>棒</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4.结构组成</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需</w:t>
      </w:r>
      <w:r>
        <w:rPr>
          <w:rFonts w:hint="default" w:ascii="Times New Roman" w:hAnsi="Times New Roman" w:eastAsia="仿宋_GB2312" w:cs="Times New Roman"/>
          <w:color w:val="000000"/>
          <w:szCs w:val="32"/>
        </w:rPr>
        <w:t>明确</w:t>
      </w:r>
      <w:r>
        <w:rPr>
          <w:rFonts w:hint="default" w:ascii="Times New Roman" w:hAnsi="Times New Roman" w:eastAsia="仿宋_GB2312" w:cs="Times New Roman"/>
          <w:color w:val="000000"/>
          <w:szCs w:val="32"/>
        </w:rPr>
        <w:t>产品所有组成成分信息，组</w:t>
      </w:r>
      <w:r>
        <w:rPr>
          <w:rFonts w:hint="default" w:ascii="Times New Roman" w:hAnsi="Times New Roman" w:eastAsia="仿宋_GB2312" w:cs="Times New Roman"/>
          <w:color w:val="000000"/>
          <w:szCs w:val="32"/>
        </w:rPr>
        <w:t>成</w:t>
      </w:r>
      <w:r>
        <w:rPr>
          <w:rFonts w:hint="default" w:ascii="Times New Roman" w:hAnsi="Times New Roman" w:eastAsia="仿宋_GB2312" w:cs="Times New Roman"/>
          <w:color w:val="000000"/>
          <w:szCs w:val="32"/>
        </w:rPr>
        <w:t>成分需采用</w:t>
      </w:r>
      <w:r>
        <w:rPr>
          <w:rFonts w:hint="default" w:ascii="Times New Roman" w:hAnsi="Times New Roman" w:eastAsia="仿宋_GB2312" w:cs="Times New Roman"/>
          <w:color w:val="000000"/>
          <w:szCs w:val="32"/>
        </w:rPr>
        <w:t>通用</w:t>
      </w:r>
      <w:r>
        <w:rPr>
          <w:rFonts w:hint="default" w:ascii="Times New Roman" w:hAnsi="Times New Roman" w:eastAsia="仿宋_GB2312" w:cs="Times New Roman"/>
          <w:color w:val="000000"/>
          <w:szCs w:val="32"/>
        </w:rPr>
        <w:t>化学名称表述</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如牙胶尖主要由古塔胶</w:t>
      </w:r>
      <w:r>
        <w:rPr>
          <w:rFonts w:hint="default" w:ascii="Times New Roman" w:hAnsi="Times New Roman" w:eastAsia="仿宋_GB2312" w:cs="Times New Roman"/>
          <w:color w:val="000000"/>
          <w:szCs w:val="32"/>
        </w:rPr>
        <w:t>/</w:t>
      </w:r>
      <w:r>
        <w:rPr>
          <w:rFonts w:hint="default" w:ascii="Times New Roman" w:hAnsi="Times New Roman" w:cs="Times New Roman"/>
        </w:rPr>
        <w:t>反</w:t>
      </w:r>
      <w:r>
        <w:rPr>
          <w:rFonts w:hint="default" w:ascii="Times New Roman" w:hAnsi="Times New Roman" w:cs="Times New Roman"/>
        </w:rPr>
        <w:t>-1,4- 聚异戊二烯</w:t>
      </w:r>
      <w:r>
        <w:rPr>
          <w:rFonts w:hint="default" w:ascii="Times New Roman" w:hAnsi="Times New Roman" w:eastAsia="仿宋_GB2312" w:cs="Times New Roman"/>
          <w:color w:val="000000"/>
          <w:szCs w:val="32"/>
        </w:rPr>
        <w:t>、氧化锌、硫酸钡</w:t>
      </w:r>
      <w:r>
        <w:rPr>
          <w:rFonts w:hint="default" w:ascii="Times New Roman" w:hAnsi="Times New Roman" w:eastAsia="仿宋_GB2312" w:cs="Times New Roman"/>
          <w:color w:val="000000"/>
          <w:szCs w:val="32"/>
        </w:rPr>
        <w:t>等组成。</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楷体_GB2312" w:cs="Times New Roman"/>
          <w:color w:val="000000"/>
          <w:szCs w:val="32"/>
        </w:rPr>
      </w:pPr>
      <w:r>
        <w:rPr>
          <w:rFonts w:hint="default" w:ascii="Times New Roman" w:hAnsi="Times New Roman" w:eastAsia="楷体_GB2312" w:cs="Times New Roman"/>
          <w:color w:val="000000"/>
          <w:szCs w:val="32"/>
        </w:rPr>
        <w:t>（二）综述资料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1.器械及操作原理描述</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1.1需</w:t>
      </w:r>
      <w:r>
        <w:rPr>
          <w:rFonts w:hint="default" w:ascii="Times New Roman" w:hAnsi="Times New Roman" w:eastAsia="仿宋_GB2312" w:cs="Times New Roman"/>
          <w:color w:val="000000"/>
          <w:szCs w:val="32"/>
        </w:rPr>
        <w:t>明确产品具体组成成分及百分含量，建议列表进行说明。</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1.2明确各型号产品的</w:t>
      </w:r>
      <w:r>
        <w:rPr>
          <w:rFonts w:hint="default" w:ascii="Times New Roman" w:hAnsi="Times New Roman" w:eastAsia="仿宋_GB2312" w:cs="Times New Roman"/>
          <w:color w:val="000000"/>
          <w:szCs w:val="32"/>
        </w:rPr>
        <w:t>设计</w:t>
      </w:r>
      <w:r>
        <w:rPr>
          <w:rFonts w:hint="default" w:ascii="Times New Roman" w:hAnsi="Times New Roman" w:eastAsia="仿宋_GB2312" w:cs="Times New Roman"/>
          <w:color w:val="000000"/>
          <w:szCs w:val="32"/>
        </w:rPr>
        <w:t>依据及划分依据</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提供产品各型号的</w:t>
      </w:r>
      <w:r>
        <w:rPr>
          <w:rFonts w:hint="default" w:ascii="Times New Roman" w:hAnsi="Times New Roman" w:eastAsia="仿宋_GB2312" w:cs="Times New Roman"/>
          <w:color w:val="000000"/>
          <w:szCs w:val="32"/>
        </w:rPr>
        <w:t>结构示意</w:t>
      </w:r>
      <w:r>
        <w:rPr>
          <w:rFonts w:hint="default" w:ascii="Times New Roman" w:hAnsi="Times New Roman" w:eastAsia="仿宋_GB2312" w:cs="Times New Roman"/>
          <w:color w:val="000000"/>
          <w:szCs w:val="32"/>
        </w:rPr>
        <w:t>图，</w:t>
      </w:r>
      <w:r>
        <w:rPr>
          <w:rFonts w:hint="default" w:ascii="Times New Roman" w:hAnsi="Times New Roman" w:eastAsia="仿宋_GB2312" w:cs="Times New Roman"/>
          <w:color w:val="000000"/>
          <w:szCs w:val="32"/>
        </w:rPr>
        <w:t>需</w:t>
      </w:r>
      <w:r>
        <w:rPr>
          <w:rFonts w:hint="default" w:ascii="Times New Roman" w:hAnsi="Times New Roman" w:eastAsia="仿宋_GB2312" w:cs="Times New Roman"/>
          <w:color w:val="000000"/>
          <w:szCs w:val="32"/>
        </w:rPr>
        <w:t>充分描述产品</w:t>
      </w:r>
      <w:r>
        <w:rPr>
          <w:rFonts w:hint="default" w:ascii="Times New Roman" w:hAnsi="Times New Roman" w:eastAsia="仿宋_GB2312" w:cs="Times New Roman"/>
          <w:color w:val="000000"/>
          <w:szCs w:val="32"/>
        </w:rPr>
        <w:t>结构设计特征，包括直径、长度、</w:t>
      </w:r>
      <w:r>
        <w:rPr>
          <w:rFonts w:hint="default" w:ascii="Times New Roman" w:hAnsi="Times New Roman" w:eastAsia="仿宋_GB2312" w:cs="Times New Roman"/>
          <w:color w:val="000000"/>
          <w:szCs w:val="32"/>
        </w:rPr>
        <w:t>锥度</w:t>
      </w:r>
      <w:r>
        <w:rPr>
          <w:rFonts w:hint="default" w:ascii="Times New Roman" w:hAnsi="Times New Roman" w:eastAsia="仿宋_GB2312" w:cs="Times New Roman"/>
          <w:color w:val="000000"/>
          <w:szCs w:val="32"/>
        </w:rPr>
        <w:t>等</w:t>
      </w:r>
      <w:r>
        <w:rPr>
          <w:rFonts w:hint="default" w:ascii="Times New Roman" w:hAnsi="Times New Roman" w:eastAsia="仿宋_GB2312" w:cs="Times New Roman"/>
          <w:color w:val="000000"/>
          <w:szCs w:val="32"/>
        </w:rPr>
        <w:t>尺寸</w:t>
      </w:r>
      <w:r>
        <w:rPr>
          <w:rFonts w:hint="default" w:ascii="Times New Roman" w:hAnsi="Times New Roman" w:eastAsia="仿宋_GB2312" w:cs="Times New Roman"/>
          <w:color w:val="000000"/>
          <w:szCs w:val="32"/>
        </w:rPr>
        <w:t>及允差</w:t>
      </w:r>
      <w:r>
        <w:rPr>
          <w:rFonts w:hint="default" w:ascii="Times New Roman" w:hAnsi="Times New Roman" w:eastAsia="仿宋_GB2312" w:cs="Times New Roman"/>
          <w:color w:val="000000"/>
          <w:szCs w:val="32"/>
        </w:rPr>
        <w:t>信息。</w:t>
      </w:r>
      <w:r>
        <w:rPr>
          <w:rFonts w:hint="default" w:ascii="Times New Roman" w:hAnsi="Times New Roman" w:eastAsia="仿宋_GB2312" w:cs="Times New Roman"/>
          <w:color w:val="000000"/>
          <w:szCs w:val="32"/>
        </w:rPr>
        <w:t>对于尾端</w:t>
      </w:r>
      <w:r>
        <w:rPr>
          <w:rFonts w:hint="default" w:ascii="Times New Roman" w:hAnsi="Times New Roman" w:eastAsia="仿宋_GB2312" w:cs="Times New Roman"/>
          <w:color w:val="000000"/>
          <w:szCs w:val="32"/>
        </w:rPr>
        <w:t>非充填部分采用圆柱设计的需进行说明</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对于</w:t>
      </w:r>
      <w:r>
        <w:rPr>
          <w:rFonts w:hint="default" w:ascii="Times New Roman" w:hAnsi="Times New Roman" w:eastAsia="仿宋_GB2312" w:cs="Times New Roman"/>
          <w:color w:val="000000"/>
          <w:szCs w:val="32"/>
        </w:rPr>
        <w:t>适应</w:t>
      </w:r>
      <w:r>
        <w:rPr>
          <w:rFonts w:hint="default" w:ascii="Times New Roman" w:hAnsi="Times New Roman" w:eastAsia="仿宋_GB2312" w:cs="Times New Roman"/>
          <w:color w:val="000000"/>
          <w:szCs w:val="32"/>
        </w:rPr>
        <w:t>特殊根尖结构的牙胶尖，需</w:t>
      </w:r>
      <w:r>
        <w:rPr>
          <w:rFonts w:hint="default" w:ascii="Times New Roman" w:hAnsi="Times New Roman" w:eastAsia="仿宋_GB2312" w:cs="Times New Roman"/>
          <w:color w:val="000000"/>
          <w:szCs w:val="32"/>
        </w:rPr>
        <w:t>提交各部分</w:t>
      </w:r>
      <w:r>
        <w:rPr>
          <w:rFonts w:hint="default" w:ascii="Times New Roman" w:hAnsi="Times New Roman" w:eastAsia="仿宋_GB2312" w:cs="Times New Roman"/>
          <w:color w:val="000000"/>
          <w:szCs w:val="32"/>
        </w:rPr>
        <w:t>锥度</w:t>
      </w:r>
      <w:r>
        <w:rPr>
          <w:rFonts w:hint="default" w:ascii="Times New Roman" w:hAnsi="Times New Roman" w:eastAsia="仿宋_GB2312" w:cs="Times New Roman"/>
          <w:color w:val="000000"/>
          <w:szCs w:val="32"/>
        </w:rPr>
        <w:t>及</w:t>
      </w:r>
      <w:r>
        <w:rPr>
          <w:rFonts w:hint="default" w:ascii="Times New Roman" w:hAnsi="Times New Roman" w:eastAsia="仿宋_GB2312" w:cs="Times New Roman"/>
          <w:color w:val="000000"/>
          <w:szCs w:val="32"/>
        </w:rPr>
        <w:t>锥度设计依据。</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1.3提供产品工作原理/作用机理</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明确</w:t>
      </w:r>
      <w:r>
        <w:rPr>
          <w:rFonts w:hint="default" w:ascii="Times New Roman" w:hAnsi="Times New Roman" w:eastAsia="仿宋_GB2312" w:cs="Times New Roman"/>
          <w:color w:val="000000"/>
          <w:szCs w:val="32"/>
        </w:rPr>
        <w:t>使用</w:t>
      </w:r>
      <w:r>
        <w:rPr>
          <w:rFonts w:hint="default" w:ascii="Times New Roman" w:hAnsi="Times New Roman" w:eastAsia="仿宋_GB2312" w:cs="Times New Roman"/>
          <w:color w:val="000000"/>
          <w:szCs w:val="32"/>
        </w:rPr>
        <w:t>时机、使用方法</w:t>
      </w:r>
      <w:r>
        <w:rPr>
          <w:rFonts w:hint="default" w:ascii="Times New Roman" w:hAnsi="Times New Roman" w:eastAsia="仿宋_GB2312" w:cs="Times New Roman"/>
          <w:color w:val="000000"/>
          <w:szCs w:val="32"/>
        </w:rPr>
        <w:t>及</w:t>
      </w:r>
      <w:r>
        <w:rPr>
          <w:rFonts w:hint="default" w:ascii="Times New Roman" w:hAnsi="Times New Roman" w:eastAsia="仿宋_GB2312" w:cs="Times New Roman"/>
          <w:color w:val="000000"/>
          <w:szCs w:val="32"/>
        </w:rPr>
        <w:t>充填方式</w:t>
      </w:r>
      <w:r>
        <w:rPr>
          <w:rFonts w:hint="default" w:ascii="Times New Roman" w:hAnsi="Times New Roman" w:eastAsia="仿宋_GB2312" w:cs="Times New Roman"/>
          <w:color w:val="000000"/>
          <w:szCs w:val="32"/>
        </w:rPr>
        <w:t>，明确配合</w:t>
      </w:r>
      <w:r>
        <w:rPr>
          <w:rFonts w:hint="default" w:ascii="Times New Roman" w:hAnsi="Times New Roman" w:eastAsia="仿宋_GB2312" w:cs="Times New Roman"/>
          <w:color w:val="000000"/>
          <w:szCs w:val="32"/>
        </w:rPr>
        <w:t>设备及</w:t>
      </w:r>
      <w:r>
        <w:rPr>
          <w:rFonts w:hint="default" w:ascii="Times New Roman" w:hAnsi="Times New Roman" w:eastAsia="仿宋_GB2312" w:cs="Times New Roman"/>
          <w:color w:val="000000"/>
          <w:szCs w:val="32"/>
        </w:rPr>
        <w:t>推荐加热温度</w:t>
      </w:r>
      <w:r>
        <w:rPr>
          <w:rFonts w:hint="default" w:ascii="Times New Roman" w:hAnsi="Times New Roman" w:eastAsia="仿宋_GB2312" w:cs="Times New Roman"/>
          <w:color w:val="000000"/>
          <w:szCs w:val="32"/>
        </w:rPr>
        <w:t>范围（</w:t>
      </w:r>
      <w:r>
        <w:rPr>
          <w:rFonts w:hint="default" w:ascii="Times New Roman" w:hAnsi="Times New Roman" w:eastAsia="仿宋_GB2312" w:cs="Times New Roman"/>
          <w:color w:val="000000"/>
          <w:szCs w:val="32"/>
        </w:rPr>
        <w:t>如</w:t>
      </w:r>
      <w:r>
        <w:rPr>
          <w:rFonts w:hint="default" w:ascii="Times New Roman" w:hAnsi="Times New Roman" w:eastAsia="仿宋_GB2312" w:cs="Times New Roman"/>
          <w:color w:val="000000"/>
          <w:szCs w:val="32"/>
        </w:rPr>
        <w:t>适用）。</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2.产品的适用范围、适用人群、禁忌证</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产品的适用范围、适用人群、禁忌证需与申报产品的性能、功能相符。</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2.1适用范围：牙胶尖</w:t>
      </w:r>
      <w:r>
        <w:rPr>
          <w:rFonts w:hint="default" w:ascii="Times New Roman" w:hAnsi="Times New Roman" w:eastAsia="仿宋_GB2312" w:cs="Times New Roman"/>
          <w:color w:val="000000"/>
          <w:szCs w:val="32"/>
        </w:rPr>
        <w:t>一般</w:t>
      </w:r>
      <w:r>
        <w:rPr>
          <w:rFonts w:hint="default" w:ascii="Times New Roman" w:hAnsi="Times New Roman" w:cs="Times New Roman"/>
        </w:rPr>
        <w:t>用于根管治疗过程中</w:t>
      </w:r>
      <w:r>
        <w:rPr>
          <w:rFonts w:hint="default" w:ascii="Times New Roman" w:hAnsi="Times New Roman" w:eastAsia="仿宋_GB2312" w:cs="Times New Roman"/>
          <w:color w:val="000000"/>
          <w:szCs w:val="32"/>
        </w:rPr>
        <w:t>与根管封闭糊剂配合用于</w:t>
      </w:r>
      <w:r>
        <w:rPr>
          <w:rFonts w:hint="default" w:ascii="Times New Roman" w:hAnsi="Times New Roman" w:cs="Times New Roman"/>
        </w:rPr>
        <w:t>充填或封闭牙髓腔和根管内空隙</w:t>
      </w:r>
      <w:r>
        <w:rPr>
          <w:rFonts w:hint="default" w:ascii="Times New Roman" w:hAnsi="Times New Roman" w:eastAsia="仿宋_GB2312" w:cs="Times New Roman"/>
          <w:color w:val="000000"/>
          <w:szCs w:val="32"/>
        </w:rPr>
        <w:t>。对于</w:t>
      </w:r>
      <w:r>
        <w:rPr>
          <w:rFonts w:hint="default" w:ascii="Times New Roman" w:hAnsi="Times New Roman" w:eastAsia="仿宋_GB2312" w:cs="Times New Roman"/>
          <w:color w:val="000000"/>
          <w:szCs w:val="32"/>
        </w:rPr>
        <w:t>热牙胶</w:t>
      </w:r>
      <w:r>
        <w:rPr>
          <w:rFonts w:hint="default" w:ascii="Times New Roman" w:hAnsi="Times New Roman" w:eastAsia="仿宋_GB2312" w:cs="Times New Roman"/>
          <w:color w:val="000000"/>
          <w:szCs w:val="32"/>
        </w:rPr>
        <w:t>/牙胶棒</w:t>
      </w:r>
      <w:r>
        <w:rPr>
          <w:rFonts w:hint="default" w:ascii="Times New Roman" w:hAnsi="Times New Roman" w:eastAsia="仿宋_GB2312" w:cs="Times New Roman"/>
          <w:color w:val="000000"/>
          <w:szCs w:val="32"/>
        </w:rPr>
        <w:t>，需明确</w:t>
      </w:r>
      <w:r>
        <w:rPr>
          <w:rFonts w:hint="default" w:ascii="Times New Roman" w:hAnsi="Times New Roman" w:eastAsia="仿宋_GB2312" w:cs="Times New Roman"/>
          <w:color w:val="000000"/>
          <w:szCs w:val="32"/>
        </w:rPr>
        <w:t>与</w:t>
      </w:r>
      <w:r>
        <w:rPr>
          <w:rFonts w:hint="default" w:ascii="Times New Roman" w:hAnsi="Times New Roman" w:eastAsia="仿宋_GB2312" w:cs="Times New Roman"/>
          <w:color w:val="000000"/>
          <w:szCs w:val="32"/>
        </w:rPr>
        <w:t>充填机配合</w:t>
      </w:r>
      <w:r>
        <w:rPr>
          <w:rFonts w:hint="default" w:ascii="Times New Roman" w:hAnsi="Times New Roman" w:eastAsia="仿宋_GB2312" w:cs="Times New Roman"/>
          <w:color w:val="000000"/>
          <w:szCs w:val="32"/>
        </w:rPr>
        <w:t>使用</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2.2预期使用环境</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明确预期使用的地点</w:t>
      </w:r>
      <w:r>
        <w:rPr>
          <w:rFonts w:hint="default" w:ascii="Times New Roman" w:hAnsi="Times New Roman" w:eastAsia="仿宋_GB2312" w:cs="Times New Roman"/>
          <w:szCs w:val="32"/>
        </w:rPr>
        <w:t>（如</w:t>
      </w:r>
      <w:r>
        <w:rPr>
          <w:rFonts w:hint="default" w:ascii="Times New Roman" w:hAnsi="Times New Roman" w:eastAsia="仿宋_GB2312" w:cs="Times New Roman"/>
          <w:szCs w:val="32"/>
        </w:rPr>
        <w:t>医疗机构</w:t>
      </w:r>
      <w:r>
        <w:rPr>
          <w:rFonts w:hint="default" w:ascii="Times New Roman" w:hAnsi="Times New Roman" w:eastAsia="仿宋_GB2312" w:cs="Times New Roman"/>
          <w:szCs w:val="32"/>
        </w:rPr>
        <w:t>），</w:t>
      </w:r>
      <w:r>
        <w:rPr>
          <w:rFonts w:hint="default" w:ascii="Times New Roman" w:hAnsi="Times New Roman" w:eastAsia="仿宋_GB2312" w:cs="Times New Roman"/>
          <w:szCs w:val="32"/>
        </w:rPr>
        <w:t>说明可能影响其安全性和有效性的环境条件</w:t>
      </w:r>
      <w:r>
        <w:rPr>
          <w:rFonts w:hint="default" w:ascii="Times New Roman" w:hAnsi="Times New Roman" w:eastAsia="仿宋_GB2312" w:cs="Times New Roman"/>
          <w:szCs w:val="32"/>
        </w:rPr>
        <w:t>。</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2.3适用人群</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color w:val="000000"/>
          <w:szCs w:val="32"/>
        </w:rPr>
        <w:t>明确目标患者人群信息、患者选择标准信息以及明确使用过程中需要考虑的因素</w:t>
      </w:r>
      <w:r>
        <w:rPr>
          <w:rFonts w:hint="default" w:ascii="Times New Roman" w:hAnsi="Times New Roman" w:eastAsia="仿宋_GB2312" w:cs="Times New Roman"/>
          <w:szCs w:val="32"/>
        </w:rPr>
        <w:t>。明确是否可用于乳牙及根管未发育完全的年轻恒牙。</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w:t>
      </w:r>
      <w:r>
        <w:rPr>
          <w:rFonts w:hint="default" w:ascii="Times New Roman" w:hAnsi="Times New Roman" w:eastAsia="仿宋_GB2312" w:cs="Times New Roman"/>
          <w:color w:val="000000"/>
          <w:szCs w:val="32"/>
        </w:rPr>
        <w:t>4</w:t>
      </w:r>
      <w:r>
        <w:rPr>
          <w:rFonts w:hint="default" w:ascii="Times New Roman" w:hAnsi="Times New Roman" w:eastAsia="仿宋_GB2312" w:cs="Times New Roman"/>
          <w:color w:val="000000"/>
          <w:szCs w:val="32"/>
        </w:rPr>
        <w:t>禁忌证：通过风险/受益评估后，针对某些疾病、情况或特定的人群，认为不推荐使用该产品，应当明确说明，</w:t>
      </w:r>
      <w:r>
        <w:rPr>
          <w:rFonts w:hint="default" w:ascii="Times New Roman" w:hAnsi="Times New Roman" w:eastAsia="仿宋_GB2312" w:cs="Times New Roman"/>
          <w:color w:val="000000"/>
          <w:szCs w:val="32"/>
        </w:rPr>
        <w:t>如成分过敏</w:t>
      </w:r>
      <w:r>
        <w:rPr>
          <w:rFonts w:hint="default" w:ascii="Times New Roman" w:hAnsi="Times New Roman" w:eastAsia="仿宋_GB2312" w:cs="Times New Roman"/>
          <w:color w:val="000000"/>
          <w:szCs w:val="32"/>
        </w:rPr>
        <w:t>人群</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3.型号规格</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需提供产品各型号规格的划分原则。对于存在多种型号、规格的产品，需明确各型号、规格</w:t>
      </w:r>
      <w:r>
        <w:rPr>
          <w:rFonts w:hint="default" w:ascii="Times New Roman" w:hAnsi="Times New Roman" w:eastAsia="仿宋_GB2312" w:cs="Times New Roman"/>
          <w:color w:val="000000"/>
          <w:szCs w:val="32"/>
        </w:rPr>
        <w:t>及</w:t>
      </w:r>
      <w:r>
        <w:rPr>
          <w:rFonts w:hint="default" w:ascii="Times New Roman" w:hAnsi="Times New Roman" w:eastAsia="仿宋_GB2312" w:cs="Times New Roman"/>
          <w:color w:val="000000"/>
          <w:szCs w:val="32"/>
        </w:rPr>
        <w:t>装量的区别。需采用对比表及带有说明性文字的图片、图表，对各种型号、规格的</w:t>
      </w:r>
      <w:r>
        <w:rPr>
          <w:rFonts w:hint="default" w:ascii="Times New Roman" w:hAnsi="Times New Roman" w:eastAsia="仿宋_GB2312" w:cs="Times New Roman"/>
          <w:color w:val="000000"/>
          <w:szCs w:val="32"/>
        </w:rPr>
        <w:t>结构组成</w:t>
      </w:r>
      <w:r>
        <w:rPr>
          <w:rFonts w:hint="default" w:ascii="Times New Roman" w:hAnsi="Times New Roman" w:eastAsia="仿宋_GB2312" w:cs="Times New Roman"/>
          <w:color w:val="000000"/>
          <w:szCs w:val="32"/>
        </w:rPr>
        <w:t>及百分含量、</w:t>
      </w:r>
      <w:r>
        <w:rPr>
          <w:rFonts w:hint="default" w:ascii="Times New Roman" w:hAnsi="Times New Roman" w:eastAsia="仿宋_GB2312" w:cs="Times New Roman"/>
          <w:color w:val="000000"/>
          <w:szCs w:val="32"/>
        </w:rPr>
        <w:t>锥度</w:t>
      </w:r>
      <w:r>
        <w:rPr>
          <w:rFonts w:hint="default" w:ascii="Times New Roman" w:hAnsi="Times New Roman" w:eastAsia="仿宋_GB2312" w:cs="Times New Roman"/>
          <w:color w:val="000000"/>
          <w:szCs w:val="32"/>
        </w:rPr>
        <w:t>及各段尺寸信息、配合使用的加</w:t>
      </w:r>
      <w:r>
        <w:rPr>
          <w:rFonts w:hint="default" w:ascii="Times New Roman" w:hAnsi="Times New Roman" w:eastAsia="仿宋_GB2312" w:cs="Times New Roman"/>
          <w:color w:val="000000"/>
          <w:szCs w:val="32"/>
        </w:rPr>
        <w:t>热</w:t>
      </w:r>
      <w:r>
        <w:rPr>
          <w:rFonts w:hint="default" w:ascii="Times New Roman" w:hAnsi="Times New Roman" w:eastAsia="仿宋_GB2312" w:cs="Times New Roman"/>
          <w:color w:val="000000"/>
          <w:szCs w:val="32"/>
        </w:rPr>
        <w:t>系统、装量信息、</w:t>
      </w:r>
      <w:r>
        <w:rPr>
          <w:rFonts w:hint="default" w:ascii="Times New Roman" w:hAnsi="Times New Roman" w:eastAsia="仿宋_GB2312" w:cs="Times New Roman"/>
          <w:color w:val="000000"/>
          <w:szCs w:val="32"/>
        </w:rPr>
        <w:t>产品特征</w:t>
      </w:r>
      <w:r>
        <w:rPr>
          <w:rFonts w:hint="default" w:ascii="Times New Roman" w:hAnsi="Times New Roman" w:eastAsia="仿宋_GB2312" w:cs="Times New Roman"/>
          <w:color w:val="000000"/>
          <w:szCs w:val="32"/>
        </w:rPr>
        <w:t>等方面加以描述。</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4</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与同类产品或前代产品的比较信息</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需提供同类产品（国内外已上市）或前代产品（如有）的信息，阐述申请注册产品的研发背景和目的。对于同类产品，应当说明选择其作为研发参考的原因。</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申请人需综述同类产品国内外研究及临床使用现状及发展趋势。列表比较说明申报产品与参考产品（同类产品或前代产品）在材料工作原理</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结构组成、制造材料</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性能指标、适用范围、作用方式</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应用技术等方面的异同，</w:t>
      </w:r>
      <w:r>
        <w:rPr>
          <w:rFonts w:hint="default" w:ascii="Times New Roman" w:hAnsi="Times New Roman" w:eastAsia="仿宋_GB2312" w:cs="Times New Roman"/>
          <w:color w:val="000000"/>
          <w:szCs w:val="32"/>
        </w:rPr>
        <w:t>性能指标</w:t>
      </w:r>
      <w:r>
        <w:rPr>
          <w:rFonts w:hint="default" w:ascii="Times New Roman" w:hAnsi="Times New Roman" w:eastAsia="仿宋_GB2312" w:cs="Times New Roman"/>
          <w:color w:val="000000"/>
          <w:szCs w:val="32"/>
        </w:rPr>
        <w:t>的</w:t>
      </w:r>
      <w:r>
        <w:rPr>
          <w:rFonts w:hint="default" w:ascii="Times New Roman" w:hAnsi="Times New Roman" w:eastAsia="仿宋_GB2312" w:cs="Times New Roman"/>
          <w:color w:val="000000"/>
          <w:szCs w:val="32"/>
        </w:rPr>
        <w:t>对比应重点关注</w:t>
      </w:r>
      <w:r>
        <w:rPr>
          <w:rFonts w:hint="default" w:ascii="Times New Roman" w:hAnsi="Times New Roman" w:eastAsia="仿宋_GB2312" w:cs="Times New Roman"/>
          <w:color w:val="000000"/>
          <w:szCs w:val="32"/>
        </w:rPr>
        <w:t>产品充填方法</w:t>
      </w:r>
      <w:r>
        <w:rPr>
          <w:rFonts w:hint="default" w:ascii="Times New Roman" w:hAnsi="Times New Roman" w:eastAsia="仿宋_GB2312" w:cs="Times New Roman"/>
          <w:color w:val="000000"/>
          <w:szCs w:val="32"/>
        </w:rPr>
        <w:t>及充填效果相关性能</w:t>
      </w:r>
      <w:r>
        <w:rPr>
          <w:rFonts w:hint="default" w:ascii="Times New Roman" w:hAnsi="Times New Roman" w:eastAsia="仿宋_GB2312" w:cs="Times New Roman"/>
          <w:color w:val="000000"/>
          <w:szCs w:val="32"/>
        </w:rPr>
        <w:t>的</w:t>
      </w:r>
      <w:r>
        <w:rPr>
          <w:rFonts w:hint="default" w:ascii="Times New Roman" w:hAnsi="Times New Roman" w:eastAsia="仿宋_GB2312" w:cs="Times New Roman"/>
          <w:color w:val="000000"/>
          <w:szCs w:val="32"/>
        </w:rPr>
        <w:t>对比</w:t>
      </w:r>
      <w:r>
        <w:rPr>
          <w:rFonts w:hint="default" w:ascii="Times New Roman" w:hAnsi="Times New Roman" w:eastAsia="仿宋_GB2312" w:cs="Times New Roman"/>
          <w:color w:val="000000"/>
          <w:szCs w:val="32"/>
        </w:rPr>
        <w:t>。明确产品有无使用新材料、新的活性成分、新技术、新设计或具有新作用机理、新功能。</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5.包装说明</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提供产品的包装信息，包括包装形式、包装材料、包装工艺。</w:t>
      </w:r>
      <w:r>
        <w:rPr>
          <w:rFonts w:hint="default" w:ascii="Times New Roman" w:hAnsi="Times New Roman" w:eastAsia="仿宋_GB2312" w:cs="Times New Roman"/>
          <w:color w:val="000000"/>
          <w:szCs w:val="32"/>
        </w:rPr>
        <w:t>对于具有微生物限度要求的医疗器械，应当说明保持其微生物限度的包装信息。说明如何确保最终使用者可清晰地辨识包装的完整性。</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楷体_GB2312" w:cs="Times New Roman"/>
          <w:b/>
          <w:color w:val="000000"/>
          <w:szCs w:val="32"/>
        </w:rPr>
      </w:pPr>
      <w:r>
        <w:rPr>
          <w:rFonts w:hint="default" w:ascii="Times New Roman" w:hAnsi="Times New Roman" w:eastAsia="楷体_GB2312" w:cs="Times New Roman"/>
          <w:color w:val="000000"/>
          <w:szCs w:val="32"/>
        </w:rPr>
        <w:t>（三）非临床资料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1.产品风险管理资料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注册申请人需对产品全生命周期实施风险管理，提交风险管理资料</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参照GB/T 42062《医疗器械风险管理对医疗器械的应用》。注册申请人在产品注册上市前，需对风险管理过程进行评审。评审需至少确保：风险管理计划已被适当地实施，综合剩余风险是可接受的。评审结果需形成风险管理报告</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kern w:val="0"/>
          <w:szCs w:val="32"/>
        </w:rPr>
        <w:t>需包括生产和生产后信息，具体内容参考</w:t>
      </w:r>
      <w:r>
        <w:rPr>
          <w:rFonts w:hint="default" w:ascii="Times New Roman" w:hAnsi="Times New Roman" w:eastAsia="仿宋_GB2312" w:cs="Times New Roman"/>
          <w:szCs w:val="32"/>
        </w:rPr>
        <w:t>GB/T 42062</w:t>
      </w:r>
      <w:r>
        <w:rPr>
          <w:rFonts w:hint="default" w:ascii="Times New Roman" w:hAnsi="Times New Roman" w:eastAsia="仿宋_GB2312" w:cs="Times New Roman"/>
          <w:kern w:val="0"/>
          <w:szCs w:val="32"/>
        </w:rPr>
        <w:t>第9章和《医疗器械安全和性能的基本原则》的2.1.2</w:t>
      </w:r>
      <w:r>
        <w:rPr>
          <w:rFonts w:hint="default" w:ascii="Times New Roman" w:hAnsi="Times New Roman" w:eastAsia="仿宋_GB2312" w:cs="Times New Roman"/>
          <w:kern w:val="0"/>
          <w:szCs w:val="32"/>
        </w:rPr>
        <w:t xml:space="preserve"> </w:t>
      </w:r>
      <w:r>
        <w:rPr>
          <w:rFonts w:hint="default" w:ascii="Times New Roman" w:hAnsi="Times New Roman" w:eastAsia="仿宋_GB2312" w:cs="Times New Roman"/>
          <w:kern w:val="0"/>
          <w:szCs w:val="32"/>
        </w:rPr>
        <w:t>e)和2.1.2</w:t>
      </w:r>
      <w:r>
        <w:rPr>
          <w:rFonts w:hint="default" w:ascii="Times New Roman" w:hAnsi="Times New Roman" w:eastAsia="仿宋_GB2312" w:cs="Times New Roman"/>
          <w:kern w:val="0"/>
          <w:szCs w:val="32"/>
        </w:rPr>
        <w:t xml:space="preserve"> </w:t>
      </w:r>
      <w:r>
        <w:rPr>
          <w:rFonts w:hint="default" w:ascii="Times New Roman" w:hAnsi="Times New Roman" w:eastAsia="仿宋_GB2312" w:cs="Times New Roman"/>
          <w:kern w:val="0"/>
          <w:szCs w:val="32"/>
        </w:rPr>
        <w:t>f)。</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医疗器械安全和</w:t>
      </w:r>
      <w:r>
        <w:rPr>
          <w:rFonts w:hint="default" w:ascii="Times New Roman" w:hAnsi="Times New Roman" w:eastAsia="仿宋_GB2312" w:cs="Times New Roman"/>
          <w:color w:val="000000"/>
          <w:szCs w:val="32"/>
        </w:rPr>
        <w:t>性能基本原则</w:t>
      </w:r>
      <w:r>
        <w:rPr>
          <w:rFonts w:hint="default" w:ascii="Times New Roman" w:hAnsi="Times New Roman" w:eastAsia="仿宋_GB2312" w:cs="Times New Roman"/>
          <w:color w:val="000000"/>
          <w:szCs w:val="32"/>
        </w:rPr>
        <w:t>清单</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说明产品符合《医疗器械安全和性能基本原则清单》各项适用要求所采用的方法，以及证明其符合性的文件。</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3.产品技术要求的主要性能指标</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产品技术要求需符合相关国家标准、行业标准和有关法律、法规的相应要求。在此基础上，注册申请人需根据产品的特点，制定保证产品安全、有效的技术要求。产品技术要求中试验方法需依据有关国家标准、行业标准、国际标准制订，或经过</w:t>
      </w:r>
      <w:r>
        <w:rPr>
          <w:rFonts w:hint="default" w:ascii="Times New Roman" w:hAnsi="Times New Roman" w:eastAsia="仿宋_GB2312" w:cs="Times New Roman"/>
          <w:color w:val="000000"/>
          <w:szCs w:val="32"/>
        </w:rPr>
        <w:t>确认</w:t>
      </w:r>
      <w:r>
        <w:rPr>
          <w:rFonts w:hint="default" w:ascii="Times New Roman" w:hAnsi="Times New Roman" w:eastAsia="仿宋_GB2312" w:cs="Times New Roman"/>
          <w:color w:val="000000"/>
          <w:szCs w:val="32"/>
        </w:rPr>
        <w:t>与验证。</w:t>
      </w:r>
      <w:r>
        <w:rPr>
          <w:rFonts w:hint="default" w:ascii="Times New Roman" w:hAnsi="Times New Roman" w:eastAsia="仿宋_GB2312" w:cs="Times New Roman"/>
          <w:color w:val="000000"/>
          <w:szCs w:val="32"/>
        </w:rPr>
        <w:t>牙胶尖</w:t>
      </w:r>
      <w:r>
        <w:rPr>
          <w:rFonts w:hint="default" w:ascii="Times New Roman" w:hAnsi="Times New Roman" w:eastAsia="仿宋_GB2312" w:cs="Times New Roman"/>
          <w:color w:val="000000"/>
          <w:szCs w:val="32"/>
        </w:rPr>
        <w:t>产品可参考</w:t>
      </w:r>
      <w:r>
        <w:rPr>
          <w:rFonts w:hint="default" w:ascii="Times New Roman" w:hAnsi="Times New Roman" w:eastAsia="仿宋_GB2312" w:cs="Times New Roman"/>
          <w:bCs/>
          <w:color w:val="000000"/>
          <w:szCs w:val="32"/>
        </w:rPr>
        <w:t>YY/T 0495</w:t>
      </w:r>
      <w:r>
        <w:rPr>
          <w:rFonts w:hint="default" w:ascii="Times New Roman" w:hAnsi="Times New Roman" w:eastAsia="仿宋_GB2312" w:cs="Times New Roman"/>
          <w:bCs/>
          <w:color w:val="000000"/>
          <w:szCs w:val="32"/>
        </w:rPr>
        <w:t>《牙根管</w:t>
      </w:r>
      <w:r>
        <w:rPr>
          <w:rFonts w:hint="default" w:ascii="Times New Roman" w:hAnsi="Times New Roman" w:eastAsia="仿宋_GB2312" w:cs="Times New Roman"/>
          <w:bCs/>
          <w:color w:val="000000"/>
          <w:szCs w:val="32"/>
        </w:rPr>
        <w:t>充填尖</w:t>
      </w:r>
      <w:r>
        <w:rPr>
          <w:rFonts w:hint="default" w:ascii="Times New Roman" w:hAnsi="Times New Roman" w:eastAsia="仿宋_GB2312" w:cs="Times New Roman"/>
          <w:bCs/>
          <w:color w:val="000000"/>
          <w:szCs w:val="32"/>
        </w:rPr>
        <w:t>》相关</w:t>
      </w:r>
      <w:r>
        <w:rPr>
          <w:rFonts w:hint="default" w:ascii="Times New Roman" w:hAnsi="Times New Roman" w:eastAsia="仿宋_GB2312" w:cs="Times New Roman"/>
          <w:bCs/>
          <w:color w:val="000000"/>
          <w:szCs w:val="32"/>
        </w:rPr>
        <w:t>标准制定</w:t>
      </w:r>
      <w:r>
        <w:rPr>
          <w:rFonts w:hint="default" w:ascii="Times New Roman" w:hAnsi="Times New Roman" w:eastAsia="仿宋_GB2312" w:cs="Times New Roman"/>
          <w:bCs/>
          <w:color w:val="000000"/>
          <w:szCs w:val="32"/>
        </w:rPr>
        <w:t>相应</w:t>
      </w:r>
      <w:r>
        <w:rPr>
          <w:rFonts w:hint="default" w:ascii="Times New Roman" w:hAnsi="Times New Roman" w:eastAsia="仿宋_GB2312" w:cs="Times New Roman"/>
          <w:bCs/>
          <w:color w:val="000000"/>
          <w:szCs w:val="32"/>
        </w:rPr>
        <w:t>性能要求</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3.1产品型号/规格及其划分的说明</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列表说明产品的型号、规格，明确产品型号、规格的划分说明。明示产品的组成</w:t>
      </w:r>
      <w:r>
        <w:rPr>
          <w:rFonts w:hint="default" w:ascii="Times New Roman" w:hAnsi="Times New Roman" w:eastAsia="仿宋_GB2312" w:cs="Times New Roman"/>
          <w:color w:val="000000"/>
          <w:szCs w:val="32"/>
        </w:rPr>
        <w:t>成分</w:t>
      </w:r>
      <w:r>
        <w:rPr>
          <w:rFonts w:hint="default" w:ascii="Times New Roman" w:hAnsi="Times New Roman" w:eastAsia="仿宋_GB2312" w:cs="Times New Roman"/>
          <w:color w:val="000000"/>
          <w:szCs w:val="32"/>
        </w:rPr>
        <w:t>及百分含量</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提供各型号产品的结构图并标识关键尺寸。</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3.2性能指标</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产品技术要求的主要性能指标需包括以下适用内容：</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3.2.1</w:t>
      </w:r>
      <w:r>
        <w:rPr>
          <w:rFonts w:hint="default" w:ascii="Times New Roman" w:hAnsi="Times New Roman" w:eastAsia="仿宋_GB2312" w:cs="Times New Roman"/>
          <w:color w:val="000000"/>
          <w:szCs w:val="32"/>
          <w:lang w:val="zh-CN"/>
        </w:rPr>
        <w:t>外观</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3.2.2</w:t>
      </w:r>
      <w:r>
        <w:rPr>
          <w:rFonts w:hint="default" w:ascii="Times New Roman" w:hAnsi="Times New Roman" w:eastAsia="仿宋_GB2312" w:cs="Times New Roman"/>
          <w:color w:val="000000"/>
          <w:szCs w:val="32"/>
        </w:rPr>
        <w:t>尺寸信息，包括长度、锥度（标准锥度、大锥度、各部分锥度）</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lang w:val="zh-CN"/>
        </w:rPr>
      </w:pPr>
      <w:r>
        <w:rPr>
          <w:rFonts w:hint="default" w:ascii="Times New Roman" w:hAnsi="Times New Roman" w:eastAsia="仿宋_GB2312" w:cs="Times New Roman"/>
          <w:color w:val="000000"/>
          <w:szCs w:val="32"/>
        </w:rPr>
        <w:t>3.2.</w:t>
      </w:r>
      <w:r>
        <w:rPr>
          <w:rFonts w:hint="default" w:ascii="Times New Roman" w:hAnsi="Times New Roman" w:eastAsia="仿宋_GB2312" w:cs="Times New Roman"/>
          <w:color w:val="000000"/>
          <w:szCs w:val="32"/>
        </w:rPr>
        <w:t>3</w:t>
      </w:r>
      <w:r>
        <w:rPr>
          <w:rFonts w:hint="default" w:ascii="Times New Roman" w:hAnsi="Times New Roman" w:eastAsia="仿宋_GB2312" w:cs="Times New Roman"/>
          <w:color w:val="000000"/>
          <w:szCs w:val="32"/>
          <w:lang w:val="zh-CN"/>
        </w:rPr>
        <w:t>物理完整</w:t>
      </w:r>
      <w:r>
        <w:rPr>
          <w:rFonts w:hint="default" w:ascii="Times New Roman" w:hAnsi="Times New Roman" w:eastAsia="仿宋_GB2312" w:cs="Times New Roman"/>
          <w:color w:val="000000"/>
          <w:szCs w:val="32"/>
          <w:lang w:val="zh-CN"/>
        </w:rPr>
        <w:t>性。</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3.2.</w:t>
      </w:r>
      <w:r>
        <w:rPr>
          <w:rFonts w:hint="default" w:ascii="Times New Roman" w:hAnsi="Times New Roman" w:eastAsia="仿宋_GB2312" w:cs="Times New Roman"/>
          <w:color w:val="000000"/>
          <w:szCs w:val="32"/>
        </w:rPr>
        <w:t>4颜色标识（如适用）</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3.2.5装量</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3.3检验方法</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产品的检验方法需根据技术性能指标设定，检验方法需优先采用公认的或已颁布的标准检验方法（可参考本指导原则参考文献中引用的相关标准）。</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3.4附录</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产品组成组分及百分含量、X射线阻射性、</w:t>
      </w:r>
      <w:r>
        <w:rPr>
          <w:rFonts w:hint="default" w:ascii="Times New Roman" w:hAnsi="Times New Roman" w:eastAsia="仿宋_GB2312" w:cs="Times New Roman"/>
          <w:color w:val="000000"/>
          <w:szCs w:val="32"/>
        </w:rPr>
        <w:t>微生物限度</w:t>
      </w:r>
      <w:r>
        <w:rPr>
          <w:rFonts w:hint="default" w:ascii="Times New Roman" w:hAnsi="Times New Roman" w:eastAsia="仿宋_GB2312" w:cs="Times New Roman"/>
          <w:color w:val="000000"/>
          <w:szCs w:val="32"/>
        </w:rPr>
        <w:t>，以资料性附录形式体现。</w:t>
      </w:r>
    </w:p>
    <w:p>
      <w:pPr>
        <w:pStyle w:val="13"/>
        <w:keepNext w:val="0"/>
        <w:keepLines w:val="0"/>
        <w:pageBreakBefore w:val="0"/>
        <w:widowControl w:val="0"/>
        <w:kinsoku/>
        <w:wordWrap/>
        <w:overflowPunct/>
        <w:topLinePunct w:val="0"/>
        <w:autoSpaceDE/>
        <w:autoSpaceDN/>
        <w:bidi w:val="0"/>
        <w:spacing w:line="520" w:lineRule="exact"/>
        <w:ind w:firstLine="640"/>
        <w:textAlignment w:val="auto"/>
        <w:rPr>
          <w:rFonts w:hint="default" w:ascii="Times New Roman" w:hAnsi="Times New Roman" w:cs="Times New Roman"/>
          <w:color w:val="000000"/>
        </w:rPr>
      </w:pPr>
      <w:r>
        <w:rPr>
          <w:rFonts w:hint="default" w:ascii="Times New Roman" w:hAnsi="Times New Roman" w:cs="Times New Roman"/>
          <w:color w:val="000000"/>
        </w:rPr>
        <w:t>4.同一注册单元内检验典型性产品确定原则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同一注册单元内所检验的产品应当能够代表本注册单元内其他产品的安全性和有效性，并提供典型性检验样品的确定依据。</w:t>
      </w:r>
      <w:r>
        <w:rPr>
          <w:rFonts w:hint="default" w:ascii="Times New Roman" w:hAnsi="Times New Roman" w:eastAsia="仿宋_GB2312" w:cs="Times New Roman"/>
          <w:color w:val="000000"/>
          <w:szCs w:val="32"/>
        </w:rPr>
        <w:t>对于锥度不同、锥度存在梯度设计的建议分别选取典型性产品。</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5.研究资料</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5.1</w:t>
      </w:r>
      <w:r>
        <w:rPr>
          <w:rFonts w:hint="default" w:ascii="Times New Roman" w:hAnsi="Times New Roman" w:eastAsia="仿宋_GB2312" w:cs="Times New Roman"/>
          <w:color w:val="000000"/>
          <w:szCs w:val="32"/>
        </w:rPr>
        <w:t>产品性能</w:t>
      </w:r>
      <w:r>
        <w:rPr>
          <w:rFonts w:hint="default" w:ascii="Times New Roman" w:hAnsi="Times New Roman" w:eastAsia="仿宋_GB2312" w:cs="Times New Roman"/>
          <w:color w:val="000000"/>
          <w:szCs w:val="32"/>
        </w:rPr>
        <w:t>研究</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根据产品特性及临床预期风险，开展物理和机械性能验证，</w:t>
      </w:r>
      <w:r>
        <w:rPr>
          <w:rFonts w:hint="default" w:ascii="Times New Roman" w:hAnsi="Times New Roman" w:eastAsia="仿宋_GB2312" w:cs="Times New Roman"/>
          <w:color w:val="000000"/>
          <w:szCs w:val="32"/>
        </w:rPr>
        <w:t>可参考YY/T</w:t>
      </w:r>
      <w:r>
        <w:rPr>
          <w:rFonts w:hint="default" w:ascii="Times New Roman" w:hAnsi="Times New Roman" w:eastAsia="仿宋_GB2312" w:cs="Times New Roman"/>
          <w:color w:val="000000"/>
          <w:szCs w:val="32"/>
        </w:rPr>
        <w:t xml:space="preserve"> 0495</w:t>
      </w:r>
      <w:r>
        <w:rPr>
          <w:rFonts w:hint="default" w:ascii="Times New Roman" w:hAnsi="Times New Roman" w:eastAsia="仿宋_GB2312" w:cs="Times New Roman"/>
          <w:color w:val="000000"/>
          <w:szCs w:val="32"/>
        </w:rPr>
        <w:t>相关</w:t>
      </w:r>
      <w:r>
        <w:rPr>
          <w:rFonts w:hint="default" w:ascii="Times New Roman" w:hAnsi="Times New Roman" w:eastAsia="仿宋_GB2312" w:cs="Times New Roman"/>
          <w:color w:val="000000"/>
          <w:szCs w:val="32"/>
        </w:rPr>
        <w:t>标准，选择适用的项目进行</w:t>
      </w:r>
      <w:r>
        <w:rPr>
          <w:rFonts w:hint="default" w:ascii="Times New Roman" w:hAnsi="Times New Roman" w:eastAsia="仿宋_GB2312" w:cs="Times New Roman"/>
          <w:color w:val="000000"/>
          <w:szCs w:val="32"/>
        </w:rPr>
        <w:t>研究</w:t>
      </w:r>
      <w:r>
        <w:rPr>
          <w:rFonts w:hint="default" w:ascii="Times New Roman" w:hAnsi="Times New Roman" w:eastAsia="仿宋_GB2312" w:cs="Times New Roman"/>
          <w:color w:val="000000"/>
          <w:szCs w:val="32"/>
        </w:rPr>
        <w:t>验证，包括但不限于如下研究项目：</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color w:val="000000"/>
          <w:szCs w:val="32"/>
        </w:rPr>
        <w:t>5.1.1</w:t>
      </w:r>
      <w:r>
        <w:rPr>
          <w:rFonts w:hint="default" w:ascii="Times New Roman" w:hAnsi="Times New Roman" w:eastAsia="仿宋_GB2312" w:cs="Times New Roman"/>
          <w:szCs w:val="32"/>
        </w:rPr>
        <w:t>产品外观及包装形式，必要时可提供图示说明。</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5.1.2尺寸信息：（1）长度，需</w:t>
      </w:r>
      <w:r>
        <w:rPr>
          <w:rFonts w:hint="default" w:ascii="Times New Roman" w:hAnsi="Times New Roman" w:eastAsia="仿宋_GB2312" w:cs="Times New Roman"/>
          <w:szCs w:val="32"/>
        </w:rPr>
        <w:t>产品全长应不小于</w:t>
      </w:r>
      <w:r>
        <w:rPr>
          <w:rFonts w:hint="default" w:ascii="Times New Roman" w:hAnsi="Times New Roman" w:eastAsia="仿宋_GB2312" w:cs="Times New Roman"/>
          <w:szCs w:val="32"/>
        </w:rPr>
        <w:t>28</w:t>
      </w:r>
      <w:r>
        <w:rPr>
          <w:rFonts w:hint="default" w:ascii="Times New Roman" w:hAnsi="Times New Roman" w:eastAsia="仿宋_GB2312" w:cs="Times New Roman"/>
          <w:szCs w:val="32"/>
        </w:rPr>
        <w:t>mm。对于</w:t>
      </w:r>
      <w:r>
        <w:rPr>
          <w:rFonts w:hint="default" w:ascii="Times New Roman" w:hAnsi="Times New Roman" w:eastAsia="仿宋_GB2312" w:cs="Times New Roman"/>
          <w:szCs w:val="32"/>
        </w:rPr>
        <w:t>其他</w:t>
      </w:r>
      <w:r>
        <w:rPr>
          <w:rFonts w:hint="default" w:ascii="Times New Roman" w:hAnsi="Times New Roman" w:eastAsia="仿宋_GB2312" w:cs="Times New Roman"/>
          <w:szCs w:val="32"/>
        </w:rPr>
        <w:t>长度，</w:t>
      </w:r>
      <w:r>
        <w:rPr>
          <w:rFonts w:hint="default" w:ascii="Times New Roman" w:hAnsi="Times New Roman" w:eastAsia="仿宋_GB2312" w:cs="Times New Roman"/>
          <w:szCs w:val="32"/>
        </w:rPr>
        <w:t>需</w:t>
      </w:r>
      <w:r>
        <w:rPr>
          <w:rFonts w:hint="default" w:ascii="Times New Roman" w:hAnsi="Times New Roman" w:eastAsia="仿宋_GB2312" w:cs="Times New Roman"/>
          <w:szCs w:val="32"/>
        </w:rPr>
        <w:t>提交长度设定依据</w:t>
      </w:r>
      <w:r>
        <w:rPr>
          <w:rFonts w:hint="default" w:ascii="Times New Roman" w:hAnsi="Times New Roman" w:eastAsia="仿宋_GB2312" w:cs="Times New Roman"/>
          <w:szCs w:val="32"/>
        </w:rPr>
        <w:t>；（2）</w:t>
      </w:r>
      <w:r>
        <w:rPr>
          <w:rFonts w:hint="default" w:ascii="Times New Roman" w:hAnsi="Times New Roman" w:eastAsia="仿宋_GB2312" w:cs="Times New Roman"/>
          <w:szCs w:val="32"/>
        </w:rPr>
        <w:t>锥度</w:t>
      </w:r>
      <w:r>
        <w:rPr>
          <w:rFonts w:hint="default" w:ascii="Times New Roman" w:hAnsi="Times New Roman" w:eastAsia="仿宋_GB2312" w:cs="Times New Roman"/>
          <w:szCs w:val="32"/>
        </w:rPr>
        <w:t>，</w:t>
      </w:r>
      <w:r>
        <w:rPr>
          <w:rFonts w:hint="default" w:ascii="Times New Roman" w:hAnsi="Times New Roman" w:eastAsia="仿宋_GB2312" w:cs="Times New Roman"/>
          <w:szCs w:val="32"/>
        </w:rPr>
        <w:t>需</w:t>
      </w:r>
      <w:r>
        <w:rPr>
          <w:rFonts w:hint="default" w:ascii="Times New Roman" w:hAnsi="Times New Roman" w:eastAsia="仿宋_GB2312" w:cs="Times New Roman"/>
          <w:szCs w:val="32"/>
        </w:rPr>
        <w:t>结合</w:t>
      </w:r>
      <w:r>
        <w:rPr>
          <w:rFonts w:hint="default" w:ascii="Times New Roman" w:hAnsi="Times New Roman" w:eastAsia="仿宋_GB2312" w:cs="Times New Roman"/>
          <w:szCs w:val="32"/>
        </w:rPr>
        <w:t>产品应用情景，明确产品</w:t>
      </w:r>
      <w:r>
        <w:rPr>
          <w:rFonts w:hint="default" w:ascii="Times New Roman" w:hAnsi="Times New Roman" w:eastAsia="仿宋_GB2312" w:cs="Times New Roman"/>
          <w:szCs w:val="32"/>
        </w:rPr>
        <w:t>尺寸</w:t>
      </w:r>
      <w:r>
        <w:rPr>
          <w:rFonts w:hint="default" w:ascii="Times New Roman" w:hAnsi="Times New Roman" w:eastAsia="仿宋_GB2312" w:cs="Times New Roman"/>
          <w:szCs w:val="32"/>
        </w:rPr>
        <w:t>及锥度设</w:t>
      </w:r>
      <w:r>
        <w:rPr>
          <w:rFonts w:hint="default" w:ascii="Times New Roman" w:hAnsi="Times New Roman" w:eastAsia="仿宋_GB2312" w:cs="Times New Roman"/>
          <w:szCs w:val="32"/>
        </w:rPr>
        <w:t>定</w:t>
      </w:r>
      <w:r>
        <w:rPr>
          <w:rFonts w:hint="default" w:ascii="Times New Roman" w:hAnsi="Times New Roman" w:eastAsia="仿宋_GB2312" w:cs="Times New Roman"/>
          <w:szCs w:val="32"/>
        </w:rPr>
        <w:t>依据，</w:t>
      </w:r>
      <w:r>
        <w:rPr>
          <w:rFonts w:hint="default" w:ascii="Times New Roman" w:hAnsi="Times New Roman" w:eastAsia="仿宋_GB2312" w:cs="Times New Roman"/>
          <w:szCs w:val="32"/>
        </w:rPr>
        <w:t>提交</w:t>
      </w:r>
      <w:r>
        <w:rPr>
          <w:rFonts w:hint="default" w:ascii="Times New Roman" w:hAnsi="Times New Roman" w:eastAsia="仿宋_GB2312" w:cs="Times New Roman"/>
          <w:szCs w:val="32"/>
        </w:rPr>
        <w:t>尺寸及锥度验证资料。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5.1.3物理</w:t>
      </w:r>
      <w:r>
        <w:rPr>
          <w:rFonts w:hint="default" w:ascii="Times New Roman" w:hAnsi="Times New Roman" w:eastAsia="仿宋_GB2312" w:cs="Times New Roman"/>
          <w:szCs w:val="32"/>
        </w:rPr>
        <w:t>完整性，需提交产品</w:t>
      </w:r>
      <w:r>
        <w:rPr>
          <w:rFonts w:hint="default" w:ascii="Times New Roman" w:hAnsi="Times New Roman" w:eastAsia="仿宋_GB2312" w:cs="Times New Roman"/>
          <w:szCs w:val="32"/>
        </w:rPr>
        <w:t>无</w:t>
      </w:r>
      <w:r>
        <w:rPr>
          <w:rFonts w:hint="default" w:ascii="Times New Roman" w:hAnsi="Times New Roman" w:eastAsia="仿宋_GB2312" w:cs="Times New Roman"/>
          <w:szCs w:val="32"/>
        </w:rPr>
        <w:t>断裂迹象的研究资料。</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5.1.4</w:t>
      </w:r>
      <w:r>
        <w:rPr>
          <w:rFonts w:hint="default" w:ascii="Times New Roman" w:hAnsi="Times New Roman" w:eastAsia="仿宋_GB2312" w:cs="Times New Roman"/>
          <w:color w:val="000000"/>
          <w:szCs w:val="32"/>
        </w:rPr>
        <w:t xml:space="preserve"> X</w:t>
      </w:r>
      <w:r>
        <w:rPr>
          <w:rFonts w:hint="default" w:ascii="Times New Roman" w:hAnsi="Times New Roman" w:eastAsia="仿宋_GB2312" w:cs="Times New Roman"/>
          <w:color w:val="000000"/>
          <w:szCs w:val="32"/>
        </w:rPr>
        <w:t>射线</w:t>
      </w:r>
      <w:r>
        <w:rPr>
          <w:rFonts w:hint="default" w:ascii="Times New Roman" w:hAnsi="Times New Roman" w:eastAsia="仿宋_GB2312" w:cs="Times New Roman"/>
          <w:color w:val="000000"/>
          <w:szCs w:val="32"/>
        </w:rPr>
        <w:t>阻射性</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需提交产品</w:t>
      </w:r>
      <w:r>
        <w:rPr>
          <w:rFonts w:hint="default" w:ascii="Times New Roman" w:hAnsi="Times New Roman" w:eastAsia="仿宋_GB2312" w:cs="Times New Roman"/>
          <w:color w:val="000000"/>
          <w:szCs w:val="32"/>
        </w:rPr>
        <w:t>X射线</w:t>
      </w:r>
      <w:r>
        <w:rPr>
          <w:rFonts w:hint="default" w:ascii="Times New Roman" w:hAnsi="Times New Roman" w:eastAsia="仿宋_GB2312" w:cs="Times New Roman"/>
          <w:color w:val="000000"/>
          <w:szCs w:val="32"/>
        </w:rPr>
        <w:t>阻射性满足至少</w:t>
      </w:r>
      <w:r>
        <w:rPr>
          <w:rFonts w:hint="default" w:ascii="Times New Roman" w:hAnsi="Times New Roman" w:eastAsia="仿宋_GB2312" w:cs="Times New Roman"/>
          <w:color w:val="000000"/>
          <w:szCs w:val="32"/>
        </w:rPr>
        <w:t>6</w:t>
      </w:r>
      <w:r>
        <w:rPr>
          <w:rFonts w:hint="default" w:ascii="Times New Roman" w:hAnsi="Times New Roman" w:eastAsia="仿宋_GB2312" w:cs="Times New Roman"/>
          <w:color w:val="000000"/>
          <w:szCs w:val="32"/>
        </w:rPr>
        <w:t>mm</w:t>
      </w:r>
      <w:r>
        <w:rPr>
          <w:rFonts w:hint="default" w:ascii="Times New Roman" w:hAnsi="Times New Roman" w:eastAsia="仿宋_GB2312" w:cs="Times New Roman"/>
          <w:color w:val="000000"/>
          <w:szCs w:val="32"/>
        </w:rPr>
        <w:t>厚铝</w:t>
      </w:r>
      <w:r>
        <w:rPr>
          <w:rFonts w:hint="default" w:ascii="Times New Roman" w:hAnsi="Times New Roman" w:eastAsia="仿宋_GB2312" w:cs="Times New Roman"/>
          <w:color w:val="000000"/>
          <w:szCs w:val="32"/>
        </w:rPr>
        <w:t>板的阻射性的验证资料。</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5.1.5颜色</w:t>
      </w:r>
      <w:r>
        <w:rPr>
          <w:rFonts w:hint="default" w:ascii="Times New Roman" w:hAnsi="Times New Roman" w:eastAsia="仿宋_GB2312" w:cs="Times New Roman"/>
          <w:color w:val="000000"/>
          <w:szCs w:val="32"/>
        </w:rPr>
        <w:t>标识，</w:t>
      </w:r>
      <w:r>
        <w:rPr>
          <w:rFonts w:hint="default" w:ascii="Times New Roman" w:hAnsi="Times New Roman" w:eastAsia="仿宋_GB2312" w:cs="Times New Roman"/>
          <w:color w:val="000000"/>
          <w:szCs w:val="32"/>
        </w:rPr>
        <w:t>考虑</w:t>
      </w:r>
      <w:r>
        <w:rPr>
          <w:rFonts w:hint="default" w:ascii="Times New Roman" w:hAnsi="Times New Roman" w:eastAsia="仿宋_GB2312" w:cs="Times New Roman"/>
          <w:color w:val="000000"/>
          <w:szCs w:val="32"/>
        </w:rPr>
        <w:t>产品锥度的辨别，建议采用颜色进行标识，</w:t>
      </w:r>
      <w:r>
        <w:rPr>
          <w:rFonts w:hint="default" w:ascii="Times New Roman" w:hAnsi="Times New Roman" w:eastAsia="仿宋_GB2312" w:cs="Times New Roman"/>
          <w:color w:val="000000"/>
          <w:szCs w:val="32"/>
        </w:rPr>
        <w:t>设计</w:t>
      </w:r>
      <w:r>
        <w:rPr>
          <w:rFonts w:hint="default" w:ascii="Times New Roman" w:hAnsi="Times New Roman" w:eastAsia="仿宋_GB2312" w:cs="Times New Roman"/>
          <w:color w:val="000000"/>
          <w:szCs w:val="32"/>
        </w:rPr>
        <w:t>颜色需</w:t>
      </w:r>
      <w:r>
        <w:rPr>
          <w:rFonts w:hint="default" w:ascii="Times New Roman" w:hAnsi="Times New Roman" w:eastAsia="仿宋_GB2312" w:cs="Times New Roman"/>
          <w:color w:val="000000"/>
          <w:szCs w:val="32"/>
        </w:rPr>
        <w:t>由</w:t>
      </w:r>
      <w:r>
        <w:rPr>
          <w:rFonts w:hint="default" w:ascii="Times New Roman" w:hAnsi="Times New Roman" w:eastAsia="仿宋_GB2312" w:cs="Times New Roman"/>
          <w:color w:val="000000"/>
          <w:szCs w:val="32"/>
        </w:rPr>
        <w:t>浅</w:t>
      </w:r>
      <w:r>
        <w:rPr>
          <w:rFonts w:hint="default" w:ascii="Times New Roman" w:hAnsi="Times New Roman" w:eastAsia="仿宋_GB2312" w:cs="Times New Roman"/>
          <w:color w:val="000000"/>
          <w:szCs w:val="32"/>
        </w:rPr>
        <w:t>至深以此</w:t>
      </w:r>
      <w:r>
        <w:rPr>
          <w:rFonts w:hint="default" w:ascii="Times New Roman" w:hAnsi="Times New Roman" w:eastAsia="仿宋_GB2312" w:cs="Times New Roman"/>
          <w:color w:val="000000"/>
          <w:szCs w:val="32"/>
        </w:rPr>
        <w:t>表</w:t>
      </w:r>
      <w:r>
        <w:rPr>
          <w:rFonts w:hint="default" w:ascii="Times New Roman" w:hAnsi="Times New Roman" w:eastAsia="仿宋_GB2312" w:cs="Times New Roman"/>
          <w:color w:val="000000"/>
          <w:szCs w:val="32"/>
        </w:rPr>
        <w:t>明</w:t>
      </w:r>
      <w:r>
        <w:rPr>
          <w:rFonts w:hint="default" w:ascii="Times New Roman" w:hAnsi="Times New Roman" w:eastAsia="仿宋_GB2312" w:cs="Times New Roman"/>
          <w:color w:val="000000"/>
          <w:szCs w:val="32"/>
        </w:rPr>
        <w:t>产品锥度的增加</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提交</w:t>
      </w:r>
      <w:r>
        <w:rPr>
          <w:rFonts w:hint="default" w:ascii="Times New Roman" w:hAnsi="Times New Roman" w:eastAsia="仿宋_GB2312" w:cs="Times New Roman"/>
          <w:color w:val="000000"/>
          <w:szCs w:val="32"/>
        </w:rPr>
        <w:t>产品</w:t>
      </w:r>
      <w:r>
        <w:rPr>
          <w:rFonts w:hint="default" w:ascii="Times New Roman" w:hAnsi="Times New Roman" w:eastAsia="仿宋_GB2312" w:cs="Times New Roman"/>
          <w:color w:val="000000"/>
          <w:szCs w:val="32"/>
        </w:rPr>
        <w:t>锥度与颜色标识对应表。</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5.1.6充填</w:t>
      </w:r>
      <w:r>
        <w:rPr>
          <w:rFonts w:hint="default" w:ascii="Times New Roman" w:hAnsi="Times New Roman" w:eastAsia="仿宋_GB2312" w:cs="Times New Roman"/>
          <w:color w:val="000000"/>
          <w:szCs w:val="32"/>
        </w:rPr>
        <w:t>效果及封闭</w:t>
      </w:r>
      <w:r>
        <w:rPr>
          <w:rFonts w:hint="default" w:ascii="Times New Roman" w:hAnsi="Times New Roman" w:eastAsia="仿宋_GB2312" w:cs="Times New Roman"/>
          <w:color w:val="000000"/>
          <w:szCs w:val="32"/>
        </w:rPr>
        <w:t>性能</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结合</w:t>
      </w:r>
      <w:r>
        <w:rPr>
          <w:rFonts w:hint="default" w:ascii="Times New Roman" w:hAnsi="Times New Roman" w:eastAsia="仿宋_GB2312" w:cs="Times New Roman"/>
          <w:color w:val="000000"/>
          <w:szCs w:val="32"/>
        </w:rPr>
        <w:t>产品临床应用形式及操作步骤，提交充填效果及封闭性能研究资料，</w:t>
      </w:r>
      <w:r>
        <w:rPr>
          <w:rFonts w:hint="default" w:ascii="Times New Roman" w:hAnsi="Times New Roman" w:eastAsia="仿宋_GB2312" w:cs="Times New Roman"/>
          <w:color w:val="000000"/>
          <w:szCs w:val="32"/>
        </w:rPr>
        <w:t>可</w:t>
      </w:r>
      <w:r>
        <w:rPr>
          <w:rFonts w:hint="default" w:ascii="Times New Roman" w:hAnsi="Times New Roman" w:eastAsia="仿宋_GB2312" w:cs="Times New Roman"/>
          <w:color w:val="000000"/>
          <w:szCs w:val="32"/>
        </w:rPr>
        <w:t>考虑选用</w:t>
      </w:r>
      <w:r>
        <w:rPr>
          <w:rFonts w:hint="default" w:ascii="Times New Roman" w:hAnsi="Times New Roman" w:eastAsia="仿宋_GB2312" w:cs="Times New Roman"/>
          <w:szCs w:val="32"/>
        </w:rPr>
        <w:t>根管内应用试验、</w:t>
      </w:r>
      <w:r>
        <w:rPr>
          <w:rFonts w:hint="default" w:ascii="Times New Roman" w:hAnsi="Times New Roman" w:eastAsia="仿宋_GB2312" w:cs="Times New Roman"/>
          <w:szCs w:val="32"/>
        </w:rPr>
        <w:t>离体牙</w:t>
      </w:r>
      <w:r>
        <w:rPr>
          <w:rFonts w:hint="default" w:ascii="Times New Roman" w:hAnsi="Times New Roman" w:eastAsia="仿宋_GB2312" w:cs="Times New Roman"/>
          <w:szCs w:val="32"/>
        </w:rPr>
        <w:t>或</w:t>
      </w:r>
      <w:r>
        <w:rPr>
          <w:rFonts w:hint="default" w:ascii="Times New Roman" w:hAnsi="Times New Roman" w:eastAsia="仿宋_GB2312" w:cs="Times New Roman"/>
          <w:szCs w:val="32"/>
        </w:rPr>
        <w:t>根管模型</w:t>
      </w:r>
      <w:r>
        <w:rPr>
          <w:rFonts w:hint="default" w:ascii="Times New Roman" w:hAnsi="Times New Roman" w:eastAsia="仿宋_GB2312" w:cs="Times New Roman"/>
          <w:szCs w:val="32"/>
        </w:rPr>
        <w:t>的</w:t>
      </w:r>
      <w:r>
        <w:rPr>
          <w:rFonts w:hint="default" w:ascii="Times New Roman" w:hAnsi="Times New Roman" w:eastAsia="仿宋_GB2312" w:cs="Times New Roman"/>
          <w:szCs w:val="32"/>
        </w:rPr>
        <w:t>根管充填</w:t>
      </w:r>
      <w:r>
        <w:rPr>
          <w:rFonts w:hint="default" w:ascii="Times New Roman" w:hAnsi="Times New Roman" w:eastAsia="仿宋_GB2312" w:cs="Times New Roman"/>
          <w:szCs w:val="32"/>
        </w:rPr>
        <w:t>封闭</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szCs w:val="32"/>
        </w:rPr>
        <w:t>关于根管内应用试验及评价方式可参考</w:t>
      </w:r>
      <w:r>
        <w:rPr>
          <w:rFonts w:hint="default" w:ascii="Times New Roman" w:hAnsi="Times New Roman" w:eastAsia="仿宋_GB2312" w:cs="Times New Roman"/>
          <w:color w:val="000000"/>
          <w:szCs w:val="32"/>
        </w:rPr>
        <w:t>Y</w:t>
      </w:r>
      <w:r>
        <w:rPr>
          <w:rFonts w:hint="default" w:ascii="Times New Roman" w:hAnsi="Times New Roman" w:eastAsia="仿宋_GB2312" w:cs="Times New Roman"/>
          <w:color w:val="000000"/>
          <w:szCs w:val="32"/>
        </w:rPr>
        <w:t>Y/T 0127.3</w:t>
      </w:r>
      <w:r>
        <w:rPr>
          <w:rFonts w:hint="default" w:ascii="Times New Roman" w:hAnsi="Times New Roman" w:eastAsia="仿宋_GB2312" w:cs="Times New Roman"/>
          <w:szCs w:val="32"/>
        </w:rPr>
        <w:t>。</w:t>
      </w:r>
      <w:r>
        <w:rPr>
          <w:rFonts w:hint="default" w:ascii="Times New Roman" w:hAnsi="Times New Roman" w:eastAsia="仿宋_GB2312" w:cs="Times New Roman"/>
          <w:color w:val="000000"/>
          <w:szCs w:val="32"/>
        </w:rPr>
        <w:t>对于离体牙</w:t>
      </w:r>
      <w:r>
        <w:rPr>
          <w:rFonts w:hint="default" w:ascii="Times New Roman" w:hAnsi="Times New Roman" w:eastAsia="仿宋_GB2312" w:cs="Times New Roman"/>
          <w:color w:val="000000"/>
          <w:szCs w:val="32"/>
        </w:rPr>
        <w:t>、根管模型的</w:t>
      </w:r>
      <w:r>
        <w:rPr>
          <w:rFonts w:hint="default" w:ascii="Times New Roman" w:hAnsi="Times New Roman" w:eastAsia="仿宋_GB2312" w:cs="Times New Roman"/>
          <w:color w:val="000000"/>
          <w:szCs w:val="32"/>
        </w:rPr>
        <w:t>封闭</w:t>
      </w:r>
      <w:r>
        <w:rPr>
          <w:rFonts w:hint="default" w:ascii="Times New Roman" w:hAnsi="Times New Roman" w:eastAsia="仿宋_GB2312" w:cs="Times New Roman"/>
          <w:color w:val="000000"/>
          <w:szCs w:val="32"/>
        </w:rPr>
        <w:t>效</w:t>
      </w:r>
      <w:r>
        <w:rPr>
          <w:rFonts w:hint="default" w:ascii="Times New Roman" w:hAnsi="Times New Roman" w:eastAsia="仿宋_GB2312" w:cs="Times New Roman"/>
          <w:color w:val="000000"/>
          <w:szCs w:val="32"/>
        </w:rPr>
        <w:t>果</w:t>
      </w:r>
      <w:r>
        <w:rPr>
          <w:rFonts w:hint="default" w:ascii="Times New Roman" w:hAnsi="Times New Roman" w:eastAsia="仿宋_GB2312" w:cs="Times New Roman"/>
          <w:color w:val="000000"/>
          <w:szCs w:val="32"/>
        </w:rPr>
        <w:t>可</w:t>
      </w:r>
      <w:r>
        <w:rPr>
          <w:rFonts w:hint="default" w:ascii="Times New Roman" w:hAnsi="Times New Roman" w:eastAsia="仿宋_GB2312" w:cs="Times New Roman"/>
          <w:color w:val="000000"/>
          <w:szCs w:val="32"/>
        </w:rPr>
        <w:t>采用观察</w:t>
      </w:r>
      <w:r>
        <w:rPr>
          <w:rFonts w:hint="default" w:ascii="Times New Roman" w:hAnsi="Times New Roman" w:eastAsia="仿宋_GB2312" w:cs="Times New Roman"/>
          <w:color w:val="000000"/>
          <w:szCs w:val="32"/>
        </w:rPr>
        <w:t>根尖</w:t>
      </w:r>
      <w:r>
        <w:rPr>
          <w:rFonts w:hint="default" w:ascii="Times New Roman" w:hAnsi="Times New Roman" w:eastAsia="仿宋_GB2312" w:cs="Times New Roman"/>
          <w:color w:val="000000"/>
          <w:szCs w:val="32"/>
        </w:rPr>
        <w:t>3、6、9</w:t>
      </w:r>
      <w:r>
        <w:rPr>
          <w:rFonts w:hint="default" w:ascii="Times New Roman" w:hAnsi="Times New Roman" w:eastAsia="仿宋_GB2312" w:cs="Times New Roman"/>
          <w:color w:val="000000"/>
          <w:szCs w:val="32"/>
        </w:rPr>
        <w:t>mm</w:t>
      </w:r>
      <w:r>
        <w:rPr>
          <w:rFonts w:hint="default" w:ascii="Times New Roman" w:hAnsi="Times New Roman" w:eastAsia="仿宋_GB2312" w:cs="Times New Roman"/>
          <w:color w:val="000000"/>
          <w:szCs w:val="32"/>
        </w:rPr>
        <w:t>处</w:t>
      </w:r>
      <w:r>
        <w:rPr>
          <w:rFonts w:hint="default" w:ascii="Times New Roman" w:hAnsi="Times New Roman" w:eastAsia="仿宋_GB2312" w:cs="Times New Roman"/>
          <w:color w:val="000000"/>
          <w:szCs w:val="32"/>
        </w:rPr>
        <w:t>横截面进行</w:t>
      </w:r>
      <w:r>
        <w:rPr>
          <w:rFonts w:hint="default" w:ascii="Times New Roman" w:hAnsi="Times New Roman" w:eastAsia="仿宋_GB2312" w:cs="Times New Roman"/>
          <w:color w:val="000000"/>
          <w:szCs w:val="32"/>
        </w:rPr>
        <w:t>牙胶</w:t>
      </w:r>
      <w:r>
        <w:rPr>
          <w:rFonts w:hint="default" w:ascii="Times New Roman" w:hAnsi="Times New Roman" w:eastAsia="仿宋_GB2312" w:cs="Times New Roman"/>
          <w:color w:val="000000"/>
          <w:szCs w:val="32"/>
        </w:rPr>
        <w:t>密度（</w:t>
      </w:r>
      <w:r>
        <w:rPr>
          <w:rFonts w:hint="default" w:ascii="Times New Roman" w:hAnsi="Times New Roman" w:eastAsia="仿宋_GB2312" w:cs="Times New Roman"/>
          <w:color w:val="000000"/>
          <w:szCs w:val="32"/>
        </w:rPr>
        <w:t>牙胶</w:t>
      </w:r>
      <w:r>
        <w:rPr>
          <w:rFonts w:hint="default" w:ascii="Times New Roman" w:hAnsi="Times New Roman" w:eastAsia="仿宋_GB2312" w:cs="Times New Roman"/>
          <w:color w:val="000000"/>
          <w:szCs w:val="32"/>
        </w:rPr>
        <w:t>充填面积数）、染料渗透情况</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葡萄糖微渗漏法</w:t>
      </w:r>
      <w:r>
        <w:rPr>
          <w:rFonts w:hint="default" w:ascii="Times New Roman" w:hAnsi="Times New Roman" w:eastAsia="仿宋_GB2312" w:cs="Times New Roman"/>
          <w:color w:val="000000"/>
          <w:szCs w:val="32"/>
        </w:rPr>
        <w:t>等进行</w:t>
      </w:r>
      <w:r>
        <w:rPr>
          <w:rFonts w:hint="default" w:ascii="Times New Roman" w:hAnsi="Times New Roman" w:eastAsia="仿宋_GB2312" w:cs="Times New Roman"/>
          <w:color w:val="000000"/>
          <w:szCs w:val="32"/>
        </w:rPr>
        <w:t>评价。</w:t>
      </w:r>
      <w:r>
        <w:rPr>
          <w:rFonts w:hint="default" w:ascii="Times New Roman" w:hAnsi="Times New Roman" w:eastAsia="仿宋_GB2312" w:cs="Times New Roman"/>
          <w:color w:val="000000"/>
          <w:szCs w:val="32"/>
        </w:rPr>
        <w:t>需</w:t>
      </w:r>
      <w:r>
        <w:rPr>
          <w:rFonts w:hint="default" w:ascii="Times New Roman" w:hAnsi="Times New Roman" w:eastAsia="仿宋_GB2312" w:cs="Times New Roman"/>
          <w:color w:val="000000"/>
          <w:szCs w:val="32"/>
        </w:rPr>
        <w:t>对研究结果进行合理性分析提交</w:t>
      </w:r>
      <w:r>
        <w:rPr>
          <w:rFonts w:hint="default" w:ascii="Times New Roman" w:hAnsi="Times New Roman" w:eastAsia="仿宋_GB2312" w:cs="Times New Roman"/>
          <w:color w:val="000000"/>
          <w:szCs w:val="32"/>
        </w:rPr>
        <w:t>试验</w:t>
      </w:r>
      <w:r>
        <w:rPr>
          <w:rFonts w:hint="default" w:ascii="Times New Roman" w:hAnsi="Times New Roman" w:eastAsia="仿宋_GB2312" w:cs="Times New Roman"/>
          <w:color w:val="000000"/>
          <w:szCs w:val="32"/>
        </w:rPr>
        <w:t>结果可接受的支持性资料</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可与已上市同</w:t>
      </w:r>
      <w:r>
        <w:rPr>
          <w:rFonts w:hint="default" w:ascii="Times New Roman" w:hAnsi="Times New Roman" w:eastAsia="仿宋_GB2312" w:cs="Times New Roman"/>
          <w:color w:val="000000"/>
          <w:szCs w:val="32"/>
        </w:rPr>
        <w:t>类</w:t>
      </w:r>
      <w:r>
        <w:rPr>
          <w:rFonts w:hint="default" w:ascii="Times New Roman" w:hAnsi="Times New Roman" w:eastAsia="仿宋_GB2312" w:cs="Times New Roman"/>
          <w:color w:val="000000"/>
          <w:szCs w:val="32"/>
        </w:rPr>
        <w:t>产品</w:t>
      </w:r>
      <w:r>
        <w:rPr>
          <w:rFonts w:hint="default" w:ascii="Times New Roman" w:hAnsi="Times New Roman" w:eastAsia="仿宋_GB2312" w:cs="Times New Roman"/>
          <w:color w:val="000000"/>
          <w:szCs w:val="32"/>
        </w:rPr>
        <w:t>应用</w:t>
      </w:r>
      <w:r>
        <w:rPr>
          <w:rFonts w:hint="default" w:ascii="Times New Roman" w:hAnsi="Times New Roman" w:eastAsia="仿宋_GB2312" w:cs="Times New Roman"/>
          <w:color w:val="000000"/>
          <w:szCs w:val="32"/>
        </w:rPr>
        <w:t>效果对比说明。建议</w:t>
      </w:r>
      <w:r>
        <w:rPr>
          <w:rFonts w:hint="default" w:ascii="Times New Roman" w:hAnsi="Times New Roman" w:eastAsia="仿宋_GB2312" w:cs="Times New Roman"/>
          <w:color w:val="000000"/>
          <w:szCs w:val="32"/>
        </w:rPr>
        <w:t>参照</w:t>
      </w:r>
      <w:r>
        <w:rPr>
          <w:rFonts w:hint="default" w:ascii="Times New Roman" w:hAnsi="Times New Roman" w:eastAsia="仿宋_GB2312" w:cs="Times New Roman"/>
          <w:color w:val="000000"/>
          <w:szCs w:val="32"/>
        </w:rPr>
        <w:t>临床应用形式</w:t>
      </w:r>
      <w:r>
        <w:rPr>
          <w:rFonts w:hint="default" w:ascii="Times New Roman" w:hAnsi="Times New Roman" w:eastAsia="仿宋_GB2312" w:cs="Times New Roman"/>
          <w:color w:val="000000"/>
          <w:szCs w:val="32"/>
        </w:rPr>
        <w:t>配合糊剂/封闭</w:t>
      </w:r>
      <w:r>
        <w:rPr>
          <w:rFonts w:hint="default" w:ascii="Times New Roman" w:hAnsi="Times New Roman" w:eastAsia="仿宋_GB2312" w:cs="Times New Roman"/>
          <w:color w:val="000000"/>
          <w:szCs w:val="32"/>
        </w:rPr>
        <w:t>剂进行充填</w:t>
      </w:r>
      <w:r>
        <w:rPr>
          <w:rFonts w:hint="default" w:ascii="Times New Roman" w:hAnsi="Times New Roman" w:eastAsia="仿宋_GB2312" w:cs="Times New Roman"/>
          <w:color w:val="000000"/>
          <w:szCs w:val="32"/>
        </w:rPr>
        <w:t>研究</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对于</w:t>
      </w:r>
      <w:r>
        <w:rPr>
          <w:rFonts w:hint="default" w:ascii="Times New Roman" w:hAnsi="Times New Roman" w:eastAsia="仿宋_GB2312" w:cs="Times New Roman"/>
          <w:color w:val="000000"/>
          <w:szCs w:val="32"/>
        </w:rPr>
        <w:t>拟应用于特殊根管的情形，需一并考虑离体牙根管结构</w:t>
      </w:r>
      <w:r>
        <w:rPr>
          <w:rFonts w:hint="default" w:ascii="Times New Roman" w:hAnsi="Times New Roman" w:eastAsia="仿宋_GB2312" w:cs="Times New Roman"/>
          <w:color w:val="000000"/>
          <w:szCs w:val="32"/>
        </w:rPr>
        <w:t>或</w:t>
      </w:r>
      <w:r>
        <w:rPr>
          <w:rFonts w:hint="default" w:ascii="Times New Roman" w:hAnsi="Times New Roman" w:eastAsia="仿宋_GB2312" w:cs="Times New Roman"/>
          <w:color w:val="000000"/>
          <w:szCs w:val="32"/>
        </w:rPr>
        <w:t>构建相应模型进行验证。</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5.1.</w:t>
      </w:r>
      <w:r>
        <w:rPr>
          <w:rFonts w:hint="default" w:ascii="Times New Roman" w:hAnsi="Times New Roman" w:eastAsia="仿宋_GB2312" w:cs="Times New Roman"/>
          <w:color w:val="000000"/>
          <w:szCs w:val="32"/>
        </w:rPr>
        <w:t>7关于</w:t>
      </w:r>
      <w:r>
        <w:rPr>
          <w:rFonts w:hint="default" w:ascii="Times New Roman" w:hAnsi="Times New Roman" w:eastAsia="仿宋_GB2312" w:cs="Times New Roman"/>
          <w:color w:val="000000"/>
          <w:szCs w:val="32"/>
        </w:rPr>
        <w:t>热牙胶</w:t>
      </w:r>
      <w:r>
        <w:rPr>
          <w:rFonts w:hint="default" w:ascii="Times New Roman" w:hAnsi="Times New Roman" w:eastAsia="仿宋_GB2312" w:cs="Times New Roman"/>
          <w:color w:val="000000"/>
          <w:szCs w:val="32"/>
        </w:rPr>
        <w:t>/牙胶</w:t>
      </w:r>
      <w:r>
        <w:rPr>
          <w:rFonts w:hint="default" w:ascii="Times New Roman" w:hAnsi="Times New Roman" w:eastAsia="仿宋_GB2312" w:cs="Times New Roman"/>
          <w:color w:val="000000"/>
          <w:szCs w:val="32"/>
        </w:rPr>
        <w:t>棒，</w:t>
      </w:r>
      <w:r>
        <w:rPr>
          <w:rFonts w:hint="default" w:ascii="Times New Roman" w:hAnsi="Times New Roman" w:eastAsia="仿宋_GB2312" w:cs="Times New Roman"/>
          <w:color w:val="000000"/>
          <w:szCs w:val="32"/>
        </w:rPr>
        <w:t>需</w:t>
      </w:r>
      <w:r>
        <w:rPr>
          <w:rFonts w:hint="default" w:ascii="Times New Roman" w:hAnsi="Times New Roman" w:eastAsia="仿宋_GB2312" w:cs="Times New Roman"/>
          <w:color w:val="000000"/>
          <w:szCs w:val="32"/>
        </w:rPr>
        <w:t>提交与热牙胶充填机的配合使用性能的研究资料。</w:t>
      </w:r>
      <w:r>
        <w:rPr>
          <w:rFonts w:hint="default" w:ascii="Times New Roman" w:hAnsi="Times New Roman" w:eastAsia="仿宋_GB2312" w:cs="Times New Roman"/>
          <w:color w:val="000000"/>
          <w:szCs w:val="32"/>
        </w:rPr>
        <w:t>需</w:t>
      </w:r>
      <w:r>
        <w:rPr>
          <w:rFonts w:hint="default" w:ascii="Times New Roman" w:hAnsi="Times New Roman" w:eastAsia="仿宋_GB2312" w:cs="Times New Roman"/>
          <w:color w:val="000000"/>
          <w:szCs w:val="32"/>
        </w:rPr>
        <w:t>对不同温度设定下热牙胶流动性、固化时间</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输送顺畅性进行评价，</w:t>
      </w:r>
      <w:r>
        <w:rPr>
          <w:rFonts w:hint="default" w:ascii="Times New Roman" w:hAnsi="Times New Roman" w:eastAsia="仿宋_GB2312" w:cs="Times New Roman"/>
          <w:color w:val="000000"/>
          <w:szCs w:val="32"/>
        </w:rPr>
        <w:t>并明确</w:t>
      </w:r>
      <w:r>
        <w:rPr>
          <w:rFonts w:hint="default" w:ascii="Times New Roman" w:hAnsi="Times New Roman" w:eastAsia="仿宋_GB2312" w:cs="Times New Roman"/>
          <w:color w:val="000000"/>
          <w:szCs w:val="32"/>
        </w:rPr>
        <w:t>推荐的使用参数信息</w:t>
      </w:r>
      <w:r>
        <w:rPr>
          <w:rFonts w:hint="default" w:ascii="Times New Roman" w:hAnsi="Times New Roman" w:eastAsia="仿宋_GB2312" w:cs="Times New Roman"/>
          <w:color w:val="000000"/>
          <w:szCs w:val="32"/>
        </w:rPr>
        <w:t>及</w:t>
      </w:r>
      <w:r>
        <w:rPr>
          <w:rFonts w:hint="default" w:ascii="Times New Roman" w:hAnsi="Times New Roman" w:eastAsia="仿宋_GB2312" w:cs="Times New Roman"/>
          <w:color w:val="000000"/>
          <w:szCs w:val="32"/>
        </w:rPr>
        <w:t>确定依据</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可结合充填封闭效果一并分析</w:t>
      </w:r>
      <w:r>
        <w:rPr>
          <w:rFonts w:hint="default" w:ascii="Times New Roman" w:hAnsi="Times New Roman" w:eastAsia="仿宋_GB2312" w:cs="Times New Roman"/>
          <w:color w:val="000000"/>
          <w:szCs w:val="32"/>
        </w:rPr>
        <w:t>。对于单独使用，不与根管糊剂配合使用的产品，需提交充填封闭效果及根尖周组织情况的研究资料。</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5.1.8微生物</w:t>
      </w:r>
      <w:r>
        <w:rPr>
          <w:rFonts w:hint="default" w:ascii="Times New Roman" w:hAnsi="Times New Roman" w:eastAsia="仿宋_GB2312" w:cs="Times New Roman"/>
          <w:color w:val="000000"/>
          <w:szCs w:val="32"/>
        </w:rPr>
        <w:t>限度，</w:t>
      </w:r>
      <w:r>
        <w:rPr>
          <w:rFonts w:hint="default" w:ascii="Times New Roman" w:hAnsi="Times New Roman" w:eastAsia="仿宋_GB2312" w:cs="Times New Roman"/>
          <w:color w:val="000000"/>
          <w:szCs w:val="32"/>
        </w:rPr>
        <w:t>需</w:t>
      </w:r>
      <w:r>
        <w:rPr>
          <w:rFonts w:hint="default" w:ascii="Times New Roman" w:hAnsi="Times New Roman" w:eastAsia="仿宋_GB2312" w:cs="Times New Roman"/>
          <w:color w:val="000000"/>
          <w:szCs w:val="32"/>
        </w:rPr>
        <w:t>参照《中华人民共和国药典》</w:t>
      </w:r>
      <w:r>
        <w:rPr>
          <w:rFonts w:hint="default" w:ascii="Times New Roman" w:hAnsi="Times New Roman" w:eastAsia="仿宋_GB2312" w:cs="Times New Roman"/>
          <w:color w:val="000000"/>
          <w:szCs w:val="32"/>
        </w:rPr>
        <w:t>（2</w:t>
      </w:r>
      <w:r>
        <w:rPr>
          <w:rFonts w:hint="default" w:ascii="Times New Roman" w:hAnsi="Times New Roman" w:eastAsia="仿宋_GB2312" w:cs="Times New Roman"/>
          <w:color w:val="000000"/>
          <w:szCs w:val="32"/>
        </w:rPr>
        <w:t>020年版</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四部</w:t>
      </w:r>
      <w:r>
        <w:rPr>
          <w:rFonts w:hint="default" w:ascii="Times New Roman" w:hAnsi="Times New Roman" w:eastAsia="仿宋_GB2312" w:cs="Times New Roman"/>
          <w:color w:val="000000"/>
          <w:szCs w:val="32"/>
        </w:rPr>
        <w:t>1</w:t>
      </w:r>
      <w:r>
        <w:rPr>
          <w:rFonts w:hint="default" w:ascii="Times New Roman" w:hAnsi="Times New Roman" w:eastAsia="仿宋_GB2312" w:cs="Times New Roman"/>
          <w:color w:val="000000"/>
          <w:szCs w:val="32"/>
        </w:rPr>
        <w:t>105</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1107非无菌产品微生物限度检查法提交微生物限度验证资料。</w:t>
      </w:r>
    </w:p>
    <w:p>
      <w:pPr>
        <w:keepNext w:val="0"/>
        <w:keepLines w:val="0"/>
        <w:pageBreakBefore w:val="0"/>
        <w:widowControl w:val="0"/>
        <w:kinsoku/>
        <w:wordWrap/>
        <w:overflowPunct/>
        <w:topLinePunct w:val="0"/>
        <w:autoSpaceDE/>
        <w:autoSpaceDN/>
        <w:bidi w:val="0"/>
        <w:spacing w:line="520" w:lineRule="exact"/>
        <w:ind w:firstLine="640" w:firstLineChars="200"/>
        <w:jc w:val="left"/>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5.2化学/材料表征研究</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提供产品各组成</w:t>
      </w:r>
      <w:r>
        <w:rPr>
          <w:rFonts w:hint="default" w:ascii="Times New Roman" w:hAnsi="Times New Roman" w:eastAsia="仿宋_GB2312" w:cs="Times New Roman"/>
          <w:color w:val="000000"/>
          <w:szCs w:val="32"/>
        </w:rPr>
        <w:t>成分及</w:t>
      </w:r>
      <w:r>
        <w:rPr>
          <w:rFonts w:hint="default" w:ascii="Times New Roman" w:hAnsi="Times New Roman" w:eastAsia="仿宋_GB2312" w:cs="Times New Roman"/>
          <w:color w:val="000000"/>
          <w:szCs w:val="32"/>
        </w:rPr>
        <w:t>百分含量的确定依据，</w:t>
      </w:r>
      <w:r>
        <w:rPr>
          <w:rFonts w:hint="default" w:ascii="Times New Roman" w:hAnsi="Times New Roman" w:eastAsia="仿宋_GB2312" w:cs="Times New Roman"/>
          <w:color w:val="000000"/>
          <w:szCs w:val="32"/>
        </w:rPr>
        <w:t>提交</w:t>
      </w:r>
      <w:r>
        <w:rPr>
          <w:rFonts w:hint="default" w:ascii="Times New Roman" w:hAnsi="Times New Roman" w:eastAsia="仿宋_GB2312" w:cs="Times New Roman"/>
          <w:color w:val="000000"/>
          <w:szCs w:val="32"/>
        </w:rPr>
        <w:t>各</w:t>
      </w:r>
      <w:r>
        <w:rPr>
          <w:rFonts w:hint="default" w:ascii="Times New Roman" w:hAnsi="Times New Roman" w:eastAsia="仿宋_GB2312" w:cs="Times New Roman"/>
          <w:color w:val="000000"/>
          <w:szCs w:val="32"/>
        </w:rPr>
        <w:t>填料</w:t>
      </w:r>
      <w:r>
        <w:rPr>
          <w:rFonts w:hint="default" w:ascii="Times New Roman" w:hAnsi="Times New Roman" w:eastAsia="仿宋_GB2312" w:cs="Times New Roman"/>
          <w:color w:val="000000"/>
          <w:szCs w:val="32"/>
        </w:rPr>
        <w:t>组分</w:t>
      </w:r>
      <w:r>
        <w:rPr>
          <w:rFonts w:hint="default" w:ascii="Times New Roman" w:hAnsi="Times New Roman" w:eastAsia="仿宋_GB2312" w:cs="Times New Roman"/>
          <w:color w:val="000000"/>
          <w:szCs w:val="32"/>
        </w:rPr>
        <w:t>分散</w:t>
      </w:r>
      <w:r>
        <w:rPr>
          <w:rFonts w:hint="default" w:ascii="Times New Roman" w:hAnsi="Times New Roman" w:eastAsia="仿宋_GB2312" w:cs="Times New Roman"/>
          <w:color w:val="000000"/>
          <w:szCs w:val="32"/>
        </w:rPr>
        <w:t>均匀的研究资料。</w:t>
      </w:r>
      <w:r>
        <w:rPr>
          <w:rFonts w:hint="default" w:ascii="Times New Roman" w:hAnsi="Times New Roman" w:eastAsia="仿宋_GB2312" w:cs="Times New Roman"/>
          <w:szCs w:val="32"/>
        </w:rPr>
        <w:t>明确产品的起始物质，列明产品生产过程中所需全部材料的化学名称、化学结构式/分子式、分子量及其分布</w:t>
      </w:r>
      <w:r>
        <w:rPr>
          <w:rFonts w:hint="default" w:ascii="Times New Roman" w:hAnsi="Times New Roman" w:eastAsia="仿宋_GB2312" w:cs="Times New Roman"/>
          <w:szCs w:val="32"/>
        </w:rPr>
        <w:t>（如适用）</w:t>
      </w:r>
      <w:r>
        <w:rPr>
          <w:rFonts w:hint="default" w:ascii="Times New Roman" w:hAnsi="Times New Roman" w:eastAsia="仿宋_GB2312" w:cs="Times New Roman"/>
          <w:szCs w:val="32"/>
        </w:rPr>
        <w:t>、来源和纯度（如适用）、使用量或组成比例、符合的标准和申请人的验收标准及相关的安全性评价报告，建议以列表的形式提供。并说明原材料的选择依据及来源。</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5.3生物学特性研究</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szCs w:val="32"/>
        </w:rPr>
      </w:pPr>
      <w:r>
        <w:rPr>
          <w:rFonts w:hint="default" w:ascii="Times New Roman" w:hAnsi="Times New Roman" w:eastAsia="仿宋_GB2312" w:cs="Times New Roman"/>
          <w:szCs w:val="32"/>
        </w:rPr>
        <w:t>牙胶尖的生物学评价需涵盖终产品，按照GB/T 16886.1《医疗器械生物学评价第1部分：风险管理过程中的评价与试验》中的系统方法框图及《国家食品药品监督管理局关于印发医疗器械生物学评价和审查指南的通知》中的审查要点进行风险评价，充分考虑电偶腐蚀、表面处理等因素的影响，必要时，根据GB/T 16886系列标准进行生物学试验。生物学评定终点一般包括细胞毒性、致敏、刺激或皮内反应（或口腔粘膜刺激试验）、急性全身毒性、亚急性毒性、慢性毒性、亚慢性毒性、根管内</w:t>
      </w:r>
      <w:r>
        <w:rPr>
          <w:rFonts w:hint="default" w:ascii="Times New Roman" w:hAnsi="Times New Roman" w:eastAsia="仿宋_GB2312" w:cs="Times New Roman"/>
          <w:szCs w:val="32"/>
        </w:rPr>
        <w:t>应用</w:t>
      </w:r>
      <w:r>
        <w:rPr>
          <w:rFonts w:hint="default" w:ascii="Times New Roman" w:hAnsi="Times New Roman" w:eastAsia="仿宋_GB2312" w:cs="Times New Roman"/>
          <w:szCs w:val="32"/>
        </w:rPr>
        <w:t>、遗传毒性和致癌性。需要说明的是，经评价需开展生物学试验的情形，如植入试验包含并评估了足够的动物数和时间点，且能从综合植入评估获得亚急性毒性、慢性毒性信息的，可不需要单独进行亚急性和慢性毒性试验研究。如果该医疗器械可能含有致癌性，宜在风险评定中考虑该终点。</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5.4动物试验研究</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请根据《医疗器械动物试验研究技术审查指导原则第一部分：决策原则》要求，结合动物试验“替代、减少和优化”原则及医疗器械风险管理原则判定开展动物试验的必要性。如需开展动物试验，请参照《医疗器械动物试验研究技术审查指导原则第二部分：实验设计、实施质量保证》进行研究方案设计和实施质量保证工作。</w:t>
      </w:r>
      <w:r>
        <w:rPr>
          <w:rFonts w:hint="default" w:ascii="Times New Roman" w:hAnsi="Times New Roman" w:eastAsia="仿宋_GB2312" w:cs="Times New Roman"/>
          <w:color w:val="000000"/>
          <w:szCs w:val="32"/>
        </w:rPr>
        <w:t>一般对于工作机理明确、设计定型，生产工艺成熟，且不改变常规用途的牙胶尖产品不需要进行动物试验研究</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5.5稳定性研究</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5.5.1货架有效期</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注册申请人需参照《无菌医疗器械包装试验方法第1部分：加速老化试验指南》或《无源植入性医疗器械</w:t>
      </w:r>
      <w:r>
        <w:rPr>
          <w:rFonts w:hint="default" w:ascii="Times New Roman" w:hAnsi="Times New Roman" w:eastAsia="仿宋_GB2312" w:cs="Times New Roman"/>
          <w:color w:val="000000"/>
          <w:szCs w:val="32"/>
        </w:rPr>
        <w:t>稳定性研究</w:t>
      </w:r>
      <w:r>
        <w:rPr>
          <w:rFonts w:hint="default" w:ascii="Times New Roman" w:hAnsi="Times New Roman" w:eastAsia="仿宋_GB2312" w:cs="Times New Roman"/>
          <w:color w:val="000000"/>
          <w:szCs w:val="32"/>
        </w:rPr>
        <w:t>指导原则》中适用的部分提供加速稳定性试验或实时稳定性试验验证资料。牙胶尖</w:t>
      </w:r>
      <w:r>
        <w:rPr>
          <w:rFonts w:hint="default" w:ascii="Times New Roman" w:hAnsi="Times New Roman" w:eastAsia="仿宋_GB2312" w:cs="Times New Roman"/>
          <w:color w:val="000000"/>
          <w:szCs w:val="32"/>
        </w:rPr>
        <w:t>中</w:t>
      </w:r>
      <w:r>
        <w:rPr>
          <w:rFonts w:hint="default" w:ascii="Times New Roman" w:hAnsi="Times New Roman" w:eastAsia="仿宋_GB2312" w:cs="Times New Roman"/>
          <w:color w:val="000000"/>
          <w:szCs w:val="32"/>
        </w:rPr>
        <w:t>部分成分</w:t>
      </w:r>
      <w:r>
        <w:rPr>
          <w:rFonts w:hint="default" w:ascii="Times New Roman" w:hAnsi="Times New Roman" w:eastAsia="仿宋_GB2312" w:cs="Times New Roman"/>
          <w:color w:val="000000"/>
          <w:szCs w:val="32"/>
        </w:rPr>
        <w:t>具有温度</w:t>
      </w:r>
      <w:r>
        <w:rPr>
          <w:rFonts w:hint="default" w:ascii="Times New Roman" w:hAnsi="Times New Roman" w:eastAsia="仿宋_GB2312" w:cs="Times New Roman"/>
          <w:color w:val="000000"/>
          <w:szCs w:val="32"/>
        </w:rPr>
        <w:t>敏感性，</w:t>
      </w:r>
      <w:r>
        <w:rPr>
          <w:rFonts w:hint="default" w:ascii="Times New Roman" w:hAnsi="Times New Roman" w:eastAsia="仿宋_GB2312" w:cs="Times New Roman"/>
          <w:color w:val="000000"/>
          <w:szCs w:val="32"/>
        </w:rPr>
        <w:t>对于选择</w:t>
      </w:r>
      <w:r>
        <w:rPr>
          <w:rFonts w:hint="default" w:ascii="Times New Roman" w:hAnsi="Times New Roman" w:eastAsia="仿宋_GB2312" w:cs="Times New Roman"/>
          <w:color w:val="000000"/>
          <w:szCs w:val="32"/>
        </w:rPr>
        <w:t>加速稳定性研究的</w:t>
      </w:r>
      <w:r>
        <w:rPr>
          <w:rFonts w:hint="default" w:ascii="Times New Roman" w:hAnsi="Times New Roman" w:eastAsia="仿宋_GB2312" w:cs="Times New Roman"/>
          <w:color w:val="000000"/>
          <w:szCs w:val="32"/>
        </w:rPr>
        <w:t>需一并</w:t>
      </w:r>
      <w:r>
        <w:rPr>
          <w:rFonts w:hint="default" w:ascii="Times New Roman" w:hAnsi="Times New Roman" w:eastAsia="仿宋_GB2312" w:cs="Times New Roman"/>
          <w:color w:val="000000"/>
          <w:szCs w:val="32"/>
        </w:rPr>
        <w:t>提交老化温度选择的依据及</w:t>
      </w:r>
      <w:r>
        <w:rPr>
          <w:rFonts w:hint="default" w:ascii="Times New Roman" w:hAnsi="Times New Roman" w:eastAsia="仿宋_GB2312" w:cs="Times New Roman"/>
          <w:color w:val="000000"/>
          <w:szCs w:val="32"/>
        </w:rPr>
        <w:t>合理性</w:t>
      </w:r>
      <w:r>
        <w:rPr>
          <w:rFonts w:hint="default" w:ascii="Times New Roman" w:hAnsi="Times New Roman" w:eastAsia="仿宋_GB2312" w:cs="Times New Roman"/>
          <w:color w:val="000000"/>
          <w:szCs w:val="32"/>
        </w:rPr>
        <w:t>支持资料。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5.5.2运输稳定性</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注册申请人需提交运输稳定性验证资料，证明在规定的运输条件下，运输过程中环境条件（例如：震动、振动、温度和湿度的波动）不会对医疗器械的特性和性能，包括完整性和清洁度，造成不利影响。</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楷体_GB2312" w:cs="Times New Roman"/>
          <w:color w:val="000000"/>
          <w:szCs w:val="32"/>
        </w:rPr>
        <w:t>5.</w:t>
      </w:r>
      <w:r>
        <w:rPr>
          <w:rFonts w:hint="default" w:ascii="Times New Roman" w:hAnsi="Times New Roman" w:eastAsia="仿宋_GB2312" w:cs="Times New Roman"/>
          <w:color w:val="000000"/>
          <w:szCs w:val="32"/>
        </w:rPr>
        <w:t>6免于临床评价支持资料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列入《免于临床评价医疗器械目录》（以下简称《目录》）的产品，</w:t>
      </w:r>
      <w:r>
        <w:rPr>
          <w:rFonts w:hint="default" w:ascii="Times New Roman" w:hAnsi="Times New Roman" w:eastAsia="仿宋_GB2312" w:cs="Times New Roman"/>
          <w:szCs w:val="32"/>
        </w:rPr>
        <w:t>充分考虑豁免情况不包括新材料、新作用机理、新功能的产品，</w:t>
      </w:r>
      <w:r>
        <w:rPr>
          <w:rFonts w:hint="default" w:ascii="Times New Roman" w:hAnsi="Times New Roman" w:eastAsia="仿宋_GB2312" w:cs="Times New Roman"/>
          <w:color w:val="000000"/>
          <w:szCs w:val="32"/>
        </w:rPr>
        <w:t>注册申请人需提交申报产品相关信息与《目录》所述内容的对比资料以及申报产品与已获准境内注册的《目录》中医疗器械的对比说明。关于申报产品与已获准境内注册的《目录》中医疗器械的对比项目中结构组成的对比需包括产品组成</w:t>
      </w:r>
      <w:r>
        <w:rPr>
          <w:rFonts w:hint="default" w:ascii="Times New Roman" w:hAnsi="Times New Roman" w:eastAsia="仿宋_GB2312" w:cs="Times New Roman"/>
          <w:color w:val="000000"/>
          <w:szCs w:val="32"/>
        </w:rPr>
        <w:t>成分及百分含量</w:t>
      </w:r>
      <w:r>
        <w:rPr>
          <w:rFonts w:hint="default" w:ascii="Times New Roman" w:hAnsi="Times New Roman" w:eastAsia="仿宋_GB2312" w:cs="Times New Roman"/>
          <w:color w:val="000000"/>
          <w:szCs w:val="32"/>
        </w:rPr>
        <w:t>的对比；物理性能比对 尺寸、锥度；产品操作对比需</w:t>
      </w:r>
      <w:r>
        <w:rPr>
          <w:rFonts w:hint="default" w:ascii="Times New Roman" w:hAnsi="Times New Roman" w:eastAsia="仿宋_GB2312" w:cs="Times New Roman"/>
          <w:color w:val="000000"/>
          <w:szCs w:val="32"/>
        </w:rPr>
        <w:t>考虑、</w:t>
      </w:r>
      <w:r>
        <w:rPr>
          <w:rFonts w:hint="default" w:ascii="Times New Roman" w:hAnsi="Times New Roman" w:eastAsia="仿宋_GB2312" w:cs="Times New Roman"/>
          <w:color w:val="000000"/>
          <w:szCs w:val="32"/>
        </w:rPr>
        <w:t>充填效果</w:t>
      </w:r>
      <w:r>
        <w:rPr>
          <w:rFonts w:hint="default" w:ascii="Times New Roman" w:hAnsi="Times New Roman" w:eastAsia="仿宋_GB2312" w:cs="Times New Roman"/>
          <w:color w:val="000000"/>
          <w:szCs w:val="32"/>
        </w:rPr>
        <w:t>、充填</w:t>
      </w:r>
      <w:r>
        <w:rPr>
          <w:rFonts w:hint="default" w:ascii="Times New Roman" w:hAnsi="Times New Roman" w:eastAsia="仿宋_GB2312" w:cs="Times New Roman"/>
          <w:color w:val="000000"/>
          <w:szCs w:val="32"/>
        </w:rPr>
        <w:t>操作</w:t>
      </w:r>
      <w:r>
        <w:rPr>
          <w:rFonts w:hint="default" w:ascii="Times New Roman" w:hAnsi="Times New Roman" w:eastAsia="仿宋_GB2312" w:cs="Times New Roman"/>
          <w:color w:val="000000"/>
          <w:szCs w:val="32"/>
        </w:rPr>
        <w:t>性</w:t>
      </w:r>
      <w:r>
        <w:rPr>
          <w:rFonts w:hint="default" w:ascii="Times New Roman" w:hAnsi="Times New Roman" w:eastAsia="仿宋_GB2312" w:cs="Times New Roman"/>
          <w:color w:val="000000"/>
          <w:szCs w:val="32"/>
        </w:rPr>
        <w:t>的对比。针对对比资料中的差异部分，宜提交申报产品自身的非临床研究资料证明差异性对临床使用的安全性有效性未产生不利影响，证明申报产品与《目录》所述产品具有基本等同性。</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使用了新材料、活性成分、新技术、新设计或具有新作用机理、新功能的产品，不属于《目录》描述范围的产品，注册申请人宜选择合适的临床评价路径进行评价</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楷体_GB2312" w:cs="Times New Roman"/>
          <w:color w:val="000000"/>
          <w:szCs w:val="32"/>
        </w:rPr>
      </w:pPr>
      <w:r>
        <w:rPr>
          <w:rFonts w:hint="default" w:ascii="Times New Roman" w:hAnsi="Times New Roman" w:eastAsia="楷体_GB2312" w:cs="Times New Roman"/>
          <w:color w:val="000000"/>
          <w:szCs w:val="32"/>
        </w:rPr>
        <w:t>（</w:t>
      </w:r>
      <w:r>
        <w:rPr>
          <w:rFonts w:hint="default" w:ascii="Times New Roman" w:hAnsi="Times New Roman" w:eastAsia="楷体_GB2312" w:cs="Times New Roman"/>
          <w:color w:val="000000"/>
          <w:szCs w:val="32"/>
        </w:rPr>
        <w:t>四</w:t>
      </w:r>
      <w:r>
        <w:rPr>
          <w:rFonts w:hint="default" w:ascii="Times New Roman" w:hAnsi="Times New Roman" w:eastAsia="楷体_GB2312" w:cs="Times New Roman"/>
          <w:color w:val="000000"/>
          <w:szCs w:val="32"/>
        </w:rPr>
        <w:t>）</w:t>
      </w:r>
      <w:r>
        <w:rPr>
          <w:rFonts w:hint="default" w:ascii="Times New Roman" w:hAnsi="Times New Roman" w:eastAsia="楷体_GB2312" w:cs="Times New Roman"/>
          <w:color w:val="000000"/>
          <w:szCs w:val="32"/>
        </w:rPr>
        <w:t>临床评价</w:t>
      </w:r>
      <w:r>
        <w:rPr>
          <w:rFonts w:hint="default" w:ascii="Times New Roman" w:hAnsi="Times New Roman" w:eastAsia="楷体_GB2312" w:cs="Times New Roman"/>
          <w:color w:val="000000"/>
          <w:szCs w:val="32"/>
        </w:rPr>
        <w:t>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w:t>
      </w:r>
      <w:r>
        <w:rPr>
          <w:rFonts w:hint="default" w:ascii="Times New Roman" w:hAnsi="Times New Roman" w:eastAsia="仿宋_GB2312" w:cs="Times New Roman"/>
          <w:color w:val="000000"/>
          <w:szCs w:val="32"/>
        </w:rPr>
        <w:t>同品种医疗器械临床数据</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对于不属于免临床评价目录内的产品，可按照《医疗器械临床评价技术指导原则》中将同品种医疗器械的临床数据用于支持申报产品的安全性、临床性能和</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或有效性的要求。</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w:t>
      </w:r>
      <w:r>
        <w:rPr>
          <w:rFonts w:hint="default" w:ascii="Times New Roman" w:hAnsi="Times New Roman" w:eastAsia="仿宋_GB2312" w:cs="Times New Roman"/>
          <w:color w:val="000000"/>
          <w:szCs w:val="32"/>
        </w:rPr>
        <w:t>申报产品临床试验数据</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经评价，确需开展临床试验的，注册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bCs/>
          <w:color w:val="000000"/>
          <w:szCs w:val="32"/>
        </w:rPr>
      </w:pPr>
      <w:r>
        <w:rPr>
          <w:rFonts w:hint="default" w:ascii="Times New Roman" w:hAnsi="Times New Roman" w:eastAsia="仿宋_GB2312" w:cs="Times New Roman"/>
          <w:color w:val="000000"/>
          <w:szCs w:val="32"/>
        </w:rPr>
        <w:t>注册申请人如有境外临床试验数据，可参照《接受医疗器械境外临床试验数据技术指导原则》的要求提交相关资料。</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楷体_GB2312" w:cs="Times New Roman"/>
          <w:color w:val="000000"/>
          <w:szCs w:val="32"/>
        </w:rPr>
      </w:pPr>
      <w:r>
        <w:rPr>
          <w:rFonts w:hint="default" w:ascii="Times New Roman" w:hAnsi="Times New Roman" w:eastAsia="楷体_GB2312" w:cs="Times New Roman"/>
          <w:color w:val="000000"/>
          <w:szCs w:val="32"/>
        </w:rPr>
        <w:t>（</w:t>
      </w:r>
      <w:r>
        <w:rPr>
          <w:rFonts w:hint="default" w:ascii="Times New Roman" w:hAnsi="Times New Roman" w:eastAsia="楷体_GB2312" w:cs="Times New Roman"/>
          <w:color w:val="000000"/>
          <w:szCs w:val="32"/>
        </w:rPr>
        <w:t>五</w:t>
      </w:r>
      <w:r>
        <w:rPr>
          <w:rFonts w:hint="default" w:ascii="Times New Roman" w:hAnsi="Times New Roman" w:eastAsia="楷体_GB2312" w:cs="Times New Roman"/>
          <w:color w:val="000000"/>
          <w:szCs w:val="32"/>
        </w:rPr>
        <w:t>）产品说明书和标签样稿</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产品说明书和标签需符合《医疗器械说明书和标签管理规定》和YY/T 0466.1《医疗器械用于医疗器械标签、标记和提供信息的符号第1部分：通用要求》中的相关要求。</w:t>
      </w:r>
      <w:r>
        <w:rPr>
          <w:rFonts w:hint="default" w:ascii="Times New Roman" w:hAnsi="Times New Roman" w:eastAsia="仿宋_GB2312" w:cs="Times New Roman"/>
          <w:color w:val="000000"/>
          <w:szCs w:val="32"/>
        </w:rPr>
        <w:t>牙胶尖</w:t>
      </w:r>
      <w:r>
        <w:rPr>
          <w:rFonts w:hint="default" w:ascii="Times New Roman" w:hAnsi="Times New Roman" w:eastAsia="仿宋_GB2312" w:cs="Times New Roman"/>
          <w:color w:val="000000"/>
          <w:szCs w:val="32"/>
        </w:rPr>
        <w:t>长期常温贮存</w:t>
      </w:r>
      <w:r>
        <w:rPr>
          <w:rFonts w:hint="default" w:ascii="Times New Roman" w:hAnsi="Times New Roman" w:eastAsia="仿宋_GB2312" w:cs="Times New Roman"/>
          <w:color w:val="000000"/>
          <w:szCs w:val="32"/>
        </w:rPr>
        <w:t>脆性</w:t>
      </w:r>
      <w:r>
        <w:rPr>
          <w:rFonts w:hint="default" w:ascii="Times New Roman" w:hAnsi="Times New Roman" w:eastAsia="仿宋_GB2312" w:cs="Times New Roman"/>
          <w:color w:val="000000"/>
          <w:szCs w:val="32"/>
        </w:rPr>
        <w:t>增加，需明确</w:t>
      </w:r>
      <w:r>
        <w:rPr>
          <w:rFonts w:hint="default" w:ascii="Times New Roman" w:hAnsi="Times New Roman" w:eastAsia="仿宋_GB2312" w:cs="Times New Roman"/>
          <w:color w:val="000000"/>
          <w:szCs w:val="32"/>
        </w:rPr>
        <w:t>贮存</w:t>
      </w:r>
      <w:r>
        <w:rPr>
          <w:rFonts w:hint="default" w:ascii="Times New Roman" w:hAnsi="Times New Roman" w:eastAsia="仿宋_GB2312" w:cs="Times New Roman"/>
          <w:color w:val="000000"/>
          <w:szCs w:val="32"/>
        </w:rPr>
        <w:t>条件。</w:t>
      </w:r>
      <w:r>
        <w:rPr>
          <w:rFonts w:hint="default" w:ascii="Times New Roman" w:hAnsi="Times New Roman" w:eastAsia="仿宋_GB2312" w:cs="Times New Roman"/>
          <w:color w:val="000000"/>
          <w:szCs w:val="32"/>
        </w:rPr>
        <w:t>明确型号规格与根管锉对应关系（如适用）。对于</w:t>
      </w:r>
      <w:r>
        <w:rPr>
          <w:rFonts w:hint="default" w:ascii="Times New Roman" w:hAnsi="Times New Roman" w:eastAsia="仿宋_GB2312" w:cs="Times New Roman"/>
          <w:color w:val="000000"/>
          <w:szCs w:val="32"/>
        </w:rPr>
        <w:t>热牙胶</w:t>
      </w:r>
      <w:r>
        <w:rPr>
          <w:rFonts w:hint="default" w:ascii="Times New Roman" w:hAnsi="Times New Roman" w:eastAsia="仿宋_GB2312" w:cs="Times New Roman"/>
          <w:color w:val="000000"/>
          <w:szCs w:val="32"/>
        </w:rPr>
        <w:t>/牙胶棒</w:t>
      </w:r>
      <w:r>
        <w:rPr>
          <w:rFonts w:hint="default" w:ascii="Times New Roman" w:hAnsi="Times New Roman" w:eastAsia="仿宋_GB2312" w:cs="Times New Roman"/>
          <w:color w:val="000000"/>
          <w:szCs w:val="32"/>
        </w:rPr>
        <w:t>，需明确配合使用的</w:t>
      </w:r>
      <w:r>
        <w:rPr>
          <w:rFonts w:hint="default" w:ascii="Times New Roman" w:hAnsi="Times New Roman" w:eastAsia="仿宋_GB2312" w:cs="Times New Roman"/>
          <w:color w:val="000000"/>
          <w:szCs w:val="32"/>
        </w:rPr>
        <w:t>牙胶</w:t>
      </w:r>
      <w:r>
        <w:rPr>
          <w:rFonts w:hint="default" w:ascii="Times New Roman" w:hAnsi="Times New Roman" w:eastAsia="仿宋_GB2312" w:cs="Times New Roman"/>
          <w:color w:val="000000"/>
          <w:szCs w:val="32"/>
        </w:rPr>
        <w:t>充填机及推荐使用参数信息</w:t>
      </w:r>
      <w:r>
        <w:rPr>
          <w:rFonts w:hint="default" w:ascii="Times New Roman" w:hAnsi="Times New Roman" w:eastAsia="仿宋_GB2312" w:cs="Times New Roman"/>
          <w:color w:val="000000"/>
          <w:szCs w:val="32"/>
        </w:rPr>
        <w:t>（温度使用范围）</w:t>
      </w:r>
      <w:r>
        <w:rPr>
          <w:rFonts w:hint="default" w:ascii="Times New Roman" w:hAnsi="Times New Roman" w:eastAsia="仿宋_GB2312" w:cs="Times New Roman"/>
          <w:color w:val="000000"/>
          <w:szCs w:val="32"/>
        </w:rPr>
        <w:t>。</w:t>
      </w:r>
    </w:p>
    <w:p>
      <w:pPr>
        <w:keepNext w:val="0"/>
        <w:keepLines w:val="0"/>
        <w:pageBreakBefore w:val="0"/>
        <w:widowControl w:val="0"/>
        <w:kinsoku/>
        <w:wordWrap/>
        <w:overflowPunct/>
        <w:topLinePunct w:val="0"/>
        <w:autoSpaceDE/>
        <w:autoSpaceDN/>
        <w:bidi w:val="0"/>
        <w:spacing w:line="520" w:lineRule="exact"/>
        <w:ind w:firstLine="640" w:firstLineChars="200"/>
        <w:textAlignment w:val="auto"/>
        <w:rPr>
          <w:rFonts w:hint="default" w:ascii="Times New Roman" w:hAnsi="Times New Roman" w:eastAsia="楷体_GB2312" w:cs="Times New Roman"/>
          <w:color w:val="000000"/>
          <w:szCs w:val="32"/>
        </w:rPr>
      </w:pPr>
      <w:r>
        <w:rPr>
          <w:rFonts w:hint="default" w:ascii="Times New Roman" w:hAnsi="Times New Roman" w:eastAsia="楷体_GB2312" w:cs="Times New Roman"/>
          <w:color w:val="000000"/>
          <w:szCs w:val="32"/>
        </w:rPr>
        <w:t>（</w:t>
      </w:r>
      <w:r>
        <w:rPr>
          <w:rFonts w:hint="default" w:ascii="Times New Roman" w:hAnsi="Times New Roman" w:eastAsia="楷体_GB2312" w:cs="Times New Roman"/>
          <w:color w:val="000000"/>
          <w:szCs w:val="32"/>
        </w:rPr>
        <w:t>六</w:t>
      </w:r>
      <w:r>
        <w:rPr>
          <w:rFonts w:hint="default" w:ascii="Times New Roman" w:hAnsi="Times New Roman" w:eastAsia="楷体_GB2312" w:cs="Times New Roman"/>
          <w:color w:val="000000"/>
          <w:szCs w:val="32"/>
        </w:rPr>
        <w:t>）质量管理体系文件</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楷体_GB2312" w:cs="Times New Roman"/>
          <w:color w:val="000000"/>
          <w:szCs w:val="32"/>
        </w:rPr>
      </w:pPr>
      <w:r>
        <w:rPr>
          <w:rFonts w:hint="default" w:ascii="Times New Roman" w:hAnsi="Times New Roman" w:eastAsia="仿宋_GB2312" w:cs="Times New Roman"/>
          <w:color w:val="000000"/>
          <w:szCs w:val="32"/>
        </w:rPr>
        <w:t>按照《关于公布医疗器械注册申报资料要求和批准证明文件格式的公告》提交相关文件。</w:t>
      </w:r>
    </w:p>
    <w:p>
      <w:pPr>
        <w:pStyle w:val="13"/>
        <w:keepNext w:val="0"/>
        <w:keepLines w:val="0"/>
        <w:pageBreakBefore w:val="0"/>
        <w:widowControl w:val="0"/>
        <w:kinsoku/>
        <w:wordWrap/>
        <w:overflowPunct/>
        <w:topLinePunct w:val="0"/>
        <w:autoSpaceDE/>
        <w:autoSpaceDN/>
        <w:bidi w:val="0"/>
        <w:spacing w:line="520" w:lineRule="exact"/>
        <w:ind w:firstLine="640"/>
        <w:jc w:val="left"/>
        <w:textAlignment w:val="auto"/>
        <w:outlineLvl w:val="0"/>
        <w:rPr>
          <w:rFonts w:hint="default" w:ascii="Times New Roman" w:hAnsi="Times New Roman" w:eastAsia="黑体" w:cs="Times New Roman"/>
        </w:rPr>
      </w:pPr>
      <w:bookmarkStart w:id="1" w:name="_Toc265839389"/>
      <w:r>
        <w:rPr>
          <w:rFonts w:hint="default" w:ascii="Times New Roman" w:hAnsi="Times New Roman" w:eastAsia="黑体" w:cs="Times New Roman"/>
        </w:rPr>
        <w:t>三、</w:t>
      </w:r>
      <w:r>
        <w:rPr>
          <w:rFonts w:hint="default" w:ascii="Times New Roman" w:hAnsi="Times New Roman" w:eastAsia="黑体" w:cs="Times New Roman"/>
        </w:rPr>
        <w:t>参考文献</w:t>
      </w:r>
      <w:bookmarkEnd w:id="1"/>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w:t>
      </w:r>
      <w:r>
        <w:rPr>
          <w:rFonts w:hint="default" w:ascii="Times New Roman" w:hAnsi="Times New Roman" w:eastAsia="仿宋_GB2312" w:cs="Times New Roman"/>
          <w:color w:val="000000"/>
          <w:szCs w:val="32"/>
          <w:lang w:val="en"/>
        </w:rPr>
        <w:t xml:space="preserve"> 中华人民共和国国务院</w:t>
      </w:r>
      <w:r>
        <w:rPr>
          <w:rFonts w:hint="default" w:ascii="Times New Roman" w:hAnsi="Times New Roman" w:eastAsia="仿宋_GB2312" w:cs="Times New Roman"/>
          <w:color w:val="000000"/>
          <w:szCs w:val="32"/>
          <w:lang w:val="en"/>
        </w:rPr>
        <w:t>.</w:t>
      </w:r>
      <w:r>
        <w:rPr>
          <w:rFonts w:hint="default" w:ascii="Times New Roman" w:hAnsi="Times New Roman" w:eastAsia="仿宋_GB2312" w:cs="Times New Roman"/>
          <w:color w:val="000000"/>
          <w:szCs w:val="32"/>
        </w:rPr>
        <w:t>医疗器械监督管理条例</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lang w:val="en"/>
        </w:rPr>
        <w:t>中华人民共和国国务院令第739号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 国家市场监督管理总局</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医疗器械注册与备案管理办法:国家市场监督管理总局令第47号[Z].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[3]</w:t>
      </w:r>
      <w:r>
        <w:rPr>
          <w:rFonts w:hint="default" w:ascii="Times New Roman" w:hAnsi="Times New Roman" w:eastAsia="仿宋_GB2312" w:cs="Times New Roman"/>
          <w:color w:val="000000"/>
          <w:szCs w:val="32"/>
        </w:rPr>
        <w:t xml:space="preserve"> 国家药品监督管理局</w:t>
      </w:r>
      <w:r>
        <w:rPr>
          <w:rFonts w:hint="default" w:ascii="Times New Roman" w:hAnsi="Times New Roman" w:eastAsia="仿宋_GB2312" w:cs="Times New Roman"/>
          <w:color w:val="000000"/>
          <w:szCs w:val="32"/>
        </w:rPr>
        <w:t>.医疗器械注册申报资料要求和批准证明文件格式</w:t>
      </w:r>
      <w:r>
        <w:rPr>
          <w:rFonts w:hint="default" w:ascii="Times New Roman" w:hAnsi="Times New Roman" w:eastAsia="仿宋_GB2312" w:cs="Times New Roman"/>
          <w:color w:val="000000"/>
          <w:szCs w:val="32"/>
        </w:rPr>
        <w:t>:关于公布医疗器械注册申报资料要求和批准证明文件格式的公告2021年第121号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[4]</w:t>
      </w:r>
      <w:r>
        <w:rPr>
          <w:rFonts w:hint="default" w:ascii="Times New Roman" w:hAnsi="Times New Roman" w:eastAsia="仿宋_GB2312" w:cs="Times New Roman"/>
          <w:szCs w:val="32"/>
        </w:rPr>
        <w:t xml:space="preserve"> 国家食品药品监督管理总局.医疗器械说明书和标签管理规定:国家食品药品监督管理总局令第6号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 xml:space="preserve">[5] </w:t>
      </w:r>
      <w:r>
        <w:rPr>
          <w:rFonts w:hint="default" w:ascii="Times New Roman" w:hAnsi="Times New Roman" w:eastAsia="仿宋_GB2312" w:cs="Times New Roman"/>
          <w:szCs w:val="32"/>
        </w:rPr>
        <w:t>国家食品药品监督管理总局.</w:t>
      </w:r>
      <w:r>
        <w:rPr>
          <w:rFonts w:hint="default" w:ascii="Times New Roman" w:hAnsi="Times New Roman" w:eastAsia="仿宋_GB2312" w:cs="Times New Roman"/>
          <w:color w:val="000000"/>
          <w:szCs w:val="32"/>
        </w:rPr>
        <w:t>医疗器械分类规则</w:t>
      </w:r>
      <w:r>
        <w:rPr>
          <w:rFonts w:hint="default" w:ascii="Times New Roman" w:hAnsi="Times New Roman" w:eastAsia="仿宋_GB2312" w:cs="Times New Roman"/>
          <w:szCs w:val="32"/>
        </w:rPr>
        <w:t>:国家食品药品监督管理总局令第</w:t>
      </w:r>
      <w:r>
        <w:rPr>
          <w:rFonts w:hint="default" w:ascii="Times New Roman" w:hAnsi="Times New Roman" w:eastAsia="仿宋_GB2312" w:cs="Times New Roman"/>
          <w:szCs w:val="32"/>
        </w:rPr>
        <w:t>15</w:t>
      </w:r>
      <w:r>
        <w:rPr>
          <w:rFonts w:hint="default" w:ascii="Times New Roman" w:hAnsi="Times New Roman" w:eastAsia="仿宋_GB2312" w:cs="Times New Roman"/>
          <w:szCs w:val="32"/>
        </w:rPr>
        <w:t>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[6]</w:t>
      </w:r>
      <w:r>
        <w:rPr>
          <w:rFonts w:hint="default" w:ascii="Times New Roman" w:hAnsi="Times New Roman" w:eastAsia="仿宋_GB2312" w:cs="Times New Roman"/>
          <w:szCs w:val="32"/>
        </w:rPr>
        <w:t xml:space="preserve"> 国家食品药品监督管理总局.医疗器械通用名称命名规则:国家食品药品监督管理总局令第19号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 xml:space="preserve">[7] </w:t>
      </w:r>
      <w:r>
        <w:rPr>
          <w:rFonts w:hint="default" w:ascii="Times New Roman" w:hAnsi="Times New Roman" w:eastAsia="仿宋_GB2312" w:cs="Times New Roman"/>
          <w:szCs w:val="32"/>
        </w:rPr>
        <w:t>国家药品监督管理局.</w:t>
      </w:r>
      <w:r>
        <w:rPr>
          <w:rFonts w:hint="default" w:ascii="Times New Roman" w:hAnsi="Times New Roman" w:eastAsia="仿宋_GB2312" w:cs="Times New Roman"/>
          <w:color w:val="000000"/>
          <w:szCs w:val="32"/>
        </w:rPr>
        <w:t>医疗器械分类目录</w:t>
      </w:r>
      <w:r>
        <w:rPr>
          <w:rFonts w:hint="default" w:ascii="Times New Roman" w:hAnsi="Times New Roman" w:eastAsia="仿宋_GB2312" w:cs="Times New Roman"/>
          <w:szCs w:val="32"/>
        </w:rPr>
        <w:t>:</w:t>
      </w:r>
      <w:r>
        <w:rPr>
          <w:rFonts w:hint="default" w:ascii="Times New Roman" w:hAnsi="Times New Roman" w:cs="Times New Roman"/>
        </w:rPr>
        <w:t xml:space="preserve"> </w:t>
      </w:r>
      <w:r>
        <w:rPr>
          <w:rFonts w:hint="default" w:ascii="Times New Roman" w:hAnsi="Times New Roman" w:eastAsia="仿宋_GB2312" w:cs="Times New Roman"/>
          <w:szCs w:val="32"/>
        </w:rPr>
        <w:t>总局关于发布</w:t>
      </w:r>
      <w:r>
        <w:rPr>
          <w:rFonts w:hint="default" w:ascii="Times New Roman" w:hAnsi="Times New Roman" w:eastAsia="仿宋_GB2312" w:cs="Times New Roman"/>
          <w:color w:val="000000"/>
          <w:szCs w:val="32"/>
        </w:rPr>
        <w:t>医疗器械分类目录</w:t>
      </w:r>
      <w:r>
        <w:rPr>
          <w:rFonts w:hint="default" w:ascii="Times New Roman" w:hAnsi="Times New Roman" w:eastAsia="仿宋_GB2312" w:cs="Times New Roman"/>
          <w:szCs w:val="32"/>
        </w:rPr>
        <w:t>的公告20</w:t>
      </w:r>
      <w:r>
        <w:rPr>
          <w:rFonts w:hint="default" w:ascii="Times New Roman" w:hAnsi="Times New Roman" w:eastAsia="仿宋_GB2312" w:cs="Times New Roman"/>
          <w:szCs w:val="32"/>
        </w:rPr>
        <w:t>17</w:t>
      </w:r>
      <w:r>
        <w:rPr>
          <w:rFonts w:hint="default" w:ascii="Times New Roman" w:hAnsi="Times New Roman" w:eastAsia="仿宋_GB2312" w:cs="Times New Roman"/>
          <w:szCs w:val="32"/>
        </w:rPr>
        <w:t>年第104号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 xml:space="preserve">[8] </w:t>
      </w:r>
      <w:r>
        <w:rPr>
          <w:rFonts w:hint="default" w:ascii="Times New Roman" w:hAnsi="Times New Roman" w:eastAsia="仿宋_GB2312" w:cs="Times New Roman"/>
          <w:szCs w:val="32"/>
        </w:rPr>
        <w:t>国家药品监督管理局.</w:t>
      </w:r>
      <w:r>
        <w:rPr>
          <w:rFonts w:hint="default" w:ascii="Times New Roman" w:hAnsi="Times New Roman" w:eastAsia="仿宋_GB2312" w:cs="Times New Roman"/>
          <w:color w:val="000000"/>
          <w:szCs w:val="32"/>
        </w:rPr>
        <w:t>医疗器械注册单元划分指导原则</w:t>
      </w:r>
      <w:r>
        <w:rPr>
          <w:rFonts w:hint="default" w:ascii="Times New Roman" w:hAnsi="Times New Roman" w:eastAsia="仿宋_GB2312" w:cs="Times New Roman"/>
          <w:szCs w:val="32"/>
        </w:rPr>
        <w:t>:</w:t>
      </w:r>
      <w:r>
        <w:rPr>
          <w:rFonts w:hint="default" w:ascii="Times New Roman" w:hAnsi="Times New Roman" w:cs="Times New Roman"/>
        </w:rPr>
        <w:t xml:space="preserve"> </w:t>
      </w:r>
      <w:r>
        <w:rPr>
          <w:rFonts w:hint="default" w:ascii="Times New Roman" w:hAnsi="Times New Roman" w:eastAsia="仿宋_GB2312" w:cs="Times New Roman"/>
          <w:szCs w:val="32"/>
        </w:rPr>
        <w:t>总局关于发布</w:t>
      </w:r>
      <w:r>
        <w:rPr>
          <w:rFonts w:hint="default" w:ascii="Times New Roman" w:hAnsi="Times New Roman" w:eastAsia="仿宋_GB2312" w:cs="Times New Roman"/>
          <w:color w:val="000000"/>
          <w:szCs w:val="32"/>
        </w:rPr>
        <w:t>医疗器械注册单元划分指导原则</w:t>
      </w:r>
      <w:r>
        <w:rPr>
          <w:rFonts w:hint="default" w:ascii="Times New Roman" w:hAnsi="Times New Roman" w:eastAsia="仿宋_GB2312" w:cs="Times New Roman"/>
          <w:szCs w:val="32"/>
        </w:rPr>
        <w:t>的通告20</w:t>
      </w:r>
      <w:r>
        <w:rPr>
          <w:rFonts w:hint="default" w:ascii="Times New Roman" w:hAnsi="Times New Roman" w:eastAsia="仿宋_GB2312" w:cs="Times New Roman"/>
          <w:szCs w:val="32"/>
        </w:rPr>
        <w:t>17</w:t>
      </w:r>
      <w:r>
        <w:rPr>
          <w:rFonts w:hint="default" w:ascii="Times New Roman" w:hAnsi="Times New Roman" w:eastAsia="仿宋_GB2312" w:cs="Times New Roman"/>
          <w:szCs w:val="32"/>
        </w:rPr>
        <w:t>年第1</w:t>
      </w:r>
      <w:r>
        <w:rPr>
          <w:rFonts w:hint="default" w:ascii="Times New Roman" w:hAnsi="Times New Roman" w:eastAsia="仿宋_GB2312" w:cs="Times New Roman"/>
          <w:szCs w:val="32"/>
        </w:rPr>
        <w:t>87</w:t>
      </w:r>
      <w:r>
        <w:rPr>
          <w:rFonts w:hint="default" w:ascii="Times New Roman" w:hAnsi="Times New Roman" w:eastAsia="仿宋_GB2312" w:cs="Times New Roman"/>
          <w:szCs w:val="32"/>
        </w:rPr>
        <w:t>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[9]</w:t>
      </w:r>
      <w:r>
        <w:rPr>
          <w:rFonts w:hint="default" w:ascii="Times New Roman" w:hAnsi="Times New Roman" w:eastAsia="仿宋_GB2312" w:cs="Times New Roman"/>
          <w:szCs w:val="32"/>
        </w:rPr>
        <w:t xml:space="preserve"> 国家药监局器审中心.无源植入性医疗器械稳定性研究指导原则（</w:t>
      </w:r>
      <w:r>
        <w:rPr>
          <w:rFonts w:hint="default" w:ascii="Times New Roman" w:hAnsi="Times New Roman" w:eastAsia="仿宋_GB2312" w:cs="Times New Roman"/>
          <w:szCs w:val="32"/>
        </w:rPr>
        <w:t>2022</w:t>
      </w:r>
      <w:r>
        <w:rPr>
          <w:rFonts w:hint="default" w:ascii="Times New Roman" w:hAnsi="Times New Roman" w:eastAsia="仿宋_GB2312" w:cs="Times New Roman"/>
          <w:szCs w:val="32"/>
        </w:rPr>
        <w:t>年修订版）：国家药监局器审中心关于发布无源植入性医疗器械稳定性研究指导原则（2022年修订版）的通告2022年第12号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[10]</w:t>
      </w:r>
      <w:r>
        <w:rPr>
          <w:rFonts w:hint="default" w:ascii="Times New Roman" w:hAnsi="Times New Roman" w:eastAsia="仿宋_GB2312" w:cs="Times New Roman"/>
          <w:szCs w:val="32"/>
        </w:rPr>
        <w:t xml:space="preserve"> 国家药品监督管理局.医疗器械动物试验研究注册审查指导原则第一部分：决策原则（</w:t>
      </w:r>
      <w:r>
        <w:rPr>
          <w:rFonts w:hint="default" w:ascii="Times New Roman" w:hAnsi="Times New Roman" w:eastAsia="仿宋_GB2312" w:cs="Times New Roman"/>
          <w:szCs w:val="32"/>
        </w:rPr>
        <w:t>2021</w:t>
      </w:r>
      <w:r>
        <w:rPr>
          <w:rFonts w:hint="default" w:ascii="Times New Roman" w:hAnsi="Times New Roman" w:eastAsia="仿宋_GB2312" w:cs="Times New Roman"/>
          <w:szCs w:val="32"/>
        </w:rPr>
        <w:t>年修订版）:</w:t>
      </w:r>
      <w:r>
        <w:rPr>
          <w:rFonts w:hint="default" w:ascii="Times New Roman" w:hAnsi="Times New Roman" w:cs="Times New Roman"/>
        </w:rPr>
        <w:t xml:space="preserve"> </w:t>
      </w:r>
      <w:r>
        <w:rPr>
          <w:rFonts w:hint="default" w:ascii="Times New Roman" w:hAnsi="Times New Roman" w:eastAsia="仿宋_GB2312" w:cs="Times New Roman"/>
          <w:szCs w:val="32"/>
        </w:rPr>
        <w:t>国家药监局关于发布医疗器械动物试验研究注册审查指导原则 第一部分：决策原则（2021年修订版）等2项注册审查指导原则的通告2021年第75号</w:t>
      </w:r>
      <w:r>
        <w:rPr>
          <w:rFonts w:hint="default" w:ascii="Times New Roman" w:hAnsi="Times New Roman" w:eastAsia="仿宋_GB2312" w:cs="Times New Roman"/>
          <w:color w:val="000000"/>
          <w:szCs w:val="32"/>
        </w:rPr>
        <w:t xml:space="preserve">[Z]. </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[11]</w:t>
      </w:r>
      <w:r>
        <w:rPr>
          <w:rFonts w:hint="default" w:ascii="Times New Roman" w:hAnsi="Times New Roman" w:eastAsia="仿宋_GB2312" w:cs="Times New Roman"/>
          <w:szCs w:val="32"/>
        </w:rPr>
        <w:t xml:space="preserve"> 国家药品监督管理局.医疗器械动物试验研究注册审查指导原则</w:t>
      </w:r>
      <w:r>
        <w:rPr>
          <w:rFonts w:hint="default" w:ascii="Times New Roman" w:hAnsi="Times New Roman" w:eastAsia="仿宋_GB2312" w:cs="Times New Roman"/>
          <w:szCs w:val="32"/>
        </w:rPr>
        <w:t xml:space="preserve"> </w:t>
      </w:r>
      <w:r>
        <w:rPr>
          <w:rFonts w:hint="default" w:ascii="Times New Roman" w:hAnsi="Times New Roman" w:eastAsia="仿宋_GB2312" w:cs="Times New Roman"/>
          <w:szCs w:val="32"/>
        </w:rPr>
        <w:t>第二部分：试验设计、实施质量保证: 国家药监局关于发布医疗器械动物试验研究注册审查指导原则 第一部分：决策原则（2021年修订版）等2项注册审查指导原则的通告2021年第75号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 xml:space="preserve">[12] </w:t>
      </w:r>
      <w:r>
        <w:rPr>
          <w:rFonts w:hint="default" w:ascii="Times New Roman" w:hAnsi="Times New Roman" w:eastAsia="仿宋_GB2312" w:cs="Times New Roman"/>
          <w:szCs w:val="32"/>
        </w:rPr>
        <w:t>国家药品监督管理局.</w:t>
      </w:r>
      <w:r>
        <w:rPr>
          <w:rFonts w:hint="default" w:ascii="Times New Roman" w:hAnsi="Times New Roman" w:eastAsia="仿宋_GB2312" w:cs="Times New Roman"/>
          <w:szCs w:val="32"/>
        </w:rPr>
        <w:t>医疗器械临床评价技术指导原则</w:t>
      </w:r>
      <w:r>
        <w:rPr>
          <w:rFonts w:hint="default" w:ascii="Times New Roman" w:hAnsi="Times New Roman" w:eastAsia="仿宋_GB2312" w:cs="Times New Roman"/>
          <w:szCs w:val="32"/>
        </w:rPr>
        <w:t>:国家药监局关于发布医疗器械临床评价技术指导原则等5项技术指导原则的通告2021年第73号</w:t>
      </w:r>
      <w:r>
        <w:rPr>
          <w:rFonts w:hint="default" w:ascii="Times New Roman" w:hAnsi="Times New Roman" w:eastAsia="仿宋_GB2312" w:cs="Times New Roman"/>
          <w:color w:val="000000"/>
          <w:szCs w:val="32"/>
        </w:rPr>
        <w:t xml:space="preserve"> [Z].</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 xml:space="preserve">[13] </w:t>
      </w:r>
      <w:r>
        <w:rPr>
          <w:rFonts w:hint="default" w:ascii="Times New Roman" w:hAnsi="Times New Roman" w:eastAsia="仿宋_GB2312" w:cs="Times New Roman"/>
          <w:szCs w:val="32"/>
        </w:rPr>
        <w:t>国家药品监督管理局.</w:t>
      </w:r>
      <w:r>
        <w:rPr>
          <w:rFonts w:hint="default" w:ascii="Times New Roman" w:hAnsi="Times New Roman" w:eastAsia="仿宋_GB2312" w:cs="Times New Roman"/>
          <w:color w:val="000000"/>
          <w:szCs w:val="32"/>
        </w:rPr>
        <w:t>口腔科器械通用名称命名指导原则</w:t>
      </w:r>
      <w:r>
        <w:rPr>
          <w:rFonts w:hint="default" w:ascii="Times New Roman" w:hAnsi="Times New Roman" w:eastAsia="仿宋_GB2312" w:cs="Times New Roman"/>
          <w:szCs w:val="32"/>
        </w:rPr>
        <w:t>:国家药监局关于发布医用</w:t>
      </w:r>
      <w:r>
        <w:rPr>
          <w:rFonts w:hint="default" w:ascii="Times New Roman" w:hAnsi="Times New Roman" w:eastAsia="仿宋_GB2312" w:cs="Times New Roman"/>
          <w:szCs w:val="32"/>
        </w:rPr>
        <w:t>成像器械通用名称命名指导原则等</w:t>
      </w:r>
      <w:r>
        <w:rPr>
          <w:rFonts w:hint="default" w:ascii="Times New Roman" w:hAnsi="Times New Roman" w:eastAsia="仿宋_GB2312" w:cs="Times New Roman"/>
          <w:szCs w:val="32"/>
        </w:rPr>
        <w:t>3项</w:t>
      </w:r>
      <w:r>
        <w:rPr>
          <w:rFonts w:hint="default" w:ascii="Times New Roman" w:hAnsi="Times New Roman" w:eastAsia="仿宋_GB2312" w:cs="Times New Roman"/>
          <w:szCs w:val="32"/>
        </w:rPr>
        <w:t>指导原则</w:t>
      </w:r>
      <w:r>
        <w:rPr>
          <w:rFonts w:hint="default" w:ascii="Times New Roman" w:hAnsi="Times New Roman" w:eastAsia="仿宋_GB2312" w:cs="Times New Roman"/>
          <w:szCs w:val="32"/>
        </w:rPr>
        <w:t>的通告202</w:t>
      </w:r>
      <w:r>
        <w:rPr>
          <w:rFonts w:hint="default" w:ascii="Times New Roman" w:hAnsi="Times New Roman" w:eastAsia="仿宋_GB2312" w:cs="Times New Roman"/>
          <w:szCs w:val="32"/>
        </w:rPr>
        <w:t>0</w:t>
      </w:r>
      <w:r>
        <w:rPr>
          <w:rFonts w:hint="default" w:ascii="Times New Roman" w:hAnsi="Times New Roman" w:eastAsia="仿宋_GB2312" w:cs="Times New Roman"/>
          <w:szCs w:val="32"/>
        </w:rPr>
        <w:t>年第</w:t>
      </w:r>
      <w:r>
        <w:rPr>
          <w:rFonts w:hint="default" w:ascii="Times New Roman" w:hAnsi="Times New Roman" w:eastAsia="仿宋_GB2312" w:cs="Times New Roman"/>
          <w:szCs w:val="32"/>
        </w:rPr>
        <w:t>41</w:t>
      </w:r>
      <w:r>
        <w:rPr>
          <w:rFonts w:hint="default" w:ascii="Times New Roman" w:hAnsi="Times New Roman" w:eastAsia="仿宋_GB2312" w:cs="Times New Roman"/>
          <w:szCs w:val="32"/>
        </w:rPr>
        <w:t>号</w:t>
      </w:r>
      <w:r>
        <w:rPr>
          <w:rFonts w:hint="default" w:ascii="Times New Roman" w:hAnsi="Times New Roman" w:eastAsia="仿宋_GB2312" w:cs="Times New Roman"/>
          <w:color w:val="000000"/>
          <w:szCs w:val="32"/>
        </w:rPr>
        <w:t>[Z].</w:t>
      </w:r>
    </w:p>
    <w:p>
      <w:pPr>
        <w:keepNext w:val="0"/>
        <w:keepLines w:val="0"/>
        <w:pageBreakBefore w:val="0"/>
        <w:widowControl w:val="0"/>
        <w:kinsoku/>
        <w:wordWrap/>
        <w:overflowPunct/>
        <w:topLinePunct w:val="0"/>
        <w:autoSpaceDE/>
        <w:autoSpaceDN/>
        <w:bidi w:val="0"/>
        <w:spacing w:line="520" w:lineRule="exact"/>
        <w:ind w:right="-102" w:rightChars="-32" w:firstLine="624" w:firstLineChars="195"/>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1</w:t>
      </w:r>
      <w:r>
        <w:rPr>
          <w:rFonts w:hint="default" w:ascii="Times New Roman" w:hAnsi="Times New Roman" w:eastAsia="仿宋_GB2312" w:cs="Times New Roman"/>
          <w:color w:val="000000"/>
          <w:szCs w:val="32"/>
        </w:rPr>
        <w:t>4] YY/T 0495,</w:t>
      </w:r>
      <w:r>
        <w:rPr>
          <w:rFonts w:hint="default" w:ascii="Times New Roman" w:hAnsi="Times New Roman" w:eastAsia="仿宋_GB2312" w:cs="Times New Roman"/>
          <w:color w:val="000000"/>
          <w:szCs w:val="32"/>
        </w:rPr>
        <w:t>牙根管充填</w:t>
      </w:r>
      <w:r>
        <w:rPr>
          <w:rFonts w:hint="default" w:ascii="Times New Roman" w:hAnsi="Times New Roman" w:eastAsia="仿宋_GB2312" w:cs="Times New Roman"/>
          <w:color w:val="000000"/>
          <w:szCs w:val="32"/>
        </w:rPr>
        <w:t>尖 [S].</w:t>
      </w:r>
      <w:r>
        <w:rPr>
          <w:rFonts w:hint="default" w:ascii="Times New Roman" w:hAnsi="Times New Roman" w:eastAsia="仿宋_GB2312" w:cs="Times New Roman"/>
          <w:color w:val="000000"/>
          <w:szCs w:val="32"/>
        </w:rPr>
        <w:tab/>
      </w:r>
    </w:p>
    <w:p>
      <w:pPr>
        <w:keepNext w:val="0"/>
        <w:keepLines w:val="0"/>
        <w:pageBreakBefore w:val="0"/>
        <w:widowControl w:val="0"/>
        <w:kinsoku/>
        <w:wordWrap/>
        <w:overflowPunct/>
        <w:topLinePunct w:val="0"/>
        <w:autoSpaceDE/>
        <w:autoSpaceDN/>
        <w:bidi w:val="0"/>
        <w:spacing w:line="520" w:lineRule="exact"/>
        <w:ind w:right="-102" w:rightChars="-32" w:firstLine="624" w:firstLineChars="195"/>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1</w:t>
      </w:r>
      <w:r>
        <w:rPr>
          <w:rFonts w:hint="default" w:ascii="Times New Roman" w:hAnsi="Times New Roman" w:eastAsia="仿宋_GB2312" w:cs="Times New Roman"/>
          <w:color w:val="000000"/>
          <w:szCs w:val="32"/>
        </w:rPr>
        <w:t>5] GB/T 16886.1,医疗器械生物学评价第1部分：风险管理过程中的评价与试验 [S].</w:t>
      </w:r>
      <w:r>
        <w:rPr>
          <w:rFonts w:hint="default" w:ascii="Times New Roman" w:hAnsi="Times New Roman" w:eastAsia="仿宋_GB2312" w:cs="Times New Roman"/>
          <w:color w:val="000000"/>
          <w:szCs w:val="32"/>
        </w:rPr>
        <w:tab/>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[16] GB/T 16886.3,医疗器械生物学评价 第3部分：遗传毒性、致癌性和生殖毒性试验 [S].</w:t>
      </w:r>
      <w:r>
        <w:rPr>
          <w:rFonts w:hint="default" w:ascii="Times New Roman" w:hAnsi="Times New Roman" w:eastAsia="仿宋_GB2312" w:cs="Times New Roman"/>
          <w:color w:val="000000"/>
          <w:szCs w:val="32"/>
        </w:rPr>
        <w:tab/>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[17] GB/T 16886.5,医疗器械生物学评价 第5部分：体外细胞毒性试验[S].</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[18] GB/T 16886.10,医疗器械生物学评价 第10部分：刺激与皮肤致敏试验[S].</w:t>
      </w:r>
      <w:r>
        <w:rPr>
          <w:rFonts w:hint="default" w:ascii="Times New Roman" w:hAnsi="Times New Roman" w:eastAsia="仿宋_GB2312" w:cs="Times New Roman"/>
          <w:color w:val="000000"/>
          <w:szCs w:val="32"/>
        </w:rPr>
        <w:tab/>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[19] GB/T 16886.11,医疗器械生物学评价 第11部分：全身毒性试验[S].</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[20] YY/T 0268,</w:t>
      </w:r>
      <w:r>
        <w:rPr>
          <w:rFonts w:hint="default" w:ascii="Times New Roman" w:hAnsi="Times New Roman" w:eastAsia="仿宋_GB2312" w:cs="Times New Roman"/>
          <w:color w:val="000000"/>
          <w:szCs w:val="32"/>
        </w:rPr>
        <w:t>牙科学 口腔医疗器械生物学评价 第1单元：评价与试验</w:t>
      </w:r>
      <w:r>
        <w:rPr>
          <w:rFonts w:hint="default" w:ascii="Times New Roman" w:hAnsi="Times New Roman" w:eastAsia="仿宋_GB2312" w:cs="Times New Roman"/>
          <w:color w:val="000000"/>
          <w:szCs w:val="32"/>
        </w:rPr>
        <w:t>[S].</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2</w:t>
      </w:r>
      <w:r>
        <w:rPr>
          <w:rFonts w:hint="default" w:ascii="Times New Roman" w:hAnsi="Times New Roman" w:eastAsia="仿宋_GB2312" w:cs="Times New Roman"/>
          <w:color w:val="000000"/>
          <w:szCs w:val="32"/>
        </w:rPr>
        <w:t>1]</w:t>
      </w:r>
      <w:r>
        <w:rPr>
          <w:rFonts w:hint="default" w:ascii="Times New Roman" w:hAnsi="Times New Roman" w:eastAsia="仿宋_GB2312" w:cs="Times New Roman"/>
          <w:szCs w:val="32"/>
        </w:rPr>
        <w:t xml:space="preserve"> GB/T 42062</w:t>
      </w:r>
      <w:r>
        <w:rPr>
          <w:rFonts w:hint="default" w:ascii="Times New Roman" w:hAnsi="Times New Roman" w:eastAsia="仿宋_GB2312" w:cs="Times New Roman"/>
          <w:color w:val="000000"/>
          <w:szCs w:val="32"/>
        </w:rPr>
        <w:t>,医疗器械 风险管理对医疗器械的应用[S].</w:t>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[22] YY/T 0466.1,医疗器械 用于医疗器械标签、标记和提供信息的符号第1部分：通用要求[S].</w:t>
      </w:r>
      <w:r>
        <w:rPr>
          <w:rFonts w:hint="default" w:ascii="Times New Roman" w:hAnsi="Times New Roman" w:eastAsia="仿宋_GB2312" w:cs="Times New Roman"/>
          <w:color w:val="000000"/>
          <w:szCs w:val="32"/>
        </w:rPr>
        <w:tab/>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w:t>
      </w:r>
      <w:r>
        <w:rPr>
          <w:rFonts w:hint="default" w:ascii="Times New Roman" w:hAnsi="Times New Roman" w:eastAsia="仿宋_GB2312" w:cs="Times New Roman"/>
          <w:color w:val="000000"/>
          <w:szCs w:val="32"/>
        </w:rPr>
        <w:t>3</w:t>
      </w:r>
      <w:r>
        <w:rPr>
          <w:rFonts w:hint="default" w:ascii="Times New Roman" w:hAnsi="Times New Roman" w:eastAsia="仿宋_GB2312" w:cs="Times New Roman"/>
          <w:color w:val="000000"/>
          <w:szCs w:val="32"/>
        </w:rPr>
        <w:t>] 林红. 口腔材料学. 第2版. 北京: 北京大学医学出版社, 2013.</w:t>
      </w:r>
      <w:r>
        <w:rPr>
          <w:rFonts w:hint="default" w:ascii="Times New Roman" w:hAnsi="Times New Roman" w:eastAsia="仿宋_GB2312" w:cs="Times New Roman"/>
          <w:color w:val="000000"/>
          <w:szCs w:val="32"/>
        </w:rPr>
        <w:t>178-204</w:t>
      </w:r>
      <w:r>
        <w:rPr>
          <w:rFonts w:hint="default" w:ascii="Times New Roman" w:hAnsi="Times New Roman" w:eastAsia="仿宋_GB2312" w:cs="Times New Roman"/>
          <w:color w:val="000000"/>
          <w:szCs w:val="32"/>
        </w:rPr>
        <w:t>. [</w:t>
      </w:r>
      <w:r>
        <w:rPr>
          <w:rFonts w:hint="default" w:ascii="Times New Roman" w:hAnsi="Times New Roman" w:eastAsia="仿宋_GB2312" w:cs="Times New Roman"/>
          <w:color w:val="000000"/>
          <w:szCs w:val="32"/>
        </w:rPr>
        <w:t>M</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ab/>
      </w:r>
    </w:p>
    <w:p>
      <w:pPr>
        <w:keepNext w:val="0"/>
        <w:keepLines w:val="0"/>
        <w:pageBreakBefore w:val="0"/>
        <w:widowControl w:val="0"/>
        <w:kinsoku/>
        <w:wordWrap/>
        <w:overflowPunct/>
        <w:topLinePunct w:val="0"/>
        <w:autoSpaceDE/>
        <w:autoSpaceDN/>
        <w:bidi w:val="0"/>
        <w:spacing w:line="520" w:lineRule="exact"/>
        <w:ind w:right="-102" w:rightChars="-32" w:firstLine="640" w:firstLineChars="200"/>
        <w:textAlignment w:val="auto"/>
        <w:rPr>
          <w:rFonts w:hint="default" w:ascii="Times New Roman" w:hAnsi="Times New Roman" w:eastAsia="仿宋_GB2312" w:cs="Times New Roman"/>
          <w:color w:val="000000"/>
          <w:szCs w:val="32"/>
        </w:rPr>
      </w:pPr>
      <w:r>
        <w:rPr>
          <w:rFonts w:hint="default" w:ascii="Times New Roman" w:hAnsi="Times New Roman" w:eastAsia="仿宋_GB2312" w:cs="Times New Roman"/>
          <w:color w:val="000000"/>
          <w:szCs w:val="32"/>
        </w:rPr>
        <w:t>[2</w:t>
      </w:r>
      <w:r>
        <w:rPr>
          <w:rFonts w:hint="default" w:ascii="Times New Roman" w:hAnsi="Times New Roman" w:eastAsia="仿宋_GB2312" w:cs="Times New Roman"/>
          <w:color w:val="000000"/>
          <w:szCs w:val="32"/>
        </w:rPr>
        <w:t>4</w:t>
      </w:r>
      <w:r>
        <w:rPr>
          <w:rFonts w:hint="default" w:ascii="Times New Roman" w:hAnsi="Times New Roman" w:eastAsia="仿宋_GB2312" w:cs="Times New Roman"/>
          <w:color w:val="000000"/>
          <w:szCs w:val="32"/>
        </w:rPr>
        <w:t xml:space="preserve">] 赵信义. 口腔材料学.第6版. 北京: 人民卫生出版社, 2020. </w:t>
      </w:r>
      <w:r>
        <w:rPr>
          <w:rFonts w:hint="default" w:ascii="Times New Roman" w:hAnsi="Times New Roman" w:eastAsia="仿宋_GB2312" w:cs="Times New Roman"/>
          <w:color w:val="000000"/>
          <w:szCs w:val="32"/>
        </w:rPr>
        <w:t>99-104</w:t>
      </w:r>
      <w:r>
        <w:rPr>
          <w:rFonts w:hint="default" w:ascii="Times New Roman" w:hAnsi="Times New Roman" w:eastAsia="仿宋_GB2312" w:cs="Times New Roman"/>
          <w:color w:val="000000"/>
          <w:szCs w:val="32"/>
        </w:rPr>
        <w:t>. [</w:t>
      </w:r>
      <w:r>
        <w:rPr>
          <w:rFonts w:hint="default" w:ascii="Times New Roman" w:hAnsi="Times New Roman" w:eastAsia="仿宋_GB2312" w:cs="Times New Roman"/>
          <w:color w:val="000000"/>
          <w:szCs w:val="32"/>
        </w:rPr>
        <w:t>M</w:t>
      </w:r>
      <w:r>
        <w:rPr>
          <w:rFonts w:hint="default" w:ascii="Times New Roman" w:hAnsi="Times New Roman" w:eastAsia="仿宋_GB2312" w:cs="Times New Roman"/>
          <w:color w:val="000000"/>
          <w:szCs w:val="32"/>
        </w:rPr>
        <w:t>].</w:t>
      </w:r>
      <w:r>
        <w:rPr>
          <w:rFonts w:hint="default" w:ascii="Times New Roman" w:hAnsi="Times New Roman" w:eastAsia="仿宋_GB2312" w:cs="Times New Roman"/>
          <w:color w:val="000000"/>
          <w:szCs w:val="32"/>
        </w:rPr>
        <w:tab/>
      </w:r>
      <w:bookmarkStart w:id="2" w:name="_GoBack"/>
      <w:bookmarkEnd w:id="2"/>
    </w:p>
    <w:sectPr>
      <w:footerReference r:id="rId3" w:type="default"/>
      <w:footerReference r:id="rId4" w:type="even"/>
      <w:pgSz w:w="11906" w:h="16838"/>
      <w:pgMar w:top="1701" w:right="1587" w:bottom="1701" w:left="1587" w:header="851" w:footer="737" w:gutter="0"/>
      <w:pgNumType w:start="95"/>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仿宋 Std R">
    <w:altName w:val="仿宋"/>
    <w:panose1 w:val="00000000000000000000"/>
    <w:charset w:val="86"/>
    <w:family w:val="roman"/>
    <w:pitch w:val="default"/>
    <w:sig w:usb0="00000000" w:usb1="00000000" w:usb2="00000016" w:usb3="00000000" w:csb0="00060007"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DejaVu Sans">
    <w:altName w:val="Times New Roman"/>
    <w:panose1 w:val="00000000000000000000"/>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562"/>
      <w:jc w:val="right"/>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97</w:t>
    </w:r>
    <w:r>
      <w:rPr>
        <w:sz w:val="28"/>
        <w:szCs w:val="28"/>
      </w:rPr>
      <w:fldChar w:fldCharType="end"/>
    </w:r>
    <w:r>
      <w:rPr>
        <w:sz w:val="28"/>
        <w:szCs w:val="28"/>
      </w:rPr>
      <w:t xml:space="preserve"> —</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98</w:t>
    </w:r>
    <w:r>
      <w:rPr>
        <w:sz w:val="28"/>
        <w:szCs w:val="28"/>
      </w:rPr>
      <w:fldChar w:fldCharType="end"/>
    </w:r>
    <w:r>
      <w:rPr>
        <w:sz w:val="28"/>
        <w:szCs w:val="28"/>
      </w:rPr>
      <w:t xml:space="preserve"> —</w: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787F7E"/>
    <w:rsid w:val="000205FF"/>
    <w:rsid w:val="000541A2"/>
    <w:rsid w:val="00054E6F"/>
    <w:rsid w:val="00056CEE"/>
    <w:rsid w:val="00066C67"/>
    <w:rsid w:val="0007686E"/>
    <w:rsid w:val="000928D0"/>
    <w:rsid w:val="00095BCE"/>
    <w:rsid w:val="000C4EFD"/>
    <w:rsid w:val="000C6CA4"/>
    <w:rsid w:val="000C7D5E"/>
    <w:rsid w:val="000D0609"/>
    <w:rsid w:val="000E0A2E"/>
    <w:rsid w:val="000E5335"/>
    <w:rsid w:val="000F2CA3"/>
    <w:rsid w:val="0010347B"/>
    <w:rsid w:val="00113D25"/>
    <w:rsid w:val="0011496F"/>
    <w:rsid w:val="00126A0D"/>
    <w:rsid w:val="001317FE"/>
    <w:rsid w:val="0014030F"/>
    <w:rsid w:val="00142165"/>
    <w:rsid w:val="00145167"/>
    <w:rsid w:val="0015001D"/>
    <w:rsid w:val="0015622E"/>
    <w:rsid w:val="00190E8E"/>
    <w:rsid w:val="00195E5C"/>
    <w:rsid w:val="001A4CA5"/>
    <w:rsid w:val="001C1CA6"/>
    <w:rsid w:val="001C3A87"/>
    <w:rsid w:val="001C4861"/>
    <w:rsid w:val="001C6CE9"/>
    <w:rsid w:val="001D503A"/>
    <w:rsid w:val="001E0961"/>
    <w:rsid w:val="002055C4"/>
    <w:rsid w:val="002212CA"/>
    <w:rsid w:val="00242375"/>
    <w:rsid w:val="00244DF7"/>
    <w:rsid w:val="00250C73"/>
    <w:rsid w:val="0027698B"/>
    <w:rsid w:val="00277473"/>
    <w:rsid w:val="00291759"/>
    <w:rsid w:val="00291F94"/>
    <w:rsid w:val="00294D2B"/>
    <w:rsid w:val="00295B09"/>
    <w:rsid w:val="00297458"/>
    <w:rsid w:val="002B24A0"/>
    <w:rsid w:val="002B7BC7"/>
    <w:rsid w:val="002E00BE"/>
    <w:rsid w:val="002E2BE5"/>
    <w:rsid w:val="002E6F14"/>
    <w:rsid w:val="002F2978"/>
    <w:rsid w:val="0030368E"/>
    <w:rsid w:val="003137C1"/>
    <w:rsid w:val="00330E12"/>
    <w:rsid w:val="00332DE8"/>
    <w:rsid w:val="0033637E"/>
    <w:rsid w:val="00336EA9"/>
    <w:rsid w:val="003450A4"/>
    <w:rsid w:val="00350F4E"/>
    <w:rsid w:val="00355421"/>
    <w:rsid w:val="00356885"/>
    <w:rsid w:val="00365AB2"/>
    <w:rsid w:val="003814DB"/>
    <w:rsid w:val="00382214"/>
    <w:rsid w:val="00385D55"/>
    <w:rsid w:val="00394259"/>
    <w:rsid w:val="003950BF"/>
    <w:rsid w:val="003A50D5"/>
    <w:rsid w:val="00410598"/>
    <w:rsid w:val="00410E46"/>
    <w:rsid w:val="00423A1B"/>
    <w:rsid w:val="00423B62"/>
    <w:rsid w:val="0042794A"/>
    <w:rsid w:val="00435AC6"/>
    <w:rsid w:val="00440708"/>
    <w:rsid w:val="004410B9"/>
    <w:rsid w:val="004445BE"/>
    <w:rsid w:val="0045335E"/>
    <w:rsid w:val="00487258"/>
    <w:rsid w:val="004B6487"/>
    <w:rsid w:val="004C4DBC"/>
    <w:rsid w:val="004D1D7F"/>
    <w:rsid w:val="004D2078"/>
    <w:rsid w:val="004E39ED"/>
    <w:rsid w:val="004F53E7"/>
    <w:rsid w:val="004F727A"/>
    <w:rsid w:val="005001B4"/>
    <w:rsid w:val="005041BA"/>
    <w:rsid w:val="005326B6"/>
    <w:rsid w:val="00534F4C"/>
    <w:rsid w:val="00536D35"/>
    <w:rsid w:val="005A1410"/>
    <w:rsid w:val="005A204F"/>
    <w:rsid w:val="005A46B3"/>
    <w:rsid w:val="005A6705"/>
    <w:rsid w:val="005D0472"/>
    <w:rsid w:val="005F0DBF"/>
    <w:rsid w:val="0063539B"/>
    <w:rsid w:val="006446D0"/>
    <w:rsid w:val="00671075"/>
    <w:rsid w:val="00677407"/>
    <w:rsid w:val="006A1165"/>
    <w:rsid w:val="006B600A"/>
    <w:rsid w:val="006C00CB"/>
    <w:rsid w:val="006E68A9"/>
    <w:rsid w:val="006E7148"/>
    <w:rsid w:val="006F14B7"/>
    <w:rsid w:val="00701688"/>
    <w:rsid w:val="00710E85"/>
    <w:rsid w:val="00716619"/>
    <w:rsid w:val="00725DE0"/>
    <w:rsid w:val="00745098"/>
    <w:rsid w:val="00746983"/>
    <w:rsid w:val="007646FC"/>
    <w:rsid w:val="00787F7E"/>
    <w:rsid w:val="0079029B"/>
    <w:rsid w:val="007904F6"/>
    <w:rsid w:val="007B2BCA"/>
    <w:rsid w:val="007B2E53"/>
    <w:rsid w:val="007C5B07"/>
    <w:rsid w:val="007D341A"/>
    <w:rsid w:val="007E6421"/>
    <w:rsid w:val="00804F8C"/>
    <w:rsid w:val="008113AD"/>
    <w:rsid w:val="008136F5"/>
    <w:rsid w:val="00815364"/>
    <w:rsid w:val="00821079"/>
    <w:rsid w:val="0082533A"/>
    <w:rsid w:val="00843A32"/>
    <w:rsid w:val="00845C30"/>
    <w:rsid w:val="00856282"/>
    <w:rsid w:val="00861EE7"/>
    <w:rsid w:val="00884F02"/>
    <w:rsid w:val="00891E30"/>
    <w:rsid w:val="00894021"/>
    <w:rsid w:val="008B29E4"/>
    <w:rsid w:val="008E0E7E"/>
    <w:rsid w:val="009059E5"/>
    <w:rsid w:val="0092242E"/>
    <w:rsid w:val="00923DC0"/>
    <w:rsid w:val="00933041"/>
    <w:rsid w:val="00935297"/>
    <w:rsid w:val="00937F0E"/>
    <w:rsid w:val="00966F93"/>
    <w:rsid w:val="009A235D"/>
    <w:rsid w:val="009C5AA7"/>
    <w:rsid w:val="009D0E72"/>
    <w:rsid w:val="009E2514"/>
    <w:rsid w:val="009F1667"/>
    <w:rsid w:val="009F209D"/>
    <w:rsid w:val="00A0261E"/>
    <w:rsid w:val="00A044A4"/>
    <w:rsid w:val="00A07177"/>
    <w:rsid w:val="00A23EC2"/>
    <w:rsid w:val="00A25C1A"/>
    <w:rsid w:val="00A34498"/>
    <w:rsid w:val="00A47257"/>
    <w:rsid w:val="00A65ED8"/>
    <w:rsid w:val="00A6651E"/>
    <w:rsid w:val="00A73BFE"/>
    <w:rsid w:val="00A860E6"/>
    <w:rsid w:val="00AE5B3D"/>
    <w:rsid w:val="00AF31E1"/>
    <w:rsid w:val="00B00D92"/>
    <w:rsid w:val="00B32602"/>
    <w:rsid w:val="00B3780D"/>
    <w:rsid w:val="00B41578"/>
    <w:rsid w:val="00B634FC"/>
    <w:rsid w:val="00B66355"/>
    <w:rsid w:val="00B9118A"/>
    <w:rsid w:val="00BA5794"/>
    <w:rsid w:val="00BA5A4D"/>
    <w:rsid w:val="00BB6BFA"/>
    <w:rsid w:val="00BC17C1"/>
    <w:rsid w:val="00BC2983"/>
    <w:rsid w:val="00BC7C84"/>
    <w:rsid w:val="00BD300F"/>
    <w:rsid w:val="00BD7D8A"/>
    <w:rsid w:val="00BE2C8E"/>
    <w:rsid w:val="00BE669C"/>
    <w:rsid w:val="00BF33A9"/>
    <w:rsid w:val="00BF71A0"/>
    <w:rsid w:val="00BF7520"/>
    <w:rsid w:val="00C0562D"/>
    <w:rsid w:val="00C25F69"/>
    <w:rsid w:val="00C373F3"/>
    <w:rsid w:val="00C40950"/>
    <w:rsid w:val="00C65ED2"/>
    <w:rsid w:val="00C74CE1"/>
    <w:rsid w:val="00CB4CCD"/>
    <w:rsid w:val="00CB7373"/>
    <w:rsid w:val="00CD5D75"/>
    <w:rsid w:val="00CF2138"/>
    <w:rsid w:val="00D00C8E"/>
    <w:rsid w:val="00D32614"/>
    <w:rsid w:val="00D36F91"/>
    <w:rsid w:val="00D4450D"/>
    <w:rsid w:val="00D451A8"/>
    <w:rsid w:val="00D63840"/>
    <w:rsid w:val="00D823C3"/>
    <w:rsid w:val="00DA7A53"/>
    <w:rsid w:val="00DB4FB4"/>
    <w:rsid w:val="00DD1FDA"/>
    <w:rsid w:val="00DD2F4D"/>
    <w:rsid w:val="00DD65C2"/>
    <w:rsid w:val="00DD68B8"/>
    <w:rsid w:val="00DD740E"/>
    <w:rsid w:val="00DE7D03"/>
    <w:rsid w:val="00DF1895"/>
    <w:rsid w:val="00E07E6A"/>
    <w:rsid w:val="00E11D78"/>
    <w:rsid w:val="00E2753D"/>
    <w:rsid w:val="00E53CC9"/>
    <w:rsid w:val="00E55E45"/>
    <w:rsid w:val="00E61419"/>
    <w:rsid w:val="00E63883"/>
    <w:rsid w:val="00E671BA"/>
    <w:rsid w:val="00E67F09"/>
    <w:rsid w:val="00E72EF4"/>
    <w:rsid w:val="00E732E9"/>
    <w:rsid w:val="00E82241"/>
    <w:rsid w:val="00E86EEB"/>
    <w:rsid w:val="00EB1A04"/>
    <w:rsid w:val="00EB3C7C"/>
    <w:rsid w:val="00EC2126"/>
    <w:rsid w:val="00EC523A"/>
    <w:rsid w:val="00ED0226"/>
    <w:rsid w:val="00EE261B"/>
    <w:rsid w:val="00EE4EBB"/>
    <w:rsid w:val="00EE5663"/>
    <w:rsid w:val="00F0346F"/>
    <w:rsid w:val="00F141AA"/>
    <w:rsid w:val="00F22B49"/>
    <w:rsid w:val="00F27BA5"/>
    <w:rsid w:val="00F31CB3"/>
    <w:rsid w:val="00F349DB"/>
    <w:rsid w:val="00F3722B"/>
    <w:rsid w:val="00F403A4"/>
    <w:rsid w:val="00F436A2"/>
    <w:rsid w:val="00F46DD1"/>
    <w:rsid w:val="00F81D1A"/>
    <w:rsid w:val="00F912B4"/>
    <w:rsid w:val="00FB3EA4"/>
    <w:rsid w:val="00FB4450"/>
    <w:rsid w:val="00FB46B2"/>
    <w:rsid w:val="00FC4518"/>
    <w:rsid w:val="00FD0B90"/>
    <w:rsid w:val="00FE6C9C"/>
    <w:rsid w:val="00FF0F38"/>
    <w:rsid w:val="29D238DE"/>
    <w:rsid w:val="3EE30952"/>
    <w:rsid w:val="4DA15DEC"/>
    <w:rsid w:val="5B746366"/>
    <w:rsid w:val="6B737129"/>
    <w:rsid w:val="707C3028"/>
    <w:rsid w:val="DEF70035"/>
    <w:rsid w:val="DFFFE17D"/>
    <w:rsid w:val="ED776AC6"/>
    <w:rsid w:val="EF9F915E"/>
    <w:rsid w:val="FBB7C68F"/>
    <w:rsid w:val="FDF752B8"/>
    <w:rsid w:val="FF7F9E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Adobe 仿宋 Std R" w:cs="Times New Roman"/>
      <w:kern w:val="2"/>
      <w:sz w:val="32"/>
      <w:szCs w:val="24"/>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No Spacing"/>
    <w:qFormat/>
    <w:uiPriority w:val="0"/>
    <w:pPr>
      <w:adjustRightInd w:val="0"/>
      <w:snapToGrid w:val="0"/>
    </w:pPr>
    <w:rPr>
      <w:rFonts w:ascii="Tahoma" w:hAnsi="Tahoma" w:eastAsia="微软雅黑" w:cs="Times New Roman"/>
      <w:sz w:val="22"/>
      <w:szCs w:val="22"/>
      <w:lang w:val="en-US" w:eastAsia="zh-CN" w:bidi="ar-SA"/>
    </w:rPr>
  </w:style>
  <w:style w:type="paragraph" w:styleId="3">
    <w:name w:val="annotation text"/>
    <w:basedOn w:val="1"/>
    <w:link w:val="17"/>
    <w:semiHidden/>
    <w:unhideWhenUsed/>
    <w:qFormat/>
    <w:uiPriority w:val="99"/>
    <w:pPr>
      <w:jc w:val="left"/>
    </w:pPr>
  </w:style>
  <w:style w:type="paragraph" w:styleId="4">
    <w:name w:val="Date"/>
    <w:basedOn w:val="1"/>
    <w:next w:val="1"/>
    <w:link w:val="19"/>
    <w:semiHidden/>
    <w:unhideWhenUsed/>
    <w:uiPriority w:val="99"/>
    <w:pPr>
      <w:ind w:left="100" w:leftChars="2500"/>
    </w:pPr>
  </w:style>
  <w:style w:type="paragraph" w:styleId="5">
    <w:name w:val="Balloon Text"/>
    <w:basedOn w:val="1"/>
    <w:link w:val="15"/>
    <w:semiHidden/>
    <w:unhideWhenUsed/>
    <w:qFormat/>
    <w:uiPriority w:val="99"/>
    <w:rPr>
      <w:sz w:val="18"/>
      <w:szCs w:val="18"/>
    </w:r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8">
    <w:name w:val="annotation subject"/>
    <w:basedOn w:val="3"/>
    <w:next w:val="3"/>
    <w:link w:val="18"/>
    <w:semiHidden/>
    <w:unhideWhenUsed/>
    <w:qFormat/>
    <w:uiPriority w:val="99"/>
    <w:rPr>
      <w:b/>
      <w:bCs/>
    </w:rPr>
  </w:style>
  <w:style w:type="character" w:styleId="11">
    <w:name w:val="line number"/>
    <w:basedOn w:val="10"/>
    <w:semiHidden/>
    <w:unhideWhenUsed/>
    <w:uiPriority w:val="99"/>
  </w:style>
  <w:style w:type="character" w:styleId="12">
    <w:name w:val="annotation reference"/>
    <w:basedOn w:val="10"/>
    <w:semiHidden/>
    <w:unhideWhenUsed/>
    <w:qFormat/>
    <w:uiPriority w:val="99"/>
    <w:rPr>
      <w:sz w:val="21"/>
      <w:szCs w:val="21"/>
    </w:rPr>
  </w:style>
  <w:style w:type="paragraph" w:customStyle="1" w:styleId="13">
    <w:name w:val="列出段落1"/>
    <w:basedOn w:val="1"/>
    <w:link w:val="14"/>
    <w:qFormat/>
    <w:uiPriority w:val="34"/>
    <w:pPr>
      <w:ind w:firstLine="420" w:firstLineChars="200"/>
    </w:pPr>
    <w:rPr>
      <w:rFonts w:eastAsia="仿宋_GB2312"/>
      <w:szCs w:val="32"/>
    </w:rPr>
  </w:style>
  <w:style w:type="character" w:customStyle="1" w:styleId="14">
    <w:name w:val="列出段落 Char"/>
    <w:basedOn w:val="10"/>
    <w:link w:val="13"/>
    <w:qFormat/>
    <w:uiPriority w:val="34"/>
    <w:rPr>
      <w:rFonts w:ascii="Times New Roman" w:hAnsi="Times New Roman" w:eastAsia="仿宋_GB2312" w:cs="Times New Roman"/>
      <w:sz w:val="32"/>
      <w:szCs w:val="32"/>
    </w:rPr>
  </w:style>
  <w:style w:type="character" w:customStyle="1" w:styleId="15">
    <w:name w:val="批注框文本 字符"/>
    <w:basedOn w:val="10"/>
    <w:link w:val="5"/>
    <w:semiHidden/>
    <w:qFormat/>
    <w:uiPriority w:val="99"/>
    <w:rPr>
      <w:rFonts w:ascii="Times New Roman" w:hAnsi="Times New Roman" w:eastAsia="Adobe 仿宋 Std R" w:cs="Times New Roman"/>
      <w:kern w:val="2"/>
      <w:sz w:val="18"/>
      <w:szCs w:val="18"/>
    </w:rPr>
  </w:style>
  <w:style w:type="paragraph" w:styleId="16">
    <w:name w:val="List Paragraph"/>
    <w:basedOn w:val="1"/>
    <w:unhideWhenUsed/>
    <w:qFormat/>
    <w:uiPriority w:val="99"/>
    <w:pPr>
      <w:ind w:firstLine="420" w:firstLineChars="200"/>
    </w:pPr>
  </w:style>
  <w:style w:type="character" w:customStyle="1" w:styleId="17">
    <w:name w:val="批注文字 字符"/>
    <w:basedOn w:val="10"/>
    <w:link w:val="3"/>
    <w:semiHidden/>
    <w:qFormat/>
    <w:uiPriority w:val="99"/>
    <w:rPr>
      <w:rFonts w:ascii="Times New Roman" w:hAnsi="Times New Roman" w:eastAsia="Adobe 仿宋 Std R" w:cs="Times New Roman"/>
      <w:kern w:val="2"/>
      <w:sz w:val="32"/>
      <w:szCs w:val="24"/>
    </w:rPr>
  </w:style>
  <w:style w:type="character" w:customStyle="1" w:styleId="18">
    <w:name w:val="批注主题 字符"/>
    <w:basedOn w:val="17"/>
    <w:link w:val="8"/>
    <w:semiHidden/>
    <w:qFormat/>
    <w:uiPriority w:val="99"/>
    <w:rPr>
      <w:rFonts w:ascii="Times New Roman" w:hAnsi="Times New Roman" w:eastAsia="Adobe 仿宋 Std R" w:cs="Times New Roman"/>
      <w:b/>
      <w:bCs/>
      <w:kern w:val="2"/>
      <w:sz w:val="32"/>
      <w:szCs w:val="24"/>
    </w:rPr>
  </w:style>
  <w:style w:type="character" w:customStyle="1" w:styleId="19">
    <w:name w:val="日期 字符"/>
    <w:basedOn w:val="10"/>
    <w:link w:val="4"/>
    <w:semiHidden/>
    <w:uiPriority w:val="99"/>
    <w:rPr>
      <w:rFonts w:ascii="Times New Roman" w:hAnsi="Times New Roman" w:eastAsia="Adobe 仿宋 Std R" w:cs="Times New Roman"/>
      <w:kern w:val="2"/>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11FC31-527D-4FAF-9722-789309DAEA3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1051</Words>
  <Characters>5993</Characters>
  <Lines>49</Lines>
  <Paragraphs>14</Paragraphs>
  <TotalTime>10</TotalTime>
  <ScaleCrop>false</ScaleCrop>
  <LinksUpToDate>false</LinksUpToDate>
  <CharactersWithSpaces>7030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2024-05-17T08:33:00Z</dcterms:created>
  <dc:creator>董利华</dc:creator>
  <cp:lastModifiedBy>办公室收文</cp:lastModifiedBy>
  <cp:lastPrinted>2023-09-12T01:46:00Z</cp:lastPrinted>
  <dcterms:modified xsi:type="dcterms:W3CDTF">2024-09-12T03:39:20Z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A946306B261143EAB8F75712E7010A65</vt:lpwstr>
  </property>
</Properties>
</file>