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BCE" w:rsidRDefault="008933C1">
      <w:pPr>
        <w:spacing w:line="520" w:lineRule="exact"/>
        <w:rPr>
          <w:rFonts w:eastAsia="黑体"/>
          <w:sz w:val="32"/>
          <w:szCs w:val="32"/>
        </w:rPr>
      </w:pPr>
      <w:r>
        <w:rPr>
          <w:rFonts w:eastAsia="黑体"/>
          <w:sz w:val="32"/>
          <w:szCs w:val="32"/>
        </w:rPr>
        <w:t>附件</w:t>
      </w:r>
      <w:r>
        <w:rPr>
          <w:rFonts w:eastAsia="黑体"/>
          <w:sz w:val="32"/>
          <w:szCs w:val="32"/>
        </w:rPr>
        <w:t>3</w:t>
      </w:r>
    </w:p>
    <w:p w:rsidR="000E7BCE" w:rsidRDefault="000E7BCE">
      <w:pPr>
        <w:spacing w:line="520" w:lineRule="exact"/>
        <w:rPr>
          <w:rFonts w:eastAsia="方正小标宋简体"/>
          <w:sz w:val="44"/>
          <w:szCs w:val="44"/>
        </w:rPr>
      </w:pPr>
    </w:p>
    <w:p w:rsidR="000E7BCE" w:rsidRDefault="008933C1">
      <w:pPr>
        <w:spacing w:line="520" w:lineRule="exact"/>
        <w:jc w:val="center"/>
        <w:rPr>
          <w:rFonts w:eastAsia="方正小标宋简体"/>
          <w:sz w:val="44"/>
          <w:szCs w:val="44"/>
        </w:rPr>
      </w:pPr>
      <w:r>
        <w:rPr>
          <w:rFonts w:eastAsia="方正小标宋简体"/>
          <w:sz w:val="44"/>
          <w:szCs w:val="44"/>
        </w:rPr>
        <w:t>脊柱后路内固定系统注册审查指导原则</w:t>
      </w:r>
    </w:p>
    <w:p w:rsidR="000E7BCE" w:rsidRDefault="008933C1">
      <w:pPr>
        <w:spacing w:line="520" w:lineRule="exact"/>
        <w:jc w:val="center"/>
        <w:rPr>
          <w:rFonts w:eastAsia="方正小标宋简体"/>
          <w:sz w:val="44"/>
          <w:szCs w:val="44"/>
        </w:rPr>
      </w:pPr>
      <w:r>
        <w:rPr>
          <w:rFonts w:eastAsia="方正小标宋简体"/>
          <w:sz w:val="44"/>
          <w:szCs w:val="44"/>
        </w:rPr>
        <w:t>(2024</w:t>
      </w:r>
      <w:r>
        <w:rPr>
          <w:rFonts w:eastAsia="方正小标宋简体"/>
          <w:sz w:val="44"/>
          <w:szCs w:val="44"/>
        </w:rPr>
        <w:t>年修订版）</w:t>
      </w:r>
    </w:p>
    <w:p w:rsidR="000E7BCE" w:rsidRDefault="000E7BCE">
      <w:pPr>
        <w:spacing w:line="520" w:lineRule="exact"/>
        <w:rPr>
          <w:rFonts w:eastAsia="方正小标宋简体"/>
          <w:sz w:val="32"/>
          <w:szCs w:val="44"/>
        </w:rPr>
      </w:pPr>
    </w:p>
    <w:p w:rsidR="000E7BCE" w:rsidRDefault="008933C1">
      <w:pPr>
        <w:spacing w:line="520" w:lineRule="exact"/>
        <w:ind w:firstLineChars="200" w:firstLine="640"/>
        <w:rPr>
          <w:rFonts w:eastAsia="仿宋_GB2312"/>
          <w:sz w:val="32"/>
          <w:szCs w:val="32"/>
        </w:rPr>
      </w:pPr>
      <w:r>
        <w:rPr>
          <w:rFonts w:eastAsia="仿宋_GB2312"/>
          <w:sz w:val="32"/>
          <w:szCs w:val="32"/>
        </w:rPr>
        <w:t>本指导原则旨在指导注册申请人对脊柱后路内固定系统注册申报资料的准备及撰写，同时也为技术审评部门对注册申报资料的审评提供参考。</w:t>
      </w:r>
    </w:p>
    <w:p w:rsidR="000E7BCE" w:rsidRDefault="008933C1">
      <w:pPr>
        <w:spacing w:line="520" w:lineRule="exact"/>
        <w:ind w:firstLineChars="200" w:firstLine="640"/>
        <w:rPr>
          <w:rFonts w:eastAsia="仿宋_GB2312"/>
          <w:sz w:val="32"/>
          <w:szCs w:val="32"/>
        </w:rPr>
      </w:pPr>
      <w:r>
        <w:rPr>
          <w:rFonts w:eastAsia="仿宋_GB2312"/>
          <w:sz w:val="32"/>
          <w:szCs w:val="32"/>
        </w:rPr>
        <w:t>本指导原则是对脊柱后路内固定系统注册申报资料的一般要求，注册申请人需依据产品的具体特性确定其中内容是否适用。若不适用，需具体阐述理由及相应的科学依据，并依据产品的具体特性对注册申报资料的内容进行充实和细化。</w:t>
      </w:r>
    </w:p>
    <w:p w:rsidR="000E7BCE" w:rsidRDefault="008933C1">
      <w:pPr>
        <w:spacing w:line="520" w:lineRule="exact"/>
        <w:ind w:firstLineChars="200" w:firstLine="640"/>
        <w:rPr>
          <w:rFonts w:eastAsia="仿宋_GB2312"/>
          <w:sz w:val="32"/>
          <w:szCs w:val="32"/>
        </w:rPr>
      </w:pPr>
      <w:r>
        <w:rPr>
          <w:rFonts w:eastAsia="仿宋_GB2312"/>
          <w:sz w:val="32"/>
          <w:szCs w:val="32"/>
        </w:rPr>
        <w:t>本指导原则是对注册申请人和技术审评人员使用的指导性文件，但不包括注册审批所涉及的行政事项，亦不作为法规强制执行，需在遵循相关法规和现行有效的国家标准或行业标准的前提下使用本指导原则。如果有能够满足相关法规要求的其他方法，也可以采用，但是需要提供详细的研究资料和验证资料。</w:t>
      </w:r>
    </w:p>
    <w:p w:rsidR="000E7BCE" w:rsidRDefault="008933C1">
      <w:pPr>
        <w:spacing w:line="520" w:lineRule="exact"/>
        <w:ind w:firstLineChars="200" w:firstLine="640"/>
        <w:rPr>
          <w:rFonts w:eastAsia="仿宋_GB2312"/>
          <w:sz w:val="32"/>
          <w:szCs w:val="32"/>
        </w:rPr>
      </w:pPr>
      <w:r>
        <w:rPr>
          <w:rFonts w:eastAsia="仿宋_GB2312"/>
          <w:sz w:val="32"/>
          <w:szCs w:val="32"/>
        </w:rPr>
        <w:t>本指导原则是在现行法规和标准体系以及当前认知水平下制定的，随着法规和标准的不断更新与完善，以及科学技术的不断发展，相关内容也将适时进行调整。</w:t>
      </w:r>
    </w:p>
    <w:p w:rsidR="000E7BCE" w:rsidRDefault="008933C1">
      <w:pPr>
        <w:spacing w:line="520" w:lineRule="exact"/>
        <w:ind w:rightChars="-32" w:right="-67" w:firstLineChars="200" w:firstLine="640"/>
        <w:rPr>
          <w:rFonts w:eastAsia="仿宋_GB2312"/>
          <w:sz w:val="32"/>
          <w:szCs w:val="32"/>
        </w:rPr>
      </w:pPr>
      <w:r>
        <w:rPr>
          <w:rFonts w:eastAsia="黑体"/>
          <w:sz w:val="32"/>
          <w:szCs w:val="32"/>
        </w:rPr>
        <w:t>一、适用范围</w:t>
      </w:r>
    </w:p>
    <w:p w:rsidR="000E7BCE" w:rsidRDefault="008933C1">
      <w:pPr>
        <w:spacing w:line="520" w:lineRule="exact"/>
        <w:ind w:firstLineChars="200" w:firstLine="640"/>
        <w:rPr>
          <w:rFonts w:eastAsia="仿宋_GB2312"/>
          <w:sz w:val="32"/>
          <w:szCs w:val="32"/>
        </w:rPr>
      </w:pPr>
      <w:r>
        <w:rPr>
          <w:rFonts w:eastAsia="仿宋_GB2312"/>
          <w:sz w:val="32"/>
          <w:szCs w:val="32"/>
        </w:rPr>
        <w:t>本指导原则适用于以脊柱融合为目的脊柱后路内固定系统，通常包含金属脊柱棒、固定板、椎弓根螺钉、</w:t>
      </w:r>
      <w:r>
        <w:rPr>
          <w:rFonts w:eastAsia="仿宋_GB2312"/>
          <w:kern w:val="0"/>
          <w:sz w:val="32"/>
          <w:szCs w:val="32"/>
        </w:rPr>
        <w:t>横向连接件</w:t>
      </w:r>
      <w:r>
        <w:rPr>
          <w:rFonts w:eastAsia="仿宋_GB2312"/>
          <w:sz w:val="32"/>
          <w:szCs w:val="32"/>
        </w:rPr>
        <w:t>、椎板钩、紧固器、连接器、垫片等组件，也适用于变径棒（金属）、</w:t>
      </w:r>
      <w:r>
        <w:rPr>
          <w:rFonts w:eastAsia="仿宋_GB2312"/>
          <w:sz w:val="32"/>
          <w:szCs w:val="32"/>
        </w:rPr>
        <w:lastRenderedPageBreak/>
        <w:t>双棒椎弓根螺钉、聚醚醚酮脊柱棒、可注射骨水泥的椎弓根螺钉、表面喷涂羟基磷灰石涂层的椎弓根螺钉等产品。通常由纯钛及钛合金材料、聚醚醚酮、钴铬钼合金、不锈钢等材料制成。</w:t>
      </w:r>
    </w:p>
    <w:p w:rsidR="000E7BCE" w:rsidRDefault="008933C1">
      <w:pPr>
        <w:spacing w:line="520" w:lineRule="exact"/>
        <w:ind w:firstLineChars="200" w:firstLine="640"/>
        <w:rPr>
          <w:rFonts w:eastAsia="仿宋_GB2312"/>
          <w:kern w:val="0"/>
          <w:sz w:val="32"/>
          <w:szCs w:val="32"/>
        </w:rPr>
      </w:pPr>
      <w:r>
        <w:rPr>
          <w:rFonts w:eastAsia="仿宋_GB2312"/>
          <w:sz w:val="32"/>
          <w:szCs w:val="32"/>
        </w:rPr>
        <w:t>本指导原则不适用于棘突间固定系统、椎板固定系统、非融合动态弹性固定系统等用于融合或非融合的医疗器械，但可根据产品的具体设计原理、结构特征、生物力学特性及临床使用要求，参考本指导原则中适用的内容。</w:t>
      </w:r>
      <w:r>
        <w:rPr>
          <w:rFonts w:eastAsia="仿宋_GB2312"/>
          <w:kern w:val="0"/>
          <w:sz w:val="32"/>
          <w:szCs w:val="32"/>
        </w:rPr>
        <w:t>按现行《医疗器械分类目录》，该类产品分类编码为</w:t>
      </w:r>
      <w:r>
        <w:rPr>
          <w:rFonts w:eastAsia="仿宋_GB2312"/>
          <w:kern w:val="0"/>
          <w:sz w:val="32"/>
          <w:szCs w:val="32"/>
        </w:rPr>
        <w:t>13-03-03</w:t>
      </w:r>
      <w:r>
        <w:rPr>
          <w:rFonts w:eastAsia="仿宋_GB2312"/>
          <w:kern w:val="0"/>
          <w:sz w:val="32"/>
          <w:szCs w:val="32"/>
        </w:rPr>
        <w:t>，管理类别为</w:t>
      </w:r>
      <w:r>
        <w:rPr>
          <w:rFonts w:eastAsia="仿宋_GB2312"/>
          <w:kern w:val="0"/>
          <w:sz w:val="32"/>
          <w:szCs w:val="32"/>
        </w:rPr>
        <w:t>Ⅲ</w:t>
      </w:r>
      <w:r>
        <w:rPr>
          <w:rFonts w:eastAsia="仿宋_GB2312"/>
          <w:kern w:val="0"/>
          <w:sz w:val="32"/>
          <w:szCs w:val="32"/>
        </w:rPr>
        <w:t>类。</w:t>
      </w:r>
    </w:p>
    <w:p w:rsidR="000E7BCE" w:rsidRDefault="008933C1">
      <w:pPr>
        <w:spacing w:line="520" w:lineRule="exact"/>
        <w:ind w:firstLineChars="200" w:firstLine="640"/>
        <w:rPr>
          <w:rFonts w:eastAsia="黑体"/>
          <w:sz w:val="32"/>
          <w:szCs w:val="32"/>
        </w:rPr>
      </w:pPr>
      <w:r>
        <w:rPr>
          <w:rFonts w:eastAsia="黑体"/>
          <w:sz w:val="32"/>
          <w:szCs w:val="32"/>
        </w:rPr>
        <w:t>二、注册审查要点</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注册申报资料应符合国家药品监督管理局《关于公布医疗器械注册申报资料要求和批准证明文件格式的公告》中的要求，同时应符合以下要求：</w:t>
      </w:r>
    </w:p>
    <w:p w:rsidR="000E7BCE" w:rsidRDefault="008933C1">
      <w:pPr>
        <w:spacing w:line="520" w:lineRule="exact"/>
        <w:ind w:firstLineChars="200" w:firstLine="640"/>
        <w:rPr>
          <w:rFonts w:eastAsia="仿宋_GB2312"/>
          <w:sz w:val="32"/>
          <w:szCs w:val="32"/>
        </w:rPr>
      </w:pPr>
      <w:r>
        <w:rPr>
          <w:rFonts w:eastAsia="楷体_GB2312"/>
          <w:sz w:val="32"/>
          <w:szCs w:val="32"/>
        </w:rPr>
        <w:t>（一）监管信息</w:t>
      </w:r>
    </w:p>
    <w:p w:rsidR="000E7BCE" w:rsidRDefault="008933C1">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产品名称</w:t>
      </w:r>
    </w:p>
    <w:p w:rsidR="000E7BCE" w:rsidRDefault="008933C1">
      <w:pPr>
        <w:spacing w:line="520" w:lineRule="exact"/>
        <w:ind w:firstLineChars="200" w:firstLine="640"/>
        <w:rPr>
          <w:rFonts w:eastAsia="仿宋_GB2312"/>
          <w:sz w:val="32"/>
          <w:szCs w:val="32"/>
        </w:rPr>
      </w:pPr>
      <w:r>
        <w:rPr>
          <w:rFonts w:eastAsia="仿宋_GB2312"/>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可增加表述产品材料、涂层或结构设计等特征词，例如变径棒、双棒椎弓根螺钉、聚醚醚酮脊柱棒、可注射骨水泥的椎弓根螺钉等。</w:t>
      </w:r>
    </w:p>
    <w:p w:rsidR="000E7BCE" w:rsidRDefault="008933C1">
      <w:pPr>
        <w:spacing w:line="520" w:lineRule="exact"/>
        <w:ind w:firstLineChars="200" w:firstLine="640"/>
        <w:rPr>
          <w:rFonts w:eastAsia="仿宋_GB2312"/>
          <w:sz w:val="32"/>
          <w:szCs w:val="32"/>
        </w:rPr>
      </w:pPr>
      <w:r>
        <w:rPr>
          <w:rFonts w:eastAsia="楷体_GB2312"/>
          <w:sz w:val="32"/>
          <w:szCs w:val="32"/>
        </w:rPr>
        <w:t>2.</w:t>
      </w:r>
      <w:r>
        <w:rPr>
          <w:rFonts w:eastAsia="仿宋_GB2312"/>
          <w:sz w:val="32"/>
          <w:szCs w:val="32"/>
        </w:rPr>
        <w:t>注册单元划分</w:t>
      </w:r>
    </w:p>
    <w:p w:rsidR="000E7BCE" w:rsidRDefault="008933C1">
      <w:pPr>
        <w:spacing w:line="520" w:lineRule="exact"/>
        <w:ind w:firstLineChars="200" w:firstLine="640"/>
        <w:rPr>
          <w:rFonts w:eastAsia="仿宋_GB2312"/>
          <w:sz w:val="32"/>
          <w:szCs w:val="32"/>
        </w:rPr>
      </w:pPr>
      <w:r>
        <w:rPr>
          <w:rFonts w:eastAsia="仿宋_GB2312"/>
          <w:sz w:val="32"/>
          <w:szCs w:val="32"/>
        </w:rPr>
        <w:t>产品注册单元的划分需符合《医疗器械注册单元划分指导原则》的要求。脊柱后路内固定系统可按照实现某种临床预期用途的产品组合划分注册单元，亦可以组件作为注册单元进行</w:t>
      </w:r>
      <w:r>
        <w:rPr>
          <w:rFonts w:eastAsia="仿宋_GB2312"/>
          <w:sz w:val="32"/>
          <w:szCs w:val="32"/>
        </w:rPr>
        <w:lastRenderedPageBreak/>
        <w:t>申报。</w:t>
      </w:r>
    </w:p>
    <w:p w:rsidR="000E7BCE" w:rsidRDefault="008933C1">
      <w:pPr>
        <w:spacing w:line="520" w:lineRule="exact"/>
        <w:ind w:firstLineChars="200" w:firstLine="640"/>
        <w:rPr>
          <w:rFonts w:eastAsia="仿宋_GB2312"/>
          <w:sz w:val="32"/>
          <w:szCs w:val="32"/>
        </w:rPr>
      </w:pPr>
      <w:r>
        <w:rPr>
          <w:rFonts w:eastAsia="仿宋_GB2312"/>
          <w:sz w:val="32"/>
          <w:szCs w:val="32"/>
        </w:rPr>
        <w:t>2.1</w:t>
      </w:r>
      <w:r>
        <w:rPr>
          <w:rFonts w:eastAsia="仿宋_GB2312"/>
          <w:sz w:val="32"/>
          <w:szCs w:val="32"/>
        </w:rPr>
        <w:t>若按照系统进行申报，需根据产品预期实现的某种临床预期用途，将产品划分为如下注册单元：颈椎后路钉棒内固定系统、颈椎后路钉板内固定系统、胸腰椎后路钉棒内固定系统、枕颈胸钉板棒内固定系统。</w:t>
      </w:r>
    </w:p>
    <w:p w:rsidR="000E7BCE" w:rsidRDefault="008933C1">
      <w:pPr>
        <w:spacing w:line="520" w:lineRule="exact"/>
        <w:ind w:firstLineChars="200" w:firstLine="640"/>
        <w:rPr>
          <w:rFonts w:eastAsia="仿宋_GB2312"/>
          <w:sz w:val="32"/>
          <w:szCs w:val="32"/>
        </w:rPr>
      </w:pPr>
      <w:r>
        <w:rPr>
          <w:rFonts w:eastAsia="仿宋_GB2312"/>
          <w:sz w:val="32"/>
          <w:szCs w:val="32"/>
        </w:rPr>
        <w:t>2.2</w:t>
      </w:r>
      <w:r>
        <w:rPr>
          <w:rFonts w:eastAsia="仿宋_GB2312"/>
          <w:sz w:val="32"/>
          <w:szCs w:val="32"/>
        </w:rPr>
        <w:t>若以同一系统内单个或多个组件（如脊柱棒、椎弓根螺钉等）为注册单元进行申报，需明确与该产品配合的组件名称、组成系统后的预期适用范围和适应证等。</w:t>
      </w:r>
    </w:p>
    <w:p w:rsidR="000E7BCE" w:rsidRDefault="008933C1">
      <w:pPr>
        <w:spacing w:line="520" w:lineRule="exact"/>
        <w:ind w:firstLineChars="200" w:firstLine="640"/>
        <w:rPr>
          <w:rFonts w:eastAsia="仿宋_GB2312"/>
          <w:sz w:val="32"/>
          <w:szCs w:val="32"/>
        </w:rPr>
      </w:pPr>
      <w:r>
        <w:rPr>
          <w:rFonts w:eastAsia="仿宋_GB2312"/>
          <w:sz w:val="32"/>
          <w:szCs w:val="32"/>
        </w:rPr>
        <w:t>2.3</w:t>
      </w:r>
      <w:r>
        <w:rPr>
          <w:rFonts w:eastAsia="仿宋_GB2312"/>
          <w:sz w:val="32"/>
          <w:szCs w:val="32"/>
        </w:rPr>
        <w:t>材质不同（包括材料牌号不同）的同类组件需划分为不同的注册单元，作为单一整体组配或组合使用的组件可以按同一注册单元申报，如有涂层时，涂层材料差异亦需考虑。如：不同材质的脊柱棒作为不同的注册单元申报；作为同一系统组件配合使用的、材质已确定且唯一的组件，如脊柱棒（</w:t>
      </w:r>
      <w:r>
        <w:rPr>
          <w:rFonts w:eastAsia="仿宋_GB2312"/>
          <w:sz w:val="32"/>
          <w:szCs w:val="32"/>
        </w:rPr>
        <w:t>CoCrMo</w:t>
      </w:r>
      <w:r>
        <w:rPr>
          <w:rFonts w:eastAsia="仿宋_GB2312"/>
          <w:sz w:val="32"/>
          <w:szCs w:val="32"/>
        </w:rPr>
        <w:t>合金）、椎弓根螺钉（</w:t>
      </w:r>
      <w:r>
        <w:rPr>
          <w:rFonts w:eastAsia="仿宋_GB2312"/>
          <w:sz w:val="32"/>
          <w:szCs w:val="32"/>
        </w:rPr>
        <w:t>Ti6Al4V</w:t>
      </w:r>
      <w:r>
        <w:rPr>
          <w:rFonts w:eastAsia="仿宋_GB2312"/>
          <w:sz w:val="32"/>
          <w:szCs w:val="32"/>
        </w:rPr>
        <w:t>钛合金）、顶丝（纯钛），虽组件间材质不同，但因组合使用，可作为同一注册单元申报。</w:t>
      </w:r>
    </w:p>
    <w:p w:rsidR="000E7BCE" w:rsidRDefault="008933C1">
      <w:pPr>
        <w:spacing w:line="520" w:lineRule="exact"/>
        <w:ind w:firstLineChars="200" w:firstLine="640"/>
        <w:rPr>
          <w:rFonts w:eastAsia="仿宋_GB2312"/>
          <w:sz w:val="32"/>
          <w:szCs w:val="32"/>
        </w:rPr>
      </w:pPr>
      <w:r>
        <w:rPr>
          <w:rFonts w:eastAsia="仿宋_GB2312"/>
          <w:sz w:val="32"/>
          <w:szCs w:val="32"/>
        </w:rPr>
        <w:t>2.4</w:t>
      </w:r>
      <w:r>
        <w:rPr>
          <w:rFonts w:eastAsia="仿宋_GB2312"/>
          <w:sz w:val="32"/>
          <w:szCs w:val="32"/>
        </w:rPr>
        <w:t>主要制造工艺方法不同（如经注塑或机加工的聚醚醚酮脊柱棒）的同类组件，需划分为不同注册单元。</w:t>
      </w:r>
    </w:p>
    <w:p w:rsidR="000E7BCE" w:rsidRDefault="008933C1">
      <w:pPr>
        <w:spacing w:line="520" w:lineRule="exact"/>
        <w:ind w:firstLineChars="200" w:firstLine="640"/>
        <w:rPr>
          <w:rFonts w:eastAsia="楷体_GB2312"/>
          <w:sz w:val="32"/>
          <w:szCs w:val="32"/>
        </w:rPr>
      </w:pPr>
      <w:r>
        <w:rPr>
          <w:rFonts w:eastAsia="楷体_GB2312"/>
          <w:sz w:val="32"/>
          <w:szCs w:val="32"/>
        </w:rPr>
        <w:t>（二）综述资料</w:t>
      </w:r>
    </w:p>
    <w:p w:rsidR="000E7BCE" w:rsidRDefault="008933C1">
      <w:pPr>
        <w:spacing w:line="520" w:lineRule="exact"/>
        <w:ind w:firstLineChars="200" w:firstLine="640"/>
        <w:rPr>
          <w:rFonts w:eastAsia="仿宋_GB2312"/>
          <w:sz w:val="32"/>
          <w:szCs w:val="32"/>
        </w:rPr>
      </w:pPr>
      <w:r>
        <w:rPr>
          <w:rFonts w:eastAsia="楷体_GB2312"/>
          <w:sz w:val="32"/>
          <w:szCs w:val="32"/>
        </w:rPr>
        <w:t>1</w:t>
      </w:r>
      <w:r>
        <w:rPr>
          <w:rFonts w:eastAsia="仿宋_GB2312"/>
          <w:sz w:val="32"/>
          <w:szCs w:val="32"/>
        </w:rPr>
        <w:t>.</w:t>
      </w:r>
      <w:r>
        <w:rPr>
          <w:rFonts w:eastAsia="仿宋_GB2312"/>
          <w:sz w:val="32"/>
          <w:szCs w:val="32"/>
        </w:rPr>
        <w:t>产品描述</w:t>
      </w:r>
    </w:p>
    <w:p w:rsidR="000E7BCE" w:rsidRDefault="008933C1">
      <w:pPr>
        <w:spacing w:line="520" w:lineRule="exact"/>
        <w:ind w:firstLineChars="200" w:firstLine="640"/>
        <w:rPr>
          <w:rFonts w:eastAsia="仿宋_GB2312"/>
          <w:sz w:val="32"/>
          <w:szCs w:val="32"/>
        </w:rPr>
      </w:pPr>
      <w:r>
        <w:rPr>
          <w:rFonts w:eastAsia="仿宋_GB2312"/>
          <w:sz w:val="32"/>
          <w:szCs w:val="32"/>
        </w:rPr>
        <w:t>需在产品描述中明确产品的通用名称及其确定依据；明确产品的管理类别，包括：所属分类子目录名称、一级产品类别、二级产品类别，管理类别，分类编码；明确产品的适用范围；明确产品的背景信息概述或特别细节，如：申报产品的历史概述、历次提交的信息，与其他经批准上市产品的关系等。如不适用，应说明。</w:t>
      </w:r>
    </w:p>
    <w:p w:rsidR="000E7BCE" w:rsidRDefault="008933C1">
      <w:pPr>
        <w:spacing w:line="520" w:lineRule="exact"/>
        <w:ind w:firstLineChars="200" w:firstLine="640"/>
        <w:rPr>
          <w:rFonts w:eastAsia="仿宋_GB2312"/>
          <w:sz w:val="32"/>
          <w:szCs w:val="32"/>
        </w:rPr>
      </w:pPr>
      <w:r>
        <w:rPr>
          <w:rFonts w:eastAsia="仿宋_GB2312"/>
          <w:sz w:val="32"/>
          <w:szCs w:val="32"/>
        </w:rPr>
        <w:lastRenderedPageBreak/>
        <w:t>2.</w:t>
      </w:r>
      <w:r>
        <w:rPr>
          <w:rFonts w:eastAsia="仿宋_GB2312"/>
          <w:sz w:val="32"/>
          <w:szCs w:val="32"/>
        </w:rPr>
        <w:t>器械及操作原理描述</w:t>
      </w:r>
    </w:p>
    <w:p w:rsidR="000E7BCE" w:rsidRDefault="008933C1">
      <w:pPr>
        <w:spacing w:line="520" w:lineRule="exact"/>
        <w:ind w:firstLineChars="200" w:firstLine="640"/>
        <w:rPr>
          <w:rFonts w:eastAsia="仿宋_GB2312"/>
          <w:sz w:val="32"/>
          <w:szCs w:val="32"/>
        </w:rPr>
      </w:pPr>
      <w:r>
        <w:rPr>
          <w:rFonts w:eastAsia="仿宋_GB2312"/>
          <w:sz w:val="32"/>
          <w:szCs w:val="32"/>
        </w:rPr>
        <w:t>2.1</w:t>
      </w:r>
      <w:r>
        <w:rPr>
          <w:rFonts w:eastAsia="仿宋_GB2312"/>
          <w:kern w:val="0"/>
          <w:sz w:val="32"/>
          <w:szCs w:val="32"/>
        </w:rPr>
        <w:t>提供各部件（包括附件）的结构图示（建议提供工程结构图）和照片，图示中注意标注各部分名称、关键尺寸信息及测量位置，结合图示详细描述申报产品的结构组成、产品所有部件组成的工作原理</w:t>
      </w:r>
      <w:r>
        <w:rPr>
          <w:rFonts w:eastAsia="仿宋_GB2312"/>
          <w:kern w:val="0"/>
          <w:sz w:val="32"/>
          <w:szCs w:val="32"/>
        </w:rPr>
        <w:t>/</w:t>
      </w:r>
      <w:r>
        <w:rPr>
          <w:rFonts w:eastAsia="仿宋_GB2312"/>
          <w:kern w:val="0"/>
          <w:sz w:val="32"/>
          <w:szCs w:val="32"/>
        </w:rPr>
        <w:t>功能</w:t>
      </w:r>
      <w:r>
        <w:rPr>
          <w:rFonts w:eastAsia="仿宋_GB2312"/>
          <w:kern w:val="0"/>
          <w:sz w:val="32"/>
          <w:szCs w:val="32"/>
        </w:rPr>
        <w:t>/</w:t>
      </w:r>
      <w:r>
        <w:rPr>
          <w:rFonts w:eastAsia="仿宋_GB2312"/>
          <w:kern w:val="0"/>
          <w:sz w:val="32"/>
          <w:szCs w:val="32"/>
        </w:rPr>
        <w:t>作用机理，明确各部件的连接情况。对申报产品宜提供能够体现部件结构及其位置关系的图示（如三视图、组装图等）。</w:t>
      </w:r>
      <w:r>
        <w:rPr>
          <w:rFonts w:eastAsia="仿宋_GB2312"/>
          <w:sz w:val="32"/>
          <w:szCs w:val="32"/>
        </w:rPr>
        <w:t>根据产品特征，明确产品的几何尺寸（建议参考</w:t>
      </w:r>
      <w:r>
        <w:rPr>
          <w:rFonts w:eastAsia="仿宋_GB2312"/>
          <w:sz w:val="32"/>
          <w:szCs w:val="32"/>
        </w:rPr>
        <w:t>YY/T 0119</w:t>
      </w:r>
      <w:r>
        <w:rPr>
          <w:rFonts w:eastAsia="仿宋_GB2312"/>
          <w:sz w:val="32"/>
          <w:szCs w:val="32"/>
        </w:rPr>
        <w:t>《脊柱植入物</w:t>
      </w:r>
      <w:r>
        <w:rPr>
          <w:rFonts w:eastAsia="仿宋_GB2312"/>
          <w:sz w:val="32"/>
          <w:szCs w:val="32"/>
        </w:rPr>
        <w:t xml:space="preserve"> </w:t>
      </w:r>
      <w:r>
        <w:rPr>
          <w:rFonts w:eastAsia="仿宋_GB2312"/>
          <w:sz w:val="32"/>
          <w:szCs w:val="32"/>
        </w:rPr>
        <w:t>脊柱内固定系统部件》系列标准的要求）。</w:t>
      </w:r>
      <w:r>
        <w:rPr>
          <w:rFonts w:eastAsia="仿宋_GB2312"/>
          <w:kern w:val="0"/>
          <w:sz w:val="32"/>
          <w:szCs w:val="32"/>
        </w:rPr>
        <w:t>例如脊柱棒的直径、长度；椎弓根螺钉外径和底径的标称值和公差、长度的标称值和公差、螺纹设计、螺纹间距、万向椎弓根螺钉的可调节角度（如适用）、空心内径的标称值和公差（如适用）</w:t>
      </w:r>
      <w:r>
        <w:rPr>
          <w:rFonts w:eastAsia="仿宋_GB2312"/>
          <w:sz w:val="32"/>
          <w:szCs w:val="32"/>
        </w:rPr>
        <w:t>等识别产品规格特征、结构和配合的重要尺寸。</w:t>
      </w:r>
    </w:p>
    <w:p w:rsidR="000E7BCE" w:rsidRDefault="008933C1">
      <w:pPr>
        <w:spacing w:line="520" w:lineRule="exact"/>
        <w:ind w:firstLineChars="200" w:firstLine="640"/>
        <w:rPr>
          <w:rFonts w:eastAsia="仿宋_GB2312"/>
          <w:kern w:val="0"/>
          <w:sz w:val="32"/>
          <w:szCs w:val="32"/>
        </w:rPr>
      </w:pPr>
      <w:r>
        <w:rPr>
          <w:rFonts w:eastAsia="仿宋_GB2312"/>
          <w:sz w:val="32"/>
          <w:szCs w:val="32"/>
        </w:rPr>
        <w:t>2.2</w:t>
      </w:r>
      <w:r>
        <w:rPr>
          <w:rFonts w:eastAsia="仿宋_GB2312"/>
          <w:kern w:val="0"/>
          <w:sz w:val="32"/>
          <w:szCs w:val="32"/>
        </w:rPr>
        <w:t>明确产品与使用者和</w:t>
      </w:r>
      <w:r>
        <w:rPr>
          <w:rFonts w:eastAsia="仿宋_GB2312"/>
          <w:kern w:val="0"/>
          <w:sz w:val="32"/>
          <w:szCs w:val="32"/>
        </w:rPr>
        <w:t>/</w:t>
      </w:r>
      <w:r>
        <w:rPr>
          <w:rFonts w:eastAsia="仿宋_GB2312"/>
          <w:kern w:val="0"/>
          <w:sz w:val="32"/>
          <w:szCs w:val="32"/>
        </w:rPr>
        <w:t>或患者直接或间接接触的部件组成材料的通用名称</w:t>
      </w:r>
      <w:r>
        <w:rPr>
          <w:rFonts w:eastAsia="仿宋_GB2312"/>
          <w:kern w:val="0"/>
          <w:sz w:val="32"/>
          <w:szCs w:val="32"/>
        </w:rPr>
        <w:t>/</w:t>
      </w:r>
      <w:r>
        <w:rPr>
          <w:rFonts w:eastAsia="仿宋_GB2312"/>
          <w:kern w:val="0"/>
          <w:sz w:val="32"/>
          <w:szCs w:val="32"/>
        </w:rPr>
        <w:t>化学名称、商品名</w:t>
      </w:r>
      <w:r>
        <w:rPr>
          <w:rFonts w:eastAsia="仿宋_GB2312"/>
          <w:kern w:val="0"/>
          <w:sz w:val="32"/>
          <w:szCs w:val="32"/>
        </w:rPr>
        <w:t>/</w:t>
      </w:r>
      <w:r>
        <w:rPr>
          <w:rFonts w:eastAsia="仿宋_GB2312"/>
          <w:kern w:val="0"/>
          <w:sz w:val="32"/>
          <w:szCs w:val="32"/>
        </w:rPr>
        <w:t>牌号、符合的材料标准（如适用）及材料供应商等基本信息，包括制造过程中使用的加工助剂。建议产品组成材料以列表的形式提供，并与产品结构图示中标识的部件名称一一对应。</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需简述关键部件的生产工艺，如聚醚醚酮脊柱棒的加工成型过程等。</w:t>
      </w:r>
    </w:p>
    <w:p w:rsidR="000E7BCE" w:rsidRDefault="008933C1">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型号规格</w:t>
      </w:r>
    </w:p>
    <w:p w:rsidR="000E7BCE" w:rsidRDefault="008933C1">
      <w:pPr>
        <w:spacing w:line="520" w:lineRule="exact"/>
        <w:ind w:firstLineChars="200" w:firstLine="640"/>
        <w:rPr>
          <w:rFonts w:eastAsia="仿宋_GB2312"/>
          <w:sz w:val="32"/>
          <w:szCs w:val="32"/>
        </w:rPr>
      </w:pPr>
      <w:r>
        <w:rPr>
          <w:rFonts w:eastAsia="仿宋_GB2312"/>
          <w:sz w:val="32"/>
          <w:szCs w:val="32"/>
        </w:rPr>
        <w:t>对于存在多种型号规格的产品，需明确各型号规格的区别，采用对比表及带有说明性文字的图片、图表，如提供脊柱后路内固定系统固定在脊柱模型上的放大照片和</w:t>
      </w:r>
      <w:r>
        <w:rPr>
          <w:rFonts w:eastAsia="仿宋_GB2312"/>
          <w:sz w:val="32"/>
          <w:szCs w:val="32"/>
        </w:rPr>
        <w:t>/</w:t>
      </w:r>
      <w:r>
        <w:rPr>
          <w:rFonts w:eastAsia="仿宋_GB2312"/>
          <w:sz w:val="32"/>
          <w:szCs w:val="32"/>
        </w:rPr>
        <w:t>或实体图，对各种型号规格的结构组成、产品特征、性能指标、功能等方面加以</w:t>
      </w:r>
      <w:r>
        <w:rPr>
          <w:rFonts w:eastAsia="仿宋_GB2312"/>
          <w:sz w:val="32"/>
          <w:szCs w:val="32"/>
        </w:rPr>
        <w:lastRenderedPageBreak/>
        <w:t>描述。</w:t>
      </w:r>
    </w:p>
    <w:p w:rsidR="000E7BCE" w:rsidRDefault="008933C1">
      <w:pPr>
        <w:spacing w:line="520" w:lineRule="exact"/>
        <w:ind w:firstLineChars="200" w:firstLine="640"/>
        <w:rPr>
          <w:rFonts w:eastAsia="仿宋_GB2312"/>
          <w:sz w:val="32"/>
          <w:szCs w:val="32"/>
        </w:rPr>
      </w:pPr>
      <w:bookmarkStart w:id="0" w:name="_Toc431215381"/>
      <w:r>
        <w:rPr>
          <w:rFonts w:eastAsia="仿宋_GB2312"/>
          <w:sz w:val="32"/>
          <w:szCs w:val="32"/>
        </w:rPr>
        <w:t>4.</w:t>
      </w:r>
      <w:r>
        <w:rPr>
          <w:rFonts w:eastAsia="仿宋_GB2312"/>
          <w:sz w:val="32"/>
          <w:szCs w:val="32"/>
        </w:rPr>
        <w:t>包装说明</w:t>
      </w:r>
      <w:bookmarkEnd w:id="0"/>
    </w:p>
    <w:p w:rsidR="000E7BCE" w:rsidRDefault="008933C1">
      <w:pPr>
        <w:spacing w:line="520" w:lineRule="exact"/>
        <w:ind w:firstLineChars="200" w:firstLine="640"/>
        <w:rPr>
          <w:rFonts w:eastAsia="仿宋_GB2312"/>
          <w:sz w:val="32"/>
          <w:szCs w:val="32"/>
        </w:rPr>
      </w:pPr>
      <w:r>
        <w:rPr>
          <w:rFonts w:eastAsia="仿宋_GB2312"/>
          <w:sz w:val="32"/>
          <w:szCs w:val="32"/>
        </w:rPr>
        <w:t>明确产品所有组成部分的包装形式及初包装（无菌屏障系统）材料信息。建议提供初包装的照片及图示，明确初包装的材料信息，并以列表形式说明所有包装内容物。</w:t>
      </w:r>
    </w:p>
    <w:p w:rsidR="000E7BCE" w:rsidRDefault="008933C1">
      <w:pPr>
        <w:tabs>
          <w:tab w:val="left" w:pos="993"/>
        </w:tabs>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与同类和</w:t>
      </w:r>
      <w:r>
        <w:rPr>
          <w:rFonts w:eastAsia="仿宋_GB2312"/>
          <w:sz w:val="32"/>
          <w:szCs w:val="32"/>
        </w:rPr>
        <w:t>/</w:t>
      </w:r>
      <w:r>
        <w:rPr>
          <w:rFonts w:eastAsia="仿宋_GB2312"/>
          <w:sz w:val="32"/>
          <w:szCs w:val="32"/>
        </w:rPr>
        <w:t>或前代产品的参考和比较</w:t>
      </w:r>
    </w:p>
    <w:p w:rsidR="000E7BCE" w:rsidRDefault="008933C1">
      <w:pPr>
        <w:spacing w:line="520" w:lineRule="exact"/>
        <w:ind w:firstLineChars="200" w:firstLine="640"/>
        <w:rPr>
          <w:rFonts w:eastAsia="仿宋_GB2312"/>
          <w:sz w:val="32"/>
          <w:szCs w:val="32"/>
        </w:rPr>
      </w:pPr>
      <w:r>
        <w:rPr>
          <w:rFonts w:eastAsia="仿宋_GB2312"/>
          <w:sz w:val="32"/>
          <w:szCs w:val="32"/>
        </w:rPr>
        <w:t>需提供同类产品（国内或国外已上市）或前代产品（如有）的信息，阐述申请注册产品的研发背景和目的。如有参考的同类产品或前代产品，应当提供同类产品或前代产品的信息，并说明选择其作为研发参考的原因。</w:t>
      </w:r>
    </w:p>
    <w:p w:rsidR="000E7BCE" w:rsidRDefault="008933C1">
      <w:pPr>
        <w:spacing w:line="520" w:lineRule="exact"/>
        <w:ind w:firstLineChars="200" w:firstLine="640"/>
        <w:rPr>
          <w:rFonts w:eastAsia="仿宋_GB2312"/>
          <w:sz w:val="32"/>
          <w:szCs w:val="32"/>
        </w:rPr>
      </w:pPr>
      <w:r>
        <w:rPr>
          <w:rFonts w:eastAsia="仿宋_GB2312"/>
          <w:sz w:val="32"/>
          <w:szCs w:val="32"/>
        </w:rPr>
        <w:t>需综述同类产品国内或国外研究、临床使用现状及发展趋势。同时列表比较说明申报产品与参考产品（同类产品或前代产品）在材料、结构设计、工作原理、适用范围及产品性能指标等方面的异同。明确产品有无使用了新材料、新技术、新设计或具有新作用机理、新功能。</w:t>
      </w:r>
    </w:p>
    <w:p w:rsidR="000E7BCE" w:rsidRDefault="008933C1">
      <w:pPr>
        <w:spacing w:line="520" w:lineRule="exact"/>
        <w:ind w:firstLineChars="200" w:firstLine="640"/>
        <w:rPr>
          <w:rFonts w:eastAsia="仿宋_GB2312"/>
          <w:kern w:val="0"/>
          <w:sz w:val="32"/>
          <w:szCs w:val="32"/>
        </w:rPr>
      </w:pPr>
      <w:bookmarkStart w:id="1" w:name="_Toc431215382"/>
      <w:r>
        <w:rPr>
          <w:rFonts w:eastAsia="仿宋_GB2312"/>
          <w:sz w:val="32"/>
          <w:szCs w:val="32"/>
        </w:rPr>
        <w:t>6.</w:t>
      </w:r>
      <w:r>
        <w:rPr>
          <w:rFonts w:eastAsia="仿宋_GB2312"/>
          <w:sz w:val="32"/>
          <w:szCs w:val="32"/>
        </w:rPr>
        <w:t>适用范围</w:t>
      </w:r>
      <w:bookmarkEnd w:id="1"/>
      <w:r>
        <w:rPr>
          <w:rFonts w:eastAsia="仿宋_GB2312"/>
          <w:sz w:val="32"/>
          <w:szCs w:val="32"/>
        </w:rPr>
        <w:t>和禁忌证</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产品的适用范围、适用人群、禁忌证需与申报产品的性能、功能相符。</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6.1</w:t>
      </w:r>
      <w:r>
        <w:rPr>
          <w:rFonts w:eastAsia="仿宋_GB2312"/>
          <w:sz w:val="32"/>
          <w:szCs w:val="32"/>
        </w:rPr>
        <w:t>适用范围</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适用范围的表述需客观、清晰，使用有明确定义或行业公认的术语或名词。例如：与同一系统组件配合，适用于胸腰椎脊柱后路内固定。对于不同设计类型的组件（如可注射骨水泥的椎弓根螺钉等）的适应证不同的情形，可在适用范围中明确产品具体的适应证。</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6.2</w:t>
      </w:r>
      <w:r>
        <w:rPr>
          <w:rFonts w:eastAsia="仿宋_GB2312"/>
          <w:sz w:val="32"/>
          <w:szCs w:val="32"/>
        </w:rPr>
        <w:t>预期使用环境</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lastRenderedPageBreak/>
        <w:t>明确预期使用的地点（如医疗机构），说明可能影响其安全性和有效性的环境条件。</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6.3</w:t>
      </w:r>
      <w:r>
        <w:rPr>
          <w:rFonts w:eastAsia="仿宋_GB2312"/>
          <w:sz w:val="32"/>
          <w:szCs w:val="32"/>
        </w:rPr>
        <w:t>适用人群</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说明该器械目标患者人群信息，以及使用过程中需要考虑的因素、不适宜应用的某些疾病、情况或特定人群（如适用）。</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6.4</w:t>
      </w:r>
      <w:r>
        <w:rPr>
          <w:rFonts w:eastAsia="仿宋_GB2312"/>
          <w:sz w:val="32"/>
          <w:szCs w:val="32"/>
        </w:rPr>
        <w:t>禁忌证</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如适用，通过风险</w:t>
      </w:r>
      <w:r>
        <w:rPr>
          <w:rFonts w:eastAsia="仿宋_GB2312"/>
          <w:sz w:val="32"/>
          <w:szCs w:val="32"/>
        </w:rPr>
        <w:t>/</w:t>
      </w:r>
      <w:r>
        <w:rPr>
          <w:rFonts w:eastAsia="仿宋_GB2312"/>
          <w:sz w:val="32"/>
          <w:szCs w:val="32"/>
        </w:rPr>
        <w:t>受益评估后，针对某些疾病、情况或特定的人群，认为不适合使用该产品的，需明确说明。</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申报产品上市历史</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如适用，提交申报产品在各国家或地区的上市批准时间、销售情况。如有不良事件和召回，分别对申报产品上市后发生的不良事件、召回的发生时间、注册申请人采取的处理和解决方案、相关部门的调查处理情况等进行描述。</w:t>
      </w:r>
    </w:p>
    <w:p w:rsidR="000E7BCE" w:rsidRDefault="008933C1">
      <w:pPr>
        <w:adjustRightInd w:val="0"/>
        <w:snapToGrid w:val="0"/>
        <w:spacing w:line="520" w:lineRule="exact"/>
        <w:ind w:firstLineChars="200" w:firstLine="640"/>
        <w:outlineLvl w:val="1"/>
        <w:rPr>
          <w:rFonts w:eastAsia="楷体_GB2312"/>
          <w:sz w:val="32"/>
          <w:szCs w:val="32"/>
        </w:rPr>
      </w:pPr>
      <w:r>
        <w:rPr>
          <w:rFonts w:eastAsia="楷体_GB2312"/>
          <w:sz w:val="32"/>
          <w:szCs w:val="32"/>
        </w:rPr>
        <w:t>（三）非临床研究资料</w:t>
      </w:r>
    </w:p>
    <w:p w:rsidR="000E7BCE" w:rsidRDefault="008933C1">
      <w:pPr>
        <w:adjustRightInd w:val="0"/>
        <w:snapToGrid w:val="0"/>
        <w:spacing w:line="520" w:lineRule="exact"/>
        <w:ind w:firstLineChars="200" w:firstLine="640"/>
        <w:rPr>
          <w:rFonts w:eastAsia="仿宋_GB2312"/>
          <w:bCs/>
          <w:sz w:val="32"/>
          <w:szCs w:val="32"/>
        </w:rPr>
      </w:pPr>
      <w:r>
        <w:rPr>
          <w:rFonts w:eastAsia="仿宋_GB2312"/>
          <w:bCs/>
          <w:sz w:val="32"/>
          <w:szCs w:val="32"/>
        </w:rPr>
        <w:t>1.</w:t>
      </w:r>
      <w:r>
        <w:rPr>
          <w:rFonts w:eastAsia="仿宋_GB2312"/>
          <w:bCs/>
          <w:sz w:val="32"/>
          <w:szCs w:val="32"/>
        </w:rPr>
        <w:t>产品风险管理资料</w:t>
      </w:r>
    </w:p>
    <w:p w:rsidR="000E7BCE" w:rsidRDefault="008933C1">
      <w:pPr>
        <w:spacing w:line="520" w:lineRule="exact"/>
        <w:ind w:firstLineChars="200" w:firstLine="640"/>
        <w:rPr>
          <w:rFonts w:eastAsia="仿宋_GB2312"/>
          <w:kern w:val="0"/>
          <w:sz w:val="32"/>
          <w:szCs w:val="32"/>
        </w:rPr>
      </w:pPr>
      <w:r>
        <w:rPr>
          <w:rFonts w:eastAsia="仿宋_GB2312"/>
          <w:sz w:val="32"/>
          <w:szCs w:val="32"/>
        </w:rPr>
        <w:t>注册申请人需对产品全生命周期实施风险管理，提交风险管理资料（参照</w:t>
      </w:r>
      <w:r>
        <w:rPr>
          <w:rFonts w:eastAsia="仿宋_GB2312"/>
          <w:sz w:val="32"/>
          <w:szCs w:val="32"/>
        </w:rPr>
        <w:t>GB/T 42062</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w:t>
      </w:r>
      <w:r>
        <w:rPr>
          <w:rFonts w:eastAsia="仿宋_GB2312"/>
          <w:kern w:val="0"/>
          <w:sz w:val="32"/>
          <w:szCs w:val="32"/>
        </w:rPr>
        <w:t>充分识别产品的设计、原材料、制造过程、产品包装、灭菌、运输、贮存、使用等产品生命周期内各个环节的安全特征，从生物学危险（源）、环境危险（源）、有关植入过程的危险（源）、由功能失效、疲劳所引起的危险（如脊柱后路内固定系统不稳、松动、组件分离、脊柱棒</w:t>
      </w:r>
      <w:r>
        <w:rPr>
          <w:rFonts w:eastAsia="仿宋_GB2312"/>
          <w:kern w:val="0"/>
          <w:sz w:val="32"/>
          <w:szCs w:val="32"/>
        </w:rPr>
        <w:t>/</w:t>
      </w:r>
      <w:r>
        <w:rPr>
          <w:rFonts w:eastAsia="仿宋_GB2312"/>
          <w:kern w:val="0"/>
          <w:sz w:val="32"/>
          <w:szCs w:val="32"/>
        </w:rPr>
        <w:t>椎弓根螺钉断裂、组件尺寸不匹配等失效风险）等方面，对产品进行全面的风险分析，并详述所采取的风险控制措施。</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风险管理报告需包括生产和生产后信息（具体内容参考</w:t>
      </w:r>
      <w:r>
        <w:rPr>
          <w:rFonts w:eastAsia="仿宋_GB2312"/>
          <w:sz w:val="32"/>
          <w:szCs w:val="32"/>
        </w:rPr>
        <w:lastRenderedPageBreak/>
        <w:t>GB/T 42062</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w:t>
      </w:r>
      <w:r>
        <w:rPr>
          <w:rFonts w:eastAsia="仿宋_GB2312"/>
          <w:kern w:val="0"/>
          <w:sz w:val="32"/>
          <w:szCs w:val="32"/>
        </w:rPr>
        <w:t>第</w:t>
      </w:r>
      <w:r>
        <w:rPr>
          <w:rFonts w:eastAsia="仿宋_GB2312"/>
          <w:kern w:val="0"/>
          <w:sz w:val="32"/>
          <w:szCs w:val="32"/>
        </w:rPr>
        <w:t>9</w:t>
      </w:r>
      <w:r>
        <w:rPr>
          <w:rFonts w:eastAsia="仿宋_GB2312"/>
          <w:kern w:val="0"/>
          <w:sz w:val="32"/>
          <w:szCs w:val="32"/>
        </w:rPr>
        <w:t>章和《医疗器械安全和性能的基本原则》的</w:t>
      </w:r>
      <w:r>
        <w:rPr>
          <w:rFonts w:eastAsia="仿宋_GB2312"/>
          <w:kern w:val="0"/>
          <w:sz w:val="32"/>
          <w:szCs w:val="32"/>
        </w:rPr>
        <w:t>2.1.2e</w:t>
      </w:r>
      <w:r>
        <w:rPr>
          <w:rFonts w:eastAsia="仿宋_GB2312"/>
          <w:kern w:val="0"/>
          <w:sz w:val="32"/>
          <w:szCs w:val="32"/>
        </w:rPr>
        <w:t>，</w:t>
      </w:r>
      <w:r>
        <w:rPr>
          <w:rFonts w:eastAsia="仿宋_GB2312"/>
          <w:kern w:val="0"/>
          <w:sz w:val="32"/>
          <w:szCs w:val="32"/>
        </w:rPr>
        <w:t>f</w:t>
      </w:r>
      <w:r>
        <w:rPr>
          <w:rFonts w:eastAsia="仿宋_GB2312"/>
          <w:kern w:val="0"/>
          <w:sz w:val="32"/>
          <w:szCs w:val="32"/>
        </w:rPr>
        <w:t>部分）。产品变更注册和已在境外上市产品注册时，申报资料中的风险管理报告需包括上述内容，将风险管理贯穿于产品的全生命周期。</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医疗器械安全和性能基本原则清单</w:t>
      </w:r>
    </w:p>
    <w:p w:rsidR="000E7BCE" w:rsidRDefault="008933C1">
      <w:pPr>
        <w:numPr>
          <w:ilvl w:val="255"/>
          <w:numId w:val="0"/>
        </w:numPr>
        <w:spacing w:line="520" w:lineRule="exact"/>
        <w:ind w:firstLineChars="200" w:firstLine="640"/>
        <w:rPr>
          <w:rFonts w:eastAsia="仿宋_GB2312"/>
          <w:sz w:val="32"/>
          <w:szCs w:val="32"/>
        </w:rPr>
      </w:pPr>
      <w:r>
        <w:rPr>
          <w:rFonts w:eastAsia="仿宋_GB2312"/>
          <w:sz w:val="32"/>
          <w:szCs w:val="32"/>
        </w:rPr>
        <w:t>说明产品符合《医疗器械安全和性能基本原则清单》各项适用要求所采用的方法，以及证明其符合性的文件。</w:t>
      </w:r>
    </w:p>
    <w:p w:rsidR="000E7BCE" w:rsidRDefault="008933C1">
      <w:pPr>
        <w:numPr>
          <w:ilvl w:val="255"/>
          <w:numId w:val="0"/>
        </w:num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产品技术要求</w:t>
      </w:r>
    </w:p>
    <w:p w:rsidR="000E7BCE" w:rsidRDefault="008933C1">
      <w:pPr>
        <w:spacing w:line="520" w:lineRule="exact"/>
        <w:ind w:firstLineChars="200" w:firstLine="640"/>
        <w:rPr>
          <w:rFonts w:eastAsia="仿宋_GB2312"/>
          <w:kern w:val="0"/>
          <w:sz w:val="32"/>
          <w:szCs w:val="32"/>
        </w:rPr>
      </w:pPr>
      <w:r>
        <w:rPr>
          <w:rFonts w:eastAsia="仿宋_GB2312"/>
          <w:sz w:val="32"/>
          <w:szCs w:val="32"/>
        </w:rPr>
        <w:t>产品技术要求的制定需符合《医疗器械产品技术要求编写指导原则》的要求，</w:t>
      </w:r>
      <w:r>
        <w:rPr>
          <w:rFonts w:eastAsia="仿宋_GB2312"/>
          <w:kern w:val="0"/>
          <w:sz w:val="32"/>
          <w:szCs w:val="32"/>
        </w:rPr>
        <w:t>同时结合产品具体适用的指导原则或相关国家标准、行业标准（可参考</w:t>
      </w:r>
      <w:r>
        <w:rPr>
          <w:rFonts w:eastAsia="仿宋_GB2312"/>
          <w:sz w:val="32"/>
          <w:szCs w:val="32"/>
        </w:rPr>
        <w:t>YY/T 0119</w:t>
      </w:r>
      <w:r>
        <w:rPr>
          <w:rFonts w:eastAsia="仿宋_GB2312"/>
          <w:sz w:val="32"/>
          <w:szCs w:val="32"/>
        </w:rPr>
        <w:t>《脊柱植入物</w:t>
      </w:r>
      <w:r>
        <w:rPr>
          <w:rFonts w:eastAsia="仿宋_GB2312"/>
          <w:sz w:val="32"/>
          <w:szCs w:val="32"/>
        </w:rPr>
        <w:t xml:space="preserve"> </w:t>
      </w:r>
      <w:r>
        <w:rPr>
          <w:rFonts w:eastAsia="仿宋_GB2312"/>
          <w:sz w:val="32"/>
          <w:szCs w:val="32"/>
        </w:rPr>
        <w:t>脊柱内固定系统部件》系列标准的相关要求</w:t>
      </w:r>
      <w:r>
        <w:rPr>
          <w:rFonts w:eastAsia="仿宋_GB2312"/>
          <w:kern w:val="0"/>
          <w:sz w:val="32"/>
          <w:szCs w:val="32"/>
        </w:rPr>
        <w:t>）以及产品的特点，选择适用项对各项性能指标和检验方法进行制定，以保证产品安全、有效、质量可控。</w:t>
      </w:r>
    </w:p>
    <w:p w:rsidR="000E7BCE" w:rsidRDefault="008933C1">
      <w:pPr>
        <w:adjustRightInd w:val="0"/>
        <w:snapToGrid w:val="0"/>
        <w:spacing w:line="520" w:lineRule="exact"/>
        <w:ind w:firstLineChars="200" w:firstLine="640"/>
        <w:rPr>
          <w:rFonts w:eastAsia="仿宋_GB2312"/>
          <w:bCs/>
          <w:sz w:val="32"/>
          <w:szCs w:val="32"/>
        </w:rPr>
      </w:pPr>
      <w:r>
        <w:rPr>
          <w:rFonts w:eastAsia="仿宋_GB2312"/>
          <w:bCs/>
          <w:sz w:val="32"/>
          <w:szCs w:val="32"/>
        </w:rPr>
        <w:t>3.1</w:t>
      </w:r>
      <w:r>
        <w:rPr>
          <w:rFonts w:eastAsia="仿宋_GB2312"/>
          <w:kern w:val="0"/>
          <w:sz w:val="32"/>
          <w:szCs w:val="32"/>
        </w:rPr>
        <w:t>产品型号</w:t>
      </w:r>
      <w:r>
        <w:rPr>
          <w:rFonts w:eastAsia="仿宋_GB2312"/>
          <w:kern w:val="0"/>
          <w:sz w:val="32"/>
          <w:szCs w:val="32"/>
        </w:rPr>
        <w:t>/</w:t>
      </w:r>
      <w:r>
        <w:rPr>
          <w:rFonts w:eastAsia="仿宋_GB2312"/>
          <w:kern w:val="0"/>
          <w:sz w:val="32"/>
          <w:szCs w:val="32"/>
        </w:rPr>
        <w:t>规格及其</w:t>
      </w:r>
      <w:r>
        <w:rPr>
          <w:rFonts w:eastAsia="仿宋_GB2312"/>
          <w:bCs/>
          <w:sz w:val="32"/>
          <w:szCs w:val="32"/>
        </w:rPr>
        <w:t>划分说明</w:t>
      </w:r>
    </w:p>
    <w:p w:rsidR="000E7BCE" w:rsidRDefault="008933C1">
      <w:pPr>
        <w:spacing w:line="520" w:lineRule="exact"/>
        <w:ind w:firstLineChars="200" w:firstLine="640"/>
        <w:rPr>
          <w:rFonts w:eastAsia="仿宋_GB2312"/>
          <w:sz w:val="32"/>
          <w:szCs w:val="32"/>
        </w:rPr>
      </w:pPr>
      <w:r>
        <w:rPr>
          <w:rFonts w:eastAsia="仿宋_GB2312"/>
          <w:sz w:val="32"/>
          <w:szCs w:val="32"/>
        </w:rPr>
        <w:t>明确产品型号</w:t>
      </w:r>
      <w:r>
        <w:rPr>
          <w:rFonts w:eastAsia="仿宋_GB2312"/>
          <w:sz w:val="32"/>
          <w:szCs w:val="32"/>
        </w:rPr>
        <w:t>/</w:t>
      </w:r>
      <w:r>
        <w:rPr>
          <w:rFonts w:eastAsia="仿宋_GB2312"/>
          <w:sz w:val="32"/>
          <w:szCs w:val="32"/>
        </w:rPr>
        <w:t>规格，阐明各型号</w:t>
      </w:r>
      <w:r>
        <w:rPr>
          <w:rFonts w:eastAsia="仿宋_GB2312"/>
          <w:sz w:val="32"/>
          <w:szCs w:val="32"/>
        </w:rPr>
        <w:t>/</w:t>
      </w:r>
      <w:r>
        <w:rPr>
          <w:rFonts w:eastAsia="仿宋_GB2312"/>
          <w:sz w:val="32"/>
          <w:szCs w:val="32"/>
        </w:rPr>
        <w:t>规格间的区别及划分说明，型号</w:t>
      </w:r>
      <w:r>
        <w:rPr>
          <w:rFonts w:eastAsia="仿宋_GB2312"/>
          <w:sz w:val="32"/>
          <w:szCs w:val="32"/>
        </w:rPr>
        <w:t>/</w:t>
      </w:r>
      <w:r>
        <w:rPr>
          <w:rFonts w:eastAsia="仿宋_GB2312"/>
          <w:sz w:val="32"/>
          <w:szCs w:val="32"/>
        </w:rPr>
        <w:t>规格的表述需在全部注册申报资料中保持一致。</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kern w:val="0"/>
          <w:sz w:val="32"/>
          <w:szCs w:val="32"/>
        </w:rPr>
        <w:t>性能指标</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rPr>
        <w:t>产品技术要求中指标需针对终产品，选取适用的项目制定，且性能指标不低于产品适用的强制性国家标准和强制性行业标准。如产品有特定设计，注册申请人还需根据产品设计特征设定相应的性能指标，并将其列入产品技术要求。对于可进行客观判定的成品定性或定量的功能性、安全性指标，需将其列入产品技术要求。</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3.2.1</w:t>
      </w:r>
      <w:r>
        <w:rPr>
          <w:rFonts w:eastAsia="仿宋_GB2312"/>
          <w:kern w:val="0"/>
          <w:sz w:val="32"/>
          <w:szCs w:val="32"/>
        </w:rPr>
        <w:t>外观</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lang w:val="zh-CN"/>
        </w:rPr>
        <w:lastRenderedPageBreak/>
        <w:t>3.2.2</w:t>
      </w:r>
      <w:r>
        <w:rPr>
          <w:rFonts w:eastAsia="仿宋_GB2312"/>
          <w:kern w:val="0"/>
          <w:sz w:val="32"/>
          <w:szCs w:val="32"/>
          <w:lang w:val="zh-CN"/>
        </w:rPr>
        <w:t>不锈钢产品的耐腐蚀性能（如适用）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3.2.3</w:t>
      </w:r>
      <w:r>
        <w:rPr>
          <w:rFonts w:eastAsia="仿宋_GB2312"/>
          <w:kern w:val="0"/>
          <w:sz w:val="32"/>
          <w:szCs w:val="32"/>
        </w:rPr>
        <w:t>硬度</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3.2.4</w:t>
      </w:r>
      <w:r>
        <w:rPr>
          <w:rFonts w:eastAsia="仿宋_GB2312"/>
          <w:kern w:val="0"/>
          <w:sz w:val="32"/>
          <w:szCs w:val="32"/>
        </w:rPr>
        <w:t>表面缺陷</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3.2.5</w:t>
      </w:r>
      <w:r>
        <w:rPr>
          <w:rFonts w:eastAsia="仿宋_GB2312"/>
          <w:kern w:val="0"/>
          <w:sz w:val="32"/>
          <w:szCs w:val="32"/>
        </w:rPr>
        <w:t>表面粗糙度（如有涂层，需明确涂层表面粗糙度）</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3.2.6</w:t>
      </w:r>
      <w:r>
        <w:rPr>
          <w:rFonts w:eastAsia="仿宋_GB2312"/>
          <w:kern w:val="0"/>
          <w:sz w:val="32"/>
          <w:szCs w:val="32"/>
        </w:rPr>
        <w:t>关键尺寸及公差</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3.2.7</w:t>
      </w:r>
      <w:r>
        <w:rPr>
          <w:rFonts w:eastAsia="仿宋_GB2312"/>
          <w:kern w:val="0"/>
          <w:sz w:val="32"/>
          <w:szCs w:val="32"/>
        </w:rPr>
        <w:t>羟基磷灰石涂层表面形貌（如适用，需明确厚度、孔隙率、平均孔隙截距）</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3.2.8</w:t>
      </w:r>
      <w:r>
        <w:rPr>
          <w:rFonts w:eastAsia="仿宋_GB2312"/>
          <w:kern w:val="0"/>
          <w:sz w:val="32"/>
          <w:szCs w:val="32"/>
        </w:rPr>
        <w:t>羟基磷灰石涂层静态力学性能（如适用）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3.2.9</w:t>
      </w:r>
      <w:r>
        <w:rPr>
          <w:rFonts w:eastAsia="仿宋_GB2312"/>
          <w:kern w:val="0"/>
          <w:sz w:val="32"/>
          <w:szCs w:val="32"/>
        </w:rPr>
        <w:t>配合性能（如适用，单个组件申报时不适用）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3.2.10</w:t>
      </w:r>
      <w:r>
        <w:rPr>
          <w:rFonts w:eastAsia="仿宋_GB2312"/>
          <w:kern w:val="0"/>
          <w:sz w:val="32"/>
          <w:szCs w:val="32"/>
        </w:rPr>
        <w:t>脊柱棒、横向连接件的抗拉强度（如适用）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3.2.11</w:t>
      </w:r>
      <w:r>
        <w:rPr>
          <w:rFonts w:eastAsia="仿宋_GB2312"/>
          <w:kern w:val="0"/>
          <w:sz w:val="32"/>
          <w:szCs w:val="32"/>
        </w:rPr>
        <w:t>无菌（如适用）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3.2.12</w:t>
      </w:r>
      <w:r>
        <w:rPr>
          <w:rFonts w:eastAsia="仿宋_GB2312"/>
          <w:kern w:val="0"/>
          <w:sz w:val="32"/>
          <w:szCs w:val="32"/>
        </w:rPr>
        <w:t>环氧乙烷残留量（如适用）</w:t>
      </w:r>
    </w:p>
    <w:p w:rsidR="000E7BCE" w:rsidRDefault="008933C1">
      <w:pPr>
        <w:spacing w:line="520" w:lineRule="exact"/>
        <w:ind w:rightChars="-32" w:right="-67" w:firstLineChars="200" w:firstLine="640"/>
        <w:rPr>
          <w:rFonts w:eastAsia="仿宋_GB2312"/>
          <w:sz w:val="32"/>
          <w:szCs w:val="32"/>
        </w:rPr>
      </w:pPr>
      <w:r>
        <w:rPr>
          <w:rFonts w:eastAsia="仿宋_GB2312"/>
          <w:kern w:val="0"/>
          <w:sz w:val="32"/>
          <w:szCs w:val="32"/>
        </w:rPr>
        <w:t>3.3</w:t>
      </w:r>
      <w:r>
        <w:rPr>
          <w:rFonts w:eastAsia="仿宋_GB2312"/>
          <w:sz w:val="32"/>
          <w:szCs w:val="32"/>
        </w:rPr>
        <w:t>检验方法</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产品的检验方法需根据技术性能指标设定，检验方法需优先采用国家标准</w:t>
      </w:r>
      <w:r>
        <w:rPr>
          <w:rFonts w:eastAsia="仿宋_GB2312"/>
          <w:kern w:val="0"/>
          <w:sz w:val="32"/>
          <w:szCs w:val="32"/>
        </w:rPr>
        <w:t>/</w:t>
      </w:r>
      <w:r>
        <w:rPr>
          <w:rFonts w:eastAsia="仿宋_GB2312"/>
          <w:kern w:val="0"/>
          <w:sz w:val="32"/>
          <w:szCs w:val="32"/>
        </w:rPr>
        <w:t>行业标准中的方法。对于相关国家标准</w:t>
      </w:r>
      <w:r>
        <w:rPr>
          <w:rFonts w:eastAsia="仿宋_GB2312"/>
          <w:kern w:val="0"/>
          <w:sz w:val="32"/>
          <w:szCs w:val="32"/>
        </w:rPr>
        <w:t>/</w:t>
      </w:r>
      <w:r>
        <w:rPr>
          <w:rFonts w:eastAsia="仿宋_GB2312"/>
          <w:kern w:val="0"/>
          <w:sz w:val="32"/>
          <w:szCs w:val="32"/>
        </w:rPr>
        <w:t>行业标准中不适用的条款，需说明不适用的原因。所有引用的标准注明其编号、年号或版本号。自建检验方法需提供相应的方法学依据及理论基础，同时保证检验方法具有可操作性和可重现性，必要时可以采用相应图示进行说明，文本较大的可以附录形式提供。</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3.4</w:t>
      </w:r>
      <w:r>
        <w:rPr>
          <w:rFonts w:eastAsia="仿宋_GB2312"/>
          <w:kern w:val="0"/>
          <w:sz w:val="32"/>
          <w:szCs w:val="32"/>
        </w:rPr>
        <w:t>附录</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在附录中可更为详尽地注明产品某些描述性特性内容，如产品的结构图示；金属材料的化学成分、显微组织</w:t>
      </w:r>
      <w:r>
        <w:rPr>
          <w:rFonts w:eastAsia="仿宋_GB2312"/>
          <w:kern w:val="0"/>
          <w:sz w:val="32"/>
          <w:szCs w:val="32"/>
          <w:lang w:val="zh-CN"/>
        </w:rPr>
        <w:t>、内部质量、力学性能；聚醚醚酮材料的理化性能（如红外光谱、黏度）</w:t>
      </w:r>
      <w:r>
        <w:rPr>
          <w:rFonts w:eastAsia="仿宋_GB2312"/>
          <w:kern w:val="0"/>
          <w:sz w:val="32"/>
          <w:szCs w:val="32"/>
        </w:rPr>
        <w:t>；羟基磷灰石涂层，明确材料的钙磷原子比、结晶相含量、微量</w:t>
      </w:r>
      <w:r>
        <w:rPr>
          <w:rFonts w:eastAsia="仿宋_GB2312"/>
          <w:kern w:val="0"/>
          <w:sz w:val="32"/>
          <w:szCs w:val="32"/>
        </w:rPr>
        <w:lastRenderedPageBreak/>
        <w:t>元素含量；同时明确产品材料性能符合的标准；表面经阳极氧化工艺处理的产品，还需明确阳极氧化表面元素残留的要求；射线可探测性；磁共振兼容性（如适用）等要求。</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3.5</w:t>
      </w:r>
      <w:r>
        <w:rPr>
          <w:rFonts w:eastAsia="仿宋_GB2312"/>
          <w:kern w:val="0"/>
          <w:sz w:val="32"/>
          <w:szCs w:val="32"/>
        </w:rPr>
        <w:t>其他</w:t>
      </w:r>
    </w:p>
    <w:p w:rsidR="000E7BCE" w:rsidRDefault="008933C1">
      <w:pPr>
        <w:spacing w:line="520" w:lineRule="exact"/>
        <w:ind w:firstLineChars="200" w:firstLine="640"/>
        <w:rPr>
          <w:rFonts w:eastAsia="仿宋_GB2312"/>
          <w:sz w:val="32"/>
          <w:szCs w:val="32"/>
        </w:rPr>
      </w:pPr>
      <w:r>
        <w:rPr>
          <w:rFonts w:eastAsia="仿宋_GB2312"/>
          <w:sz w:val="32"/>
          <w:szCs w:val="32"/>
        </w:rPr>
        <w:t>如有不适用的项目，需予以说明。本部分仅提供了常规产品的基本性能要求，给予参考。</w:t>
      </w:r>
    </w:p>
    <w:p w:rsidR="000E7BCE" w:rsidRDefault="008933C1">
      <w:pPr>
        <w:spacing w:line="520" w:lineRule="exact"/>
        <w:ind w:firstLineChars="200" w:firstLine="640"/>
        <w:rPr>
          <w:rFonts w:eastAsia="仿宋_GB2312"/>
          <w:sz w:val="32"/>
          <w:szCs w:val="32"/>
        </w:rPr>
      </w:pPr>
      <w:r>
        <w:rPr>
          <w:rFonts w:eastAsia="仿宋_GB2312"/>
          <w:sz w:val="32"/>
          <w:szCs w:val="32"/>
        </w:rPr>
        <w:t>对于使用新材料、新技术、新设计或具有新作用机理、新功能的产品，需在产品技术要求中明确产品所具的有其他功能性、安全性指标，性能指标的制定需符合《医疗器械产品技术要求编写指导原则》的要求。</w:t>
      </w:r>
    </w:p>
    <w:p w:rsidR="000E7BCE" w:rsidRDefault="008933C1">
      <w:pPr>
        <w:pStyle w:val="aa"/>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产品检验</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提供检验样品型号</w:t>
      </w:r>
      <w:r>
        <w:rPr>
          <w:rFonts w:eastAsia="仿宋_GB2312"/>
          <w:kern w:val="0"/>
          <w:sz w:val="32"/>
          <w:szCs w:val="32"/>
        </w:rPr>
        <w:t>/</w:t>
      </w:r>
      <w:r>
        <w:rPr>
          <w:rFonts w:eastAsia="仿宋_GB2312"/>
          <w:kern w:val="0"/>
          <w:sz w:val="32"/>
          <w:szCs w:val="32"/>
        </w:rPr>
        <w:t>规格的选择依据。所检验型号</w:t>
      </w:r>
      <w:r>
        <w:rPr>
          <w:rFonts w:eastAsia="仿宋_GB2312"/>
          <w:kern w:val="0"/>
          <w:sz w:val="32"/>
          <w:szCs w:val="32"/>
        </w:rPr>
        <w:t>/</w:t>
      </w:r>
      <w:r>
        <w:rPr>
          <w:rFonts w:eastAsia="仿宋_GB2312"/>
          <w:kern w:val="0"/>
          <w:sz w:val="32"/>
          <w:szCs w:val="32"/>
        </w:rPr>
        <w:t>规格需为能够代表本注册单元内其他型号</w:t>
      </w:r>
      <w:r>
        <w:rPr>
          <w:rFonts w:eastAsia="仿宋_GB2312"/>
          <w:kern w:val="0"/>
          <w:sz w:val="32"/>
          <w:szCs w:val="32"/>
        </w:rPr>
        <w:t>/</w:t>
      </w:r>
      <w:r>
        <w:rPr>
          <w:rFonts w:eastAsia="仿宋_GB2312"/>
          <w:kern w:val="0"/>
          <w:sz w:val="32"/>
          <w:szCs w:val="32"/>
        </w:rPr>
        <w:t>规格的典型产品。当申报产品包括多个型号规格，需综合考虑申报产品的原材料、结构组成、包装方式、灭菌方式、生产工艺和预期用途等影响因素。一个型号不能完全覆盖时，应选择其他型号进行相关性能的补充性检测。不同组件建议分别选取典型性样品进行检验。</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5.</w:t>
      </w:r>
      <w:r>
        <w:rPr>
          <w:rFonts w:eastAsia="仿宋_GB2312"/>
          <w:sz w:val="32"/>
          <w:szCs w:val="32"/>
        </w:rPr>
        <w:t>研究资料</w:t>
      </w:r>
    </w:p>
    <w:p w:rsidR="000E7BCE" w:rsidRDefault="008933C1">
      <w:pPr>
        <w:spacing w:line="520" w:lineRule="exact"/>
        <w:ind w:firstLineChars="200" w:firstLine="616"/>
        <w:rPr>
          <w:rFonts w:eastAsia="仿宋_GB2312"/>
          <w:kern w:val="0"/>
          <w:sz w:val="32"/>
          <w:szCs w:val="32"/>
        </w:rPr>
      </w:pPr>
      <w:r>
        <w:rPr>
          <w:rFonts w:eastAsia="仿宋_GB2312"/>
          <w:spacing w:val="-6"/>
          <w:sz w:val="32"/>
          <w:szCs w:val="32"/>
        </w:rPr>
        <w:t>注册申请人需</w:t>
      </w:r>
      <w:r>
        <w:rPr>
          <w:rFonts w:eastAsia="仿宋_GB2312"/>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w:t>
      </w:r>
      <w:r>
        <w:rPr>
          <w:rFonts w:eastAsia="仿宋_GB2312"/>
          <w:kern w:val="0"/>
          <w:sz w:val="32"/>
          <w:szCs w:val="32"/>
        </w:rPr>
        <w:t>/</w:t>
      </w:r>
      <w:r>
        <w:rPr>
          <w:rFonts w:eastAsia="仿宋_GB2312"/>
          <w:kern w:val="0"/>
          <w:sz w:val="32"/>
          <w:szCs w:val="32"/>
        </w:rPr>
        <w:t>或标准文本。</w:t>
      </w:r>
    </w:p>
    <w:p w:rsidR="000E7BCE" w:rsidRDefault="008933C1">
      <w:pPr>
        <w:spacing w:line="520" w:lineRule="exact"/>
        <w:ind w:firstLineChars="200" w:firstLine="616"/>
        <w:rPr>
          <w:rFonts w:eastAsia="仿宋_GB2312"/>
          <w:sz w:val="32"/>
          <w:szCs w:val="32"/>
        </w:rPr>
      </w:pPr>
      <w:r>
        <w:rPr>
          <w:rFonts w:eastAsia="仿宋_GB2312"/>
          <w:spacing w:val="-6"/>
          <w:sz w:val="32"/>
          <w:szCs w:val="32"/>
        </w:rPr>
        <w:t>注册申请人需提供产品材料、部件表面处理、产品设计相关静</w:t>
      </w:r>
      <w:r>
        <w:rPr>
          <w:rFonts w:eastAsia="仿宋_GB2312"/>
          <w:spacing w:val="-6"/>
          <w:sz w:val="32"/>
          <w:szCs w:val="32"/>
        </w:rPr>
        <w:t>/</w:t>
      </w:r>
      <w:r>
        <w:rPr>
          <w:rFonts w:eastAsia="仿宋_GB2312"/>
          <w:spacing w:val="-6"/>
          <w:sz w:val="32"/>
          <w:szCs w:val="32"/>
        </w:rPr>
        <w:t>动态性能等方面的</w:t>
      </w:r>
      <w:r>
        <w:rPr>
          <w:rFonts w:eastAsia="仿宋_GB2312"/>
          <w:sz w:val="32"/>
          <w:szCs w:val="32"/>
        </w:rPr>
        <w:t>性能研究资料</w:t>
      </w:r>
      <w:r>
        <w:rPr>
          <w:rFonts w:eastAsia="仿宋_GB2312"/>
          <w:spacing w:val="-6"/>
          <w:sz w:val="32"/>
          <w:szCs w:val="32"/>
        </w:rPr>
        <w:t>，并提供其可接受的依据，必</w:t>
      </w:r>
      <w:r>
        <w:rPr>
          <w:rFonts w:eastAsia="仿宋_GB2312"/>
          <w:spacing w:val="-6"/>
          <w:sz w:val="32"/>
          <w:szCs w:val="32"/>
        </w:rPr>
        <w:lastRenderedPageBreak/>
        <w:t>要时，与已上市同类产品相关性能进行对比，以证明其安全有效性。</w:t>
      </w:r>
      <w:r>
        <w:rPr>
          <w:rFonts w:eastAsia="仿宋_GB2312"/>
          <w:sz w:val="32"/>
          <w:szCs w:val="32"/>
        </w:rPr>
        <w:t>研究资料包括但不限于如下内容：</w:t>
      </w:r>
    </w:p>
    <w:p w:rsidR="000E7BCE" w:rsidRDefault="008933C1">
      <w:pPr>
        <w:spacing w:line="520" w:lineRule="exact"/>
        <w:ind w:firstLineChars="200" w:firstLine="640"/>
        <w:rPr>
          <w:rFonts w:eastAsia="仿宋_GB2312"/>
          <w:sz w:val="32"/>
          <w:szCs w:val="32"/>
        </w:rPr>
      </w:pPr>
      <w:r>
        <w:rPr>
          <w:rFonts w:eastAsia="仿宋_GB2312"/>
          <w:sz w:val="32"/>
          <w:szCs w:val="32"/>
        </w:rPr>
        <w:t>5.1</w:t>
      </w:r>
      <w:r>
        <w:rPr>
          <w:rFonts w:eastAsia="仿宋_GB2312"/>
          <w:sz w:val="32"/>
          <w:szCs w:val="32"/>
        </w:rPr>
        <w:t>化学</w:t>
      </w:r>
      <w:r>
        <w:rPr>
          <w:rFonts w:eastAsia="仿宋_GB2312"/>
          <w:sz w:val="32"/>
          <w:szCs w:val="32"/>
        </w:rPr>
        <w:t>/</w:t>
      </w:r>
      <w:r>
        <w:rPr>
          <w:rFonts w:eastAsia="仿宋_GB2312"/>
          <w:sz w:val="32"/>
          <w:szCs w:val="32"/>
        </w:rPr>
        <w:t>材料表征研究</w:t>
      </w:r>
    </w:p>
    <w:p w:rsidR="000E7BCE" w:rsidRDefault="008933C1">
      <w:pPr>
        <w:spacing w:line="520" w:lineRule="exact"/>
        <w:ind w:firstLineChars="200" w:firstLine="640"/>
        <w:rPr>
          <w:rFonts w:eastAsia="仿宋_GB2312"/>
          <w:sz w:val="32"/>
          <w:szCs w:val="32"/>
        </w:rPr>
      </w:pPr>
      <w:r>
        <w:rPr>
          <w:rFonts w:eastAsia="仿宋_GB2312"/>
          <w:sz w:val="32"/>
          <w:szCs w:val="32"/>
        </w:rPr>
        <w:t>5.1.1</w:t>
      </w:r>
      <w:r>
        <w:rPr>
          <w:rFonts w:eastAsia="仿宋_GB2312"/>
          <w:sz w:val="32"/>
          <w:szCs w:val="32"/>
        </w:rPr>
        <w:t>金属材料</w:t>
      </w:r>
    </w:p>
    <w:p w:rsidR="000E7BCE" w:rsidRDefault="008933C1">
      <w:pPr>
        <w:spacing w:line="520" w:lineRule="exact"/>
        <w:ind w:firstLineChars="200" w:firstLine="640"/>
        <w:rPr>
          <w:rFonts w:eastAsia="仿宋_GB2312"/>
          <w:sz w:val="32"/>
          <w:szCs w:val="32"/>
        </w:rPr>
      </w:pPr>
      <w:r>
        <w:rPr>
          <w:rFonts w:eastAsia="仿宋_GB2312"/>
          <w:sz w:val="32"/>
          <w:szCs w:val="32"/>
        </w:rPr>
        <w:t>针对脊柱后路内固定系统产品使用的金属材料（如钛合金、钴铬钼合金等），需明确其材料牌号，提供符合所用材料对应标准中的相应规定的研究资料，如化学成分、显微组织、力学性能、耐腐蚀性能（如使用不锈钢材料）等研究资料。必要时，需提供后续加工过程对材料性能影响的研究资料。</w:t>
      </w:r>
    </w:p>
    <w:p w:rsidR="000E7BCE" w:rsidRDefault="008933C1">
      <w:pPr>
        <w:spacing w:line="520" w:lineRule="exact"/>
        <w:ind w:firstLineChars="200" w:firstLine="640"/>
        <w:rPr>
          <w:rFonts w:eastAsia="仿宋_GB2312"/>
          <w:sz w:val="32"/>
          <w:szCs w:val="32"/>
        </w:rPr>
      </w:pPr>
      <w:r>
        <w:rPr>
          <w:rFonts w:eastAsia="仿宋_GB2312"/>
          <w:sz w:val="32"/>
          <w:szCs w:val="32"/>
        </w:rPr>
        <w:t>5.1.2</w:t>
      </w:r>
      <w:r>
        <w:rPr>
          <w:rFonts w:eastAsia="仿宋_GB2312"/>
          <w:sz w:val="32"/>
          <w:szCs w:val="32"/>
        </w:rPr>
        <w:t>聚醚醚酮材料</w:t>
      </w:r>
    </w:p>
    <w:p w:rsidR="000E7BCE" w:rsidRDefault="008933C1">
      <w:pPr>
        <w:spacing w:line="520" w:lineRule="exact"/>
        <w:ind w:firstLineChars="200" w:firstLine="640"/>
        <w:rPr>
          <w:rFonts w:eastAsia="仿宋_GB2312"/>
          <w:sz w:val="32"/>
          <w:szCs w:val="32"/>
        </w:rPr>
      </w:pPr>
      <w:r>
        <w:rPr>
          <w:rFonts w:eastAsia="仿宋_GB2312"/>
          <w:sz w:val="32"/>
          <w:szCs w:val="32"/>
        </w:rPr>
        <w:t>针对脊柱后路内固定系统产品使用的聚醚醚酮材料，需明确其材料牌号，提供符合所用材料对应标准（参考</w:t>
      </w:r>
      <w:r>
        <w:rPr>
          <w:rFonts w:eastAsia="仿宋_GB2312"/>
          <w:sz w:val="32"/>
          <w:szCs w:val="32"/>
        </w:rPr>
        <w:t>YY/T 0660</w:t>
      </w:r>
      <w:r>
        <w:rPr>
          <w:rFonts w:eastAsia="仿宋_GB2312"/>
          <w:sz w:val="32"/>
          <w:szCs w:val="32"/>
        </w:rPr>
        <w:t>《外科植入物用聚醚醚酮（</w:t>
      </w:r>
      <w:r>
        <w:rPr>
          <w:rFonts w:eastAsia="仿宋_GB2312"/>
          <w:sz w:val="32"/>
          <w:szCs w:val="32"/>
        </w:rPr>
        <w:t>PEEK</w:t>
      </w:r>
      <w:r>
        <w:rPr>
          <w:rFonts w:eastAsia="仿宋_GB2312"/>
          <w:sz w:val="32"/>
          <w:szCs w:val="32"/>
        </w:rPr>
        <w:t>）聚合物的标准规范》）中的相应规定的研究资料，如理化性能、制品的典型性能等研究资料。必要时，需提供后续加工过程对材料性能影响的研究资料。</w:t>
      </w:r>
    </w:p>
    <w:p w:rsidR="000E7BCE" w:rsidRDefault="008933C1">
      <w:pPr>
        <w:spacing w:line="520" w:lineRule="exact"/>
        <w:ind w:firstLineChars="200" w:firstLine="640"/>
        <w:rPr>
          <w:rFonts w:eastAsia="仿宋_GB2312"/>
          <w:sz w:val="32"/>
          <w:szCs w:val="32"/>
        </w:rPr>
      </w:pPr>
      <w:r>
        <w:rPr>
          <w:rFonts w:eastAsia="仿宋_GB2312"/>
          <w:sz w:val="32"/>
          <w:szCs w:val="32"/>
        </w:rPr>
        <w:t>5.1.3</w:t>
      </w:r>
      <w:r>
        <w:rPr>
          <w:rFonts w:eastAsia="仿宋_GB2312"/>
          <w:sz w:val="32"/>
          <w:szCs w:val="32"/>
        </w:rPr>
        <w:t>部件表面处理</w:t>
      </w:r>
    </w:p>
    <w:p w:rsidR="000E7BCE" w:rsidRDefault="008933C1">
      <w:pPr>
        <w:spacing w:line="520" w:lineRule="exact"/>
        <w:ind w:firstLineChars="200" w:firstLine="640"/>
        <w:rPr>
          <w:rFonts w:eastAsia="仿宋_GB2312"/>
          <w:sz w:val="32"/>
          <w:szCs w:val="32"/>
        </w:rPr>
      </w:pPr>
      <w:r>
        <w:rPr>
          <w:rFonts w:eastAsia="仿宋_GB2312"/>
          <w:sz w:val="32"/>
          <w:szCs w:val="32"/>
        </w:rPr>
        <w:t>5.1.3.1</w:t>
      </w:r>
      <w:r>
        <w:rPr>
          <w:rFonts w:eastAsia="仿宋_GB2312"/>
          <w:sz w:val="32"/>
          <w:szCs w:val="32"/>
        </w:rPr>
        <w:t>喷砂处理</w:t>
      </w:r>
    </w:p>
    <w:p w:rsidR="000E7BCE" w:rsidRDefault="008933C1">
      <w:pPr>
        <w:spacing w:line="520" w:lineRule="exact"/>
        <w:ind w:firstLineChars="200" w:firstLine="640"/>
        <w:rPr>
          <w:rFonts w:eastAsia="仿宋_GB2312"/>
          <w:sz w:val="32"/>
          <w:szCs w:val="32"/>
        </w:rPr>
      </w:pPr>
      <w:r>
        <w:rPr>
          <w:rFonts w:eastAsia="仿宋_GB2312"/>
          <w:sz w:val="32"/>
          <w:szCs w:val="32"/>
        </w:rPr>
        <w:t>如生产工艺中对部件采用喷砂或喷丸处理，需提供喷砂或喷丸工艺验证资料，建议考虑表面形貌、粗糙度、颗粒物残留等相关因素。</w:t>
      </w:r>
    </w:p>
    <w:p w:rsidR="000E7BCE" w:rsidRDefault="008933C1">
      <w:pPr>
        <w:spacing w:line="520" w:lineRule="exact"/>
        <w:ind w:firstLineChars="200" w:firstLine="640"/>
        <w:rPr>
          <w:rFonts w:eastAsia="仿宋_GB2312"/>
          <w:sz w:val="32"/>
          <w:szCs w:val="32"/>
        </w:rPr>
      </w:pPr>
      <w:r>
        <w:rPr>
          <w:rFonts w:eastAsia="仿宋_GB2312"/>
          <w:sz w:val="32"/>
          <w:szCs w:val="32"/>
        </w:rPr>
        <w:t>5.1.3.2</w:t>
      </w:r>
      <w:r>
        <w:rPr>
          <w:rFonts w:eastAsia="仿宋_GB2312"/>
          <w:sz w:val="32"/>
          <w:szCs w:val="32"/>
        </w:rPr>
        <w:t>表面阳极氧化</w:t>
      </w:r>
    </w:p>
    <w:p w:rsidR="000E7BCE" w:rsidRDefault="008933C1">
      <w:pPr>
        <w:spacing w:line="520" w:lineRule="exact"/>
        <w:ind w:firstLineChars="200" w:firstLine="640"/>
        <w:rPr>
          <w:rFonts w:eastAsia="仿宋_GB2312"/>
          <w:sz w:val="32"/>
          <w:szCs w:val="32"/>
        </w:rPr>
      </w:pPr>
      <w:r>
        <w:rPr>
          <w:rFonts w:eastAsia="仿宋_GB2312"/>
          <w:sz w:val="32"/>
          <w:szCs w:val="32"/>
        </w:rPr>
        <w:t>对于表面经过阳极氧化的钛合金、纯钛制成的产品，需要明确阳极氧化的类型（着色阳极氧化或黑灰色阳极氧化），具体的阳极氧化工艺（具体包括电解液、电流、电压、氧化前后的具体工艺流程和组件的表面状态、清洗方法、残留检测方法等），</w:t>
      </w:r>
      <w:r>
        <w:rPr>
          <w:rFonts w:eastAsia="仿宋_GB2312"/>
          <w:sz w:val="32"/>
          <w:szCs w:val="32"/>
        </w:rPr>
        <w:lastRenderedPageBreak/>
        <w:t>并对基体材料进行化学成分测试，对阳极氧化层进行表面元素定性分析。对于着色阳极氧化产品，需额外提交颜色和色差相关验证资料；对于黑灰色阳极氧化产品，需额外提交阳极氧化膜膜厚、开路电位、力学性能（包括抗划痕性、硬度试验）相关验证资料。</w:t>
      </w:r>
    </w:p>
    <w:p w:rsidR="000E7BCE" w:rsidRDefault="008933C1">
      <w:pPr>
        <w:spacing w:line="520" w:lineRule="exact"/>
        <w:ind w:firstLineChars="200" w:firstLine="640"/>
        <w:rPr>
          <w:rFonts w:eastAsia="仿宋_GB2312"/>
          <w:sz w:val="32"/>
          <w:szCs w:val="32"/>
        </w:rPr>
      </w:pPr>
      <w:r>
        <w:rPr>
          <w:rFonts w:eastAsia="仿宋_GB2312"/>
          <w:sz w:val="32"/>
          <w:szCs w:val="32"/>
        </w:rPr>
        <w:t>5.1.3.3</w:t>
      </w:r>
      <w:r>
        <w:rPr>
          <w:rFonts w:eastAsia="仿宋_GB2312"/>
          <w:sz w:val="32"/>
          <w:szCs w:val="32"/>
        </w:rPr>
        <w:t>表面涂层</w:t>
      </w:r>
    </w:p>
    <w:p w:rsidR="000E7BCE" w:rsidRDefault="008933C1">
      <w:pPr>
        <w:spacing w:line="520" w:lineRule="exact"/>
        <w:ind w:firstLineChars="200" w:firstLine="640"/>
        <w:rPr>
          <w:rFonts w:eastAsia="仿宋_GB2312"/>
          <w:sz w:val="32"/>
          <w:szCs w:val="32"/>
        </w:rPr>
      </w:pPr>
      <w:r>
        <w:rPr>
          <w:rFonts w:eastAsia="仿宋_GB2312"/>
          <w:sz w:val="32"/>
          <w:szCs w:val="32"/>
        </w:rPr>
        <w:t>对于表面喷涂羟基磷灰石涂层的椎弓根螺钉，需结合涂层制备工艺流程图及关键工序的质量控制点，提供产品主体材料及涂层材料的选择依据及接收标准，需明确羟基磷灰石粉料的成分、杂质元素、微量元素、钙磷比、结晶程度、粒径及粒径分布等关键信息。羟基磷灰石涂层理化性能研究可参考符合</w:t>
      </w:r>
      <w:r>
        <w:rPr>
          <w:rFonts w:eastAsia="仿宋_GB2312"/>
          <w:sz w:val="32"/>
          <w:szCs w:val="32"/>
        </w:rPr>
        <w:t>GB 23101.2</w:t>
      </w:r>
      <w:r>
        <w:rPr>
          <w:rFonts w:eastAsia="仿宋_GB2312"/>
          <w:sz w:val="32"/>
          <w:szCs w:val="32"/>
        </w:rPr>
        <w:t>《外科植入物羟基磷灰石第</w:t>
      </w:r>
      <w:r>
        <w:rPr>
          <w:rFonts w:eastAsia="仿宋_GB2312"/>
          <w:sz w:val="32"/>
          <w:szCs w:val="32"/>
        </w:rPr>
        <w:t>2</w:t>
      </w:r>
      <w:r>
        <w:rPr>
          <w:rFonts w:eastAsia="仿宋_GB2312"/>
          <w:sz w:val="32"/>
          <w:szCs w:val="32"/>
        </w:rPr>
        <w:t>部分：羟基磷灰石涂层》标准。此外还需评估羟基磷灰石涂层粘结牢固性能、涂层脱落性能和涂层降解后组件固定性能。对于长期植入的产品，需提供涂层长期植入风险相关性能研究资料。对于植入后需取出的产品，需提供植入物取出风险相关性能研究资料。在进行表</w:t>
      </w:r>
      <w:r>
        <w:rPr>
          <w:rFonts w:eastAsia="仿宋_GB2312"/>
          <w:sz w:val="32"/>
          <w:szCs w:val="32"/>
        </w:rPr>
        <w:t>1</w:t>
      </w:r>
      <w:r>
        <w:rPr>
          <w:rFonts w:eastAsia="仿宋_GB2312"/>
          <w:sz w:val="32"/>
          <w:szCs w:val="32"/>
        </w:rPr>
        <w:t>中的力学性能测试评价时，需充分论述表面喷涂羟基磷灰石涂层的椎弓根螺钉对各项性能的影响，并在最差情况的分析过程中予以体现。根据表面喷涂羟基磷灰石涂层的设计依据及临床实际应用情况，提交关于羟基磷灰石涂层体外</w:t>
      </w:r>
      <w:r>
        <w:rPr>
          <w:rFonts w:eastAsia="仿宋_GB2312"/>
          <w:sz w:val="32"/>
          <w:szCs w:val="32"/>
        </w:rPr>
        <w:t>/</w:t>
      </w:r>
      <w:r>
        <w:rPr>
          <w:rFonts w:eastAsia="仿宋_GB2312"/>
          <w:sz w:val="32"/>
          <w:szCs w:val="32"/>
        </w:rPr>
        <w:t>体内降解试验数据。</w:t>
      </w:r>
    </w:p>
    <w:p w:rsidR="000E7BCE" w:rsidRDefault="008933C1">
      <w:pPr>
        <w:spacing w:line="520" w:lineRule="exact"/>
        <w:ind w:firstLineChars="200" w:firstLine="640"/>
        <w:rPr>
          <w:rFonts w:eastAsia="仿宋_GB2312"/>
          <w:bCs/>
          <w:sz w:val="32"/>
          <w:szCs w:val="32"/>
        </w:rPr>
      </w:pPr>
      <w:r>
        <w:rPr>
          <w:rFonts w:eastAsia="仿宋_GB2312"/>
          <w:sz w:val="32"/>
          <w:szCs w:val="32"/>
        </w:rPr>
        <w:t>5.2</w:t>
      </w:r>
      <w:r>
        <w:rPr>
          <w:rFonts w:eastAsia="仿宋_GB2312"/>
          <w:bCs/>
          <w:sz w:val="32"/>
          <w:szCs w:val="32"/>
        </w:rPr>
        <w:t>物理和机械性能研究</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lang w:val="zh-CN"/>
        </w:rPr>
        <w:t>对于产品的机械性能研究，注册申请人需依据产品在各项试验中的受力情况、产品的结构设计、规格尺寸等因素，分别选取最差情况开展试验，并提供最差情况选择依据。</w:t>
      </w:r>
    </w:p>
    <w:p w:rsidR="000E7BCE" w:rsidRDefault="008933C1">
      <w:pPr>
        <w:spacing w:line="520" w:lineRule="exact"/>
        <w:ind w:firstLineChars="200" w:firstLine="640"/>
        <w:rPr>
          <w:rFonts w:eastAsia="仿宋_GB2312"/>
          <w:sz w:val="32"/>
          <w:szCs w:val="32"/>
        </w:rPr>
      </w:pPr>
      <w:r>
        <w:rPr>
          <w:rFonts w:eastAsia="仿宋_GB2312"/>
          <w:kern w:val="0"/>
          <w:sz w:val="32"/>
          <w:szCs w:val="32"/>
          <w:lang w:val="zh-CN"/>
        </w:rPr>
        <w:lastRenderedPageBreak/>
        <w:t>5.2.1</w:t>
      </w:r>
      <w:r>
        <w:rPr>
          <w:rFonts w:eastAsia="仿宋_GB2312"/>
          <w:kern w:val="0"/>
          <w:sz w:val="32"/>
          <w:szCs w:val="32"/>
          <w:lang w:val="zh-CN"/>
        </w:rPr>
        <w:t>组件与系统的物理和机械性能</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lang w:val="zh-CN"/>
        </w:rPr>
        <w:t>无论产品以单组件还是以系统形式申报，均需同时评价组件性能和系统性能，相关性能研究项目可参考下表</w:t>
      </w:r>
      <w:r>
        <w:rPr>
          <w:rFonts w:eastAsia="仿宋_GB2312"/>
          <w:kern w:val="0"/>
          <w:sz w:val="32"/>
          <w:szCs w:val="32"/>
          <w:lang w:val="zh-CN"/>
        </w:rPr>
        <w:t>1</w:t>
      </w:r>
      <w:r>
        <w:rPr>
          <w:rFonts w:eastAsia="仿宋_GB2312"/>
          <w:kern w:val="0"/>
          <w:sz w:val="32"/>
          <w:szCs w:val="32"/>
          <w:lang w:val="zh-CN"/>
        </w:rPr>
        <w:t>，申请人可结合产品特点，选取适用的项目开展性能研究，对于认为不适用的项目，请说明理由。对于最差情况的选择，最恶劣条件下的脊柱固定结构，通常取决于产品的设计和试验的项目。不同的试验类型中最薄弱、最容易失效的组件也各不相同。进行试验的固定系统可选用有限元模拟方法分析最恶劣条件下的结构，可分析同一结构内的不同互连机构、或同一互连机构在不同结构中的受力模型。建议注册申请人提供充分依据以论述各试验项目最差情况选择的合理性，尤其注意系统测试时对是否使用横向连接件、万向椎弓根螺钉、预弯棒、变径棒等组件的论述。</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lang w:val="zh-CN"/>
        </w:rPr>
        <w:t>由于系统组件安装时施加的紧固扭矩可能导致椎弓根螺钉顶丝与脊柱棒接触区域产生局部塑性变形或应力集中区，从而导致脊柱棒疲劳断裂，需明确系统测试时组件安装施加的紧固扭矩。</w:t>
      </w:r>
    </w:p>
    <w:p w:rsidR="000E7BCE" w:rsidRDefault="000E7BCE">
      <w:pPr>
        <w:spacing w:line="520" w:lineRule="exact"/>
        <w:ind w:firstLineChars="200" w:firstLine="640"/>
        <w:rPr>
          <w:rFonts w:eastAsia="仿宋_GB2312"/>
          <w:kern w:val="0"/>
          <w:sz w:val="32"/>
          <w:szCs w:val="32"/>
          <w:lang w:val="zh-CN"/>
        </w:rPr>
      </w:pPr>
    </w:p>
    <w:p w:rsidR="000E7BCE" w:rsidRDefault="008933C1">
      <w:pPr>
        <w:spacing w:line="520" w:lineRule="exact"/>
        <w:ind w:firstLineChars="200" w:firstLine="560"/>
        <w:jc w:val="center"/>
        <w:rPr>
          <w:rFonts w:eastAsia="黑体"/>
          <w:sz w:val="28"/>
          <w:szCs w:val="28"/>
        </w:rPr>
      </w:pPr>
      <w:r>
        <w:rPr>
          <w:rFonts w:eastAsia="黑体"/>
          <w:sz w:val="28"/>
          <w:szCs w:val="28"/>
        </w:rPr>
        <w:t>表</w:t>
      </w:r>
      <w:r>
        <w:rPr>
          <w:rFonts w:eastAsia="黑体"/>
          <w:sz w:val="28"/>
          <w:szCs w:val="28"/>
        </w:rPr>
        <w:t xml:space="preserve">1 </w:t>
      </w:r>
      <w:r>
        <w:rPr>
          <w:rFonts w:eastAsia="黑体"/>
          <w:sz w:val="28"/>
          <w:szCs w:val="28"/>
        </w:rPr>
        <w:t>物理和机械性能测试项目及相关测试方法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7"/>
        <w:gridCol w:w="4029"/>
        <w:gridCol w:w="2117"/>
      </w:tblGrid>
      <w:tr w:rsidR="000E7BCE">
        <w:trPr>
          <w:tblHeader/>
        </w:trPr>
        <w:tc>
          <w:tcPr>
            <w:tcW w:w="2376" w:type="dxa"/>
            <w:gridSpan w:val="2"/>
            <w:shd w:val="clear" w:color="auto" w:fill="auto"/>
            <w:vAlign w:val="center"/>
          </w:tcPr>
          <w:p w:rsidR="000E7BCE" w:rsidRDefault="008933C1">
            <w:pPr>
              <w:spacing w:line="340" w:lineRule="exact"/>
              <w:jc w:val="center"/>
              <w:rPr>
                <w:rFonts w:eastAsia="黑体"/>
                <w:kern w:val="0"/>
                <w:sz w:val="28"/>
                <w:szCs w:val="28"/>
              </w:rPr>
            </w:pPr>
            <w:r>
              <w:rPr>
                <w:rFonts w:eastAsia="黑体"/>
                <w:kern w:val="0"/>
                <w:sz w:val="28"/>
                <w:szCs w:val="28"/>
              </w:rPr>
              <w:t>分类</w:t>
            </w:r>
          </w:p>
        </w:tc>
        <w:tc>
          <w:tcPr>
            <w:tcW w:w="4029" w:type="dxa"/>
            <w:shd w:val="clear" w:color="auto" w:fill="auto"/>
            <w:vAlign w:val="center"/>
          </w:tcPr>
          <w:p w:rsidR="000E7BCE" w:rsidRDefault="008933C1">
            <w:pPr>
              <w:spacing w:line="340" w:lineRule="exact"/>
              <w:jc w:val="center"/>
              <w:rPr>
                <w:rFonts w:eastAsia="黑体"/>
                <w:kern w:val="0"/>
                <w:sz w:val="28"/>
                <w:szCs w:val="28"/>
              </w:rPr>
            </w:pPr>
            <w:r>
              <w:rPr>
                <w:rFonts w:eastAsia="黑体"/>
                <w:kern w:val="0"/>
                <w:sz w:val="28"/>
                <w:szCs w:val="28"/>
              </w:rPr>
              <w:t>项目</w:t>
            </w:r>
          </w:p>
        </w:tc>
        <w:tc>
          <w:tcPr>
            <w:tcW w:w="2117" w:type="dxa"/>
            <w:shd w:val="clear" w:color="auto" w:fill="auto"/>
            <w:vAlign w:val="center"/>
          </w:tcPr>
          <w:p w:rsidR="000E7BCE" w:rsidRDefault="008933C1">
            <w:pPr>
              <w:spacing w:line="340" w:lineRule="exact"/>
              <w:jc w:val="center"/>
              <w:rPr>
                <w:rFonts w:eastAsia="黑体"/>
                <w:kern w:val="0"/>
                <w:sz w:val="28"/>
                <w:szCs w:val="28"/>
              </w:rPr>
            </w:pPr>
            <w:r>
              <w:rPr>
                <w:rFonts w:eastAsia="黑体"/>
                <w:kern w:val="0"/>
                <w:sz w:val="28"/>
                <w:szCs w:val="28"/>
              </w:rPr>
              <w:t>推荐测试方法</w:t>
            </w:r>
          </w:p>
        </w:tc>
      </w:tr>
      <w:tr w:rsidR="000E7BCE">
        <w:tc>
          <w:tcPr>
            <w:tcW w:w="959"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w:t>
            </w: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金属椎弓根螺钉</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扭转性能（屈服扭矩、最大扭矩和断裂扭转角）</w:t>
            </w:r>
          </w:p>
        </w:tc>
        <w:tc>
          <w:tcPr>
            <w:tcW w:w="21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0119.2</w:t>
            </w:r>
          </w:p>
          <w:p w:rsidR="000E7BCE" w:rsidRDefault="008933C1">
            <w:pPr>
              <w:spacing w:line="400" w:lineRule="exact"/>
              <w:jc w:val="center"/>
              <w:rPr>
                <w:rFonts w:eastAsia="仿宋_GB2312"/>
                <w:kern w:val="0"/>
                <w:sz w:val="28"/>
                <w:szCs w:val="28"/>
              </w:rPr>
            </w:pPr>
            <w:r>
              <w:rPr>
                <w:rFonts w:eastAsia="仿宋_GB2312"/>
                <w:kern w:val="0"/>
                <w:sz w:val="28"/>
                <w:szCs w:val="28"/>
              </w:rPr>
              <w:t>YY/T 0119.5</w:t>
            </w:r>
          </w:p>
        </w:tc>
      </w:tr>
      <w:tr w:rsidR="000E7BCE">
        <w:trPr>
          <w:trHeight w:val="529"/>
        </w:trPr>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旋动扭矩（旋入和旋出扭矩）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rPr>
          <w:trHeight w:val="540"/>
        </w:trPr>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轴向拔出力</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rPr>
          <w:trHeight w:val="1415"/>
        </w:trPr>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弯曲性能（弯曲结构刚度、屈服弯矩、极限弯矩、</w:t>
            </w:r>
            <w:r>
              <w:rPr>
                <w:rFonts w:eastAsia="仿宋_GB2312"/>
                <w:kern w:val="0"/>
                <w:sz w:val="28"/>
                <w:szCs w:val="28"/>
              </w:rPr>
              <w:t>2500000</w:t>
            </w:r>
            <w:r>
              <w:rPr>
                <w:rFonts w:eastAsia="仿宋_GB2312"/>
                <w:kern w:val="0"/>
                <w:sz w:val="28"/>
                <w:szCs w:val="28"/>
              </w:rPr>
              <w:t>次循环疲劳最大弯矩）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金属脊柱板</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弯曲性能（弯曲结构刚度、屈服弯矩、极限弯矩、</w:t>
            </w:r>
            <w:r>
              <w:rPr>
                <w:rFonts w:eastAsia="仿宋_GB2312"/>
                <w:kern w:val="0"/>
                <w:sz w:val="28"/>
                <w:szCs w:val="28"/>
              </w:rPr>
              <w:t>2500000</w:t>
            </w:r>
            <w:r>
              <w:rPr>
                <w:rFonts w:eastAsia="仿宋_GB2312"/>
                <w:kern w:val="0"/>
                <w:sz w:val="28"/>
                <w:szCs w:val="28"/>
              </w:rPr>
              <w:t>次循环疲劳最大弯矩）</w:t>
            </w:r>
          </w:p>
        </w:tc>
        <w:tc>
          <w:tcPr>
            <w:tcW w:w="21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0119.3</w:t>
            </w:r>
          </w:p>
        </w:tc>
      </w:tr>
      <w:tr w:rsidR="000E7BCE">
        <w:trPr>
          <w:trHeight w:val="737"/>
        </w:trPr>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金属脊柱棒</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抗拉强度</w:t>
            </w:r>
          </w:p>
        </w:tc>
        <w:tc>
          <w:tcPr>
            <w:tcW w:w="21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GB/T 228</w:t>
            </w: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弯曲性能（弯曲结构刚度、屈服弯矩、极限弯矩、</w:t>
            </w:r>
            <w:r>
              <w:rPr>
                <w:rFonts w:eastAsia="仿宋_GB2312"/>
                <w:kern w:val="0"/>
                <w:sz w:val="28"/>
                <w:szCs w:val="28"/>
              </w:rPr>
              <w:t>2500000</w:t>
            </w:r>
            <w:r>
              <w:rPr>
                <w:rFonts w:eastAsia="仿宋_GB2312"/>
                <w:kern w:val="0"/>
                <w:sz w:val="28"/>
                <w:szCs w:val="28"/>
              </w:rPr>
              <w:t>次循环疲劳最大弯矩）</w:t>
            </w:r>
          </w:p>
        </w:tc>
        <w:tc>
          <w:tcPr>
            <w:tcW w:w="21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0119.4</w:t>
            </w: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横向连接件</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抗拉强度</w:t>
            </w:r>
          </w:p>
        </w:tc>
        <w:tc>
          <w:tcPr>
            <w:tcW w:w="21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GB/T 228</w:t>
            </w:r>
          </w:p>
        </w:tc>
      </w:tr>
      <w:tr w:rsidR="000E7BCE">
        <w:tc>
          <w:tcPr>
            <w:tcW w:w="959"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系统</w:t>
            </w: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组件及连接装置</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静态夹紧力</w:t>
            </w:r>
            <w:r>
              <w:rPr>
                <w:rFonts w:eastAsia="仿宋_GB2312"/>
                <w:kern w:val="0"/>
                <w:sz w:val="28"/>
                <w:szCs w:val="28"/>
              </w:rPr>
              <w:t xml:space="preserve"> </w:t>
            </w:r>
          </w:p>
        </w:tc>
        <w:tc>
          <w:tcPr>
            <w:tcW w:w="21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0961</w:t>
            </w: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静态紧固扭矩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组件前后向脱出</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组件横向脱出</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组件屈伸力矩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组件横向力矩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2500000</w:t>
            </w:r>
            <w:r>
              <w:rPr>
                <w:rFonts w:eastAsia="仿宋_GB2312"/>
                <w:kern w:val="0"/>
                <w:sz w:val="28"/>
                <w:szCs w:val="28"/>
              </w:rPr>
              <w:t>次循环疲劳载荷</w:t>
            </w:r>
            <w:r>
              <w:rPr>
                <w:rFonts w:eastAsia="仿宋_GB2312"/>
                <w:kern w:val="0"/>
                <w:sz w:val="28"/>
                <w:szCs w:val="28"/>
              </w:rPr>
              <w:t>/</w:t>
            </w:r>
            <w:r>
              <w:rPr>
                <w:rFonts w:eastAsia="仿宋_GB2312"/>
                <w:kern w:val="0"/>
                <w:sz w:val="28"/>
                <w:szCs w:val="28"/>
              </w:rPr>
              <w:t>力矩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脊柱后路内固定系统</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静态压缩弯曲</w:t>
            </w:r>
          </w:p>
        </w:tc>
        <w:tc>
          <w:tcPr>
            <w:tcW w:w="21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0857</w:t>
            </w: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静态拉伸弯曲</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rPr>
          <w:trHeight w:val="282"/>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静态扭转试验</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281"/>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动态压缩弯曲疲劳</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419"/>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枕颈</w:t>
            </w:r>
            <w:r>
              <w:rPr>
                <w:rFonts w:eastAsia="仿宋_GB2312"/>
                <w:kern w:val="0"/>
                <w:sz w:val="28"/>
                <w:szCs w:val="28"/>
              </w:rPr>
              <w:t>/</w:t>
            </w:r>
            <w:r>
              <w:rPr>
                <w:rFonts w:eastAsia="仿宋_GB2312"/>
                <w:kern w:val="0"/>
                <w:sz w:val="28"/>
                <w:szCs w:val="28"/>
              </w:rPr>
              <w:t>枕颈胸后路内固定系统</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静态压缩弯曲</w:t>
            </w:r>
          </w:p>
        </w:tc>
        <w:tc>
          <w:tcPr>
            <w:tcW w:w="2117" w:type="dxa"/>
            <w:vMerge w:val="restart"/>
            <w:shd w:val="clear" w:color="auto" w:fill="auto"/>
            <w:vAlign w:val="center"/>
          </w:tcPr>
          <w:p w:rsidR="000E7BCE" w:rsidRDefault="008933C1">
            <w:pPr>
              <w:spacing w:line="400" w:lineRule="exact"/>
              <w:jc w:val="center"/>
              <w:rPr>
                <w:rFonts w:eastAsia="仿宋_GB2312"/>
                <w:sz w:val="28"/>
                <w:szCs w:val="28"/>
              </w:rPr>
            </w:pPr>
            <w:r>
              <w:rPr>
                <w:rFonts w:eastAsia="仿宋_GB2312"/>
                <w:sz w:val="28"/>
                <w:szCs w:val="28"/>
              </w:rPr>
              <w:t>YY/T 1560</w:t>
            </w:r>
          </w:p>
        </w:tc>
      </w:tr>
      <w:tr w:rsidR="000E7BCE">
        <w:trPr>
          <w:trHeight w:val="415"/>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静态拉伸弯曲</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415"/>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静态扭转试验</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415"/>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动态压缩弯曲疲劳</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415"/>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动态扭转疲劳</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bl>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5.2.2</w:t>
      </w:r>
      <w:r>
        <w:rPr>
          <w:rFonts w:eastAsia="仿宋_GB2312"/>
          <w:sz w:val="32"/>
          <w:szCs w:val="32"/>
        </w:rPr>
        <w:t>腐蚀和磨损</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对于常见的脊柱后路内固定系统而言，通常没有必要通过试验来评估器械的腐蚀和磨损性能。但如果出现下列情况，建议模拟临床使用时产品动态受力情形，提供相关的腐蚀和磨损</w:t>
      </w:r>
      <w:r>
        <w:rPr>
          <w:rFonts w:eastAsia="仿宋_GB2312"/>
          <w:sz w:val="32"/>
          <w:szCs w:val="32"/>
        </w:rPr>
        <w:lastRenderedPageBreak/>
        <w:t>试验报告：</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同品种医疗器械在临床使用过程中出现相关不良事件，包括金属离子析出或磨损碎屑引起局部或全身炎症反应增加，或导致其他的并发症或不良事件出现；</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不同材质的组件互相匹配的情况（如钴铬钼椎弓根螺钉配合钛合金垫片等）；</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新型的结构设计，其增加了连接装置之间的</w:t>
      </w:r>
      <w:r w:rsidR="000A09E9" w:rsidRPr="000A09E9">
        <w:rPr>
          <w:rFonts w:eastAsia="仿宋_GB2312" w:hint="eastAsia"/>
          <w:sz w:val="32"/>
          <w:szCs w:val="32"/>
        </w:rPr>
        <w:t>摩擦</w:t>
      </w:r>
      <w:bookmarkStart w:id="2" w:name="_GoBack"/>
      <w:bookmarkEnd w:id="2"/>
      <w:r>
        <w:rPr>
          <w:rFonts w:eastAsia="仿宋_GB2312"/>
          <w:sz w:val="32"/>
          <w:szCs w:val="32"/>
        </w:rPr>
        <w:t>系数，或增加了连接装置不同组件之间的相对运动；</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组件或系统采用了非常规的金属材料、高分子材料（如聚醚醚酮脊柱棒）、或经过改性处理的常见金属材料或高分子材料。</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注册申请人需对结果的可接受性进行论证，建议对上述情形的系统腐蚀和磨损进行评估和分析，根据组件磨损表面的磨痕、磨光、变形或腐蚀情况，分析论证金属离子析出、磨损质量损失、磨损微粒（例如：微粒大小与形状分布、微粒数目和微粒的化学性质）等方面的临床可接受性。</w:t>
      </w:r>
    </w:p>
    <w:p w:rsidR="000E7BCE" w:rsidRDefault="008933C1">
      <w:pPr>
        <w:spacing w:line="520" w:lineRule="exact"/>
        <w:ind w:rightChars="-32" w:right="-67" w:firstLineChars="200" w:firstLine="640"/>
        <w:rPr>
          <w:rFonts w:eastAsia="仿宋_GB2312"/>
          <w:kern w:val="0"/>
          <w:sz w:val="32"/>
          <w:szCs w:val="32"/>
        </w:rPr>
      </w:pPr>
      <w:r>
        <w:rPr>
          <w:rFonts w:eastAsia="楷体_GB2312"/>
          <w:sz w:val="32"/>
          <w:szCs w:val="32"/>
        </w:rPr>
        <w:t>5.3</w:t>
      </w:r>
      <w:r>
        <w:rPr>
          <w:rFonts w:eastAsia="仿宋_GB2312"/>
          <w:sz w:val="32"/>
          <w:szCs w:val="32"/>
        </w:rPr>
        <w:t>生物学特性研究</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产品的生物相容性评价需涵盖终产品及其涂层，按照</w:t>
      </w:r>
      <w:r>
        <w:rPr>
          <w:rFonts w:eastAsia="仿宋_GB2312"/>
          <w:sz w:val="32"/>
          <w:szCs w:val="32"/>
        </w:rPr>
        <w:t>GB/T 16886.1</w:t>
      </w:r>
      <w:r>
        <w:rPr>
          <w:rFonts w:eastAsia="仿宋_GB2312"/>
          <w:sz w:val="32"/>
          <w:szCs w:val="32"/>
        </w:rPr>
        <w:t>中系统方法框图及《国家食品药品监督管理局关于印发医疗器械生物学评价和审查指南的通知》中的审查要点进行生物相容性评价，充分考虑磨损、腐蚀等因素的影响，必要时根据</w:t>
      </w:r>
      <w:r>
        <w:rPr>
          <w:rFonts w:eastAsia="仿宋_GB2312"/>
          <w:sz w:val="32"/>
          <w:szCs w:val="32"/>
        </w:rPr>
        <w:t>GB/T 16886</w:t>
      </w:r>
      <w:r>
        <w:rPr>
          <w:rFonts w:eastAsia="仿宋_GB2312"/>
          <w:sz w:val="32"/>
          <w:szCs w:val="32"/>
        </w:rPr>
        <w:t>系列标准进行生物学试验。生物学评定终点一般包括细胞毒性、致敏、刺激或皮内反应、材料介导的致热性、急性全身毒性、亚急性毒性、慢性毒性、亚慢性毒性、植入反应、遗传毒性和致癌性。需要说明的是，经评价需开展生物学试验的情形，如植入试验包含并评估了足够的动物数和时间点，</w:t>
      </w:r>
      <w:r>
        <w:rPr>
          <w:rFonts w:eastAsia="仿宋_GB2312"/>
          <w:sz w:val="32"/>
          <w:szCs w:val="32"/>
        </w:rPr>
        <w:lastRenderedPageBreak/>
        <w:t>且能从综合植入评估获得亚急性毒性、慢性毒性信息的，可不需要单独进行亚急性和慢性毒性试验研究。如果该医疗器械可能含有致癌性，宜在风险评定中考虑该终点。对于表面喷涂羟基磷灰石涂层的椎弓根螺钉，需结合其设计依据、临床实际应用情况、化学表征、降解性能等论证产品在上述各项生物学风险评定终点的安全性。</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对于产品表面经阳极氧化工艺处理的器械，注册申请人可按照</w:t>
      </w:r>
      <w:r>
        <w:rPr>
          <w:rFonts w:eastAsia="仿宋_GB2312"/>
          <w:sz w:val="32"/>
          <w:szCs w:val="32"/>
        </w:rPr>
        <w:t>YY/T 1615</w:t>
      </w:r>
      <w:r>
        <w:rPr>
          <w:rFonts w:eastAsia="仿宋_GB2312"/>
          <w:sz w:val="32"/>
          <w:szCs w:val="32"/>
        </w:rPr>
        <w:t>推荐的生物学试验方法（如细胞毒性试验）评价器械的生物学特性。若存在与基体材料不一致的其他元素时，注册申请人需结合工艺验证论述表面元素存在的合理性及安全性，必要时按照</w:t>
      </w:r>
      <w:r>
        <w:rPr>
          <w:rFonts w:eastAsia="仿宋_GB2312"/>
          <w:sz w:val="32"/>
          <w:szCs w:val="32"/>
        </w:rPr>
        <w:t>GB/T 16886</w:t>
      </w:r>
      <w:r>
        <w:rPr>
          <w:rFonts w:eastAsia="仿宋_GB2312"/>
          <w:sz w:val="32"/>
          <w:szCs w:val="32"/>
        </w:rPr>
        <w:t>系列标准开展生物学试验。</w:t>
      </w:r>
    </w:p>
    <w:p w:rsidR="000E7BCE" w:rsidRDefault="008933C1">
      <w:pPr>
        <w:spacing w:line="520" w:lineRule="exact"/>
        <w:ind w:firstLineChars="200" w:firstLine="640"/>
        <w:textAlignment w:val="center"/>
        <w:rPr>
          <w:rFonts w:eastAsia="仿宋_GB2312"/>
          <w:kern w:val="0"/>
          <w:sz w:val="32"/>
          <w:szCs w:val="32"/>
        </w:rPr>
      </w:pPr>
      <w:r>
        <w:rPr>
          <w:rFonts w:eastAsia="楷体_GB2312"/>
          <w:sz w:val="32"/>
          <w:szCs w:val="32"/>
        </w:rPr>
        <w:t>5.4</w:t>
      </w:r>
      <w:r>
        <w:rPr>
          <w:rFonts w:eastAsia="仿宋_GB2312"/>
          <w:kern w:val="0"/>
          <w:sz w:val="32"/>
          <w:szCs w:val="32"/>
        </w:rPr>
        <w:t>清洗和灭菌研究</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5.4.1</w:t>
      </w:r>
      <w:r>
        <w:rPr>
          <w:rFonts w:eastAsia="仿宋_GB2312"/>
          <w:kern w:val="0"/>
          <w:sz w:val="32"/>
          <w:szCs w:val="32"/>
        </w:rPr>
        <w:t>清洗</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5.4.2</w:t>
      </w:r>
      <w:r>
        <w:rPr>
          <w:rFonts w:eastAsia="仿宋_GB2312"/>
          <w:kern w:val="0"/>
          <w:sz w:val="32"/>
          <w:szCs w:val="32"/>
        </w:rPr>
        <w:t>灭菌研究</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描述用于保证产品无菌的质量保证体系，明确灭菌工艺（方法和参数）和无菌保证水平（</w:t>
      </w:r>
      <w:r>
        <w:rPr>
          <w:rFonts w:eastAsia="仿宋_GB2312"/>
          <w:kern w:val="0"/>
          <w:sz w:val="32"/>
          <w:szCs w:val="32"/>
        </w:rPr>
        <w:t>SAL</w:t>
      </w:r>
      <w:r>
        <w:rPr>
          <w:rFonts w:eastAsia="仿宋_GB2312"/>
          <w:kern w:val="0"/>
          <w:sz w:val="32"/>
          <w:szCs w:val="32"/>
        </w:rPr>
        <w:t>）。产品的无菌保证水平（</w:t>
      </w:r>
      <w:r>
        <w:rPr>
          <w:rFonts w:eastAsia="仿宋_GB2312"/>
          <w:kern w:val="0"/>
          <w:sz w:val="32"/>
          <w:szCs w:val="32"/>
        </w:rPr>
        <w:t>SAL</w:t>
      </w:r>
      <w:r>
        <w:rPr>
          <w:rFonts w:eastAsia="仿宋_GB2312"/>
          <w:kern w:val="0"/>
          <w:sz w:val="32"/>
          <w:szCs w:val="32"/>
        </w:rPr>
        <w:t>）需达到</w:t>
      </w:r>
      <w:r>
        <w:rPr>
          <w:rFonts w:eastAsia="仿宋_GB2312"/>
          <w:kern w:val="0"/>
          <w:sz w:val="32"/>
          <w:szCs w:val="32"/>
        </w:rPr>
        <w:t>10</w:t>
      </w:r>
      <w:r>
        <w:rPr>
          <w:rFonts w:eastAsia="仿宋_GB2312"/>
          <w:kern w:val="0"/>
          <w:sz w:val="32"/>
          <w:szCs w:val="32"/>
          <w:vertAlign w:val="superscript"/>
        </w:rPr>
        <w:t>-6</w:t>
      </w:r>
      <w:r>
        <w:rPr>
          <w:rFonts w:eastAsia="仿宋_GB2312"/>
          <w:kern w:val="0"/>
          <w:sz w:val="32"/>
          <w:szCs w:val="32"/>
        </w:rPr>
        <w:t>。</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5.4.2.1</w:t>
      </w:r>
      <w:r>
        <w:rPr>
          <w:rFonts w:eastAsia="仿宋_GB2312"/>
          <w:kern w:val="0"/>
          <w:sz w:val="32"/>
          <w:szCs w:val="32"/>
        </w:rPr>
        <w:t>生产企业灭菌</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对于经辐照灭菌的产品，需明确辐照剂量及相关的验证报告，具体的剂量确定依据可参照</w:t>
      </w:r>
      <w:r>
        <w:rPr>
          <w:rFonts w:eastAsia="仿宋_GB2312"/>
          <w:kern w:val="0"/>
          <w:sz w:val="32"/>
          <w:szCs w:val="32"/>
        </w:rPr>
        <w:t>GB 18280</w:t>
      </w:r>
      <w:r>
        <w:rPr>
          <w:rFonts w:eastAsia="仿宋_GB2312"/>
          <w:kern w:val="0"/>
          <w:sz w:val="32"/>
          <w:szCs w:val="32"/>
        </w:rPr>
        <w:t>系列标准。</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lastRenderedPageBreak/>
        <w:t>对于经环氧乙烷灭菌的产品，需提供灭菌结果确认和过程控制报告，具体可参照</w:t>
      </w:r>
      <w:r>
        <w:rPr>
          <w:rFonts w:eastAsia="仿宋_GB2312"/>
          <w:kern w:val="0"/>
          <w:sz w:val="32"/>
          <w:szCs w:val="32"/>
        </w:rPr>
        <w:t>GB 18279</w:t>
      </w:r>
      <w:r>
        <w:rPr>
          <w:rFonts w:eastAsia="仿宋_GB2312"/>
          <w:kern w:val="0"/>
          <w:sz w:val="32"/>
          <w:szCs w:val="32"/>
        </w:rPr>
        <w:t>系列标准。</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5.4.2.2</w:t>
      </w:r>
      <w:r>
        <w:rPr>
          <w:rFonts w:eastAsia="仿宋_GB2312"/>
          <w:kern w:val="0"/>
          <w:sz w:val="32"/>
          <w:szCs w:val="32"/>
        </w:rPr>
        <w:t>最终使用者灭菌</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对于非灭菌包装的终产品，需明确推荐采用的灭菌方法并提供确定依据，并提供验证资料。采用其他灭菌方法的需提供方法合理性论证和工艺确认及过程控制报告。</w:t>
      </w:r>
    </w:p>
    <w:p w:rsidR="000E7BCE" w:rsidRDefault="008933C1">
      <w:pPr>
        <w:spacing w:line="520" w:lineRule="exact"/>
        <w:ind w:firstLineChars="200" w:firstLine="640"/>
        <w:rPr>
          <w:rFonts w:eastAsia="仿宋_GB2312"/>
          <w:bCs/>
          <w:sz w:val="32"/>
          <w:szCs w:val="32"/>
        </w:rPr>
      </w:pPr>
      <w:r>
        <w:rPr>
          <w:rFonts w:eastAsia="楷体_GB2312"/>
          <w:sz w:val="32"/>
          <w:szCs w:val="32"/>
        </w:rPr>
        <w:t>5.5</w:t>
      </w:r>
      <w:r>
        <w:rPr>
          <w:rFonts w:eastAsia="仿宋_GB2312"/>
          <w:bCs/>
          <w:sz w:val="32"/>
          <w:szCs w:val="32"/>
        </w:rPr>
        <w:t>动物试验研究</w:t>
      </w:r>
    </w:p>
    <w:p w:rsidR="000E7BCE" w:rsidRDefault="008933C1">
      <w:pPr>
        <w:spacing w:line="520" w:lineRule="exact"/>
        <w:ind w:firstLineChars="200" w:firstLine="640"/>
        <w:rPr>
          <w:rFonts w:eastAsia="仿宋_GB2312"/>
          <w:bCs/>
          <w:sz w:val="32"/>
          <w:szCs w:val="32"/>
        </w:rPr>
      </w:pPr>
      <w:r>
        <w:rPr>
          <w:rFonts w:eastAsia="仿宋_GB2312"/>
          <w:bCs/>
          <w:sz w:val="32"/>
          <w:szCs w:val="32"/>
        </w:rPr>
        <w:t>需按照《医疗器械动物试验研究注册审查指导原则</w:t>
      </w:r>
      <w:r>
        <w:rPr>
          <w:rFonts w:eastAsia="仿宋_GB2312"/>
          <w:bCs/>
          <w:sz w:val="32"/>
          <w:szCs w:val="32"/>
        </w:rPr>
        <w:t xml:space="preserve"> </w:t>
      </w:r>
      <w:r>
        <w:rPr>
          <w:rFonts w:eastAsia="仿宋_GB2312"/>
          <w:bCs/>
          <w:sz w:val="32"/>
          <w:szCs w:val="32"/>
        </w:rPr>
        <w:t>第一部分：决策原则》决策是否需开展动物试验研究。如开展动物试验研究，需按照《医疗器械动物试验研究注册审查指导原则</w:t>
      </w:r>
      <w:r>
        <w:rPr>
          <w:rFonts w:eastAsia="仿宋_GB2312"/>
          <w:bCs/>
          <w:sz w:val="32"/>
          <w:szCs w:val="32"/>
        </w:rPr>
        <w:t xml:space="preserve"> </w:t>
      </w:r>
      <w:r>
        <w:rPr>
          <w:rFonts w:eastAsia="仿宋_GB2312"/>
          <w:bCs/>
          <w:sz w:val="32"/>
          <w:szCs w:val="32"/>
        </w:rPr>
        <w:t>第二部分：试验设计、实施质量保证》进行，并遵循</w:t>
      </w:r>
      <w:r>
        <w:rPr>
          <w:rFonts w:eastAsia="仿宋_GB2312"/>
          <w:bCs/>
          <w:sz w:val="32"/>
          <w:szCs w:val="32"/>
        </w:rPr>
        <w:t>3R</w:t>
      </w:r>
      <w:r>
        <w:rPr>
          <w:rFonts w:eastAsia="仿宋_GB2312"/>
          <w:bCs/>
          <w:sz w:val="32"/>
          <w:szCs w:val="32"/>
        </w:rPr>
        <w:t>原则。需关注动物模型建立的科学性和合理性，以及对临床的借鉴意义。对于</w:t>
      </w:r>
      <w:r>
        <w:rPr>
          <w:rFonts w:eastAsia="仿宋_GB2312"/>
          <w:sz w:val="32"/>
          <w:szCs w:val="32"/>
        </w:rPr>
        <w:t>表面喷涂羟基磷灰石涂层的椎弓根螺钉，如注册申请人决定开展动物试验研究，建议考虑以下研究项目：产品有效性研究、降解性能体内研究、植入后期取出难度、取出后涂层脱落研究等。</w:t>
      </w:r>
    </w:p>
    <w:p w:rsidR="000E7BCE" w:rsidRDefault="008933C1">
      <w:pPr>
        <w:spacing w:line="520" w:lineRule="exact"/>
        <w:ind w:firstLineChars="200" w:firstLine="640"/>
        <w:textAlignment w:val="center"/>
        <w:rPr>
          <w:kern w:val="0"/>
          <w:szCs w:val="21"/>
        </w:rPr>
      </w:pPr>
      <w:r>
        <w:rPr>
          <w:rFonts w:eastAsia="楷体_GB2312"/>
          <w:sz w:val="32"/>
          <w:szCs w:val="32"/>
        </w:rPr>
        <w:t>5.6</w:t>
      </w:r>
      <w:r>
        <w:rPr>
          <w:rFonts w:eastAsia="仿宋_GB2312"/>
          <w:bCs/>
          <w:sz w:val="32"/>
          <w:szCs w:val="32"/>
        </w:rPr>
        <w:t>稳定性研究</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申报产品需参照《无源植入性医疗器械稳定性研究指导原则》提供产品稳定性研究资料。</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货架有效期验证资料中需要明确灭菌产品的包装材料、包装工艺及方法、加速老化试验或</w:t>
      </w:r>
      <w:r>
        <w:rPr>
          <w:rFonts w:eastAsia="仿宋_GB2312"/>
          <w:kern w:val="0"/>
          <w:sz w:val="32"/>
          <w:szCs w:val="32"/>
        </w:rPr>
        <w:t>/</w:t>
      </w:r>
      <w:r>
        <w:rPr>
          <w:rFonts w:eastAsia="仿宋_GB2312"/>
          <w:kern w:val="0"/>
          <w:sz w:val="32"/>
          <w:szCs w:val="32"/>
        </w:rPr>
        <w:t>和实时老化试验报告。加速老化试验中需明确试验温度、湿度、加速老化时间的确定依据。老化试验需对包装完整性和包装强度进行评价试验，如染色液穿透试验、气泡试验、材料密封强度试验等。若注册申请人提供其他医疗器械产品的货架有效期验证资料，则需提供其与本</w:t>
      </w:r>
      <w:r>
        <w:rPr>
          <w:rFonts w:eastAsia="仿宋_GB2312"/>
          <w:kern w:val="0"/>
          <w:sz w:val="32"/>
          <w:szCs w:val="32"/>
        </w:rPr>
        <w:lastRenderedPageBreak/>
        <w:t>次申报产品在原材料、灭菌方法、灭菌剂量、包装材料、包装工艺、包装方式及其它影响阻菌性能的因素方面具有等同性的证明资料。不同包装、不同灭菌方式的产品需分别提供验证资料。</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对于非灭菌产品，货架有效期的确定需建立在科学试验的基础上，如稳定性试验，其目的是考察产品在温度、湿度、光线的影响下随时间变化的规律，为产品的生产、包装、贮存、运输条件提供科学依据，同时通过试验建立产品的有效期。因此，注册申请人在申报产品注册时需提供产品有效期的验证报告及内包装材料信息。</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rsidR="000E7BCE" w:rsidRDefault="008933C1">
      <w:pPr>
        <w:spacing w:line="520" w:lineRule="exact"/>
        <w:ind w:firstLineChars="200" w:firstLine="640"/>
        <w:rPr>
          <w:rFonts w:eastAsia="仿宋_GB2312"/>
          <w:bCs/>
          <w:sz w:val="32"/>
          <w:szCs w:val="32"/>
        </w:rPr>
      </w:pPr>
      <w:r>
        <w:rPr>
          <w:rFonts w:eastAsia="楷体_GB2312"/>
          <w:sz w:val="32"/>
          <w:szCs w:val="32"/>
        </w:rPr>
        <w:t>5.7</w:t>
      </w:r>
      <w:r>
        <w:rPr>
          <w:rFonts w:eastAsia="仿宋_GB2312"/>
          <w:bCs/>
          <w:sz w:val="32"/>
          <w:szCs w:val="32"/>
        </w:rPr>
        <w:t>磁共振兼容性研究</w:t>
      </w:r>
    </w:p>
    <w:p w:rsidR="000E7BCE" w:rsidRDefault="008933C1">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color w:val="auto"/>
          <w:sz w:val="32"/>
          <w:szCs w:val="32"/>
        </w:rPr>
        <w:t>申报产品若预期在磁共振（</w:t>
      </w:r>
      <w:r>
        <w:rPr>
          <w:rFonts w:ascii="Times New Roman" w:eastAsia="仿宋_GB2312" w:cs="Times New Roman"/>
          <w:color w:val="auto"/>
          <w:sz w:val="32"/>
          <w:szCs w:val="32"/>
        </w:rPr>
        <w:t>MR</w:t>
      </w:r>
      <w:r>
        <w:rPr>
          <w:rFonts w:ascii="Times New Roman" w:eastAsia="仿宋_GB2312" w:cs="Times New Roman"/>
          <w:color w:val="auto"/>
          <w:sz w:val="32"/>
          <w:szCs w:val="32"/>
        </w:rPr>
        <w:t>）环境中使用，建议开展</w:t>
      </w:r>
      <w:r>
        <w:rPr>
          <w:rFonts w:ascii="Times New Roman" w:eastAsia="仿宋_GB2312" w:cs="Times New Roman"/>
          <w:color w:val="auto"/>
          <w:sz w:val="32"/>
          <w:szCs w:val="32"/>
        </w:rPr>
        <w:t>MR</w:t>
      </w:r>
      <w:r>
        <w:rPr>
          <w:rFonts w:ascii="Times New Roman" w:eastAsia="仿宋_GB2312" w:cs="Times New Roman"/>
          <w:color w:val="auto"/>
          <w:sz w:val="32"/>
          <w:szCs w:val="32"/>
        </w:rPr>
        <w:t>环境下的行为属性的相关验证，根据</w:t>
      </w:r>
      <w:r>
        <w:rPr>
          <w:rFonts w:ascii="Times New Roman" w:eastAsia="仿宋_GB2312" w:cs="Times New Roman"/>
          <w:color w:val="auto"/>
          <w:sz w:val="32"/>
          <w:szCs w:val="32"/>
        </w:rPr>
        <w:t>YY/T 0987</w:t>
      </w:r>
      <w:r>
        <w:rPr>
          <w:rFonts w:ascii="Times New Roman" w:eastAsia="仿宋_GB2312" w:cs="Times New Roman"/>
          <w:color w:val="auto"/>
          <w:sz w:val="32"/>
          <w:szCs w:val="32"/>
        </w:rPr>
        <w:t>系列标准对产品在</w:t>
      </w:r>
      <w:r>
        <w:rPr>
          <w:rFonts w:ascii="Times New Roman" w:eastAsia="仿宋_GB2312" w:cs="Times New Roman"/>
          <w:color w:val="auto"/>
          <w:sz w:val="32"/>
          <w:szCs w:val="32"/>
        </w:rPr>
        <w:t>MR</w:t>
      </w:r>
      <w:r>
        <w:rPr>
          <w:rFonts w:ascii="Times New Roman" w:eastAsia="仿宋_GB2312" w:cs="Times New Roman"/>
          <w:color w:val="auto"/>
          <w:sz w:val="32"/>
          <w:szCs w:val="32"/>
        </w:rPr>
        <w:t>环境下的磁致位移力、磁致扭矩、射频致热、伪影等项目进行评估。需根据研究报告，列出</w:t>
      </w:r>
      <w:r>
        <w:rPr>
          <w:rFonts w:ascii="Times New Roman" w:eastAsia="仿宋_GB2312" w:cs="Times New Roman"/>
          <w:color w:val="auto"/>
          <w:sz w:val="32"/>
          <w:szCs w:val="32"/>
        </w:rPr>
        <w:t>MR</w:t>
      </w:r>
      <w:r>
        <w:rPr>
          <w:rFonts w:ascii="Times New Roman" w:eastAsia="仿宋_GB2312" w:cs="Times New Roman"/>
          <w:color w:val="auto"/>
          <w:sz w:val="32"/>
          <w:szCs w:val="32"/>
        </w:rPr>
        <w:t>试验设备、磁场强度、比吸收率（</w:t>
      </w:r>
      <w:r>
        <w:rPr>
          <w:rFonts w:ascii="Times New Roman" w:eastAsia="仿宋_GB2312" w:cs="Times New Roman"/>
          <w:color w:val="auto"/>
          <w:sz w:val="32"/>
          <w:szCs w:val="32"/>
        </w:rPr>
        <w:t>SAR</w:t>
      </w:r>
      <w:r>
        <w:rPr>
          <w:rFonts w:ascii="Times New Roman" w:eastAsia="仿宋_GB2312" w:cs="Times New Roman"/>
          <w:color w:val="auto"/>
          <w:sz w:val="32"/>
          <w:szCs w:val="32"/>
        </w:rPr>
        <w:t>）等试验参数及温升、位移力、扭矩及伪影评估结果，研究报告相关信息在说明书中予以明示。</w:t>
      </w:r>
    </w:p>
    <w:p w:rsidR="000E7BCE" w:rsidRDefault="008933C1">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color w:val="auto"/>
          <w:sz w:val="32"/>
          <w:szCs w:val="32"/>
        </w:rPr>
        <w:t>如注册申请人未对申报产品进行</w:t>
      </w:r>
      <w:r>
        <w:rPr>
          <w:rFonts w:ascii="Times New Roman" w:eastAsia="仿宋_GB2312" w:cs="Times New Roman"/>
          <w:color w:val="auto"/>
          <w:sz w:val="32"/>
          <w:szCs w:val="32"/>
        </w:rPr>
        <w:t>MR</w:t>
      </w:r>
      <w:r>
        <w:rPr>
          <w:rFonts w:ascii="Times New Roman" w:eastAsia="仿宋_GB2312" w:cs="Times New Roman"/>
          <w:color w:val="auto"/>
          <w:sz w:val="32"/>
          <w:szCs w:val="32"/>
        </w:rPr>
        <w:t>环境下行为属性的相关验证，需明确该产品尚未在</w:t>
      </w:r>
      <w:r>
        <w:rPr>
          <w:rFonts w:ascii="Times New Roman" w:eastAsia="仿宋_GB2312" w:cs="Times New Roman"/>
          <w:color w:val="auto"/>
          <w:sz w:val="32"/>
          <w:szCs w:val="32"/>
        </w:rPr>
        <w:t>MR</w:t>
      </w:r>
      <w:r>
        <w:rPr>
          <w:rFonts w:ascii="Times New Roman" w:eastAsia="仿宋_GB2312" w:cs="Times New Roman"/>
          <w:color w:val="auto"/>
          <w:sz w:val="32"/>
          <w:szCs w:val="32"/>
        </w:rPr>
        <w:t>环境下对该产品的温升、移位状况及伪影进行测试评估，需在说明书的警示中注明相关内容，提示其存在的风险，由临床医生与医疗机构综合判断临床使用</w:t>
      </w:r>
      <w:r>
        <w:rPr>
          <w:rFonts w:ascii="Times New Roman" w:eastAsia="仿宋_GB2312" w:cs="Times New Roman"/>
          <w:color w:val="auto"/>
          <w:sz w:val="32"/>
          <w:szCs w:val="32"/>
        </w:rPr>
        <w:lastRenderedPageBreak/>
        <w:t>风险的可控性。</w:t>
      </w:r>
    </w:p>
    <w:p w:rsidR="000E7BCE" w:rsidRDefault="008933C1">
      <w:pPr>
        <w:spacing w:line="520" w:lineRule="exact"/>
        <w:ind w:firstLineChars="200" w:firstLine="640"/>
        <w:rPr>
          <w:rFonts w:eastAsia="楷体_GB2312"/>
          <w:sz w:val="32"/>
          <w:szCs w:val="32"/>
        </w:rPr>
      </w:pPr>
      <w:r>
        <w:rPr>
          <w:rFonts w:eastAsia="楷体_GB2312"/>
          <w:sz w:val="32"/>
          <w:szCs w:val="32"/>
        </w:rPr>
        <w:t>（四）临床评价资料</w:t>
      </w:r>
    </w:p>
    <w:p w:rsidR="000E7BCE" w:rsidRDefault="008933C1">
      <w:pPr>
        <w:spacing w:line="520" w:lineRule="exact"/>
        <w:ind w:firstLineChars="200" w:firstLine="640"/>
        <w:rPr>
          <w:rFonts w:eastAsia="仿宋_GB2312"/>
          <w:sz w:val="32"/>
          <w:szCs w:val="32"/>
        </w:rPr>
      </w:pPr>
      <w:r>
        <w:rPr>
          <w:rFonts w:eastAsia="仿宋_GB2312"/>
          <w:sz w:val="32"/>
          <w:szCs w:val="32"/>
        </w:rPr>
        <w:t>该产品不在《免于临床评价医疗器械目录》的产品描述范围之内，应按相关指导原则进行临床评价。注册申请人需在满足注册法规要求的前提下，按照《医疗器械临床评价技术指导原则》的要求选择合适的临床评价路径提交临床评价资料。</w:t>
      </w:r>
    </w:p>
    <w:p w:rsidR="000E7BCE" w:rsidRDefault="008933C1">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同品种医疗器械临床数据</w:t>
      </w:r>
    </w:p>
    <w:p w:rsidR="000E7BCE" w:rsidRDefault="008933C1">
      <w:pPr>
        <w:spacing w:line="520" w:lineRule="exact"/>
        <w:ind w:firstLineChars="200" w:firstLine="640"/>
        <w:rPr>
          <w:rFonts w:eastAsia="仿宋_GB2312"/>
          <w:sz w:val="32"/>
          <w:szCs w:val="32"/>
        </w:rPr>
      </w:pPr>
      <w:r>
        <w:rPr>
          <w:rFonts w:eastAsia="仿宋_GB2312"/>
          <w:sz w:val="32"/>
          <w:szCs w:val="32"/>
        </w:rPr>
        <w:t>详见《医疗器械临床评价技术指导原则》中将同品种医疗器械的临床数据用于支持申报产品的安全性、临床性能和</w:t>
      </w:r>
      <w:r>
        <w:rPr>
          <w:rFonts w:eastAsia="仿宋_GB2312"/>
          <w:sz w:val="32"/>
          <w:szCs w:val="32"/>
        </w:rPr>
        <w:t>/</w:t>
      </w:r>
      <w:r>
        <w:rPr>
          <w:rFonts w:eastAsia="仿宋_GB2312"/>
          <w:sz w:val="32"/>
          <w:szCs w:val="32"/>
        </w:rPr>
        <w:t>或有效性的要求。</w:t>
      </w:r>
    </w:p>
    <w:p w:rsidR="000E7BCE" w:rsidRDefault="008933C1">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申报产品临床试验数据</w:t>
      </w:r>
    </w:p>
    <w:p w:rsidR="000E7BCE" w:rsidRDefault="008933C1">
      <w:pPr>
        <w:spacing w:line="520" w:lineRule="exact"/>
        <w:ind w:firstLineChars="200" w:firstLine="640"/>
        <w:rPr>
          <w:rFonts w:eastAsia="仿宋_GB2312"/>
          <w:sz w:val="32"/>
          <w:szCs w:val="32"/>
        </w:rPr>
      </w:pPr>
      <w:r>
        <w:rPr>
          <w:rFonts w:eastAsia="仿宋_GB2312"/>
          <w:sz w:val="32"/>
          <w:szCs w:val="32"/>
        </w:rPr>
        <w:t>注册申请人可参照《决策是否开展医疗器械临床试验技术指导原则》明确需要开展临床试验的主要考虑因素，如需开展临床试验，则需严格按照《医疗器械临床试验质量管理规范》进行临床试验，并提交完整的临床试验资料。临床试验的设计可参考《医疗器械临床试验设计指导原则》。</w:t>
      </w:r>
    </w:p>
    <w:p w:rsidR="000E7BCE" w:rsidRDefault="008933C1">
      <w:pPr>
        <w:spacing w:line="520" w:lineRule="exact"/>
        <w:ind w:firstLineChars="200" w:firstLine="640"/>
        <w:rPr>
          <w:rFonts w:eastAsia="仿宋_GB2312"/>
          <w:bCs/>
          <w:sz w:val="32"/>
          <w:szCs w:val="32"/>
        </w:rPr>
      </w:pPr>
      <w:r>
        <w:rPr>
          <w:rFonts w:eastAsia="仿宋_GB2312"/>
          <w:sz w:val="32"/>
          <w:szCs w:val="32"/>
        </w:rPr>
        <w:t>注册申请人如有境外临床试验数据，可参照《接受医疗器械境外临床试验数据技术指导原则》的要求提交相关资料。</w:t>
      </w:r>
    </w:p>
    <w:p w:rsidR="000E7BCE" w:rsidRDefault="008933C1">
      <w:pPr>
        <w:spacing w:line="520" w:lineRule="exact"/>
        <w:ind w:firstLineChars="200" w:firstLine="640"/>
        <w:rPr>
          <w:rFonts w:eastAsia="楷体_GB2312"/>
          <w:sz w:val="32"/>
          <w:szCs w:val="32"/>
        </w:rPr>
      </w:pPr>
      <w:r>
        <w:rPr>
          <w:rFonts w:eastAsia="楷体_GB2312"/>
          <w:sz w:val="32"/>
          <w:szCs w:val="32"/>
        </w:rPr>
        <w:t>（五）产品说明书和标签样稿</w:t>
      </w:r>
    </w:p>
    <w:p w:rsidR="000E7BCE" w:rsidRDefault="008933C1">
      <w:pPr>
        <w:spacing w:line="520" w:lineRule="exact"/>
        <w:ind w:firstLineChars="200" w:firstLine="640"/>
        <w:rPr>
          <w:rFonts w:eastAsia="仿宋_GB2312"/>
          <w:sz w:val="32"/>
          <w:szCs w:val="32"/>
        </w:rPr>
      </w:pPr>
      <w:r>
        <w:rPr>
          <w:rFonts w:eastAsia="仿宋_GB2312"/>
          <w:sz w:val="32"/>
          <w:szCs w:val="32"/>
        </w:rPr>
        <w:t>产品说明书、标签和包装标识需符合《医疗器械说明书和标签管理规定》和相关国家标准、行业标准的要求（如</w:t>
      </w:r>
      <w:r>
        <w:rPr>
          <w:rFonts w:eastAsia="仿宋_GB2312"/>
          <w:sz w:val="32"/>
          <w:szCs w:val="32"/>
        </w:rPr>
        <w:t>YY/T 0466.1</w:t>
      </w:r>
      <w:r>
        <w:rPr>
          <w:rFonts w:eastAsia="仿宋_GB2312"/>
          <w:sz w:val="32"/>
          <w:szCs w:val="32"/>
        </w:rPr>
        <w:t>《医疗器械用于医疗器械标签、标记和提供信息的符号第</w:t>
      </w:r>
      <w:r>
        <w:rPr>
          <w:rFonts w:eastAsia="仿宋_GB2312"/>
          <w:sz w:val="32"/>
          <w:szCs w:val="32"/>
        </w:rPr>
        <w:t>1</w:t>
      </w:r>
      <w:r>
        <w:rPr>
          <w:rFonts w:eastAsia="仿宋_GB2312"/>
          <w:sz w:val="32"/>
          <w:szCs w:val="32"/>
        </w:rPr>
        <w:t>部分：通用要求》）。</w:t>
      </w:r>
    </w:p>
    <w:p w:rsidR="000E7BCE" w:rsidRDefault="008933C1">
      <w:pPr>
        <w:spacing w:line="520" w:lineRule="exact"/>
        <w:ind w:firstLineChars="200" w:firstLine="640"/>
        <w:rPr>
          <w:rFonts w:eastAsia="仿宋_GB2312"/>
          <w:sz w:val="32"/>
          <w:szCs w:val="32"/>
        </w:rPr>
      </w:pPr>
      <w:r>
        <w:rPr>
          <w:rFonts w:eastAsia="仿宋_GB2312"/>
          <w:sz w:val="32"/>
          <w:szCs w:val="32"/>
        </w:rPr>
        <w:t>说明书需告知使用者所有使用过程中相关的剩余风险。对产品预期使用者的技术知识、经验、教育背景、培训、身体状</w:t>
      </w:r>
      <w:r>
        <w:rPr>
          <w:rFonts w:eastAsia="仿宋_GB2312"/>
          <w:sz w:val="32"/>
          <w:szCs w:val="32"/>
        </w:rPr>
        <w:lastRenderedPageBreak/>
        <w:t>况（如适用）以及产品使用环境（含工作条件）有要求的，在说明书中需予以明确。</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lang w:val="zh-CN"/>
        </w:rPr>
        <w:t>建议注册申请人在产品说明书中明确椎弓根螺钉安装时，椎弓根螺钉顶丝的最大紧固扭矩。</w:t>
      </w:r>
    </w:p>
    <w:p w:rsidR="000E7BCE" w:rsidRDefault="008933C1">
      <w:pPr>
        <w:spacing w:line="520" w:lineRule="exact"/>
        <w:ind w:firstLineChars="200" w:firstLine="640"/>
        <w:rPr>
          <w:rFonts w:eastAsia="仿宋_GB2312"/>
          <w:sz w:val="32"/>
          <w:szCs w:val="32"/>
        </w:rPr>
      </w:pPr>
      <w:r>
        <w:rPr>
          <w:rFonts w:eastAsia="仿宋_GB2312"/>
          <w:kern w:val="0"/>
          <w:sz w:val="32"/>
          <w:szCs w:val="32"/>
          <w:lang w:val="zh-CN"/>
        </w:rPr>
        <w:t>如申报产品包含</w:t>
      </w:r>
      <w:r>
        <w:rPr>
          <w:rFonts w:eastAsia="仿宋_GB2312"/>
          <w:sz w:val="32"/>
          <w:szCs w:val="32"/>
        </w:rPr>
        <w:t>表面喷涂羟基磷灰石涂层的椎弓根螺钉，注册申请人需在说明书中</w:t>
      </w:r>
      <w:r>
        <w:rPr>
          <w:rFonts w:eastAsia="仿宋_GB2312"/>
          <w:kern w:val="0"/>
          <w:sz w:val="32"/>
          <w:szCs w:val="32"/>
          <w:lang w:val="zh-CN"/>
        </w:rPr>
        <w:t>明确该部件的适应证</w:t>
      </w:r>
      <w:r>
        <w:rPr>
          <w:rFonts w:eastAsia="仿宋_GB2312"/>
          <w:sz w:val="32"/>
          <w:szCs w:val="32"/>
        </w:rPr>
        <w:t>，</w:t>
      </w:r>
      <w:r>
        <w:rPr>
          <w:rFonts w:eastAsia="仿宋_GB2312"/>
          <w:kern w:val="0"/>
          <w:sz w:val="32"/>
          <w:szCs w:val="32"/>
          <w:lang w:val="zh-CN"/>
        </w:rPr>
        <w:t>并在警示、注意事项、操作方法、禁忌证等部分明确羟基磷灰石涂层相关内容</w:t>
      </w:r>
      <w:r>
        <w:rPr>
          <w:rFonts w:eastAsia="仿宋_GB2312"/>
          <w:sz w:val="32"/>
          <w:szCs w:val="32"/>
        </w:rPr>
        <w:t>，如涂层脱落应更换使用新的螺钉等。</w:t>
      </w:r>
    </w:p>
    <w:p w:rsidR="000E7BCE" w:rsidRDefault="008933C1">
      <w:pPr>
        <w:spacing w:line="520" w:lineRule="exact"/>
        <w:ind w:firstLineChars="200" w:firstLine="640"/>
        <w:rPr>
          <w:rFonts w:eastAsia="仿宋_GB2312"/>
          <w:sz w:val="32"/>
          <w:szCs w:val="32"/>
        </w:rPr>
      </w:pPr>
      <w:r>
        <w:rPr>
          <w:rFonts w:eastAsia="仿宋_GB2312"/>
          <w:kern w:val="0"/>
          <w:sz w:val="32"/>
          <w:szCs w:val="32"/>
          <w:lang w:val="zh-CN"/>
        </w:rPr>
        <w:t>如申报产品包含</w:t>
      </w:r>
      <w:r>
        <w:rPr>
          <w:rFonts w:eastAsia="仿宋_GB2312"/>
          <w:sz w:val="32"/>
          <w:szCs w:val="32"/>
        </w:rPr>
        <w:t>可注射骨水泥的椎弓根螺钉</w:t>
      </w:r>
      <w:r>
        <w:rPr>
          <w:rFonts w:eastAsia="仿宋_GB2312"/>
          <w:kern w:val="0"/>
          <w:sz w:val="32"/>
          <w:szCs w:val="32"/>
          <w:lang w:val="zh-CN"/>
        </w:rPr>
        <w:t>，注册申请人需在说明书中明确该部件的适应证和与其配合使用的骨水泥相关信息，并在警示、注意事项、操作方法、禁忌证等部分明确骨水泥相关内容。可参考《钙磷硅类骨填充材料注册技术审查指导原则》中（八）说明书和标签样稿编写产品说明书。</w:t>
      </w:r>
    </w:p>
    <w:p w:rsidR="000E7BCE" w:rsidRDefault="008933C1">
      <w:pPr>
        <w:spacing w:line="520" w:lineRule="exact"/>
        <w:ind w:firstLineChars="200" w:firstLine="640"/>
        <w:rPr>
          <w:rFonts w:eastAsia="楷体_GB2312"/>
          <w:sz w:val="32"/>
          <w:szCs w:val="32"/>
        </w:rPr>
      </w:pPr>
      <w:r>
        <w:rPr>
          <w:rFonts w:eastAsia="楷体_GB2312"/>
          <w:sz w:val="32"/>
          <w:szCs w:val="32"/>
        </w:rPr>
        <w:t>（六）质量管理体系文件</w:t>
      </w:r>
    </w:p>
    <w:p w:rsidR="000E7BCE" w:rsidRDefault="008933C1">
      <w:pPr>
        <w:spacing w:line="520" w:lineRule="exact"/>
        <w:ind w:firstLineChars="200" w:firstLine="640"/>
        <w:rPr>
          <w:rFonts w:eastAsia="仿宋_GB2312"/>
          <w:sz w:val="32"/>
          <w:szCs w:val="32"/>
        </w:rPr>
      </w:pPr>
      <w:r>
        <w:rPr>
          <w:rFonts w:eastAsia="仿宋_GB2312"/>
          <w:sz w:val="32"/>
          <w:szCs w:val="32"/>
        </w:rPr>
        <w:t>需按照《关于公布医疗器械注册申报资料要求和批准证明文件格式的公告》提交相关文件。</w:t>
      </w:r>
    </w:p>
    <w:p w:rsidR="000E7BCE" w:rsidRDefault="008933C1">
      <w:pPr>
        <w:spacing w:line="520" w:lineRule="exact"/>
        <w:ind w:firstLineChars="200" w:firstLine="640"/>
        <w:rPr>
          <w:rFonts w:eastAsia="黑体"/>
          <w:sz w:val="32"/>
          <w:szCs w:val="32"/>
        </w:rPr>
      </w:pPr>
      <w:r>
        <w:rPr>
          <w:rFonts w:eastAsia="黑体"/>
          <w:sz w:val="32"/>
          <w:szCs w:val="32"/>
        </w:rPr>
        <w:t>三、参考文献</w:t>
      </w:r>
    </w:p>
    <w:p w:rsidR="000E7BCE" w:rsidRDefault="008933C1">
      <w:pPr>
        <w:spacing w:line="520" w:lineRule="exact"/>
        <w:ind w:firstLineChars="200" w:firstLine="640"/>
        <w:rPr>
          <w:rFonts w:eastAsia="黑体"/>
          <w:sz w:val="32"/>
          <w:szCs w:val="32"/>
        </w:rPr>
      </w:pPr>
      <w:r>
        <w:rPr>
          <w:rFonts w:eastAsia="仿宋_GB2312"/>
          <w:sz w:val="32"/>
          <w:szCs w:val="32"/>
        </w:rPr>
        <w:t>[1]</w:t>
      </w:r>
      <w:r>
        <w:rPr>
          <w:rFonts w:eastAsia="仿宋_GB2312"/>
          <w:sz w:val="32"/>
          <w:szCs w:val="32"/>
        </w:rPr>
        <w:t>中华人民共和国国务院</w:t>
      </w:r>
      <w:r>
        <w:rPr>
          <w:rFonts w:eastAsia="仿宋_GB2312"/>
          <w:sz w:val="32"/>
          <w:szCs w:val="32"/>
        </w:rPr>
        <w:t>.</w:t>
      </w:r>
      <w:r>
        <w:rPr>
          <w:rFonts w:eastAsia="仿宋_GB2312"/>
          <w:sz w:val="32"/>
          <w:szCs w:val="32"/>
        </w:rPr>
        <w:t>医疗器械监督管理条例</w:t>
      </w:r>
      <w:r>
        <w:rPr>
          <w:rFonts w:eastAsia="仿宋_GB2312"/>
          <w:sz w:val="32"/>
          <w:szCs w:val="32"/>
        </w:rPr>
        <w:t>:</w:t>
      </w:r>
      <w:r>
        <w:rPr>
          <w:rFonts w:eastAsia="仿宋_GB2312"/>
          <w:sz w:val="32"/>
          <w:szCs w:val="32"/>
        </w:rPr>
        <w:t>中华人民共和国国务院令第</w:t>
      </w:r>
      <w:r>
        <w:rPr>
          <w:rFonts w:eastAsia="仿宋_GB2312"/>
          <w:sz w:val="32"/>
          <w:szCs w:val="32"/>
        </w:rPr>
        <w:t>739</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国家市场监督管理总局</w:t>
      </w:r>
      <w:r>
        <w:rPr>
          <w:rFonts w:eastAsia="仿宋_GB2312"/>
          <w:sz w:val="32"/>
          <w:szCs w:val="32"/>
        </w:rPr>
        <w:t>.</w:t>
      </w:r>
      <w:r>
        <w:rPr>
          <w:rFonts w:eastAsia="仿宋_GB2312"/>
          <w:sz w:val="32"/>
          <w:szCs w:val="32"/>
        </w:rPr>
        <w:t>医疗器械注册与备案管理办法</w:t>
      </w:r>
      <w:r>
        <w:rPr>
          <w:rFonts w:eastAsia="仿宋_GB2312"/>
          <w:sz w:val="32"/>
          <w:szCs w:val="32"/>
        </w:rPr>
        <w:t>:</w:t>
      </w:r>
      <w:r>
        <w:rPr>
          <w:rFonts w:eastAsia="仿宋_GB2312"/>
          <w:sz w:val="32"/>
          <w:szCs w:val="32"/>
        </w:rPr>
        <w:t>国家市场监督管理总局令第</w:t>
      </w:r>
      <w:r>
        <w:rPr>
          <w:rFonts w:eastAsia="仿宋_GB2312"/>
          <w:sz w:val="32"/>
          <w:szCs w:val="32"/>
        </w:rPr>
        <w:t>47</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国家药品监督管理局，国家卫生健康委员会</w:t>
      </w:r>
      <w:r>
        <w:rPr>
          <w:rFonts w:eastAsia="仿宋_GB2312"/>
          <w:sz w:val="32"/>
          <w:szCs w:val="32"/>
        </w:rPr>
        <w:t>.</w:t>
      </w:r>
      <w:r>
        <w:rPr>
          <w:rFonts w:eastAsia="仿宋_GB2312"/>
          <w:sz w:val="32"/>
          <w:szCs w:val="32"/>
        </w:rPr>
        <w:t>医疗器械临床试验质量管理规范</w:t>
      </w:r>
      <w:r>
        <w:rPr>
          <w:rFonts w:eastAsia="仿宋_GB2312"/>
          <w:sz w:val="32"/>
          <w:szCs w:val="32"/>
        </w:rPr>
        <w:t xml:space="preserve">: </w:t>
      </w:r>
      <w:r>
        <w:rPr>
          <w:rFonts w:eastAsia="仿宋_GB2312"/>
          <w:sz w:val="32"/>
          <w:szCs w:val="32"/>
        </w:rPr>
        <w:t>国家药品监督管理局，国家卫生健康委员会</w:t>
      </w:r>
      <w:r>
        <w:rPr>
          <w:rFonts w:eastAsia="仿宋_GB2312"/>
          <w:sz w:val="32"/>
          <w:szCs w:val="32"/>
        </w:rPr>
        <w:t>2022</w:t>
      </w:r>
      <w:r>
        <w:rPr>
          <w:rFonts w:eastAsia="仿宋_GB2312"/>
          <w:sz w:val="32"/>
          <w:szCs w:val="32"/>
        </w:rPr>
        <w:t>年第</w:t>
      </w:r>
      <w:r>
        <w:rPr>
          <w:rFonts w:eastAsia="仿宋_GB2312"/>
          <w:sz w:val="32"/>
          <w:szCs w:val="32"/>
        </w:rPr>
        <w:t>28</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黑体"/>
          <w:sz w:val="32"/>
          <w:szCs w:val="32"/>
        </w:rPr>
      </w:pPr>
      <w:r>
        <w:rPr>
          <w:rFonts w:eastAsia="黑体"/>
          <w:sz w:val="32"/>
          <w:szCs w:val="32"/>
        </w:rPr>
        <w:t>[4]</w:t>
      </w:r>
      <w:r>
        <w:rPr>
          <w:rFonts w:eastAsia="仿宋_GB2312"/>
          <w:sz w:val="32"/>
          <w:szCs w:val="32"/>
        </w:rPr>
        <w:t>国家食品药品监督管理局</w:t>
      </w:r>
      <w:r>
        <w:rPr>
          <w:rFonts w:eastAsia="仿宋_GB2312"/>
          <w:sz w:val="32"/>
          <w:szCs w:val="32"/>
        </w:rPr>
        <w:t>.</w:t>
      </w:r>
      <w:r>
        <w:rPr>
          <w:rFonts w:eastAsia="仿宋_GB2312"/>
          <w:sz w:val="32"/>
          <w:szCs w:val="32"/>
        </w:rPr>
        <w:t>医疗器械说明书和标签管理</w:t>
      </w:r>
      <w:r>
        <w:rPr>
          <w:rFonts w:eastAsia="仿宋_GB2312"/>
          <w:sz w:val="32"/>
          <w:szCs w:val="32"/>
        </w:rPr>
        <w:lastRenderedPageBreak/>
        <w:t>规定</w:t>
      </w:r>
      <w:r>
        <w:rPr>
          <w:rFonts w:eastAsia="仿宋_GB2312"/>
          <w:sz w:val="32"/>
          <w:szCs w:val="32"/>
        </w:rPr>
        <w:t>:</w:t>
      </w:r>
      <w:r>
        <w:rPr>
          <w:rFonts w:eastAsia="仿宋_GB2312"/>
          <w:sz w:val="32"/>
          <w:szCs w:val="32"/>
        </w:rPr>
        <w:t>国家食品药品监督管理总局令第</w:t>
      </w:r>
      <w:r>
        <w:rPr>
          <w:rFonts w:eastAsia="仿宋_GB2312"/>
          <w:sz w:val="32"/>
          <w:szCs w:val="32"/>
        </w:rPr>
        <w:t>6</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黑体"/>
          <w:sz w:val="32"/>
          <w:szCs w:val="32"/>
        </w:rPr>
        <w:t>[5]</w:t>
      </w:r>
      <w:r>
        <w:rPr>
          <w:rFonts w:eastAsia="仿宋_GB2312"/>
          <w:sz w:val="32"/>
          <w:szCs w:val="32"/>
        </w:rPr>
        <w:t>国家食品药品监督管理总局</w:t>
      </w:r>
      <w:r>
        <w:rPr>
          <w:rFonts w:eastAsia="仿宋_GB2312"/>
          <w:sz w:val="32"/>
          <w:szCs w:val="32"/>
        </w:rPr>
        <w:t>.</w:t>
      </w:r>
      <w:r>
        <w:rPr>
          <w:rFonts w:eastAsia="仿宋_GB2312"/>
          <w:sz w:val="32"/>
          <w:szCs w:val="32"/>
        </w:rPr>
        <w:t>医疗器械通用名称命名规则</w:t>
      </w:r>
      <w:r>
        <w:rPr>
          <w:rFonts w:eastAsia="仿宋_GB2312"/>
          <w:sz w:val="32"/>
          <w:szCs w:val="32"/>
        </w:rPr>
        <w:t>:</w:t>
      </w:r>
      <w:r>
        <w:rPr>
          <w:rFonts w:eastAsia="仿宋_GB2312"/>
          <w:sz w:val="32"/>
          <w:szCs w:val="32"/>
        </w:rPr>
        <w:t>国家食品药品监督管理总局令第</w:t>
      </w:r>
      <w:r>
        <w:rPr>
          <w:rFonts w:eastAsia="仿宋_GB2312"/>
          <w:sz w:val="32"/>
          <w:szCs w:val="32"/>
        </w:rPr>
        <w:t>19</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黑体"/>
          <w:sz w:val="32"/>
          <w:szCs w:val="32"/>
        </w:rPr>
      </w:pPr>
      <w:r>
        <w:rPr>
          <w:rFonts w:eastAsia="黑体"/>
          <w:sz w:val="32"/>
          <w:szCs w:val="32"/>
        </w:rPr>
        <w:t>[6]</w:t>
      </w:r>
      <w:r>
        <w:rPr>
          <w:rFonts w:eastAsia="仿宋_GB2312"/>
          <w:sz w:val="32"/>
          <w:szCs w:val="32"/>
        </w:rPr>
        <w:t>国家药品监督管理局</w:t>
      </w:r>
      <w:r>
        <w:rPr>
          <w:rFonts w:eastAsia="仿宋_GB2312"/>
          <w:sz w:val="32"/>
          <w:szCs w:val="32"/>
        </w:rPr>
        <w:t>.</w:t>
      </w:r>
      <w:r>
        <w:rPr>
          <w:rFonts w:eastAsia="仿宋_GB2312"/>
          <w:sz w:val="32"/>
          <w:szCs w:val="32"/>
        </w:rPr>
        <w:t>医疗器械临床评价技术指导原则</w:t>
      </w:r>
      <w:r>
        <w:rPr>
          <w:rFonts w:eastAsia="仿宋_GB2312"/>
          <w:sz w:val="32"/>
          <w:szCs w:val="32"/>
        </w:rPr>
        <w:t>:</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黑体"/>
          <w:sz w:val="32"/>
          <w:szCs w:val="32"/>
        </w:rPr>
        <w:t>[7]</w:t>
      </w:r>
      <w:r>
        <w:rPr>
          <w:rFonts w:eastAsia="仿宋_GB2312"/>
          <w:sz w:val="32"/>
          <w:szCs w:val="32"/>
        </w:rPr>
        <w:t>国家食品药品监督管理局</w:t>
      </w:r>
      <w:r>
        <w:rPr>
          <w:rFonts w:eastAsia="仿宋_GB2312"/>
          <w:sz w:val="32"/>
          <w:szCs w:val="32"/>
        </w:rPr>
        <w:t xml:space="preserve">. </w:t>
      </w:r>
      <w:r>
        <w:rPr>
          <w:rFonts w:eastAsia="仿宋_GB2312"/>
          <w:sz w:val="32"/>
          <w:szCs w:val="32"/>
        </w:rPr>
        <w:t>医疗器械生物学评价和审查指南</w:t>
      </w:r>
      <w:r>
        <w:rPr>
          <w:rFonts w:eastAsia="仿宋_GB2312"/>
          <w:sz w:val="32"/>
          <w:szCs w:val="32"/>
        </w:rPr>
        <w:t>:</w:t>
      </w:r>
      <w:r>
        <w:rPr>
          <w:rFonts w:eastAsia="仿宋_GB2312"/>
          <w:sz w:val="32"/>
          <w:szCs w:val="32"/>
        </w:rPr>
        <w:t>关于印发医疗器械生物学评价和审查指南的通知</w:t>
      </w:r>
      <w:r>
        <w:rPr>
          <w:rFonts w:eastAsia="仿宋_GB2312"/>
          <w:sz w:val="32"/>
          <w:szCs w:val="32"/>
        </w:rPr>
        <w:t>2007</w:t>
      </w:r>
      <w:r>
        <w:rPr>
          <w:rFonts w:eastAsia="仿宋_GB2312"/>
          <w:sz w:val="32"/>
          <w:szCs w:val="32"/>
        </w:rPr>
        <w:t>年第</w:t>
      </w:r>
      <w:r>
        <w:rPr>
          <w:rFonts w:eastAsia="仿宋_GB2312"/>
          <w:sz w:val="32"/>
          <w:szCs w:val="32"/>
        </w:rPr>
        <w:t>345</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黑体"/>
          <w:sz w:val="32"/>
          <w:szCs w:val="32"/>
        </w:rPr>
      </w:pPr>
      <w:r>
        <w:rPr>
          <w:rFonts w:eastAsia="仿宋_GB2312"/>
          <w:sz w:val="32"/>
          <w:szCs w:val="32"/>
        </w:rPr>
        <w:t>[8]</w:t>
      </w:r>
      <w:r>
        <w:rPr>
          <w:rFonts w:eastAsia="仿宋_GB2312"/>
          <w:sz w:val="32"/>
          <w:szCs w:val="32"/>
        </w:rPr>
        <w:t>国家药品监督管理局</w:t>
      </w:r>
      <w:r>
        <w:rPr>
          <w:rFonts w:eastAsia="仿宋_GB2312"/>
          <w:sz w:val="32"/>
          <w:szCs w:val="32"/>
        </w:rPr>
        <w:t>.</w:t>
      </w:r>
      <w:r>
        <w:rPr>
          <w:rFonts w:eastAsia="仿宋_GB2312"/>
          <w:sz w:val="32"/>
          <w:szCs w:val="32"/>
        </w:rPr>
        <w:t>医疗器械注册申报资料要求和批准证明文件格式</w:t>
      </w:r>
      <w:r>
        <w:rPr>
          <w:rFonts w:eastAsia="仿宋_GB2312"/>
          <w:sz w:val="32"/>
          <w:szCs w:val="32"/>
        </w:rPr>
        <w:t>:</w:t>
      </w:r>
      <w:r>
        <w:rPr>
          <w:rFonts w:eastAsia="仿宋_GB2312"/>
          <w:sz w:val="32"/>
          <w:szCs w:val="32"/>
        </w:rPr>
        <w:t>关于公布医疗器械注册申报资料要求和批准证明文件格式的公告</w:t>
      </w:r>
      <w:r>
        <w:rPr>
          <w:rFonts w:eastAsia="仿宋_GB2312"/>
          <w:sz w:val="32"/>
          <w:szCs w:val="32"/>
        </w:rPr>
        <w:t>2021</w:t>
      </w:r>
      <w:r>
        <w:rPr>
          <w:rFonts w:eastAsia="仿宋_GB2312"/>
          <w:sz w:val="32"/>
          <w:szCs w:val="32"/>
        </w:rPr>
        <w:t>年第</w:t>
      </w:r>
      <w:r>
        <w:rPr>
          <w:rFonts w:eastAsia="仿宋_GB2312"/>
          <w:sz w:val="32"/>
          <w:szCs w:val="32"/>
        </w:rPr>
        <w:t>121</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黑体"/>
          <w:sz w:val="32"/>
          <w:szCs w:val="32"/>
        </w:rPr>
        <w:t>[9</w:t>
      </w:r>
      <w:r>
        <w:rPr>
          <w:rFonts w:eastAsia="仿宋_GB2312"/>
          <w:sz w:val="32"/>
          <w:szCs w:val="32"/>
        </w:rPr>
        <w:t>]</w:t>
      </w:r>
      <w:r>
        <w:rPr>
          <w:rFonts w:eastAsia="仿宋_GB2312"/>
          <w:sz w:val="32"/>
          <w:szCs w:val="32"/>
        </w:rPr>
        <w:t>国家食品药品监督管理总局</w:t>
      </w:r>
      <w:r>
        <w:rPr>
          <w:rFonts w:eastAsia="仿宋_GB2312"/>
          <w:sz w:val="32"/>
          <w:szCs w:val="32"/>
        </w:rPr>
        <w:t>.</w:t>
      </w:r>
      <w:r>
        <w:rPr>
          <w:rFonts w:eastAsia="仿宋_GB2312"/>
          <w:sz w:val="32"/>
          <w:szCs w:val="32"/>
        </w:rPr>
        <w:t>接受医疗器械境外临床试验数据技术指导原则</w:t>
      </w:r>
      <w:r>
        <w:rPr>
          <w:rFonts w:eastAsia="仿宋_GB2312"/>
          <w:sz w:val="32"/>
          <w:szCs w:val="32"/>
        </w:rPr>
        <w:t xml:space="preserve">: </w:t>
      </w:r>
      <w:r>
        <w:rPr>
          <w:rFonts w:eastAsia="仿宋_GB2312"/>
          <w:sz w:val="32"/>
          <w:szCs w:val="32"/>
        </w:rPr>
        <w:t>食品药品监管总局关于发布接受医疗器械境外临床试验数据技术指导原则的通告</w:t>
      </w:r>
      <w:r>
        <w:rPr>
          <w:rFonts w:eastAsia="仿宋_GB2312"/>
          <w:sz w:val="32"/>
          <w:szCs w:val="32"/>
        </w:rPr>
        <w:t>2018</w:t>
      </w:r>
      <w:r>
        <w:rPr>
          <w:rFonts w:eastAsia="仿宋_GB2312"/>
          <w:sz w:val="32"/>
          <w:szCs w:val="32"/>
        </w:rPr>
        <w:t>年第</w:t>
      </w:r>
      <w:r>
        <w:rPr>
          <w:rFonts w:eastAsia="仿宋_GB2312"/>
          <w:sz w:val="32"/>
          <w:szCs w:val="32"/>
        </w:rPr>
        <w:t>13</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[10]</w:t>
      </w:r>
      <w:r>
        <w:rPr>
          <w:rFonts w:eastAsia="仿宋_GB2312"/>
          <w:sz w:val="32"/>
          <w:szCs w:val="32"/>
        </w:rPr>
        <w:t>国家药监局器审中心</w:t>
      </w:r>
      <w:r>
        <w:rPr>
          <w:rFonts w:eastAsia="仿宋_GB2312"/>
          <w:sz w:val="32"/>
          <w:szCs w:val="32"/>
        </w:rPr>
        <w:t>.</w:t>
      </w:r>
      <w:r>
        <w:rPr>
          <w:rFonts w:eastAsia="仿宋_GB2312"/>
          <w:sz w:val="32"/>
          <w:szCs w:val="32"/>
        </w:rPr>
        <w:t>无源植入性医疗器械稳定性研究指导原则（</w:t>
      </w:r>
      <w:r>
        <w:rPr>
          <w:rFonts w:eastAsia="仿宋_GB2312"/>
          <w:sz w:val="32"/>
          <w:szCs w:val="32"/>
        </w:rPr>
        <w:t>2022</w:t>
      </w:r>
      <w:r>
        <w:rPr>
          <w:rFonts w:eastAsia="仿宋_GB2312"/>
          <w:sz w:val="32"/>
          <w:szCs w:val="32"/>
        </w:rPr>
        <w:t>年修订版）：国家药监局器审中心关于发布无源植入性医疗器械稳定性研究指导原则（</w:t>
      </w:r>
      <w:r>
        <w:rPr>
          <w:rFonts w:eastAsia="仿宋_GB2312"/>
          <w:sz w:val="32"/>
          <w:szCs w:val="32"/>
        </w:rPr>
        <w:t>2022</w:t>
      </w:r>
      <w:r>
        <w:rPr>
          <w:rFonts w:eastAsia="仿宋_GB2312"/>
          <w:sz w:val="32"/>
          <w:szCs w:val="32"/>
        </w:rPr>
        <w:t>年修订版）的通告</w:t>
      </w:r>
      <w:r>
        <w:rPr>
          <w:rFonts w:eastAsia="仿宋_GB2312"/>
          <w:sz w:val="32"/>
          <w:szCs w:val="32"/>
        </w:rPr>
        <w:t>2022</w:t>
      </w:r>
      <w:r>
        <w:rPr>
          <w:rFonts w:eastAsia="仿宋_GB2312"/>
          <w:sz w:val="32"/>
          <w:szCs w:val="32"/>
        </w:rPr>
        <w:t>年第</w:t>
      </w:r>
      <w:r>
        <w:rPr>
          <w:rFonts w:eastAsia="仿宋_GB2312"/>
          <w:sz w:val="32"/>
          <w:szCs w:val="32"/>
        </w:rPr>
        <w:t>12</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国家药品监督管理局</w:t>
      </w:r>
      <w:r>
        <w:rPr>
          <w:rFonts w:eastAsia="仿宋_GB2312"/>
          <w:sz w:val="32"/>
          <w:szCs w:val="32"/>
        </w:rPr>
        <w:t>.</w:t>
      </w:r>
      <w:r>
        <w:rPr>
          <w:rFonts w:eastAsia="仿宋_GB2312"/>
          <w:sz w:val="32"/>
          <w:szCs w:val="32"/>
        </w:rPr>
        <w:t>医疗器械动物试验研究注册审查指导原则第一部分：决策原则（</w:t>
      </w:r>
      <w:r>
        <w:rPr>
          <w:rFonts w:eastAsia="仿宋_GB2312"/>
          <w:sz w:val="32"/>
          <w:szCs w:val="32"/>
        </w:rPr>
        <w:t>2021</w:t>
      </w:r>
      <w:r>
        <w:rPr>
          <w:rFonts w:eastAsia="仿宋_GB2312"/>
          <w:sz w:val="32"/>
          <w:szCs w:val="32"/>
        </w:rPr>
        <w:t>年修订版）</w:t>
      </w:r>
      <w:r>
        <w:rPr>
          <w:rFonts w:eastAsia="仿宋_GB2312"/>
          <w:sz w:val="32"/>
          <w:szCs w:val="32"/>
        </w:rPr>
        <w:t>:</w:t>
      </w:r>
      <w:r>
        <w:t xml:space="preserve"> </w:t>
      </w:r>
      <w:r>
        <w:rPr>
          <w:rFonts w:eastAsia="仿宋_GB2312"/>
          <w:sz w:val="32"/>
          <w:szCs w:val="32"/>
        </w:rPr>
        <w:t>国家药监局关于发布医疗器械动物试验研究注册审查指导原则</w:t>
      </w:r>
      <w:r>
        <w:rPr>
          <w:rFonts w:eastAsia="仿宋_GB2312"/>
          <w:sz w:val="32"/>
          <w:szCs w:val="32"/>
        </w:rPr>
        <w:t xml:space="preserve"> </w:t>
      </w:r>
      <w:r>
        <w:rPr>
          <w:rFonts w:eastAsia="仿宋_GB2312"/>
          <w:sz w:val="32"/>
          <w:szCs w:val="32"/>
        </w:rPr>
        <w:t>第一部分：决策原则（</w:t>
      </w:r>
      <w:r>
        <w:rPr>
          <w:rFonts w:eastAsia="仿宋_GB2312"/>
          <w:sz w:val="32"/>
          <w:szCs w:val="32"/>
        </w:rPr>
        <w:t>2021</w:t>
      </w:r>
      <w:r>
        <w:rPr>
          <w:rFonts w:eastAsia="仿宋_GB2312"/>
          <w:sz w:val="32"/>
          <w:szCs w:val="32"/>
        </w:rPr>
        <w:t>年修订版）等</w:t>
      </w:r>
      <w:r>
        <w:rPr>
          <w:rFonts w:eastAsia="仿宋_GB2312"/>
          <w:sz w:val="32"/>
          <w:szCs w:val="32"/>
        </w:rPr>
        <w:t>2</w:t>
      </w:r>
      <w:r>
        <w:rPr>
          <w:rFonts w:eastAsia="仿宋_GB2312"/>
          <w:sz w:val="32"/>
          <w:szCs w:val="32"/>
        </w:rPr>
        <w:t>项注册审查指导原则的通告</w:t>
      </w:r>
      <w:r>
        <w:rPr>
          <w:rFonts w:eastAsia="仿宋_GB2312"/>
          <w:sz w:val="32"/>
          <w:szCs w:val="32"/>
        </w:rPr>
        <w:t>2021</w:t>
      </w:r>
      <w:r>
        <w:rPr>
          <w:rFonts w:eastAsia="仿宋_GB2312"/>
          <w:sz w:val="32"/>
          <w:szCs w:val="32"/>
        </w:rPr>
        <w:t>年第</w:t>
      </w:r>
      <w:r>
        <w:rPr>
          <w:rFonts w:eastAsia="仿宋_GB2312"/>
          <w:sz w:val="32"/>
          <w:szCs w:val="32"/>
        </w:rPr>
        <w:t>75</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[12]</w:t>
      </w:r>
      <w:r>
        <w:rPr>
          <w:rFonts w:eastAsia="仿宋_GB2312"/>
          <w:sz w:val="32"/>
          <w:szCs w:val="32"/>
        </w:rPr>
        <w:t>国家药品监督管理局</w:t>
      </w:r>
      <w:r>
        <w:rPr>
          <w:rFonts w:eastAsia="仿宋_GB2312"/>
          <w:sz w:val="32"/>
          <w:szCs w:val="32"/>
        </w:rPr>
        <w:t>.</w:t>
      </w:r>
      <w:r>
        <w:rPr>
          <w:rFonts w:eastAsia="仿宋_GB2312"/>
          <w:sz w:val="32"/>
          <w:szCs w:val="32"/>
        </w:rPr>
        <w:t>医疗器械动物试验研究注册审查</w:t>
      </w:r>
      <w:r>
        <w:rPr>
          <w:rFonts w:eastAsia="仿宋_GB2312"/>
          <w:sz w:val="32"/>
          <w:szCs w:val="32"/>
        </w:rPr>
        <w:lastRenderedPageBreak/>
        <w:t>指导原则</w:t>
      </w:r>
      <w:r>
        <w:rPr>
          <w:rFonts w:eastAsia="仿宋_GB2312"/>
          <w:sz w:val="32"/>
          <w:szCs w:val="32"/>
        </w:rPr>
        <w:t xml:space="preserve"> </w:t>
      </w:r>
      <w:r>
        <w:rPr>
          <w:rFonts w:eastAsia="仿宋_GB2312"/>
          <w:sz w:val="32"/>
          <w:szCs w:val="32"/>
        </w:rPr>
        <w:t>第二部分：试验设计、实施质量保证</w:t>
      </w:r>
      <w:r>
        <w:rPr>
          <w:rFonts w:eastAsia="仿宋_GB2312"/>
          <w:sz w:val="32"/>
          <w:szCs w:val="32"/>
        </w:rPr>
        <w:t xml:space="preserve">: </w:t>
      </w:r>
      <w:r>
        <w:rPr>
          <w:rFonts w:eastAsia="仿宋_GB2312"/>
          <w:sz w:val="32"/>
          <w:szCs w:val="32"/>
        </w:rPr>
        <w:t>国家药监局关于发布医疗器械动物试验研究注册审查指导原则</w:t>
      </w:r>
      <w:r>
        <w:rPr>
          <w:rFonts w:eastAsia="仿宋_GB2312"/>
          <w:sz w:val="32"/>
          <w:szCs w:val="32"/>
        </w:rPr>
        <w:t xml:space="preserve"> </w:t>
      </w:r>
      <w:r>
        <w:rPr>
          <w:rFonts w:eastAsia="仿宋_GB2312"/>
          <w:sz w:val="32"/>
          <w:szCs w:val="32"/>
        </w:rPr>
        <w:t>第一部分：决策原则（</w:t>
      </w:r>
      <w:r>
        <w:rPr>
          <w:rFonts w:eastAsia="仿宋_GB2312"/>
          <w:sz w:val="32"/>
          <w:szCs w:val="32"/>
        </w:rPr>
        <w:t>2021</w:t>
      </w:r>
      <w:r>
        <w:rPr>
          <w:rFonts w:eastAsia="仿宋_GB2312"/>
          <w:sz w:val="32"/>
          <w:szCs w:val="32"/>
        </w:rPr>
        <w:t>年修订版）等</w:t>
      </w:r>
      <w:r>
        <w:rPr>
          <w:rFonts w:eastAsia="仿宋_GB2312"/>
          <w:sz w:val="32"/>
          <w:szCs w:val="32"/>
        </w:rPr>
        <w:t>2</w:t>
      </w:r>
      <w:r>
        <w:rPr>
          <w:rFonts w:eastAsia="仿宋_GB2312"/>
          <w:sz w:val="32"/>
          <w:szCs w:val="32"/>
        </w:rPr>
        <w:t>项注册审查指导原则的通告</w:t>
      </w:r>
      <w:r>
        <w:rPr>
          <w:rFonts w:eastAsia="仿宋_GB2312"/>
          <w:sz w:val="32"/>
          <w:szCs w:val="32"/>
        </w:rPr>
        <w:t>2021</w:t>
      </w:r>
      <w:r>
        <w:rPr>
          <w:rFonts w:eastAsia="仿宋_GB2312"/>
          <w:sz w:val="32"/>
          <w:szCs w:val="32"/>
        </w:rPr>
        <w:t>年第</w:t>
      </w:r>
      <w:r>
        <w:rPr>
          <w:rFonts w:eastAsia="仿宋_GB2312"/>
          <w:sz w:val="32"/>
          <w:szCs w:val="32"/>
        </w:rPr>
        <w:t>75</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[13]</w:t>
      </w:r>
      <w:r>
        <w:rPr>
          <w:rFonts w:eastAsia="仿宋_GB2312"/>
          <w:sz w:val="32"/>
          <w:szCs w:val="32"/>
        </w:rPr>
        <w:t>国家药品监督管理局</w:t>
      </w:r>
      <w:r>
        <w:rPr>
          <w:rFonts w:eastAsia="仿宋_GB2312"/>
          <w:sz w:val="32"/>
          <w:szCs w:val="32"/>
        </w:rPr>
        <w:t>.</w:t>
      </w:r>
      <w:r>
        <w:rPr>
          <w:rFonts w:eastAsia="仿宋_GB2312"/>
          <w:sz w:val="32"/>
          <w:szCs w:val="32"/>
        </w:rPr>
        <w:t>决策是否开展医疗器械临床试验技术指导原则</w:t>
      </w:r>
      <w:r>
        <w:rPr>
          <w:rFonts w:eastAsia="仿宋_GB2312"/>
          <w:sz w:val="32"/>
          <w:szCs w:val="32"/>
        </w:rPr>
        <w:t xml:space="preserve">: </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[14]</w:t>
      </w:r>
      <w:r>
        <w:rPr>
          <w:rFonts w:eastAsia="仿宋_GB2312"/>
          <w:sz w:val="32"/>
          <w:szCs w:val="32"/>
        </w:rPr>
        <w:t>国家药品监督管理局</w:t>
      </w:r>
      <w:r>
        <w:rPr>
          <w:rFonts w:eastAsia="仿宋_GB2312"/>
          <w:sz w:val="32"/>
          <w:szCs w:val="32"/>
        </w:rPr>
        <w:t>.</w:t>
      </w:r>
      <w:r>
        <w:rPr>
          <w:rFonts w:eastAsia="仿宋_GB2312"/>
          <w:sz w:val="32"/>
          <w:szCs w:val="32"/>
        </w:rPr>
        <w:t>医疗器械产品技术要求编写指导原则</w:t>
      </w:r>
      <w:r>
        <w:rPr>
          <w:rFonts w:eastAsia="仿宋_GB2312"/>
          <w:sz w:val="32"/>
          <w:szCs w:val="32"/>
        </w:rPr>
        <w:t xml:space="preserve">: </w:t>
      </w:r>
      <w:r>
        <w:rPr>
          <w:rFonts w:eastAsia="仿宋_GB2312"/>
          <w:sz w:val="32"/>
          <w:szCs w:val="32"/>
        </w:rPr>
        <w:t>国家药监局关于发布医疗器械产品技术要求编写指导原则的通告</w:t>
      </w:r>
      <w:r>
        <w:rPr>
          <w:rFonts w:eastAsia="仿宋_GB2312"/>
          <w:sz w:val="32"/>
          <w:szCs w:val="32"/>
        </w:rPr>
        <w:t>2022</w:t>
      </w:r>
      <w:r>
        <w:rPr>
          <w:rFonts w:eastAsia="仿宋_GB2312"/>
          <w:sz w:val="32"/>
          <w:szCs w:val="32"/>
        </w:rPr>
        <w:t>年第</w:t>
      </w:r>
      <w:r>
        <w:rPr>
          <w:rFonts w:eastAsia="仿宋_GB2312"/>
          <w:sz w:val="32"/>
          <w:szCs w:val="32"/>
        </w:rPr>
        <w:t>8</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[15]GB/T 10610,</w:t>
      </w:r>
      <w:r>
        <w:rPr>
          <w:rFonts w:eastAsia="仿宋_GB2312"/>
          <w:sz w:val="32"/>
          <w:szCs w:val="32"/>
        </w:rPr>
        <w:t>产品几何技术规范（</w:t>
      </w:r>
      <w:r>
        <w:rPr>
          <w:rFonts w:eastAsia="仿宋_GB2312"/>
          <w:sz w:val="32"/>
          <w:szCs w:val="32"/>
        </w:rPr>
        <w:t>GPS</w:t>
      </w:r>
      <w:r>
        <w:rPr>
          <w:rFonts w:eastAsia="仿宋_GB2312"/>
          <w:sz w:val="32"/>
          <w:szCs w:val="32"/>
        </w:rPr>
        <w:t>）表面结构轮廓法评定表面结构的规则和方法</w:t>
      </w:r>
      <w:r>
        <w:rPr>
          <w:rFonts w:eastAsia="仿宋_GB2312"/>
          <w:sz w:val="32"/>
          <w:szCs w:val="32"/>
        </w:rPr>
        <w:t xml:space="preserve"> [S].</w:t>
      </w:r>
    </w:p>
    <w:p w:rsidR="000E7BCE" w:rsidRDefault="008933C1">
      <w:pPr>
        <w:spacing w:line="520" w:lineRule="exact"/>
        <w:ind w:leftChars="50" w:left="105" w:firstLineChars="150" w:firstLine="480"/>
        <w:rPr>
          <w:rFonts w:eastAsia="仿宋_GB2312"/>
          <w:sz w:val="32"/>
          <w:szCs w:val="32"/>
        </w:rPr>
      </w:pPr>
      <w:r>
        <w:rPr>
          <w:rFonts w:eastAsia="仿宋_GB2312"/>
          <w:sz w:val="32"/>
          <w:szCs w:val="32"/>
        </w:rPr>
        <w:t>[16]GB/T 14233.1,</w:t>
      </w:r>
      <w:r>
        <w:rPr>
          <w:rFonts w:eastAsia="仿宋_GB2312"/>
          <w:sz w:val="32"/>
          <w:szCs w:val="32"/>
        </w:rPr>
        <w:t>医用输液、输血、注射器具检验方法第</w:t>
      </w:r>
      <w:r>
        <w:rPr>
          <w:rFonts w:eastAsia="仿宋_GB2312"/>
          <w:sz w:val="32"/>
          <w:szCs w:val="32"/>
        </w:rPr>
        <w:t>1</w:t>
      </w:r>
      <w:r>
        <w:rPr>
          <w:rFonts w:eastAsia="仿宋_GB2312"/>
          <w:sz w:val="32"/>
          <w:szCs w:val="32"/>
        </w:rPr>
        <w:t>部分：化学分析方法</w:t>
      </w:r>
      <w:r>
        <w:rPr>
          <w:rFonts w:eastAsia="仿宋_GB2312"/>
          <w:sz w:val="32"/>
          <w:szCs w:val="32"/>
        </w:rPr>
        <w:t xml:space="preserve"> [S].</w:t>
      </w:r>
    </w:p>
    <w:p w:rsidR="000E7BCE" w:rsidRDefault="008933C1">
      <w:pPr>
        <w:spacing w:line="520" w:lineRule="exact"/>
        <w:ind w:leftChars="50" w:left="105" w:firstLineChars="150" w:firstLine="480"/>
        <w:rPr>
          <w:rFonts w:eastAsia="仿宋_GB2312"/>
          <w:sz w:val="32"/>
          <w:szCs w:val="32"/>
        </w:rPr>
      </w:pPr>
      <w:r>
        <w:rPr>
          <w:rFonts w:eastAsia="仿宋_GB2312"/>
          <w:sz w:val="32"/>
          <w:szCs w:val="32"/>
        </w:rPr>
        <w:t>[17]GB/T 14233.2,</w:t>
      </w:r>
      <w:r>
        <w:rPr>
          <w:rFonts w:eastAsia="仿宋_GB2312"/>
          <w:sz w:val="32"/>
          <w:szCs w:val="32"/>
        </w:rPr>
        <w:t>医用输液、输血、注射器具检验方法第</w:t>
      </w:r>
      <w:r>
        <w:rPr>
          <w:rFonts w:eastAsia="仿宋_GB2312"/>
          <w:sz w:val="32"/>
          <w:szCs w:val="32"/>
        </w:rPr>
        <w:t>2</w:t>
      </w:r>
      <w:r>
        <w:rPr>
          <w:rFonts w:eastAsia="仿宋_GB2312"/>
          <w:sz w:val="32"/>
          <w:szCs w:val="32"/>
        </w:rPr>
        <w:t>部分：生物试验方法</w:t>
      </w:r>
      <w:r>
        <w:rPr>
          <w:rFonts w:eastAsia="仿宋_GB2312"/>
          <w:sz w:val="32"/>
          <w:szCs w:val="32"/>
        </w:rPr>
        <w:t xml:space="preserve">[S]. </w:t>
      </w:r>
    </w:p>
    <w:p w:rsidR="000E7BCE" w:rsidRDefault="008933C1">
      <w:pPr>
        <w:spacing w:line="520" w:lineRule="exact"/>
        <w:ind w:firstLineChars="200" w:firstLine="640"/>
        <w:rPr>
          <w:rFonts w:eastAsia="仿宋_GB2312"/>
          <w:sz w:val="32"/>
          <w:szCs w:val="32"/>
        </w:rPr>
      </w:pPr>
      <w:r>
        <w:rPr>
          <w:rFonts w:eastAsia="仿宋_GB2312"/>
          <w:sz w:val="32"/>
          <w:szCs w:val="32"/>
        </w:rPr>
        <w:t>[18]GB/T 16886,</w:t>
      </w:r>
      <w:r>
        <w:rPr>
          <w:rFonts w:eastAsia="仿宋_GB2312"/>
          <w:sz w:val="32"/>
          <w:szCs w:val="32"/>
        </w:rPr>
        <w:t>医疗器械生物学评价系列标准</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[19]GB 18278.1,</w:t>
      </w:r>
      <w:r>
        <w:rPr>
          <w:rFonts w:eastAsia="仿宋_GB2312"/>
          <w:sz w:val="32"/>
          <w:szCs w:val="32"/>
        </w:rPr>
        <w:t>医疗保健产品灭菌湿热</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 xml:space="preserve">[S]. </w:t>
      </w:r>
    </w:p>
    <w:p w:rsidR="000E7BCE" w:rsidRDefault="008933C1">
      <w:pPr>
        <w:spacing w:line="520" w:lineRule="exact"/>
        <w:ind w:firstLineChars="200" w:firstLine="640"/>
        <w:rPr>
          <w:rFonts w:eastAsia="仿宋_GB2312"/>
          <w:sz w:val="32"/>
          <w:szCs w:val="32"/>
        </w:rPr>
      </w:pPr>
      <w:r>
        <w:rPr>
          <w:rFonts w:eastAsia="仿宋_GB2312"/>
          <w:sz w:val="32"/>
          <w:szCs w:val="32"/>
        </w:rPr>
        <w:t>[20]GB 18279.1,</w:t>
      </w:r>
      <w:r>
        <w:rPr>
          <w:rFonts w:eastAsia="仿宋_GB2312"/>
          <w:sz w:val="32"/>
          <w:szCs w:val="32"/>
        </w:rPr>
        <w:t>医疗保健产品灭菌环氧乙烷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sz w:val="32"/>
          <w:szCs w:val="32"/>
        </w:rPr>
        <w:t>[S].</w:t>
      </w:r>
    </w:p>
    <w:p w:rsidR="000E7BCE" w:rsidRDefault="008933C1">
      <w:pPr>
        <w:spacing w:line="520" w:lineRule="exact"/>
        <w:ind w:firstLineChars="200" w:firstLine="640"/>
        <w:rPr>
          <w:rFonts w:eastAsia="仿宋_GB2312"/>
          <w:spacing w:val="-6"/>
          <w:sz w:val="32"/>
          <w:szCs w:val="32"/>
        </w:rPr>
      </w:pPr>
      <w:r>
        <w:rPr>
          <w:rFonts w:eastAsia="仿宋_GB2312"/>
          <w:sz w:val="32"/>
          <w:szCs w:val="32"/>
        </w:rPr>
        <w:t>[21]</w:t>
      </w:r>
      <w:r>
        <w:rPr>
          <w:rFonts w:eastAsia="仿宋_GB2312"/>
          <w:spacing w:val="-6"/>
          <w:sz w:val="32"/>
          <w:szCs w:val="32"/>
        </w:rPr>
        <w:t>GB/T 18279.2,</w:t>
      </w:r>
      <w:r>
        <w:rPr>
          <w:rFonts w:eastAsia="仿宋_GB2312"/>
          <w:spacing w:val="-6"/>
          <w:sz w:val="32"/>
          <w:szCs w:val="32"/>
        </w:rPr>
        <w:t>医疗保健产品的灭菌环氧乙烷</w:t>
      </w:r>
      <w:r>
        <w:rPr>
          <w:rFonts w:eastAsia="仿宋_GB2312"/>
          <w:spacing w:val="-6"/>
          <w:sz w:val="32"/>
          <w:szCs w:val="32"/>
        </w:rPr>
        <w:t xml:space="preserve"> </w:t>
      </w:r>
      <w:r>
        <w:rPr>
          <w:rFonts w:eastAsia="仿宋_GB2312"/>
          <w:spacing w:val="-6"/>
          <w:sz w:val="32"/>
          <w:szCs w:val="32"/>
        </w:rPr>
        <w:t>第</w:t>
      </w:r>
      <w:r>
        <w:rPr>
          <w:rFonts w:eastAsia="仿宋_GB2312"/>
          <w:spacing w:val="-6"/>
          <w:sz w:val="32"/>
          <w:szCs w:val="32"/>
        </w:rPr>
        <w:t>2</w:t>
      </w:r>
      <w:r>
        <w:rPr>
          <w:rFonts w:eastAsia="仿宋_GB2312"/>
          <w:spacing w:val="-6"/>
          <w:sz w:val="32"/>
          <w:szCs w:val="32"/>
        </w:rPr>
        <w:t>部分：</w:t>
      </w:r>
      <w:r>
        <w:rPr>
          <w:rFonts w:eastAsia="仿宋_GB2312"/>
          <w:spacing w:val="-6"/>
          <w:sz w:val="32"/>
          <w:szCs w:val="32"/>
        </w:rPr>
        <w:t>GB 18279.1</w:t>
      </w:r>
      <w:r>
        <w:rPr>
          <w:rFonts w:eastAsia="仿宋_GB2312"/>
          <w:spacing w:val="-6"/>
          <w:sz w:val="32"/>
          <w:szCs w:val="32"/>
        </w:rPr>
        <w:t>应用指南</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[22]GB 18280.1,</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lastRenderedPageBreak/>
        <w:t>[23]GB 18280.2,</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部分：建立灭菌剂量</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[24]GB/T 18280.3,</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[25]GB 23101.2,</w:t>
      </w:r>
      <w:r>
        <w:rPr>
          <w:rFonts w:eastAsia="仿宋_GB2312"/>
          <w:sz w:val="32"/>
          <w:szCs w:val="32"/>
        </w:rPr>
        <w:t>外科植入物</w:t>
      </w:r>
      <w:r>
        <w:rPr>
          <w:rFonts w:eastAsia="仿宋_GB2312"/>
          <w:sz w:val="32"/>
          <w:szCs w:val="32"/>
        </w:rPr>
        <w:t xml:space="preserve"> </w:t>
      </w:r>
      <w:r>
        <w:rPr>
          <w:rFonts w:eastAsia="仿宋_GB2312"/>
          <w:sz w:val="32"/>
          <w:szCs w:val="32"/>
        </w:rPr>
        <w:t>羟基磷灰石第</w:t>
      </w:r>
      <w:r>
        <w:rPr>
          <w:rFonts w:eastAsia="仿宋_GB2312"/>
          <w:sz w:val="32"/>
          <w:szCs w:val="32"/>
        </w:rPr>
        <w:t>2</w:t>
      </w:r>
      <w:r>
        <w:rPr>
          <w:rFonts w:eastAsia="仿宋_GB2312"/>
          <w:sz w:val="32"/>
          <w:szCs w:val="32"/>
        </w:rPr>
        <w:t>部分：羟基磷灰石涂层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[26]GB 23101.4-2008,</w:t>
      </w:r>
      <w:r>
        <w:rPr>
          <w:rFonts w:eastAsia="仿宋_GB2312"/>
          <w:sz w:val="32"/>
          <w:szCs w:val="32"/>
        </w:rPr>
        <w:t>外科植入物</w:t>
      </w:r>
      <w:r>
        <w:rPr>
          <w:rFonts w:eastAsia="仿宋_GB2312"/>
          <w:sz w:val="32"/>
          <w:szCs w:val="32"/>
        </w:rPr>
        <w:t xml:space="preserve"> </w:t>
      </w:r>
      <w:r>
        <w:rPr>
          <w:rFonts w:eastAsia="仿宋_GB2312"/>
          <w:sz w:val="32"/>
          <w:szCs w:val="32"/>
        </w:rPr>
        <w:t>羟基磷灰石</w:t>
      </w:r>
      <w:r>
        <w:rPr>
          <w:rFonts w:eastAsia="仿宋_GB2312"/>
          <w:sz w:val="32"/>
          <w:szCs w:val="32"/>
        </w:rPr>
        <w:t xml:space="preserve"> </w:t>
      </w:r>
      <w:r>
        <w:rPr>
          <w:rFonts w:eastAsia="仿宋_GB2312"/>
          <w:sz w:val="32"/>
          <w:szCs w:val="32"/>
        </w:rPr>
        <w:t>第</w:t>
      </w:r>
      <w:r>
        <w:rPr>
          <w:rFonts w:eastAsia="仿宋_GB2312"/>
          <w:sz w:val="32"/>
          <w:szCs w:val="32"/>
        </w:rPr>
        <w:t>4</w:t>
      </w:r>
      <w:r>
        <w:rPr>
          <w:rFonts w:eastAsia="仿宋_GB2312"/>
          <w:sz w:val="32"/>
          <w:szCs w:val="32"/>
        </w:rPr>
        <w:t>部分：涂层粘结强度的测定</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[27]YY 0341.2-2020,</w:t>
      </w:r>
      <w:r>
        <w:rPr>
          <w:rFonts w:eastAsia="仿宋_GB2312"/>
          <w:sz w:val="32"/>
          <w:szCs w:val="32"/>
        </w:rPr>
        <w:t>无源外科植入物</w:t>
      </w:r>
      <w:r>
        <w:rPr>
          <w:rFonts w:eastAsia="仿宋_GB2312"/>
          <w:sz w:val="32"/>
          <w:szCs w:val="32"/>
        </w:rPr>
        <w:t xml:space="preserve"> </w:t>
      </w:r>
      <w:r>
        <w:rPr>
          <w:rFonts w:eastAsia="仿宋_GB2312"/>
          <w:sz w:val="32"/>
          <w:szCs w:val="32"/>
        </w:rPr>
        <w:t>骨接合与脊柱植入物</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部分：脊柱植入物特殊要求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[28]YY/T 1615-2018,</w:t>
      </w:r>
      <w:r>
        <w:rPr>
          <w:rFonts w:eastAsia="仿宋_GB2312"/>
          <w:sz w:val="32"/>
          <w:szCs w:val="32"/>
        </w:rPr>
        <w:t>外科植入物钛及钛合金阳极氧化膜通用要求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[29]YY/T 0343,</w:t>
      </w:r>
      <w:r>
        <w:rPr>
          <w:rFonts w:eastAsia="仿宋_GB2312"/>
          <w:sz w:val="32"/>
          <w:szCs w:val="32"/>
        </w:rPr>
        <w:t>外科金属植入物液体渗透检验</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[30]GB/T 3505,</w:t>
      </w:r>
      <w:r>
        <w:rPr>
          <w:rFonts w:eastAsia="仿宋_GB2312"/>
          <w:sz w:val="32"/>
          <w:szCs w:val="32"/>
        </w:rPr>
        <w:t>产品几何技术规范（</w:t>
      </w:r>
      <w:r>
        <w:rPr>
          <w:rFonts w:eastAsia="仿宋_GB2312"/>
          <w:sz w:val="32"/>
          <w:szCs w:val="32"/>
        </w:rPr>
        <w:t>GPS</w:t>
      </w:r>
      <w:r>
        <w:rPr>
          <w:rFonts w:eastAsia="仿宋_GB2312"/>
          <w:sz w:val="32"/>
          <w:szCs w:val="32"/>
        </w:rPr>
        <w:t>）表面结构：轮廓法术语、定义及表面结构参数</w:t>
      </w:r>
      <w:r>
        <w:rPr>
          <w:rFonts w:eastAsia="仿宋_GB2312"/>
          <w:sz w:val="32"/>
          <w:szCs w:val="32"/>
        </w:rPr>
        <w:t>[S].</w:t>
      </w:r>
    </w:p>
    <w:p w:rsidR="000E7BCE" w:rsidRDefault="008933C1">
      <w:pPr>
        <w:spacing w:line="520" w:lineRule="exact"/>
        <w:ind w:firstLineChars="200" w:firstLine="640"/>
        <w:textAlignment w:val="center"/>
        <w:rPr>
          <w:rFonts w:eastAsia="仿宋_GB2312"/>
          <w:kern w:val="0"/>
          <w:sz w:val="32"/>
          <w:szCs w:val="32"/>
        </w:rPr>
      </w:pPr>
      <w:r>
        <w:rPr>
          <w:rFonts w:eastAsia="仿宋_GB2312"/>
          <w:sz w:val="32"/>
          <w:szCs w:val="32"/>
        </w:rPr>
        <w:t>[31]</w:t>
      </w:r>
      <w:r>
        <w:rPr>
          <w:rFonts w:eastAsia="仿宋_GB2312"/>
          <w:kern w:val="0"/>
          <w:sz w:val="32"/>
          <w:szCs w:val="32"/>
        </w:rPr>
        <w:t>YY/T 1427,</w:t>
      </w:r>
      <w:r>
        <w:rPr>
          <w:rFonts w:eastAsia="仿宋_GB2312"/>
          <w:kern w:val="0"/>
          <w:sz w:val="32"/>
          <w:szCs w:val="32"/>
        </w:rPr>
        <w:t>外科植入物</w:t>
      </w:r>
      <w:r>
        <w:rPr>
          <w:rFonts w:eastAsia="仿宋_GB2312"/>
          <w:kern w:val="0"/>
          <w:sz w:val="32"/>
          <w:szCs w:val="32"/>
        </w:rPr>
        <w:t xml:space="preserve"> </w:t>
      </w:r>
      <w:r>
        <w:rPr>
          <w:rFonts w:eastAsia="仿宋_GB2312"/>
          <w:kern w:val="0"/>
          <w:sz w:val="32"/>
          <w:szCs w:val="32"/>
        </w:rPr>
        <w:t>可植入材料及医疗器械静态和动态腐蚀试验的测试溶液和条件</w:t>
      </w:r>
      <w:r>
        <w:rPr>
          <w:rFonts w:eastAsia="仿宋_GB2312"/>
          <w:sz w:val="32"/>
          <w:szCs w:val="32"/>
        </w:rPr>
        <w:t>[S].</w:t>
      </w:r>
    </w:p>
    <w:p w:rsidR="000E7BCE" w:rsidRDefault="008933C1">
      <w:pPr>
        <w:spacing w:line="520" w:lineRule="exact"/>
        <w:ind w:firstLineChars="200" w:firstLine="640"/>
        <w:textAlignment w:val="center"/>
        <w:rPr>
          <w:rFonts w:eastAsia="仿宋_GB2312"/>
          <w:kern w:val="0"/>
          <w:sz w:val="32"/>
          <w:szCs w:val="32"/>
        </w:rPr>
      </w:pPr>
      <w:r>
        <w:rPr>
          <w:rFonts w:eastAsia="仿宋_GB2312"/>
          <w:sz w:val="32"/>
          <w:szCs w:val="32"/>
        </w:rPr>
        <w:t>[32]</w:t>
      </w:r>
      <w:r>
        <w:rPr>
          <w:rFonts w:eastAsia="仿宋_GB2312"/>
          <w:kern w:val="0"/>
          <w:sz w:val="32"/>
          <w:szCs w:val="32"/>
        </w:rPr>
        <w:t>YY/T 1552</w:t>
      </w:r>
      <w:r>
        <w:rPr>
          <w:rFonts w:eastAsia="仿宋_GB2312"/>
          <w:sz w:val="32"/>
          <w:szCs w:val="32"/>
        </w:rPr>
        <w:t>,</w:t>
      </w:r>
      <w:r>
        <w:rPr>
          <w:rFonts w:eastAsia="仿宋_GB2312"/>
          <w:kern w:val="0"/>
          <w:sz w:val="32"/>
          <w:szCs w:val="32"/>
        </w:rPr>
        <w:t>外科植入物</w:t>
      </w:r>
      <w:r>
        <w:rPr>
          <w:rFonts w:eastAsia="仿宋_GB2312"/>
          <w:kern w:val="0"/>
          <w:sz w:val="32"/>
          <w:szCs w:val="32"/>
        </w:rPr>
        <w:t xml:space="preserve"> </w:t>
      </w:r>
      <w:r>
        <w:rPr>
          <w:rFonts w:eastAsia="仿宋_GB2312"/>
          <w:kern w:val="0"/>
          <w:sz w:val="32"/>
          <w:szCs w:val="32"/>
        </w:rPr>
        <w:t>评价金属植入材料和医疗器械长期腐蚀行为的开路电位测量方法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[33]YY/T 0640,</w:t>
      </w:r>
      <w:r>
        <w:rPr>
          <w:rFonts w:eastAsia="仿宋_GB2312"/>
          <w:sz w:val="32"/>
          <w:szCs w:val="32"/>
        </w:rPr>
        <w:t>无源外科植入物通用要求</w:t>
      </w:r>
      <w:r>
        <w:rPr>
          <w:rFonts w:eastAsia="仿宋_GB2312"/>
          <w:sz w:val="32"/>
          <w:szCs w:val="32"/>
        </w:rPr>
        <w:t xml:space="preserve">[S]. </w:t>
      </w:r>
    </w:p>
    <w:p w:rsidR="000E7BCE" w:rsidRDefault="008933C1">
      <w:pPr>
        <w:spacing w:line="520" w:lineRule="exact"/>
        <w:ind w:firstLineChars="200" w:firstLine="640"/>
        <w:rPr>
          <w:rFonts w:eastAsia="仿宋_GB2312"/>
          <w:sz w:val="32"/>
          <w:szCs w:val="32"/>
        </w:rPr>
      </w:pPr>
      <w:r>
        <w:rPr>
          <w:rFonts w:eastAsia="仿宋_GB2312"/>
          <w:sz w:val="32"/>
          <w:szCs w:val="32"/>
        </w:rPr>
        <w:t>[34]YY/T 0988.12,</w:t>
      </w:r>
      <w:r>
        <w:rPr>
          <w:rFonts w:eastAsia="仿宋_GB2312"/>
          <w:sz w:val="32"/>
          <w:szCs w:val="32"/>
        </w:rPr>
        <w:t>磷酸钙涂层和金属涂层的剪切试验方法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[35]YY/T 0988.11,</w:t>
      </w:r>
      <w:r>
        <w:rPr>
          <w:rFonts w:eastAsia="仿宋_GB2312"/>
          <w:sz w:val="32"/>
          <w:szCs w:val="32"/>
        </w:rPr>
        <w:t>磷酸钙涂层和金属涂层的拉伸试验方法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[36]YY/T 0988.14,</w:t>
      </w:r>
      <w:r>
        <w:rPr>
          <w:rFonts w:eastAsia="仿宋_GB2312"/>
          <w:sz w:val="32"/>
          <w:szCs w:val="32"/>
        </w:rPr>
        <w:t>外科植入物用多孔涂层立体学评价的试</w:t>
      </w:r>
      <w:r>
        <w:rPr>
          <w:rFonts w:eastAsia="仿宋_GB2312"/>
          <w:sz w:val="32"/>
          <w:szCs w:val="32"/>
        </w:rPr>
        <w:lastRenderedPageBreak/>
        <w:t>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[37]</w:t>
      </w:r>
      <w:r>
        <w:rPr>
          <w:rFonts w:eastAsia="仿宋_GB2312"/>
          <w:kern w:val="0"/>
          <w:sz w:val="32"/>
          <w:szCs w:val="32"/>
        </w:rPr>
        <w:t>YY/T 0119.1-2014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w:t>
      </w:r>
      <w:r>
        <w:rPr>
          <w:rFonts w:eastAsia="仿宋_GB2312"/>
          <w:kern w:val="0"/>
          <w:sz w:val="32"/>
          <w:szCs w:val="32"/>
        </w:rPr>
        <w:t>部分：通用要求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[38]</w:t>
      </w:r>
      <w:r>
        <w:rPr>
          <w:rFonts w:eastAsia="仿宋_GB2312"/>
          <w:kern w:val="0"/>
          <w:sz w:val="32"/>
          <w:szCs w:val="32"/>
        </w:rPr>
        <w:t>YY/T 0119.2-2014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2</w:t>
      </w:r>
      <w:r>
        <w:rPr>
          <w:rFonts w:eastAsia="仿宋_GB2312"/>
          <w:kern w:val="0"/>
          <w:sz w:val="32"/>
          <w:szCs w:val="32"/>
        </w:rPr>
        <w:t>部分：金属脊柱螺钉</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[39]</w:t>
      </w:r>
      <w:r>
        <w:rPr>
          <w:rFonts w:eastAsia="仿宋_GB2312"/>
          <w:kern w:val="0"/>
          <w:sz w:val="32"/>
          <w:szCs w:val="32"/>
        </w:rPr>
        <w:t>YY/T 0119.3-2014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3</w:t>
      </w:r>
      <w:r>
        <w:rPr>
          <w:rFonts w:eastAsia="仿宋_GB2312"/>
          <w:kern w:val="0"/>
          <w:sz w:val="32"/>
          <w:szCs w:val="32"/>
        </w:rPr>
        <w:t>部分：金属脊柱板</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[40]</w:t>
      </w:r>
      <w:r>
        <w:rPr>
          <w:rFonts w:eastAsia="仿宋_GB2312"/>
          <w:kern w:val="0"/>
          <w:sz w:val="32"/>
          <w:szCs w:val="32"/>
        </w:rPr>
        <w:t>YY/T 0119.4-2014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4</w:t>
      </w:r>
      <w:r>
        <w:rPr>
          <w:rFonts w:eastAsia="仿宋_GB2312"/>
          <w:kern w:val="0"/>
          <w:sz w:val="32"/>
          <w:szCs w:val="32"/>
        </w:rPr>
        <w:t>部分：金属脊柱棒</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[41]</w:t>
      </w:r>
      <w:r>
        <w:rPr>
          <w:rFonts w:eastAsia="仿宋_GB2312"/>
          <w:kern w:val="0"/>
          <w:sz w:val="32"/>
          <w:szCs w:val="32"/>
        </w:rPr>
        <w:t>YY/T 0119.5-2014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5</w:t>
      </w:r>
      <w:r>
        <w:rPr>
          <w:rFonts w:eastAsia="仿宋_GB2312"/>
          <w:kern w:val="0"/>
          <w:sz w:val="32"/>
          <w:szCs w:val="32"/>
        </w:rPr>
        <w:t>部分：金属脊柱螺钉静态和疲劳弯曲强度测定试验方法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[42]</w:t>
      </w:r>
      <w:r>
        <w:rPr>
          <w:rFonts w:eastAsia="仿宋_GB2312"/>
          <w:kern w:val="0"/>
          <w:sz w:val="32"/>
          <w:szCs w:val="32"/>
        </w:rPr>
        <w:t>YY/T 0857-2011</w:t>
      </w:r>
      <w:r>
        <w:rPr>
          <w:rFonts w:eastAsia="仿宋_GB2312"/>
          <w:sz w:val="32"/>
          <w:szCs w:val="32"/>
        </w:rPr>
        <w:t>,</w:t>
      </w:r>
      <w:r>
        <w:t xml:space="preserve"> </w:t>
      </w:r>
      <w:r>
        <w:rPr>
          <w:rFonts w:eastAsia="仿宋_GB2312"/>
          <w:kern w:val="0"/>
          <w:sz w:val="32"/>
          <w:szCs w:val="32"/>
        </w:rPr>
        <w:t>椎体切除模型中脊柱植入物试验方法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[43]</w:t>
      </w:r>
      <w:r>
        <w:rPr>
          <w:rFonts w:eastAsia="仿宋_GB2312"/>
          <w:kern w:val="0"/>
          <w:sz w:val="32"/>
          <w:szCs w:val="32"/>
        </w:rPr>
        <w:t>YY/T 0961-2014</w:t>
      </w:r>
      <w:r>
        <w:rPr>
          <w:rFonts w:eastAsia="仿宋_GB2312"/>
          <w:sz w:val="32"/>
          <w:szCs w:val="32"/>
        </w:rPr>
        <w:t>,</w:t>
      </w:r>
      <w:r>
        <w:t xml:space="preserve"> </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w:t>
      </w:r>
      <w:r>
        <w:rPr>
          <w:rFonts w:eastAsia="仿宋_GB2312"/>
          <w:kern w:val="0"/>
          <w:sz w:val="32"/>
          <w:szCs w:val="32"/>
        </w:rPr>
        <w:t xml:space="preserve"> </w:t>
      </w:r>
      <w:r>
        <w:rPr>
          <w:rFonts w:eastAsia="仿宋_GB2312"/>
          <w:kern w:val="0"/>
          <w:sz w:val="32"/>
          <w:szCs w:val="32"/>
        </w:rPr>
        <w:t>组件及连接装置的静态及疲劳性能评价方法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[44]</w:t>
      </w:r>
      <w:r>
        <w:rPr>
          <w:rFonts w:eastAsia="仿宋_GB2312"/>
          <w:kern w:val="0"/>
          <w:sz w:val="32"/>
          <w:szCs w:val="32"/>
        </w:rPr>
        <w:t>YY/T 1428-2016</w:t>
      </w:r>
      <w:r>
        <w:rPr>
          <w:rFonts w:eastAsia="仿宋_GB2312"/>
          <w:sz w:val="32"/>
          <w:szCs w:val="32"/>
        </w:rPr>
        <w:t>,</w:t>
      </w:r>
      <w:r>
        <w:t xml:space="preserve"> </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相关术语</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[45]</w:t>
      </w:r>
      <w:r>
        <w:rPr>
          <w:rFonts w:eastAsia="仿宋_GB2312"/>
          <w:kern w:val="0"/>
          <w:sz w:val="32"/>
          <w:szCs w:val="32"/>
        </w:rPr>
        <w:t>YY/T 1560-2017</w:t>
      </w:r>
      <w:r>
        <w:rPr>
          <w:rFonts w:eastAsia="仿宋_GB2312"/>
          <w:sz w:val="32"/>
          <w:szCs w:val="32"/>
        </w:rPr>
        <w:t>,</w:t>
      </w:r>
      <w:r>
        <w:t xml:space="preserve"> </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椎体切除模型中枕颈和枕颈胸植入物试验方法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[46]</w:t>
      </w:r>
      <w:r>
        <w:rPr>
          <w:rFonts w:eastAsia="仿宋_GB2312"/>
          <w:kern w:val="0"/>
          <w:sz w:val="32"/>
          <w:szCs w:val="32"/>
        </w:rPr>
        <w:t>ISO 19227</w:t>
      </w:r>
      <w:r>
        <w:rPr>
          <w:rFonts w:eastAsia="仿宋_GB2312"/>
          <w:sz w:val="32"/>
          <w:szCs w:val="32"/>
        </w:rPr>
        <w:t>,</w:t>
      </w:r>
      <w:r>
        <w:rPr>
          <w:rFonts w:eastAsia="仿宋_GB2312"/>
          <w:kern w:val="0"/>
          <w:sz w:val="32"/>
          <w:szCs w:val="32"/>
        </w:rPr>
        <w:t>外科植入物的清洁度</w:t>
      </w:r>
      <w:r>
        <w:rPr>
          <w:rFonts w:eastAsia="仿宋_GB2312"/>
          <w:kern w:val="0"/>
          <w:sz w:val="32"/>
          <w:szCs w:val="32"/>
        </w:rPr>
        <w:t xml:space="preserve"> </w:t>
      </w:r>
      <w:r>
        <w:rPr>
          <w:rFonts w:eastAsia="仿宋_GB2312"/>
          <w:kern w:val="0"/>
          <w:sz w:val="32"/>
          <w:szCs w:val="32"/>
        </w:rPr>
        <w:t>通用要求</w:t>
      </w:r>
      <w:r>
        <w:rPr>
          <w:rFonts w:eastAsia="仿宋_GB2312"/>
          <w:sz w:val="32"/>
          <w:szCs w:val="32"/>
        </w:rPr>
        <w:t>[S].</w:t>
      </w:r>
    </w:p>
    <w:sectPr w:rsidR="000E7BCE" w:rsidSect="00F74651">
      <w:footerReference w:type="even" r:id="rId9"/>
      <w:footerReference w:type="default" r:id="rId10"/>
      <w:pgSz w:w="11906" w:h="16838"/>
      <w:pgMar w:top="1701" w:right="1587" w:bottom="1701" w:left="1587" w:header="851" w:footer="992" w:gutter="0"/>
      <w:pgNumType w:start="48"/>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450" w:rsidRDefault="00D07450">
      <w:r>
        <w:separator/>
      </w:r>
    </w:p>
  </w:endnote>
  <w:endnote w:type="continuationSeparator" w:id="0">
    <w:p w:rsidR="00D07450" w:rsidRDefault="00D07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1"/>
    <w:family w:val="modern"/>
    <w:pitch w:val="default"/>
    <w:sig w:usb0="E0002AFF" w:usb1="C0007843" w:usb2="00000009" w:usb3="00000000" w:csb0="400001FF" w:csb1="FFFF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sdtPr>
    <w:sdtEndPr>
      <w:rPr>
        <w:rFonts w:ascii="Times New Roman" w:hAnsi="Times New Roman" w:cs="Times New Roman"/>
        <w:sz w:val="28"/>
        <w:szCs w:val="28"/>
      </w:rPr>
    </w:sdtEndPr>
    <w:sdtContent>
      <w:p w:rsidR="000E7BCE" w:rsidRDefault="008933C1">
        <w:pPr>
          <w:pStyle w:val="af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0A09E9" w:rsidRPr="000A09E9">
          <w:rPr>
            <w:rFonts w:ascii="Times New Roman" w:hAnsi="Times New Roman" w:cs="Times New Roman"/>
            <w:noProof/>
            <w:sz w:val="28"/>
            <w:szCs w:val="28"/>
            <w:lang w:val="zh-CN"/>
          </w:rPr>
          <w:t>62</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sdtPr>
    <w:sdtEndPr>
      <w:rPr>
        <w:rFonts w:ascii="Times New Roman" w:hAnsi="Times New Roman" w:cs="Times New Roman"/>
        <w:sz w:val="28"/>
        <w:szCs w:val="28"/>
      </w:rPr>
    </w:sdtEndPr>
    <w:sdtContent>
      <w:p w:rsidR="000E7BCE" w:rsidRDefault="008933C1">
        <w:pPr>
          <w:pStyle w:val="af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0A09E9" w:rsidRPr="000A09E9">
          <w:rPr>
            <w:rFonts w:ascii="Times New Roman" w:hAnsi="Times New Roman" w:cs="Times New Roman"/>
            <w:noProof/>
            <w:sz w:val="28"/>
            <w:szCs w:val="28"/>
            <w:lang w:val="zh-CN"/>
          </w:rPr>
          <w:t>61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450" w:rsidRDefault="00D07450">
      <w:r>
        <w:separator/>
      </w:r>
    </w:p>
  </w:footnote>
  <w:footnote w:type="continuationSeparator" w:id="0">
    <w:p w:rsidR="00D07450" w:rsidRDefault="00D07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multilevel"/>
    <w:tmpl w:val="13FF587E"/>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D801439"/>
    <w:multiLevelType w:val="multilevel"/>
    <w:tmpl w:val="6D801439"/>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4229"/>
    <w:rsid w:val="00000EED"/>
    <w:rsid w:val="000057B9"/>
    <w:rsid w:val="0000618F"/>
    <w:rsid w:val="00010350"/>
    <w:rsid w:val="000109DA"/>
    <w:rsid w:val="00012461"/>
    <w:rsid w:val="00013D65"/>
    <w:rsid w:val="00015340"/>
    <w:rsid w:val="0002229B"/>
    <w:rsid w:val="00023667"/>
    <w:rsid w:val="000255D1"/>
    <w:rsid w:val="00027069"/>
    <w:rsid w:val="00034339"/>
    <w:rsid w:val="00041927"/>
    <w:rsid w:val="000451DD"/>
    <w:rsid w:val="0004590D"/>
    <w:rsid w:val="00045F39"/>
    <w:rsid w:val="00050C9D"/>
    <w:rsid w:val="000576EA"/>
    <w:rsid w:val="00057CC9"/>
    <w:rsid w:val="0006105F"/>
    <w:rsid w:val="000612CD"/>
    <w:rsid w:val="0006297B"/>
    <w:rsid w:val="00064168"/>
    <w:rsid w:val="000647ED"/>
    <w:rsid w:val="000674A9"/>
    <w:rsid w:val="00072B84"/>
    <w:rsid w:val="00072BCB"/>
    <w:rsid w:val="00074B45"/>
    <w:rsid w:val="00075BB9"/>
    <w:rsid w:val="00076B6C"/>
    <w:rsid w:val="00076DE2"/>
    <w:rsid w:val="0008207D"/>
    <w:rsid w:val="00085F2B"/>
    <w:rsid w:val="000906D9"/>
    <w:rsid w:val="00095C99"/>
    <w:rsid w:val="000A09E9"/>
    <w:rsid w:val="000A0B38"/>
    <w:rsid w:val="000A0E14"/>
    <w:rsid w:val="000A4684"/>
    <w:rsid w:val="000A5F9C"/>
    <w:rsid w:val="000A6441"/>
    <w:rsid w:val="000A6FDD"/>
    <w:rsid w:val="000A7AFD"/>
    <w:rsid w:val="000B3617"/>
    <w:rsid w:val="000B3DD8"/>
    <w:rsid w:val="000B495B"/>
    <w:rsid w:val="000B4FFC"/>
    <w:rsid w:val="000B635E"/>
    <w:rsid w:val="000C161C"/>
    <w:rsid w:val="000C2A37"/>
    <w:rsid w:val="000C2F46"/>
    <w:rsid w:val="000C64CB"/>
    <w:rsid w:val="000D0122"/>
    <w:rsid w:val="000D4EEE"/>
    <w:rsid w:val="000D6334"/>
    <w:rsid w:val="000D78F5"/>
    <w:rsid w:val="000E026C"/>
    <w:rsid w:val="000E119D"/>
    <w:rsid w:val="000E2221"/>
    <w:rsid w:val="000E6C66"/>
    <w:rsid w:val="000E7BCE"/>
    <w:rsid w:val="000F15C8"/>
    <w:rsid w:val="000F1EE0"/>
    <w:rsid w:val="000F2C81"/>
    <w:rsid w:val="000F2CB2"/>
    <w:rsid w:val="000F3324"/>
    <w:rsid w:val="000F4585"/>
    <w:rsid w:val="000F46CF"/>
    <w:rsid w:val="000F4AB9"/>
    <w:rsid w:val="000F4B5E"/>
    <w:rsid w:val="000F63A7"/>
    <w:rsid w:val="000F77B8"/>
    <w:rsid w:val="001005E1"/>
    <w:rsid w:val="0010191D"/>
    <w:rsid w:val="00104864"/>
    <w:rsid w:val="00105FBE"/>
    <w:rsid w:val="00106441"/>
    <w:rsid w:val="001103FF"/>
    <w:rsid w:val="001123CD"/>
    <w:rsid w:val="00114D6C"/>
    <w:rsid w:val="00116913"/>
    <w:rsid w:val="001227D3"/>
    <w:rsid w:val="0012298D"/>
    <w:rsid w:val="0012341D"/>
    <w:rsid w:val="00123473"/>
    <w:rsid w:val="001238CE"/>
    <w:rsid w:val="00124493"/>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56D06"/>
    <w:rsid w:val="00157E32"/>
    <w:rsid w:val="00160D70"/>
    <w:rsid w:val="00160F6C"/>
    <w:rsid w:val="00161381"/>
    <w:rsid w:val="00164E1C"/>
    <w:rsid w:val="001664A5"/>
    <w:rsid w:val="001678FB"/>
    <w:rsid w:val="0017105B"/>
    <w:rsid w:val="00171360"/>
    <w:rsid w:val="0017147A"/>
    <w:rsid w:val="00173DB1"/>
    <w:rsid w:val="00176EB2"/>
    <w:rsid w:val="00187690"/>
    <w:rsid w:val="00190E07"/>
    <w:rsid w:val="00192B09"/>
    <w:rsid w:val="00192F67"/>
    <w:rsid w:val="00193ED3"/>
    <w:rsid w:val="00194720"/>
    <w:rsid w:val="00194D99"/>
    <w:rsid w:val="001960A2"/>
    <w:rsid w:val="00196E1C"/>
    <w:rsid w:val="001A14BA"/>
    <w:rsid w:val="001A371E"/>
    <w:rsid w:val="001A7D47"/>
    <w:rsid w:val="001A7F5B"/>
    <w:rsid w:val="001B142E"/>
    <w:rsid w:val="001B19FE"/>
    <w:rsid w:val="001C1750"/>
    <w:rsid w:val="001C3C58"/>
    <w:rsid w:val="001C5D62"/>
    <w:rsid w:val="001C6CAB"/>
    <w:rsid w:val="001D027F"/>
    <w:rsid w:val="001D08D8"/>
    <w:rsid w:val="001D12A7"/>
    <w:rsid w:val="001D4F1E"/>
    <w:rsid w:val="001D4FBE"/>
    <w:rsid w:val="001D58ED"/>
    <w:rsid w:val="001E04B6"/>
    <w:rsid w:val="001E0555"/>
    <w:rsid w:val="001E2EDA"/>
    <w:rsid w:val="001E34DA"/>
    <w:rsid w:val="001E45E3"/>
    <w:rsid w:val="001E55B5"/>
    <w:rsid w:val="001E5CC5"/>
    <w:rsid w:val="001E618B"/>
    <w:rsid w:val="001E6646"/>
    <w:rsid w:val="001F4E6F"/>
    <w:rsid w:val="001F7A70"/>
    <w:rsid w:val="00200AF1"/>
    <w:rsid w:val="00204222"/>
    <w:rsid w:val="00206D04"/>
    <w:rsid w:val="00206D39"/>
    <w:rsid w:val="002104D7"/>
    <w:rsid w:val="002129F2"/>
    <w:rsid w:val="00215A20"/>
    <w:rsid w:val="0021667F"/>
    <w:rsid w:val="00217D47"/>
    <w:rsid w:val="00220E14"/>
    <w:rsid w:val="00222B74"/>
    <w:rsid w:val="00225B53"/>
    <w:rsid w:val="00230A24"/>
    <w:rsid w:val="00232A1D"/>
    <w:rsid w:val="0023378D"/>
    <w:rsid w:val="00234831"/>
    <w:rsid w:val="002400F5"/>
    <w:rsid w:val="00240174"/>
    <w:rsid w:val="0024161C"/>
    <w:rsid w:val="00241DE6"/>
    <w:rsid w:val="00243653"/>
    <w:rsid w:val="00243F4B"/>
    <w:rsid w:val="00250F56"/>
    <w:rsid w:val="00254EF2"/>
    <w:rsid w:val="00255E06"/>
    <w:rsid w:val="00261680"/>
    <w:rsid w:val="002712C7"/>
    <w:rsid w:val="00271DE5"/>
    <w:rsid w:val="0027317D"/>
    <w:rsid w:val="0027403B"/>
    <w:rsid w:val="00274BCA"/>
    <w:rsid w:val="002777A7"/>
    <w:rsid w:val="002801D9"/>
    <w:rsid w:val="00280793"/>
    <w:rsid w:val="00281913"/>
    <w:rsid w:val="00283368"/>
    <w:rsid w:val="00283DDB"/>
    <w:rsid w:val="00285DA2"/>
    <w:rsid w:val="00294A33"/>
    <w:rsid w:val="00295455"/>
    <w:rsid w:val="00295783"/>
    <w:rsid w:val="00295E19"/>
    <w:rsid w:val="002968F2"/>
    <w:rsid w:val="00297227"/>
    <w:rsid w:val="002A04EA"/>
    <w:rsid w:val="002A1209"/>
    <w:rsid w:val="002A289A"/>
    <w:rsid w:val="002A39DB"/>
    <w:rsid w:val="002A4729"/>
    <w:rsid w:val="002A49CB"/>
    <w:rsid w:val="002A750E"/>
    <w:rsid w:val="002C198A"/>
    <w:rsid w:val="002C1AA1"/>
    <w:rsid w:val="002C2806"/>
    <w:rsid w:val="002C462B"/>
    <w:rsid w:val="002C489F"/>
    <w:rsid w:val="002C4A90"/>
    <w:rsid w:val="002C4C4B"/>
    <w:rsid w:val="002C700F"/>
    <w:rsid w:val="002C7317"/>
    <w:rsid w:val="002D26DE"/>
    <w:rsid w:val="002D304D"/>
    <w:rsid w:val="002D3594"/>
    <w:rsid w:val="002D651F"/>
    <w:rsid w:val="002D7434"/>
    <w:rsid w:val="002E0583"/>
    <w:rsid w:val="002E2958"/>
    <w:rsid w:val="002E5743"/>
    <w:rsid w:val="002E716D"/>
    <w:rsid w:val="002F162B"/>
    <w:rsid w:val="002F1DB1"/>
    <w:rsid w:val="002F21D3"/>
    <w:rsid w:val="002F30DD"/>
    <w:rsid w:val="002F51EE"/>
    <w:rsid w:val="002F590E"/>
    <w:rsid w:val="002F62A5"/>
    <w:rsid w:val="002F6AC5"/>
    <w:rsid w:val="002F7478"/>
    <w:rsid w:val="003018B2"/>
    <w:rsid w:val="003048DB"/>
    <w:rsid w:val="003068FE"/>
    <w:rsid w:val="00310B46"/>
    <w:rsid w:val="00310C39"/>
    <w:rsid w:val="00312BE6"/>
    <w:rsid w:val="00316C55"/>
    <w:rsid w:val="00320793"/>
    <w:rsid w:val="003218EC"/>
    <w:rsid w:val="00323664"/>
    <w:rsid w:val="00324F58"/>
    <w:rsid w:val="00327754"/>
    <w:rsid w:val="00327793"/>
    <w:rsid w:val="00330030"/>
    <w:rsid w:val="003310EE"/>
    <w:rsid w:val="00331489"/>
    <w:rsid w:val="003317D7"/>
    <w:rsid w:val="00332302"/>
    <w:rsid w:val="00333A21"/>
    <w:rsid w:val="003351BE"/>
    <w:rsid w:val="00335867"/>
    <w:rsid w:val="00341CF5"/>
    <w:rsid w:val="003458D1"/>
    <w:rsid w:val="00346224"/>
    <w:rsid w:val="00346241"/>
    <w:rsid w:val="00346544"/>
    <w:rsid w:val="00346973"/>
    <w:rsid w:val="003545C2"/>
    <w:rsid w:val="003556DB"/>
    <w:rsid w:val="00355C8C"/>
    <w:rsid w:val="00355E75"/>
    <w:rsid w:val="00355FC6"/>
    <w:rsid w:val="00360521"/>
    <w:rsid w:val="00362365"/>
    <w:rsid w:val="00362DB7"/>
    <w:rsid w:val="003633E4"/>
    <w:rsid w:val="00363A39"/>
    <w:rsid w:val="003662DF"/>
    <w:rsid w:val="00366681"/>
    <w:rsid w:val="00366E12"/>
    <w:rsid w:val="00370089"/>
    <w:rsid w:val="003721B0"/>
    <w:rsid w:val="00373E0C"/>
    <w:rsid w:val="003757C7"/>
    <w:rsid w:val="00376EB5"/>
    <w:rsid w:val="003800EB"/>
    <w:rsid w:val="003802B8"/>
    <w:rsid w:val="003802FE"/>
    <w:rsid w:val="00382316"/>
    <w:rsid w:val="00383F1F"/>
    <w:rsid w:val="00384E4C"/>
    <w:rsid w:val="00386985"/>
    <w:rsid w:val="00390A0D"/>
    <w:rsid w:val="00390FF5"/>
    <w:rsid w:val="00391206"/>
    <w:rsid w:val="00393C77"/>
    <w:rsid w:val="0039555A"/>
    <w:rsid w:val="00396A45"/>
    <w:rsid w:val="003A1603"/>
    <w:rsid w:val="003A1B28"/>
    <w:rsid w:val="003A25CA"/>
    <w:rsid w:val="003A3B90"/>
    <w:rsid w:val="003A42DF"/>
    <w:rsid w:val="003B0E4D"/>
    <w:rsid w:val="003B1C28"/>
    <w:rsid w:val="003B39D5"/>
    <w:rsid w:val="003B5343"/>
    <w:rsid w:val="003B593E"/>
    <w:rsid w:val="003B62ED"/>
    <w:rsid w:val="003B65C4"/>
    <w:rsid w:val="003C104B"/>
    <w:rsid w:val="003C16A3"/>
    <w:rsid w:val="003C1B52"/>
    <w:rsid w:val="003C2564"/>
    <w:rsid w:val="003D03D3"/>
    <w:rsid w:val="003D0630"/>
    <w:rsid w:val="003D0701"/>
    <w:rsid w:val="003D1288"/>
    <w:rsid w:val="003D152B"/>
    <w:rsid w:val="003D20E8"/>
    <w:rsid w:val="003D229F"/>
    <w:rsid w:val="003D4CA9"/>
    <w:rsid w:val="003D5F26"/>
    <w:rsid w:val="003E3C30"/>
    <w:rsid w:val="003E3FE9"/>
    <w:rsid w:val="003E4646"/>
    <w:rsid w:val="003E7654"/>
    <w:rsid w:val="003F1C6A"/>
    <w:rsid w:val="003F25D3"/>
    <w:rsid w:val="003F38DA"/>
    <w:rsid w:val="003F4AE7"/>
    <w:rsid w:val="003F5251"/>
    <w:rsid w:val="003F56E6"/>
    <w:rsid w:val="003F6FAA"/>
    <w:rsid w:val="00402B3A"/>
    <w:rsid w:val="00402D48"/>
    <w:rsid w:val="00405439"/>
    <w:rsid w:val="00405B5D"/>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686"/>
    <w:rsid w:val="0044675E"/>
    <w:rsid w:val="00453DE4"/>
    <w:rsid w:val="00454094"/>
    <w:rsid w:val="00455268"/>
    <w:rsid w:val="004574A0"/>
    <w:rsid w:val="00462A3D"/>
    <w:rsid w:val="00462A96"/>
    <w:rsid w:val="00465CBB"/>
    <w:rsid w:val="00466C9F"/>
    <w:rsid w:val="0047010A"/>
    <w:rsid w:val="004701DB"/>
    <w:rsid w:val="00470611"/>
    <w:rsid w:val="00473A41"/>
    <w:rsid w:val="00473DB4"/>
    <w:rsid w:val="00476E9F"/>
    <w:rsid w:val="00480595"/>
    <w:rsid w:val="00481444"/>
    <w:rsid w:val="004827A1"/>
    <w:rsid w:val="00484FB3"/>
    <w:rsid w:val="00486CFA"/>
    <w:rsid w:val="0048777B"/>
    <w:rsid w:val="00487FD4"/>
    <w:rsid w:val="00493304"/>
    <w:rsid w:val="0049428C"/>
    <w:rsid w:val="00495ED9"/>
    <w:rsid w:val="00496002"/>
    <w:rsid w:val="00497C20"/>
    <w:rsid w:val="004A0031"/>
    <w:rsid w:val="004A0C2C"/>
    <w:rsid w:val="004A14EE"/>
    <w:rsid w:val="004A1825"/>
    <w:rsid w:val="004A2B6F"/>
    <w:rsid w:val="004A6F5D"/>
    <w:rsid w:val="004A70F4"/>
    <w:rsid w:val="004B2790"/>
    <w:rsid w:val="004B2BEC"/>
    <w:rsid w:val="004B3AB3"/>
    <w:rsid w:val="004B45AC"/>
    <w:rsid w:val="004B4BC5"/>
    <w:rsid w:val="004B54E0"/>
    <w:rsid w:val="004B556E"/>
    <w:rsid w:val="004B5EC4"/>
    <w:rsid w:val="004C026B"/>
    <w:rsid w:val="004C0971"/>
    <w:rsid w:val="004C1741"/>
    <w:rsid w:val="004C4C77"/>
    <w:rsid w:val="004C5068"/>
    <w:rsid w:val="004C5199"/>
    <w:rsid w:val="004D05BB"/>
    <w:rsid w:val="004D5432"/>
    <w:rsid w:val="004D5BC7"/>
    <w:rsid w:val="004D5CA6"/>
    <w:rsid w:val="004E106A"/>
    <w:rsid w:val="004E1A5C"/>
    <w:rsid w:val="004E4350"/>
    <w:rsid w:val="004E6D9C"/>
    <w:rsid w:val="004E7B06"/>
    <w:rsid w:val="004F226C"/>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6D07"/>
    <w:rsid w:val="00527E91"/>
    <w:rsid w:val="00531186"/>
    <w:rsid w:val="00533434"/>
    <w:rsid w:val="00542E61"/>
    <w:rsid w:val="00546892"/>
    <w:rsid w:val="00546AF4"/>
    <w:rsid w:val="00552542"/>
    <w:rsid w:val="00554552"/>
    <w:rsid w:val="00554A01"/>
    <w:rsid w:val="005665B8"/>
    <w:rsid w:val="00566652"/>
    <w:rsid w:val="005703F2"/>
    <w:rsid w:val="005705A0"/>
    <w:rsid w:val="0057062B"/>
    <w:rsid w:val="00570EE1"/>
    <w:rsid w:val="00571D2F"/>
    <w:rsid w:val="00572147"/>
    <w:rsid w:val="005761C1"/>
    <w:rsid w:val="005807D3"/>
    <w:rsid w:val="0058206C"/>
    <w:rsid w:val="00585C42"/>
    <w:rsid w:val="00585CA8"/>
    <w:rsid w:val="00592246"/>
    <w:rsid w:val="005937AF"/>
    <w:rsid w:val="00594E78"/>
    <w:rsid w:val="005968FF"/>
    <w:rsid w:val="005A0750"/>
    <w:rsid w:val="005A33E5"/>
    <w:rsid w:val="005A77D3"/>
    <w:rsid w:val="005B325C"/>
    <w:rsid w:val="005B6E54"/>
    <w:rsid w:val="005C0E98"/>
    <w:rsid w:val="005C1F53"/>
    <w:rsid w:val="005C2C63"/>
    <w:rsid w:val="005C2E55"/>
    <w:rsid w:val="005D07FD"/>
    <w:rsid w:val="005E2B82"/>
    <w:rsid w:val="005E33FC"/>
    <w:rsid w:val="005E4D25"/>
    <w:rsid w:val="005F09A4"/>
    <w:rsid w:val="005F1713"/>
    <w:rsid w:val="005F3442"/>
    <w:rsid w:val="00602192"/>
    <w:rsid w:val="00603F7C"/>
    <w:rsid w:val="00604E51"/>
    <w:rsid w:val="0060592A"/>
    <w:rsid w:val="00610384"/>
    <w:rsid w:val="00610E2E"/>
    <w:rsid w:val="00611587"/>
    <w:rsid w:val="00612F7D"/>
    <w:rsid w:val="00614E67"/>
    <w:rsid w:val="00616645"/>
    <w:rsid w:val="00621F78"/>
    <w:rsid w:val="0062358D"/>
    <w:rsid w:val="0062429B"/>
    <w:rsid w:val="0062496B"/>
    <w:rsid w:val="0063298D"/>
    <w:rsid w:val="0063622C"/>
    <w:rsid w:val="00636606"/>
    <w:rsid w:val="00636690"/>
    <w:rsid w:val="00643F6B"/>
    <w:rsid w:val="006449C2"/>
    <w:rsid w:val="00644FAD"/>
    <w:rsid w:val="00645D53"/>
    <w:rsid w:val="006461D5"/>
    <w:rsid w:val="00647278"/>
    <w:rsid w:val="00657E34"/>
    <w:rsid w:val="00660B8D"/>
    <w:rsid w:val="00660C73"/>
    <w:rsid w:val="00664711"/>
    <w:rsid w:val="0066504D"/>
    <w:rsid w:val="006652F4"/>
    <w:rsid w:val="006663B6"/>
    <w:rsid w:val="0067569A"/>
    <w:rsid w:val="00681E52"/>
    <w:rsid w:val="00682E79"/>
    <w:rsid w:val="006833AB"/>
    <w:rsid w:val="0068353A"/>
    <w:rsid w:val="00683A73"/>
    <w:rsid w:val="00685953"/>
    <w:rsid w:val="00690432"/>
    <w:rsid w:val="006932AD"/>
    <w:rsid w:val="00693955"/>
    <w:rsid w:val="006944F1"/>
    <w:rsid w:val="0069599C"/>
    <w:rsid w:val="00695E6D"/>
    <w:rsid w:val="006A080D"/>
    <w:rsid w:val="006A222A"/>
    <w:rsid w:val="006A37F9"/>
    <w:rsid w:val="006A642F"/>
    <w:rsid w:val="006B05B6"/>
    <w:rsid w:val="006B0C6D"/>
    <w:rsid w:val="006B1B6E"/>
    <w:rsid w:val="006B2012"/>
    <w:rsid w:val="006B2CFF"/>
    <w:rsid w:val="006B41E9"/>
    <w:rsid w:val="006B555D"/>
    <w:rsid w:val="006B5FE1"/>
    <w:rsid w:val="006B76EC"/>
    <w:rsid w:val="006C3E63"/>
    <w:rsid w:val="006C48B0"/>
    <w:rsid w:val="006C60BE"/>
    <w:rsid w:val="006C79AC"/>
    <w:rsid w:val="006D303E"/>
    <w:rsid w:val="006D598D"/>
    <w:rsid w:val="006E4790"/>
    <w:rsid w:val="006E4F13"/>
    <w:rsid w:val="006E588C"/>
    <w:rsid w:val="006E625D"/>
    <w:rsid w:val="006E716B"/>
    <w:rsid w:val="006E78DC"/>
    <w:rsid w:val="006F18CE"/>
    <w:rsid w:val="006F451D"/>
    <w:rsid w:val="006F60F3"/>
    <w:rsid w:val="006F799C"/>
    <w:rsid w:val="006F7C10"/>
    <w:rsid w:val="006F7D05"/>
    <w:rsid w:val="00700300"/>
    <w:rsid w:val="00700E20"/>
    <w:rsid w:val="00701A49"/>
    <w:rsid w:val="0070495C"/>
    <w:rsid w:val="007064FD"/>
    <w:rsid w:val="00707239"/>
    <w:rsid w:val="00712386"/>
    <w:rsid w:val="00712A55"/>
    <w:rsid w:val="007170D2"/>
    <w:rsid w:val="00720980"/>
    <w:rsid w:val="00721601"/>
    <w:rsid w:val="0072275A"/>
    <w:rsid w:val="00736106"/>
    <w:rsid w:val="0074020C"/>
    <w:rsid w:val="007404F1"/>
    <w:rsid w:val="00740E3C"/>
    <w:rsid w:val="007422FA"/>
    <w:rsid w:val="00742496"/>
    <w:rsid w:val="00744D5F"/>
    <w:rsid w:val="00745246"/>
    <w:rsid w:val="007463A7"/>
    <w:rsid w:val="00750A32"/>
    <w:rsid w:val="00753C8C"/>
    <w:rsid w:val="007569CC"/>
    <w:rsid w:val="00757AF4"/>
    <w:rsid w:val="00760B66"/>
    <w:rsid w:val="00763C47"/>
    <w:rsid w:val="00764018"/>
    <w:rsid w:val="007642DF"/>
    <w:rsid w:val="007703E0"/>
    <w:rsid w:val="007708FC"/>
    <w:rsid w:val="007728B5"/>
    <w:rsid w:val="007732CA"/>
    <w:rsid w:val="00784CBD"/>
    <w:rsid w:val="00785081"/>
    <w:rsid w:val="0078515C"/>
    <w:rsid w:val="00785F27"/>
    <w:rsid w:val="007914F2"/>
    <w:rsid w:val="007918D1"/>
    <w:rsid w:val="00793FB8"/>
    <w:rsid w:val="007971EF"/>
    <w:rsid w:val="007977C2"/>
    <w:rsid w:val="00797DF6"/>
    <w:rsid w:val="007A1133"/>
    <w:rsid w:val="007A49D0"/>
    <w:rsid w:val="007B0661"/>
    <w:rsid w:val="007B0818"/>
    <w:rsid w:val="007B12C1"/>
    <w:rsid w:val="007B14B5"/>
    <w:rsid w:val="007B4081"/>
    <w:rsid w:val="007B4CE6"/>
    <w:rsid w:val="007C0B11"/>
    <w:rsid w:val="007D37D7"/>
    <w:rsid w:val="007D3EE6"/>
    <w:rsid w:val="007D41F8"/>
    <w:rsid w:val="007D4977"/>
    <w:rsid w:val="007D4D41"/>
    <w:rsid w:val="007D4D45"/>
    <w:rsid w:val="007D4E40"/>
    <w:rsid w:val="007D5FE2"/>
    <w:rsid w:val="007D6014"/>
    <w:rsid w:val="007D6E72"/>
    <w:rsid w:val="007D760C"/>
    <w:rsid w:val="007E0CE8"/>
    <w:rsid w:val="007E3259"/>
    <w:rsid w:val="007E34BC"/>
    <w:rsid w:val="007E36D5"/>
    <w:rsid w:val="007E4143"/>
    <w:rsid w:val="007E4EFB"/>
    <w:rsid w:val="007E583C"/>
    <w:rsid w:val="007E69D6"/>
    <w:rsid w:val="007E7921"/>
    <w:rsid w:val="007E79C4"/>
    <w:rsid w:val="007F1077"/>
    <w:rsid w:val="007F235F"/>
    <w:rsid w:val="007F2DB3"/>
    <w:rsid w:val="007F7265"/>
    <w:rsid w:val="007F750A"/>
    <w:rsid w:val="00801778"/>
    <w:rsid w:val="00804307"/>
    <w:rsid w:val="00811D7D"/>
    <w:rsid w:val="00815304"/>
    <w:rsid w:val="0082212E"/>
    <w:rsid w:val="00822D21"/>
    <w:rsid w:val="008237F4"/>
    <w:rsid w:val="0082672E"/>
    <w:rsid w:val="008321F5"/>
    <w:rsid w:val="00836E56"/>
    <w:rsid w:val="00837912"/>
    <w:rsid w:val="0084027A"/>
    <w:rsid w:val="00842AD4"/>
    <w:rsid w:val="00842B2B"/>
    <w:rsid w:val="00842ED7"/>
    <w:rsid w:val="00843FAD"/>
    <w:rsid w:val="0084522D"/>
    <w:rsid w:val="00845F10"/>
    <w:rsid w:val="00854590"/>
    <w:rsid w:val="00856479"/>
    <w:rsid w:val="00856A66"/>
    <w:rsid w:val="00856A76"/>
    <w:rsid w:val="00857332"/>
    <w:rsid w:val="0086013B"/>
    <w:rsid w:val="00862910"/>
    <w:rsid w:val="0086517D"/>
    <w:rsid w:val="008652E4"/>
    <w:rsid w:val="0087000A"/>
    <w:rsid w:val="00870D45"/>
    <w:rsid w:val="00870D7A"/>
    <w:rsid w:val="0087165E"/>
    <w:rsid w:val="00871E83"/>
    <w:rsid w:val="0087206E"/>
    <w:rsid w:val="00873243"/>
    <w:rsid w:val="008734AE"/>
    <w:rsid w:val="00881F9F"/>
    <w:rsid w:val="00882173"/>
    <w:rsid w:val="008846A6"/>
    <w:rsid w:val="00885097"/>
    <w:rsid w:val="00886AE7"/>
    <w:rsid w:val="008907C7"/>
    <w:rsid w:val="008933C1"/>
    <w:rsid w:val="00893435"/>
    <w:rsid w:val="0089700B"/>
    <w:rsid w:val="00897E83"/>
    <w:rsid w:val="00897F84"/>
    <w:rsid w:val="008A19E1"/>
    <w:rsid w:val="008A2391"/>
    <w:rsid w:val="008A6431"/>
    <w:rsid w:val="008B054F"/>
    <w:rsid w:val="008B3050"/>
    <w:rsid w:val="008B4A5E"/>
    <w:rsid w:val="008B4C23"/>
    <w:rsid w:val="008B5FA0"/>
    <w:rsid w:val="008B7621"/>
    <w:rsid w:val="008C1726"/>
    <w:rsid w:val="008C2B2B"/>
    <w:rsid w:val="008C3E22"/>
    <w:rsid w:val="008C5A45"/>
    <w:rsid w:val="008C676C"/>
    <w:rsid w:val="008C7D44"/>
    <w:rsid w:val="008D0A1A"/>
    <w:rsid w:val="008D23FA"/>
    <w:rsid w:val="008D321E"/>
    <w:rsid w:val="008D39F2"/>
    <w:rsid w:val="008D459E"/>
    <w:rsid w:val="008D5E5C"/>
    <w:rsid w:val="008D651B"/>
    <w:rsid w:val="008D6B7E"/>
    <w:rsid w:val="008D6F32"/>
    <w:rsid w:val="008E11ED"/>
    <w:rsid w:val="008E1F84"/>
    <w:rsid w:val="008E2360"/>
    <w:rsid w:val="008E2F74"/>
    <w:rsid w:val="008E50C4"/>
    <w:rsid w:val="008F1718"/>
    <w:rsid w:val="008F2E54"/>
    <w:rsid w:val="008F5D7B"/>
    <w:rsid w:val="00900509"/>
    <w:rsid w:val="00900B6E"/>
    <w:rsid w:val="009021FB"/>
    <w:rsid w:val="00902626"/>
    <w:rsid w:val="00903852"/>
    <w:rsid w:val="009071E5"/>
    <w:rsid w:val="009125AE"/>
    <w:rsid w:val="00917CD9"/>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30C3"/>
    <w:rsid w:val="00943FA3"/>
    <w:rsid w:val="00945933"/>
    <w:rsid w:val="0094715E"/>
    <w:rsid w:val="009473B4"/>
    <w:rsid w:val="00950D88"/>
    <w:rsid w:val="00954264"/>
    <w:rsid w:val="00957795"/>
    <w:rsid w:val="00961695"/>
    <w:rsid w:val="00961AF2"/>
    <w:rsid w:val="0096311C"/>
    <w:rsid w:val="00965A49"/>
    <w:rsid w:val="00965DEE"/>
    <w:rsid w:val="00966291"/>
    <w:rsid w:val="00970AE2"/>
    <w:rsid w:val="00970C28"/>
    <w:rsid w:val="009731A6"/>
    <w:rsid w:val="00973FFE"/>
    <w:rsid w:val="00975312"/>
    <w:rsid w:val="00984767"/>
    <w:rsid w:val="00984866"/>
    <w:rsid w:val="00986454"/>
    <w:rsid w:val="0098683D"/>
    <w:rsid w:val="00990FA4"/>
    <w:rsid w:val="00997868"/>
    <w:rsid w:val="009A2A52"/>
    <w:rsid w:val="009A406C"/>
    <w:rsid w:val="009A4393"/>
    <w:rsid w:val="009A51E6"/>
    <w:rsid w:val="009A5660"/>
    <w:rsid w:val="009A5894"/>
    <w:rsid w:val="009A7523"/>
    <w:rsid w:val="009B11DE"/>
    <w:rsid w:val="009B5124"/>
    <w:rsid w:val="009B5B4B"/>
    <w:rsid w:val="009B5F0D"/>
    <w:rsid w:val="009C1851"/>
    <w:rsid w:val="009C381B"/>
    <w:rsid w:val="009C490F"/>
    <w:rsid w:val="009C54E9"/>
    <w:rsid w:val="009C62A1"/>
    <w:rsid w:val="009C7E54"/>
    <w:rsid w:val="009D27F1"/>
    <w:rsid w:val="009D34C4"/>
    <w:rsid w:val="009D7350"/>
    <w:rsid w:val="009E2E52"/>
    <w:rsid w:val="009E4730"/>
    <w:rsid w:val="009E5DF2"/>
    <w:rsid w:val="009E6021"/>
    <w:rsid w:val="009E6F8B"/>
    <w:rsid w:val="009E7653"/>
    <w:rsid w:val="009F384A"/>
    <w:rsid w:val="009F4254"/>
    <w:rsid w:val="009F5438"/>
    <w:rsid w:val="009F672E"/>
    <w:rsid w:val="009F7686"/>
    <w:rsid w:val="00A00365"/>
    <w:rsid w:val="00A00E4A"/>
    <w:rsid w:val="00A02A93"/>
    <w:rsid w:val="00A03099"/>
    <w:rsid w:val="00A037FA"/>
    <w:rsid w:val="00A0568A"/>
    <w:rsid w:val="00A110CD"/>
    <w:rsid w:val="00A12809"/>
    <w:rsid w:val="00A14200"/>
    <w:rsid w:val="00A14B3A"/>
    <w:rsid w:val="00A175DA"/>
    <w:rsid w:val="00A17E7F"/>
    <w:rsid w:val="00A21E9A"/>
    <w:rsid w:val="00A22E51"/>
    <w:rsid w:val="00A262CB"/>
    <w:rsid w:val="00A269E5"/>
    <w:rsid w:val="00A30F57"/>
    <w:rsid w:val="00A33853"/>
    <w:rsid w:val="00A374C6"/>
    <w:rsid w:val="00A409DD"/>
    <w:rsid w:val="00A40D52"/>
    <w:rsid w:val="00A42A28"/>
    <w:rsid w:val="00A433C4"/>
    <w:rsid w:val="00A4522D"/>
    <w:rsid w:val="00A51DA0"/>
    <w:rsid w:val="00A52E04"/>
    <w:rsid w:val="00A5500D"/>
    <w:rsid w:val="00A60FFA"/>
    <w:rsid w:val="00A62CBB"/>
    <w:rsid w:val="00A62EB9"/>
    <w:rsid w:val="00A650DE"/>
    <w:rsid w:val="00A66862"/>
    <w:rsid w:val="00A70955"/>
    <w:rsid w:val="00A709FA"/>
    <w:rsid w:val="00A730AB"/>
    <w:rsid w:val="00A73496"/>
    <w:rsid w:val="00A7578D"/>
    <w:rsid w:val="00A76DBE"/>
    <w:rsid w:val="00A8140D"/>
    <w:rsid w:val="00A82C76"/>
    <w:rsid w:val="00A902DB"/>
    <w:rsid w:val="00A90332"/>
    <w:rsid w:val="00A91680"/>
    <w:rsid w:val="00A92A1B"/>
    <w:rsid w:val="00A9651C"/>
    <w:rsid w:val="00A96579"/>
    <w:rsid w:val="00AA22A5"/>
    <w:rsid w:val="00AA52C1"/>
    <w:rsid w:val="00AA6477"/>
    <w:rsid w:val="00AA68A6"/>
    <w:rsid w:val="00AB3785"/>
    <w:rsid w:val="00AB3F24"/>
    <w:rsid w:val="00AB5EFE"/>
    <w:rsid w:val="00AC1344"/>
    <w:rsid w:val="00AC221F"/>
    <w:rsid w:val="00AC2CBA"/>
    <w:rsid w:val="00AC3B80"/>
    <w:rsid w:val="00AC545C"/>
    <w:rsid w:val="00AD4757"/>
    <w:rsid w:val="00AD7010"/>
    <w:rsid w:val="00AD79F2"/>
    <w:rsid w:val="00AE3D3E"/>
    <w:rsid w:val="00AE5FA8"/>
    <w:rsid w:val="00AE641A"/>
    <w:rsid w:val="00AF0AA5"/>
    <w:rsid w:val="00AF12DE"/>
    <w:rsid w:val="00AF4843"/>
    <w:rsid w:val="00AF4DB4"/>
    <w:rsid w:val="00AF5353"/>
    <w:rsid w:val="00AF632A"/>
    <w:rsid w:val="00B03655"/>
    <w:rsid w:val="00B07874"/>
    <w:rsid w:val="00B0790F"/>
    <w:rsid w:val="00B100BC"/>
    <w:rsid w:val="00B120D1"/>
    <w:rsid w:val="00B154E5"/>
    <w:rsid w:val="00B157A8"/>
    <w:rsid w:val="00B2091C"/>
    <w:rsid w:val="00B21B60"/>
    <w:rsid w:val="00B22146"/>
    <w:rsid w:val="00B22166"/>
    <w:rsid w:val="00B25261"/>
    <w:rsid w:val="00B30449"/>
    <w:rsid w:val="00B31CC8"/>
    <w:rsid w:val="00B3424E"/>
    <w:rsid w:val="00B34C86"/>
    <w:rsid w:val="00B36D53"/>
    <w:rsid w:val="00B378CC"/>
    <w:rsid w:val="00B409D4"/>
    <w:rsid w:val="00B40B49"/>
    <w:rsid w:val="00B41504"/>
    <w:rsid w:val="00B42982"/>
    <w:rsid w:val="00B43854"/>
    <w:rsid w:val="00B461DC"/>
    <w:rsid w:val="00B50679"/>
    <w:rsid w:val="00B50E89"/>
    <w:rsid w:val="00B60001"/>
    <w:rsid w:val="00B60179"/>
    <w:rsid w:val="00B613AC"/>
    <w:rsid w:val="00B61FC0"/>
    <w:rsid w:val="00B63D0C"/>
    <w:rsid w:val="00B72CDC"/>
    <w:rsid w:val="00B73556"/>
    <w:rsid w:val="00B743B2"/>
    <w:rsid w:val="00B748AF"/>
    <w:rsid w:val="00B74FCC"/>
    <w:rsid w:val="00B759E2"/>
    <w:rsid w:val="00B775BB"/>
    <w:rsid w:val="00B776C7"/>
    <w:rsid w:val="00B8019D"/>
    <w:rsid w:val="00B812FF"/>
    <w:rsid w:val="00B814ED"/>
    <w:rsid w:val="00B8311D"/>
    <w:rsid w:val="00B839DB"/>
    <w:rsid w:val="00B84006"/>
    <w:rsid w:val="00B848DF"/>
    <w:rsid w:val="00B85809"/>
    <w:rsid w:val="00B87D8C"/>
    <w:rsid w:val="00B9150C"/>
    <w:rsid w:val="00B939D1"/>
    <w:rsid w:val="00B947CA"/>
    <w:rsid w:val="00B95D2D"/>
    <w:rsid w:val="00BA1B98"/>
    <w:rsid w:val="00BA1EFD"/>
    <w:rsid w:val="00BA30BA"/>
    <w:rsid w:val="00BA3132"/>
    <w:rsid w:val="00BA4843"/>
    <w:rsid w:val="00BA5718"/>
    <w:rsid w:val="00BB2AD1"/>
    <w:rsid w:val="00BB4FC7"/>
    <w:rsid w:val="00BB521D"/>
    <w:rsid w:val="00BB543A"/>
    <w:rsid w:val="00BB5D23"/>
    <w:rsid w:val="00BB718B"/>
    <w:rsid w:val="00BB7D45"/>
    <w:rsid w:val="00BD037D"/>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B00"/>
    <w:rsid w:val="00BF00A6"/>
    <w:rsid w:val="00BF3A36"/>
    <w:rsid w:val="00BF5DFC"/>
    <w:rsid w:val="00BF6447"/>
    <w:rsid w:val="00C00536"/>
    <w:rsid w:val="00C01044"/>
    <w:rsid w:val="00C015F7"/>
    <w:rsid w:val="00C018BA"/>
    <w:rsid w:val="00C03E85"/>
    <w:rsid w:val="00C10241"/>
    <w:rsid w:val="00C1206A"/>
    <w:rsid w:val="00C23AAB"/>
    <w:rsid w:val="00C24720"/>
    <w:rsid w:val="00C25BD2"/>
    <w:rsid w:val="00C26A7A"/>
    <w:rsid w:val="00C30B21"/>
    <w:rsid w:val="00C327E3"/>
    <w:rsid w:val="00C3376A"/>
    <w:rsid w:val="00C404FC"/>
    <w:rsid w:val="00C4091D"/>
    <w:rsid w:val="00C40B11"/>
    <w:rsid w:val="00C41AF8"/>
    <w:rsid w:val="00C44A4C"/>
    <w:rsid w:val="00C47381"/>
    <w:rsid w:val="00C57CDF"/>
    <w:rsid w:val="00C60FDD"/>
    <w:rsid w:val="00C6595E"/>
    <w:rsid w:val="00C65AAA"/>
    <w:rsid w:val="00C71328"/>
    <w:rsid w:val="00C72139"/>
    <w:rsid w:val="00C72557"/>
    <w:rsid w:val="00C7258A"/>
    <w:rsid w:val="00C7311F"/>
    <w:rsid w:val="00C7343B"/>
    <w:rsid w:val="00C73729"/>
    <w:rsid w:val="00C7420E"/>
    <w:rsid w:val="00C74DB8"/>
    <w:rsid w:val="00C76F9F"/>
    <w:rsid w:val="00C77C72"/>
    <w:rsid w:val="00C82C91"/>
    <w:rsid w:val="00C8391D"/>
    <w:rsid w:val="00C85F9C"/>
    <w:rsid w:val="00C8756E"/>
    <w:rsid w:val="00C87A95"/>
    <w:rsid w:val="00C87C72"/>
    <w:rsid w:val="00C91DB5"/>
    <w:rsid w:val="00C9716E"/>
    <w:rsid w:val="00CA080D"/>
    <w:rsid w:val="00CA3329"/>
    <w:rsid w:val="00CA3DE4"/>
    <w:rsid w:val="00CB033F"/>
    <w:rsid w:val="00CB108B"/>
    <w:rsid w:val="00CB15E2"/>
    <w:rsid w:val="00CB1ADA"/>
    <w:rsid w:val="00CB4401"/>
    <w:rsid w:val="00CC25D5"/>
    <w:rsid w:val="00CC2772"/>
    <w:rsid w:val="00CC2EBE"/>
    <w:rsid w:val="00CC4A4B"/>
    <w:rsid w:val="00CC5EAE"/>
    <w:rsid w:val="00CD1563"/>
    <w:rsid w:val="00CD21A6"/>
    <w:rsid w:val="00CD26E3"/>
    <w:rsid w:val="00CD3424"/>
    <w:rsid w:val="00CD434F"/>
    <w:rsid w:val="00CD6CF2"/>
    <w:rsid w:val="00CD7899"/>
    <w:rsid w:val="00CE1766"/>
    <w:rsid w:val="00CE1B5F"/>
    <w:rsid w:val="00CE21CF"/>
    <w:rsid w:val="00CE32C0"/>
    <w:rsid w:val="00CE516F"/>
    <w:rsid w:val="00CE52E5"/>
    <w:rsid w:val="00CE624D"/>
    <w:rsid w:val="00CF0EAD"/>
    <w:rsid w:val="00CF3869"/>
    <w:rsid w:val="00CF4320"/>
    <w:rsid w:val="00CF5671"/>
    <w:rsid w:val="00D00F52"/>
    <w:rsid w:val="00D01A5C"/>
    <w:rsid w:val="00D01CB6"/>
    <w:rsid w:val="00D028B6"/>
    <w:rsid w:val="00D02C18"/>
    <w:rsid w:val="00D02E26"/>
    <w:rsid w:val="00D032AB"/>
    <w:rsid w:val="00D06066"/>
    <w:rsid w:val="00D070D0"/>
    <w:rsid w:val="00D07450"/>
    <w:rsid w:val="00D10C10"/>
    <w:rsid w:val="00D17142"/>
    <w:rsid w:val="00D20AF6"/>
    <w:rsid w:val="00D20CB0"/>
    <w:rsid w:val="00D21ED0"/>
    <w:rsid w:val="00D244DB"/>
    <w:rsid w:val="00D27E4E"/>
    <w:rsid w:val="00D35F11"/>
    <w:rsid w:val="00D37A6A"/>
    <w:rsid w:val="00D40636"/>
    <w:rsid w:val="00D44A00"/>
    <w:rsid w:val="00D46E15"/>
    <w:rsid w:val="00D51A0C"/>
    <w:rsid w:val="00D521F7"/>
    <w:rsid w:val="00D52B02"/>
    <w:rsid w:val="00D52EC4"/>
    <w:rsid w:val="00D60948"/>
    <w:rsid w:val="00D62F72"/>
    <w:rsid w:val="00D6377E"/>
    <w:rsid w:val="00D64231"/>
    <w:rsid w:val="00D6438E"/>
    <w:rsid w:val="00D66146"/>
    <w:rsid w:val="00D70BB1"/>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A7DE6"/>
    <w:rsid w:val="00DB0BC1"/>
    <w:rsid w:val="00DB131F"/>
    <w:rsid w:val="00DB1E50"/>
    <w:rsid w:val="00DB30F9"/>
    <w:rsid w:val="00DB615D"/>
    <w:rsid w:val="00DB65FC"/>
    <w:rsid w:val="00DB6C01"/>
    <w:rsid w:val="00DB73CE"/>
    <w:rsid w:val="00DC1FA4"/>
    <w:rsid w:val="00DC2467"/>
    <w:rsid w:val="00DC33AC"/>
    <w:rsid w:val="00DC454C"/>
    <w:rsid w:val="00DC4D7F"/>
    <w:rsid w:val="00DC5B3A"/>
    <w:rsid w:val="00DC6FED"/>
    <w:rsid w:val="00DD0BB7"/>
    <w:rsid w:val="00DD18CF"/>
    <w:rsid w:val="00DD27FF"/>
    <w:rsid w:val="00DD38F6"/>
    <w:rsid w:val="00DD3D50"/>
    <w:rsid w:val="00DD4BE7"/>
    <w:rsid w:val="00DD6088"/>
    <w:rsid w:val="00DD6B46"/>
    <w:rsid w:val="00DE1383"/>
    <w:rsid w:val="00DE1772"/>
    <w:rsid w:val="00DE1B64"/>
    <w:rsid w:val="00DE1E21"/>
    <w:rsid w:val="00DE2A3F"/>
    <w:rsid w:val="00DE63B1"/>
    <w:rsid w:val="00DE6493"/>
    <w:rsid w:val="00DE6D89"/>
    <w:rsid w:val="00DF6B33"/>
    <w:rsid w:val="00E06BAF"/>
    <w:rsid w:val="00E10AE3"/>
    <w:rsid w:val="00E138F0"/>
    <w:rsid w:val="00E17923"/>
    <w:rsid w:val="00E17D65"/>
    <w:rsid w:val="00E204A8"/>
    <w:rsid w:val="00E225AE"/>
    <w:rsid w:val="00E24229"/>
    <w:rsid w:val="00E25FA5"/>
    <w:rsid w:val="00E26691"/>
    <w:rsid w:val="00E275E1"/>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6C64"/>
    <w:rsid w:val="00E46F1B"/>
    <w:rsid w:val="00E470D8"/>
    <w:rsid w:val="00E47977"/>
    <w:rsid w:val="00E5326F"/>
    <w:rsid w:val="00E548C8"/>
    <w:rsid w:val="00E5503B"/>
    <w:rsid w:val="00E57BC1"/>
    <w:rsid w:val="00E62363"/>
    <w:rsid w:val="00E63140"/>
    <w:rsid w:val="00E64588"/>
    <w:rsid w:val="00E64DAB"/>
    <w:rsid w:val="00E724F1"/>
    <w:rsid w:val="00E72E97"/>
    <w:rsid w:val="00E76A65"/>
    <w:rsid w:val="00E84ECF"/>
    <w:rsid w:val="00E85D76"/>
    <w:rsid w:val="00E906E4"/>
    <w:rsid w:val="00E91A61"/>
    <w:rsid w:val="00E92B19"/>
    <w:rsid w:val="00E93F95"/>
    <w:rsid w:val="00E9748B"/>
    <w:rsid w:val="00E97623"/>
    <w:rsid w:val="00EA126E"/>
    <w:rsid w:val="00EA2C68"/>
    <w:rsid w:val="00EA2D31"/>
    <w:rsid w:val="00EA3EA9"/>
    <w:rsid w:val="00EA4B65"/>
    <w:rsid w:val="00EA5ACD"/>
    <w:rsid w:val="00EB0F9B"/>
    <w:rsid w:val="00EB4973"/>
    <w:rsid w:val="00EB78A6"/>
    <w:rsid w:val="00EB7ED1"/>
    <w:rsid w:val="00EC3908"/>
    <w:rsid w:val="00EC48D5"/>
    <w:rsid w:val="00EC59B2"/>
    <w:rsid w:val="00EC7786"/>
    <w:rsid w:val="00EC7D4C"/>
    <w:rsid w:val="00EC7D9B"/>
    <w:rsid w:val="00ED0FBD"/>
    <w:rsid w:val="00ED1308"/>
    <w:rsid w:val="00ED2130"/>
    <w:rsid w:val="00ED2C2F"/>
    <w:rsid w:val="00ED4E4C"/>
    <w:rsid w:val="00EE025F"/>
    <w:rsid w:val="00EE2288"/>
    <w:rsid w:val="00EE35D8"/>
    <w:rsid w:val="00EE47E3"/>
    <w:rsid w:val="00EE487B"/>
    <w:rsid w:val="00EE735B"/>
    <w:rsid w:val="00EF34F6"/>
    <w:rsid w:val="00EF4376"/>
    <w:rsid w:val="00EF6A93"/>
    <w:rsid w:val="00EF6CBB"/>
    <w:rsid w:val="00EF746E"/>
    <w:rsid w:val="00EF791A"/>
    <w:rsid w:val="00F01396"/>
    <w:rsid w:val="00F01678"/>
    <w:rsid w:val="00F021C9"/>
    <w:rsid w:val="00F0290F"/>
    <w:rsid w:val="00F039CD"/>
    <w:rsid w:val="00F07878"/>
    <w:rsid w:val="00F07B00"/>
    <w:rsid w:val="00F07B5C"/>
    <w:rsid w:val="00F10481"/>
    <w:rsid w:val="00F13222"/>
    <w:rsid w:val="00F13262"/>
    <w:rsid w:val="00F16D8B"/>
    <w:rsid w:val="00F16DCB"/>
    <w:rsid w:val="00F206C1"/>
    <w:rsid w:val="00F2222D"/>
    <w:rsid w:val="00F22EBF"/>
    <w:rsid w:val="00F27D69"/>
    <w:rsid w:val="00F33758"/>
    <w:rsid w:val="00F344A1"/>
    <w:rsid w:val="00F35166"/>
    <w:rsid w:val="00F41A67"/>
    <w:rsid w:val="00F42D84"/>
    <w:rsid w:val="00F44383"/>
    <w:rsid w:val="00F447E8"/>
    <w:rsid w:val="00F45663"/>
    <w:rsid w:val="00F45A1E"/>
    <w:rsid w:val="00F5166B"/>
    <w:rsid w:val="00F51DF2"/>
    <w:rsid w:val="00F53746"/>
    <w:rsid w:val="00F53ED2"/>
    <w:rsid w:val="00F54A48"/>
    <w:rsid w:val="00F57E44"/>
    <w:rsid w:val="00F621D8"/>
    <w:rsid w:val="00F63EFF"/>
    <w:rsid w:val="00F64E2E"/>
    <w:rsid w:val="00F65043"/>
    <w:rsid w:val="00F65940"/>
    <w:rsid w:val="00F65B90"/>
    <w:rsid w:val="00F7083F"/>
    <w:rsid w:val="00F70ADA"/>
    <w:rsid w:val="00F712AD"/>
    <w:rsid w:val="00F74651"/>
    <w:rsid w:val="00F74CFD"/>
    <w:rsid w:val="00F778B9"/>
    <w:rsid w:val="00F77BB7"/>
    <w:rsid w:val="00F77E19"/>
    <w:rsid w:val="00F84A4F"/>
    <w:rsid w:val="00F86834"/>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39F3"/>
    <w:rsid w:val="00FC6B42"/>
    <w:rsid w:val="00FD0B58"/>
    <w:rsid w:val="00FD324A"/>
    <w:rsid w:val="00FD5F17"/>
    <w:rsid w:val="00FE0A65"/>
    <w:rsid w:val="00FE418C"/>
    <w:rsid w:val="00FE4965"/>
    <w:rsid w:val="00FE59A4"/>
    <w:rsid w:val="00FE64A4"/>
    <w:rsid w:val="00FF0D99"/>
    <w:rsid w:val="00FF0FD2"/>
    <w:rsid w:val="00FF34C9"/>
    <w:rsid w:val="00FF3920"/>
    <w:rsid w:val="00FF41BD"/>
    <w:rsid w:val="00FF6CBD"/>
    <w:rsid w:val="00FF769B"/>
    <w:rsid w:val="012A2A15"/>
    <w:rsid w:val="06DC334F"/>
    <w:rsid w:val="08FF20F5"/>
    <w:rsid w:val="0A7245E5"/>
    <w:rsid w:val="0AC307BF"/>
    <w:rsid w:val="0B393998"/>
    <w:rsid w:val="15EB7B76"/>
    <w:rsid w:val="18990025"/>
    <w:rsid w:val="1C687561"/>
    <w:rsid w:val="1F6B2488"/>
    <w:rsid w:val="222529F4"/>
    <w:rsid w:val="23BA077E"/>
    <w:rsid w:val="26C42B90"/>
    <w:rsid w:val="2B7851A9"/>
    <w:rsid w:val="2D974226"/>
    <w:rsid w:val="2E67256E"/>
    <w:rsid w:val="35C63211"/>
    <w:rsid w:val="3B9D5D8C"/>
    <w:rsid w:val="3C673898"/>
    <w:rsid w:val="3CBB68B6"/>
    <w:rsid w:val="40DD3B5B"/>
    <w:rsid w:val="4BB55946"/>
    <w:rsid w:val="50382B76"/>
    <w:rsid w:val="534325AF"/>
    <w:rsid w:val="5AC66104"/>
    <w:rsid w:val="5AEE0A8B"/>
    <w:rsid w:val="5BA64477"/>
    <w:rsid w:val="5D596AFA"/>
    <w:rsid w:val="5DBD2073"/>
    <w:rsid w:val="5F0F128B"/>
    <w:rsid w:val="605E28F9"/>
    <w:rsid w:val="62A91168"/>
    <w:rsid w:val="646E6D87"/>
    <w:rsid w:val="651F3CA9"/>
    <w:rsid w:val="6C6A3085"/>
    <w:rsid w:val="6CAE2117"/>
    <w:rsid w:val="6E530707"/>
    <w:rsid w:val="6F5846CE"/>
    <w:rsid w:val="734250E9"/>
    <w:rsid w:val="77544948"/>
    <w:rsid w:val="7959379F"/>
    <w:rsid w:val="7A6E1C78"/>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87AA65-0E25-4869-A538-030D89F0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1">
    <w:name w:val="heading 1"/>
    <w:basedOn w:val="a4"/>
    <w:next w:val="a4"/>
    <w:link w:val="10"/>
    <w:uiPriority w:val="9"/>
    <w:qFormat/>
    <w:pPr>
      <w:keepNext/>
      <w:keepLines/>
      <w:spacing w:before="340" w:after="330" w:line="578" w:lineRule="auto"/>
      <w:outlineLvl w:val="0"/>
    </w:pPr>
    <w:rPr>
      <w:b/>
      <w:bCs/>
      <w:kern w:val="44"/>
      <w:sz w:val="44"/>
      <w:szCs w:val="4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pPr>
      <w:jc w:val="left"/>
    </w:pPr>
    <w:rPr>
      <w:rFonts w:ascii="Calibri" w:hAnsi="Calibri" w:cs="Calibri"/>
      <w:szCs w:val="21"/>
    </w:rPr>
  </w:style>
  <w:style w:type="paragraph" w:styleId="31">
    <w:name w:val="toc 3"/>
    <w:basedOn w:val="a4"/>
    <w:next w:val="a4"/>
    <w:uiPriority w:val="39"/>
    <w:semiHidden/>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Plain Text"/>
    <w:basedOn w:val="a4"/>
    <w:link w:val="ab"/>
    <w:uiPriority w:val="99"/>
    <w:unhideWhenUsed/>
    <w:qFormat/>
    <w:rPr>
      <w:rFonts w:ascii="宋体" w:hAnsi="Courier New"/>
      <w:szCs w:val="21"/>
    </w:rPr>
  </w:style>
  <w:style w:type="paragraph" w:styleId="ac">
    <w:name w:val="Date"/>
    <w:basedOn w:val="a4"/>
    <w:next w:val="a4"/>
    <w:link w:val="ad"/>
    <w:uiPriority w:val="99"/>
    <w:semiHidden/>
    <w:unhideWhenUsed/>
    <w:qFormat/>
    <w:pPr>
      <w:ind w:leftChars="2500" w:left="100"/>
    </w:pPr>
  </w:style>
  <w:style w:type="paragraph" w:styleId="ae">
    <w:name w:val="Balloon Text"/>
    <w:basedOn w:val="a4"/>
    <w:link w:val="af"/>
    <w:uiPriority w:val="99"/>
    <w:semiHidden/>
    <w:unhideWhenUsed/>
    <w:qFormat/>
    <w:rPr>
      <w:sz w:val="18"/>
      <w:szCs w:val="18"/>
    </w:rPr>
  </w:style>
  <w:style w:type="paragraph" w:styleId="af0">
    <w:name w:val="footer"/>
    <w:basedOn w:val="a4"/>
    <w:link w:val="af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4"/>
    <w:next w:val="a4"/>
    <w:uiPriority w:val="39"/>
    <w:semiHidden/>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21">
    <w:name w:val="toc 2"/>
    <w:basedOn w:val="a4"/>
    <w:next w:val="a4"/>
    <w:uiPriority w:val="39"/>
    <w:unhideWhenUsed/>
    <w:qFormat/>
    <w:pPr>
      <w:ind w:leftChars="200" w:left="420"/>
    </w:pPr>
  </w:style>
  <w:style w:type="paragraph" w:styleId="af4">
    <w:name w:val="annotation subject"/>
    <w:basedOn w:val="a8"/>
    <w:next w:val="a8"/>
    <w:link w:val="af5"/>
    <w:uiPriority w:val="99"/>
    <w:semiHidden/>
    <w:unhideWhenUsed/>
    <w:qFormat/>
    <w:rPr>
      <w:rFonts w:ascii="Times New Roman" w:hAnsi="Times New Roman" w:cs="Times New Roman"/>
      <w:b/>
      <w:bCs/>
      <w:szCs w:val="24"/>
    </w:rPr>
  </w:style>
  <w:style w:type="table" w:styleId="af6">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5"/>
    <w:uiPriority w:val="99"/>
    <w:semiHidden/>
    <w:unhideWhenUsed/>
    <w:qFormat/>
  </w:style>
  <w:style w:type="character" w:styleId="af8">
    <w:name w:val="Hyperlink"/>
    <w:basedOn w:val="a5"/>
    <w:uiPriority w:val="99"/>
    <w:unhideWhenUsed/>
    <w:qFormat/>
    <w:rPr>
      <w:color w:val="0563C1" w:themeColor="hyperlink"/>
      <w:u w:val="single"/>
    </w:rPr>
  </w:style>
  <w:style w:type="character" w:styleId="af9">
    <w:name w:val="annotation reference"/>
    <w:basedOn w:val="a5"/>
    <w:uiPriority w:val="99"/>
    <w:semiHidden/>
    <w:unhideWhenUsed/>
    <w:qFormat/>
    <w:rPr>
      <w:sz w:val="21"/>
      <w:szCs w:val="21"/>
    </w:rPr>
  </w:style>
  <w:style w:type="character" w:customStyle="1" w:styleId="af3">
    <w:name w:val="页眉 字符"/>
    <w:basedOn w:val="a5"/>
    <w:link w:val="af2"/>
    <w:uiPriority w:val="99"/>
    <w:qFormat/>
    <w:rPr>
      <w:sz w:val="18"/>
      <w:szCs w:val="18"/>
    </w:rPr>
  </w:style>
  <w:style w:type="character" w:customStyle="1" w:styleId="af1">
    <w:name w:val="页脚 字符"/>
    <w:basedOn w:val="a5"/>
    <w:link w:val="af0"/>
    <w:uiPriority w:val="99"/>
    <w:qFormat/>
    <w:rPr>
      <w:sz w:val="18"/>
      <w:szCs w:val="18"/>
    </w:rPr>
  </w:style>
  <w:style w:type="paragraph" w:styleId="afa">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Pr>
      <w:rFonts w:ascii="Times New Roman" w:eastAsia="宋体" w:hAnsi="Times New Roman" w:cs="Times New Roman"/>
      <w:sz w:val="18"/>
      <w:szCs w:val="18"/>
    </w:rPr>
  </w:style>
  <w:style w:type="character" w:customStyle="1" w:styleId="30">
    <w:name w:val="标题 3 字符"/>
    <w:basedOn w:val="a5"/>
    <w:link w:val="3"/>
    <w:uiPriority w:val="9"/>
    <w:semiHidden/>
    <w:qFormat/>
    <w:rPr>
      <w:rFonts w:ascii="Calibri" w:eastAsia="宋体" w:hAnsi="Calibri" w:cs="Calibri"/>
      <w:b/>
      <w:bCs/>
      <w:sz w:val="32"/>
      <w:szCs w:val="32"/>
    </w:rPr>
  </w:style>
  <w:style w:type="character" w:customStyle="1" w:styleId="a9">
    <w:name w:val="批注文字 字符"/>
    <w:basedOn w:val="a5"/>
    <w:link w:val="a8"/>
    <w:uiPriority w:val="99"/>
    <w:semiHidden/>
    <w:qFormat/>
    <w:rPr>
      <w:rFonts w:ascii="Calibri" w:eastAsia="宋体" w:hAnsi="Calibri" w:cs="Calibri"/>
      <w:szCs w:val="21"/>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qFormat/>
    <w:rPr>
      <w:rFonts w:asciiTheme="majorHAnsi" w:eastAsiaTheme="majorEastAsia" w:hAnsiTheme="majorHAnsi" w:cstheme="majorBidi"/>
      <w:b/>
      <w:bCs/>
      <w:sz w:val="32"/>
      <w:szCs w:val="32"/>
    </w:rPr>
  </w:style>
  <w:style w:type="paragraph" w:customStyle="1" w:styleId="a0">
    <w:name w:val="一级条标题"/>
    <w:next w:val="a4"/>
    <w:qFormat/>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qFormat/>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pPr>
      <w:numPr>
        <w:ilvl w:val="5"/>
      </w:numPr>
      <w:outlineLvl w:val="6"/>
    </w:pPr>
  </w:style>
  <w:style w:type="paragraph" w:customStyle="1" w:styleId="12">
    <w:name w:val="列出段落1"/>
    <w:basedOn w:val="a4"/>
    <w:uiPriority w:val="34"/>
    <w:qFormat/>
    <w:pPr>
      <w:ind w:firstLineChars="200" w:firstLine="420"/>
    </w:pPr>
    <w:rPr>
      <w:szCs w:val="20"/>
    </w:rPr>
  </w:style>
  <w:style w:type="character" w:customStyle="1" w:styleId="af5">
    <w:name w:val="批注主题 字符"/>
    <w:basedOn w:val="a9"/>
    <w:link w:val="af4"/>
    <w:uiPriority w:val="99"/>
    <w:semiHidden/>
    <w:qFormat/>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Pr>
      <w:rFonts w:ascii="宋体" w:eastAsia="宋体" w:hAnsi="Courier New" w:cs="Times New Roman"/>
      <w:kern w:val="2"/>
      <w:sz w:val="21"/>
      <w:szCs w:val="21"/>
    </w:rPr>
  </w:style>
  <w:style w:type="paragraph" w:customStyle="1" w:styleId="13">
    <w:name w:val="修订1"/>
    <w:hidden/>
    <w:uiPriority w:val="99"/>
    <w:semiHidden/>
    <w:qFormat/>
    <w:rPr>
      <w:rFonts w:ascii="Times New Roman" w:eastAsia="宋体" w:hAnsi="Times New Roman" w:cs="Times New Roman"/>
      <w:kern w:val="2"/>
      <w:sz w:val="21"/>
      <w:szCs w:val="24"/>
    </w:rPr>
  </w:style>
  <w:style w:type="character" w:customStyle="1" w:styleId="ad">
    <w:name w:val="日期 字符"/>
    <w:basedOn w:val="a5"/>
    <w:link w:val="ac"/>
    <w:uiPriority w:val="99"/>
    <w:semiHidden/>
    <w:qFormat/>
    <w:rPr>
      <w:rFonts w:ascii="Times New Roman" w:eastAsia="宋体" w:hAnsi="Times New Roman" w:cs="Times New Roman"/>
      <w:kern w:val="2"/>
      <w:sz w:val="21"/>
      <w:szCs w:val="24"/>
    </w:rPr>
  </w:style>
  <w:style w:type="character" w:customStyle="1" w:styleId="10">
    <w:name w:val="标题 1 字符"/>
    <w:basedOn w:val="a5"/>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4"/>
    <w:uiPriority w:val="39"/>
    <w:semiHidden/>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9B9C0-319F-4107-A303-37A9F4AD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1951</Words>
  <Characters>11127</Characters>
  <Application>Microsoft Office Word</Application>
  <DocSecurity>0</DocSecurity>
  <Lines>92</Lines>
  <Paragraphs>26</Paragraphs>
  <ScaleCrop>false</ScaleCrop>
  <Company>神州网信技术有限公司</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屈贝贝</cp:lastModifiedBy>
  <cp:revision>16</cp:revision>
  <cp:lastPrinted>2022-11-29T13:07:00Z</cp:lastPrinted>
  <dcterms:created xsi:type="dcterms:W3CDTF">2024-05-17T05:52:00Z</dcterms:created>
  <dcterms:modified xsi:type="dcterms:W3CDTF">2025-01-26T02:43:00Z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