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1921"/>
        <w:tblW w:w="11628" w:type="dxa"/>
        <w:tblLook w:val="04A0" w:firstRow="1" w:lastRow="0" w:firstColumn="1" w:lastColumn="0" w:noHBand="0" w:noVBand="1"/>
      </w:tblPr>
      <w:tblGrid>
        <w:gridCol w:w="1589"/>
        <w:gridCol w:w="602"/>
        <w:gridCol w:w="875"/>
        <w:gridCol w:w="242"/>
        <w:gridCol w:w="875"/>
        <w:gridCol w:w="1054"/>
        <w:gridCol w:w="904"/>
        <w:gridCol w:w="872"/>
        <w:gridCol w:w="904"/>
        <w:gridCol w:w="872"/>
        <w:gridCol w:w="904"/>
        <w:gridCol w:w="872"/>
        <w:gridCol w:w="1063"/>
      </w:tblGrid>
      <w:tr>
        <w:trPr>
          <w:trHeight w:val="300"/>
        </w:trPr>
        <w:tc>
          <w:tcPr>
            <w:tcW w:w="1589" w:type="dxa"/>
            <w:vMerge w:val="restart"/>
            <w:noWrap/>
            <w:hideMark/>
          </w:tcPr>
          <w:p>
            <w:r>
              <w:t>Critères</w:t>
            </w:r>
          </w:p>
        </w:tc>
        <w:tc>
          <w:tcPr>
            <w:tcW w:w="602" w:type="dxa"/>
            <w:noWrap/>
            <w:hideMark/>
          </w:tcPr>
          <w:p>
            <w:proofErr w:type="spellStart"/>
            <w:r>
              <w:t>coef</w:t>
            </w:r>
            <w:proofErr w:type="spellEnd"/>
          </w:p>
        </w:tc>
        <w:tc>
          <w:tcPr>
            <w:tcW w:w="1992" w:type="dxa"/>
            <w:gridSpan w:val="3"/>
            <w:noWrap/>
            <w:hideMark/>
          </w:tcPr>
          <w:p>
            <w:r>
              <w:t>Version 1</w:t>
            </w:r>
          </w:p>
        </w:tc>
        <w:tc>
          <w:tcPr>
            <w:tcW w:w="1958" w:type="dxa"/>
            <w:gridSpan w:val="2"/>
            <w:noWrap/>
            <w:hideMark/>
          </w:tcPr>
          <w:p>
            <w:r>
              <w:t>Version 2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Version 3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Version 4</w:t>
            </w:r>
          </w:p>
        </w:tc>
        <w:tc>
          <w:tcPr>
            <w:tcW w:w="1935" w:type="dxa"/>
            <w:gridSpan w:val="2"/>
            <w:noWrap/>
            <w:hideMark/>
          </w:tcPr>
          <w:p>
            <w:r>
              <w:t>Version 5</w:t>
            </w:r>
          </w:p>
        </w:tc>
      </w:tr>
      <w:tr>
        <w:trPr>
          <w:trHeight w:val="315"/>
        </w:trPr>
        <w:tc>
          <w:tcPr>
            <w:tcW w:w="1589" w:type="dxa"/>
            <w:vMerge/>
            <w:hideMark/>
          </w:tcPr>
          <w:p/>
        </w:tc>
        <w:tc>
          <w:tcPr>
            <w:tcW w:w="602" w:type="dxa"/>
            <w:noWrap/>
            <w:hideMark/>
          </w:tcPr>
          <w:p>
            <w:r>
              <w:t> </w:t>
            </w:r>
          </w:p>
        </w:tc>
        <w:tc>
          <w:tcPr>
            <w:tcW w:w="875" w:type="dxa"/>
            <w:noWrap/>
            <w:hideMark/>
          </w:tcPr>
          <w:p>
            <w:r>
              <w:t>Interne</w:t>
            </w:r>
          </w:p>
        </w:tc>
        <w:tc>
          <w:tcPr>
            <w:tcW w:w="1117" w:type="dxa"/>
            <w:gridSpan w:val="2"/>
            <w:noWrap/>
            <w:hideMark/>
          </w:tcPr>
          <w:p>
            <w:r>
              <w:t>Externe</w:t>
            </w:r>
          </w:p>
        </w:tc>
        <w:tc>
          <w:tcPr>
            <w:tcW w:w="1054" w:type="dxa"/>
            <w:noWrap/>
            <w:hideMark/>
          </w:tcPr>
          <w:p>
            <w:r>
              <w:t>Interne</w:t>
            </w:r>
          </w:p>
        </w:tc>
        <w:tc>
          <w:tcPr>
            <w:tcW w:w="904" w:type="dxa"/>
            <w:noWrap/>
            <w:hideMark/>
          </w:tcPr>
          <w:p>
            <w:r>
              <w:t>Externe</w:t>
            </w:r>
          </w:p>
        </w:tc>
        <w:tc>
          <w:tcPr>
            <w:tcW w:w="872" w:type="dxa"/>
            <w:noWrap/>
            <w:hideMark/>
          </w:tcPr>
          <w:p>
            <w:r>
              <w:t>Interne</w:t>
            </w:r>
          </w:p>
        </w:tc>
        <w:tc>
          <w:tcPr>
            <w:tcW w:w="904" w:type="dxa"/>
            <w:noWrap/>
            <w:hideMark/>
          </w:tcPr>
          <w:p>
            <w:r>
              <w:t>Externe</w:t>
            </w:r>
          </w:p>
        </w:tc>
        <w:tc>
          <w:tcPr>
            <w:tcW w:w="872" w:type="dxa"/>
            <w:noWrap/>
            <w:hideMark/>
          </w:tcPr>
          <w:p>
            <w:r>
              <w:t>Interne</w:t>
            </w:r>
          </w:p>
        </w:tc>
        <w:tc>
          <w:tcPr>
            <w:tcW w:w="904" w:type="dxa"/>
            <w:noWrap/>
            <w:hideMark/>
          </w:tcPr>
          <w:p>
            <w:r>
              <w:t>Externe</w:t>
            </w:r>
          </w:p>
        </w:tc>
        <w:tc>
          <w:tcPr>
            <w:tcW w:w="872" w:type="dxa"/>
            <w:noWrap/>
            <w:hideMark/>
          </w:tcPr>
          <w:p>
            <w:r>
              <w:t>Interne</w:t>
            </w:r>
          </w:p>
        </w:tc>
        <w:tc>
          <w:tcPr>
            <w:tcW w:w="1063" w:type="dxa"/>
            <w:noWrap/>
            <w:hideMark/>
          </w:tcPr>
          <w:p>
            <w:r>
              <w:t>Externe</w:t>
            </w:r>
          </w:p>
        </w:tc>
      </w:tr>
      <w:tr>
        <w:trPr>
          <w:trHeight w:val="300"/>
        </w:trPr>
        <w:tc>
          <w:tcPr>
            <w:tcW w:w="1589" w:type="dxa"/>
            <w:noWrap/>
            <w:hideMark/>
          </w:tcPr>
          <w:p>
            <w:r>
              <w:t>Note I/E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</w:p>
        </w:tc>
        <w:tc>
          <w:tcPr>
            <w:tcW w:w="875" w:type="dxa"/>
            <w:noWrap/>
            <w:hideMark/>
          </w:tcPr>
          <w:p>
            <w:pPr>
              <w:jc w:val="center"/>
            </w:pPr>
            <w:r>
              <w:t>76,66%</w:t>
            </w:r>
          </w:p>
        </w:tc>
        <w:tc>
          <w:tcPr>
            <w:tcW w:w="1117" w:type="dxa"/>
            <w:gridSpan w:val="2"/>
            <w:noWrap/>
            <w:hideMark/>
          </w:tcPr>
          <w:p>
            <w:pPr>
              <w:jc w:val="center"/>
            </w:pPr>
            <w:r>
              <w:t>83,33%</w:t>
            </w:r>
          </w:p>
        </w:tc>
        <w:tc>
          <w:tcPr>
            <w:tcW w:w="1054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1063" w:type="dxa"/>
            <w:noWrap/>
            <w:hideMark/>
          </w:tcPr>
          <w:p>
            <w:r>
              <w:t> </w:t>
            </w:r>
          </w:p>
        </w:tc>
      </w:tr>
      <w:tr>
        <w:trPr>
          <w:trHeight w:val="315"/>
        </w:trPr>
        <w:tc>
          <w:tcPr>
            <w:tcW w:w="1589" w:type="dxa"/>
            <w:noWrap/>
            <w:hideMark/>
          </w:tcPr>
          <w:p>
            <w:r>
              <w:t xml:space="preserve">Fonctionnalités 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1992" w:type="dxa"/>
            <w:gridSpan w:val="3"/>
            <w:noWrap/>
            <w:hideMark/>
          </w:tcPr>
          <w:p>
            <w:pPr>
              <w:jc w:val="center"/>
            </w:pPr>
            <w:r>
              <w:t>79,99%</w:t>
            </w:r>
          </w:p>
        </w:tc>
        <w:tc>
          <w:tcPr>
            <w:tcW w:w="1958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935" w:type="dxa"/>
            <w:gridSpan w:val="2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589" w:type="dxa"/>
            <w:noWrap/>
            <w:hideMark/>
          </w:tcPr>
          <w:p>
            <w:r>
              <w:t>Note I/E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</w:p>
        </w:tc>
        <w:tc>
          <w:tcPr>
            <w:tcW w:w="1117" w:type="dxa"/>
            <w:gridSpan w:val="2"/>
            <w:noWrap/>
            <w:hideMark/>
          </w:tcPr>
          <w:p>
            <w:pPr>
              <w:jc w:val="center"/>
            </w:pPr>
            <w:r>
              <w:t>50,76%</w:t>
            </w:r>
          </w:p>
        </w:tc>
        <w:tc>
          <w:tcPr>
            <w:tcW w:w="875" w:type="dxa"/>
            <w:noWrap/>
            <w:hideMark/>
          </w:tcPr>
          <w:p>
            <w:pPr>
              <w:jc w:val="center"/>
            </w:pPr>
            <w:r>
              <w:t>42,85%</w:t>
            </w:r>
          </w:p>
        </w:tc>
        <w:tc>
          <w:tcPr>
            <w:tcW w:w="1054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1063" w:type="dxa"/>
            <w:noWrap/>
            <w:hideMark/>
          </w:tcPr>
          <w:p>
            <w:r>
              <w:t> </w:t>
            </w:r>
          </w:p>
        </w:tc>
      </w:tr>
      <w:tr>
        <w:trPr>
          <w:trHeight w:val="315"/>
        </w:trPr>
        <w:tc>
          <w:tcPr>
            <w:tcW w:w="1589" w:type="dxa"/>
            <w:noWrap/>
            <w:hideMark/>
          </w:tcPr>
          <w:p>
            <w:r>
              <w:t xml:space="preserve">Maintenabilité 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1992" w:type="dxa"/>
            <w:gridSpan w:val="3"/>
            <w:noWrap/>
            <w:hideMark/>
          </w:tcPr>
          <w:p>
            <w:pPr>
              <w:jc w:val="center"/>
            </w:pPr>
            <w:r>
              <w:t>46,80%</w:t>
            </w:r>
          </w:p>
        </w:tc>
        <w:tc>
          <w:tcPr>
            <w:tcW w:w="1958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935" w:type="dxa"/>
            <w:gridSpan w:val="2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589" w:type="dxa"/>
            <w:noWrap/>
            <w:hideMark/>
          </w:tcPr>
          <w:p>
            <w:r>
              <w:t>Note I/E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</w:p>
        </w:tc>
        <w:tc>
          <w:tcPr>
            <w:tcW w:w="1117" w:type="dxa"/>
            <w:gridSpan w:val="2"/>
            <w:noWrap/>
            <w:hideMark/>
          </w:tcPr>
          <w:p>
            <w:pPr>
              <w:jc w:val="center"/>
            </w:pPr>
            <w:r>
              <w:t>75%</w:t>
            </w:r>
          </w:p>
        </w:tc>
        <w:tc>
          <w:tcPr>
            <w:tcW w:w="875" w:type="dxa"/>
            <w:noWrap/>
            <w:hideMark/>
          </w:tcPr>
          <w:p>
            <w:pPr>
              <w:jc w:val="center"/>
            </w:pPr>
            <w:r>
              <w:t>20%</w:t>
            </w:r>
          </w:p>
        </w:tc>
        <w:tc>
          <w:tcPr>
            <w:tcW w:w="1054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1063" w:type="dxa"/>
            <w:noWrap/>
            <w:hideMark/>
          </w:tcPr>
          <w:p>
            <w:r>
              <w:t> </w:t>
            </w:r>
          </w:p>
        </w:tc>
      </w:tr>
      <w:tr>
        <w:trPr>
          <w:trHeight w:val="315"/>
        </w:trPr>
        <w:tc>
          <w:tcPr>
            <w:tcW w:w="1589" w:type="dxa"/>
            <w:noWrap/>
            <w:hideMark/>
          </w:tcPr>
          <w:p>
            <w:r>
              <w:t xml:space="preserve">Fiabilité 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  <w:r>
              <w:t>0,1</w:t>
            </w:r>
          </w:p>
        </w:tc>
        <w:tc>
          <w:tcPr>
            <w:tcW w:w="1992" w:type="dxa"/>
            <w:gridSpan w:val="3"/>
            <w:noWrap/>
            <w:hideMark/>
          </w:tcPr>
          <w:p>
            <w:pPr>
              <w:jc w:val="center"/>
            </w:pPr>
            <w:r>
              <w:t>47,50%</w:t>
            </w:r>
          </w:p>
        </w:tc>
        <w:tc>
          <w:tcPr>
            <w:tcW w:w="1958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935" w:type="dxa"/>
            <w:gridSpan w:val="2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589" w:type="dxa"/>
            <w:noWrap/>
            <w:hideMark/>
          </w:tcPr>
          <w:p>
            <w:r>
              <w:t>Note I/E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</w:p>
        </w:tc>
        <w:tc>
          <w:tcPr>
            <w:tcW w:w="1117" w:type="dxa"/>
            <w:gridSpan w:val="2"/>
            <w:noWrap/>
            <w:hideMark/>
          </w:tcPr>
          <w:p>
            <w:pPr>
              <w:jc w:val="center"/>
            </w:pPr>
          </w:p>
        </w:tc>
        <w:tc>
          <w:tcPr>
            <w:tcW w:w="875" w:type="dxa"/>
            <w:noWrap/>
            <w:hideMark/>
          </w:tcPr>
          <w:p>
            <w:pPr>
              <w:jc w:val="center"/>
            </w:pPr>
            <w:r>
              <w:t>50%</w:t>
            </w:r>
          </w:p>
        </w:tc>
        <w:tc>
          <w:tcPr>
            <w:tcW w:w="1054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1063" w:type="dxa"/>
            <w:noWrap/>
            <w:hideMark/>
          </w:tcPr>
          <w:p>
            <w:r>
              <w:t> </w:t>
            </w:r>
          </w:p>
        </w:tc>
      </w:tr>
      <w:tr>
        <w:trPr>
          <w:trHeight w:val="315"/>
        </w:trPr>
        <w:tc>
          <w:tcPr>
            <w:tcW w:w="1589" w:type="dxa"/>
            <w:noWrap/>
            <w:hideMark/>
          </w:tcPr>
          <w:p>
            <w:r>
              <w:t>Efficacité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  <w:r>
              <w:t>0,5</w:t>
            </w:r>
          </w:p>
        </w:tc>
        <w:tc>
          <w:tcPr>
            <w:tcW w:w="1992" w:type="dxa"/>
            <w:gridSpan w:val="3"/>
            <w:noWrap/>
            <w:hideMark/>
          </w:tcPr>
          <w:p>
            <w:pPr>
              <w:jc w:val="center"/>
            </w:pPr>
            <w:r>
              <w:t>50%</w:t>
            </w:r>
          </w:p>
        </w:tc>
        <w:tc>
          <w:tcPr>
            <w:tcW w:w="1958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935" w:type="dxa"/>
            <w:gridSpan w:val="2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589" w:type="dxa"/>
            <w:noWrap/>
            <w:hideMark/>
          </w:tcPr>
          <w:p>
            <w:r>
              <w:t>Note I/E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</w:p>
        </w:tc>
        <w:tc>
          <w:tcPr>
            <w:tcW w:w="1117" w:type="dxa"/>
            <w:gridSpan w:val="2"/>
            <w:noWrap/>
            <w:hideMark/>
          </w:tcPr>
          <w:p>
            <w:pPr>
              <w:jc w:val="center"/>
            </w:pPr>
          </w:p>
        </w:tc>
        <w:tc>
          <w:tcPr>
            <w:tcW w:w="875" w:type="dxa"/>
            <w:noWrap/>
            <w:hideMark/>
          </w:tcPr>
          <w:p>
            <w:pPr>
              <w:jc w:val="center"/>
            </w:pPr>
            <w:r>
              <w:t>50%</w:t>
            </w:r>
          </w:p>
        </w:tc>
        <w:tc>
          <w:tcPr>
            <w:tcW w:w="1054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1063" w:type="dxa"/>
            <w:noWrap/>
            <w:hideMark/>
          </w:tcPr>
          <w:p>
            <w:r>
              <w:t> </w:t>
            </w:r>
          </w:p>
        </w:tc>
      </w:tr>
      <w:tr>
        <w:trPr>
          <w:trHeight w:val="315"/>
        </w:trPr>
        <w:tc>
          <w:tcPr>
            <w:tcW w:w="1589" w:type="dxa"/>
            <w:noWrap/>
            <w:hideMark/>
          </w:tcPr>
          <w:p>
            <w:r>
              <w:t xml:space="preserve">Ergonomie </w:t>
            </w:r>
          </w:p>
        </w:tc>
        <w:tc>
          <w:tcPr>
            <w:tcW w:w="602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1992" w:type="dxa"/>
            <w:gridSpan w:val="3"/>
            <w:noWrap/>
            <w:hideMark/>
          </w:tcPr>
          <w:p>
            <w:pPr>
              <w:jc w:val="center"/>
            </w:pPr>
            <w:r>
              <w:t>50%</w:t>
            </w:r>
          </w:p>
        </w:tc>
        <w:tc>
          <w:tcPr>
            <w:tcW w:w="1958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935" w:type="dxa"/>
            <w:gridSpan w:val="2"/>
            <w:noWrap/>
            <w:hideMark/>
          </w:tcPr>
          <w:p>
            <w:r>
              <w:t> </w:t>
            </w:r>
          </w:p>
        </w:tc>
      </w:tr>
      <w:tr>
        <w:trPr>
          <w:trHeight w:val="315"/>
        </w:trPr>
        <w:tc>
          <w:tcPr>
            <w:tcW w:w="1589" w:type="dxa"/>
            <w:noWrap/>
            <w:hideMark/>
          </w:tcPr>
          <w:p/>
        </w:tc>
        <w:tc>
          <w:tcPr>
            <w:tcW w:w="602" w:type="dxa"/>
            <w:noWrap/>
            <w:hideMark/>
          </w:tcPr>
          <w:p/>
        </w:tc>
        <w:tc>
          <w:tcPr>
            <w:tcW w:w="1117" w:type="dxa"/>
            <w:gridSpan w:val="2"/>
            <w:noWrap/>
            <w:hideMark/>
          </w:tcPr>
          <w:p/>
        </w:tc>
        <w:tc>
          <w:tcPr>
            <w:tcW w:w="875" w:type="dxa"/>
            <w:noWrap/>
            <w:hideMark/>
          </w:tcPr>
          <w:p/>
        </w:tc>
        <w:tc>
          <w:tcPr>
            <w:tcW w:w="1054" w:type="dxa"/>
            <w:noWrap/>
            <w:hideMark/>
          </w:tcPr>
          <w:p/>
        </w:tc>
        <w:tc>
          <w:tcPr>
            <w:tcW w:w="904" w:type="dxa"/>
            <w:noWrap/>
            <w:hideMark/>
          </w:tcPr>
          <w:p/>
        </w:tc>
        <w:tc>
          <w:tcPr>
            <w:tcW w:w="872" w:type="dxa"/>
            <w:noWrap/>
            <w:hideMark/>
          </w:tcPr>
          <w:p/>
        </w:tc>
        <w:tc>
          <w:tcPr>
            <w:tcW w:w="904" w:type="dxa"/>
            <w:noWrap/>
            <w:hideMark/>
          </w:tcPr>
          <w:p/>
        </w:tc>
        <w:tc>
          <w:tcPr>
            <w:tcW w:w="872" w:type="dxa"/>
            <w:noWrap/>
            <w:hideMark/>
          </w:tcPr>
          <w:p/>
        </w:tc>
        <w:tc>
          <w:tcPr>
            <w:tcW w:w="904" w:type="dxa"/>
            <w:noWrap/>
            <w:hideMark/>
          </w:tcPr>
          <w:p/>
        </w:tc>
        <w:tc>
          <w:tcPr>
            <w:tcW w:w="872" w:type="dxa"/>
            <w:noWrap/>
            <w:hideMark/>
          </w:tcPr>
          <w:p/>
        </w:tc>
        <w:tc>
          <w:tcPr>
            <w:tcW w:w="1063" w:type="dxa"/>
            <w:noWrap/>
            <w:hideMark/>
          </w:tcPr>
          <w:p/>
        </w:tc>
      </w:tr>
      <w:tr>
        <w:trPr>
          <w:trHeight w:val="300"/>
        </w:trPr>
        <w:tc>
          <w:tcPr>
            <w:tcW w:w="1589" w:type="dxa"/>
            <w:noWrap/>
            <w:hideMark/>
          </w:tcPr>
          <w:p>
            <w:proofErr w:type="spellStart"/>
            <w:r>
              <w:t>coef</w:t>
            </w:r>
            <w:proofErr w:type="spellEnd"/>
            <w:r>
              <w:t xml:space="preserve"> qualité E/I</w:t>
            </w:r>
          </w:p>
        </w:tc>
        <w:tc>
          <w:tcPr>
            <w:tcW w:w="602" w:type="dxa"/>
            <w:noWrap/>
            <w:hideMark/>
          </w:tcPr>
          <w:p>
            <w:r>
              <w:t> </w:t>
            </w:r>
          </w:p>
        </w:tc>
        <w:tc>
          <w:tcPr>
            <w:tcW w:w="1117" w:type="dxa"/>
            <w:gridSpan w:val="2"/>
            <w:shd w:val="clear" w:color="auto" w:fill="00B0F0"/>
            <w:noWrap/>
            <w:hideMark/>
          </w:tcPr>
          <w:p>
            <w:pPr>
              <w:jc w:val="center"/>
            </w:pPr>
            <w:r>
              <w:t>64%</w:t>
            </w:r>
          </w:p>
        </w:tc>
        <w:tc>
          <w:tcPr>
            <w:tcW w:w="875" w:type="dxa"/>
            <w:shd w:val="clear" w:color="auto" w:fill="00B0F0"/>
            <w:noWrap/>
            <w:hideMark/>
          </w:tcPr>
          <w:p>
            <w:pPr>
              <w:jc w:val="center"/>
            </w:pPr>
            <w:r>
              <w:t>56%</w:t>
            </w:r>
          </w:p>
        </w:tc>
        <w:tc>
          <w:tcPr>
            <w:tcW w:w="1054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904" w:type="dxa"/>
            <w:noWrap/>
            <w:hideMark/>
          </w:tcPr>
          <w:p>
            <w:r>
              <w:t> </w:t>
            </w:r>
          </w:p>
        </w:tc>
        <w:tc>
          <w:tcPr>
            <w:tcW w:w="872" w:type="dxa"/>
            <w:noWrap/>
            <w:hideMark/>
          </w:tcPr>
          <w:p>
            <w:r>
              <w:t> </w:t>
            </w:r>
          </w:p>
        </w:tc>
        <w:tc>
          <w:tcPr>
            <w:tcW w:w="1063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589" w:type="dxa"/>
            <w:noWrap/>
            <w:hideMark/>
          </w:tcPr>
          <w:p>
            <w:proofErr w:type="spellStart"/>
            <w:r>
              <w:t>coef</w:t>
            </w:r>
            <w:proofErr w:type="spellEnd"/>
            <w:r>
              <w:t xml:space="preserve"> qualité</w:t>
            </w:r>
          </w:p>
        </w:tc>
        <w:tc>
          <w:tcPr>
            <w:tcW w:w="602" w:type="dxa"/>
            <w:noWrap/>
            <w:hideMark/>
          </w:tcPr>
          <w:p>
            <w:r>
              <w:t> </w:t>
            </w:r>
          </w:p>
        </w:tc>
        <w:tc>
          <w:tcPr>
            <w:tcW w:w="1992" w:type="dxa"/>
            <w:gridSpan w:val="3"/>
            <w:shd w:val="clear" w:color="auto" w:fill="00B0F0"/>
            <w:noWrap/>
            <w:hideMark/>
          </w:tcPr>
          <w:p>
            <w:pPr>
              <w:jc w:val="center"/>
            </w:pPr>
            <w:r>
              <w:t>57,37%</w:t>
            </w:r>
          </w:p>
        </w:tc>
        <w:tc>
          <w:tcPr>
            <w:tcW w:w="1958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776" w:type="dxa"/>
            <w:gridSpan w:val="2"/>
            <w:noWrap/>
            <w:hideMark/>
          </w:tcPr>
          <w:p>
            <w:r>
              <w:t> </w:t>
            </w:r>
          </w:p>
        </w:tc>
        <w:tc>
          <w:tcPr>
            <w:tcW w:w="1935" w:type="dxa"/>
            <w:gridSpan w:val="2"/>
            <w:noWrap/>
            <w:hideMark/>
          </w:tcPr>
          <w:p>
            <w:r>
              <w:t> </w:t>
            </w:r>
          </w:p>
        </w:tc>
      </w:tr>
    </w:tbl>
    <w:p>
      <w:pPr>
        <w:jc w:val="center"/>
      </w:pPr>
      <w:r>
        <w:t>Différentes mesures de la qualité logicielle– Iso 9126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33825" cy="2205038"/>
            <wp:effectExtent l="0" t="0" r="9525" b="2413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05250" cy="2266950"/>
            <wp:effectExtent l="0" t="0" r="19050" b="1905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ied\Desktop\Dashboar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ied\Desktop\Dashboa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Critères</a:t>
            </a:r>
            <a:r>
              <a:rPr lang="fr-FR" baseline="0"/>
              <a:t> q</a:t>
            </a:r>
            <a:r>
              <a:rPr lang="fr-FR"/>
              <a:t>ualité</a:t>
            </a:r>
            <a:r>
              <a:rPr lang="fr-FR" baseline="0"/>
              <a:t> Logicielle V1.1</a:t>
            </a:r>
            <a:endParaRPr lang="fr-F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tx2">
                  <a:lumMod val="50000"/>
                </a:schemeClr>
              </a:solidFill>
            </c:spPr>
          </c:dPt>
          <c:dPt>
            <c:idx val="4"/>
            <c:invertIfNegative val="0"/>
            <c:bubble3D val="0"/>
            <c:spPr>
              <a:solidFill>
                <a:srgbClr val="FF0066"/>
              </a:solidFill>
            </c:spPr>
          </c:dPt>
          <c:cat>
            <c:strRef>
              <c:f>Feuil1!$D$18:$D$22</c:f>
              <c:strCache>
                <c:ptCount val="5"/>
                <c:pt idx="0">
                  <c:v>Fonctionalité </c:v>
                </c:pt>
                <c:pt idx="1">
                  <c:v>Maintenabilité </c:v>
                </c:pt>
                <c:pt idx="2">
                  <c:v>Fiabilité </c:v>
                </c:pt>
                <c:pt idx="3">
                  <c:v>Efficacité</c:v>
                </c:pt>
                <c:pt idx="4">
                  <c:v>Ergonomie </c:v>
                </c:pt>
              </c:strCache>
            </c:strRef>
          </c:cat>
          <c:val>
            <c:numRef>
              <c:f>Feuil1!$E$18:$E$22</c:f>
              <c:numCache>
                <c:formatCode>0%</c:formatCode>
                <c:ptCount val="5"/>
                <c:pt idx="0">
                  <c:v>0.79990000000000006</c:v>
                </c:pt>
                <c:pt idx="1">
                  <c:v>0.46800000000000003</c:v>
                </c:pt>
                <c:pt idx="2">
                  <c:v>0.47499999999999998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Feuil1!$D$18:$D$22</c:f>
              <c:strCache>
                <c:ptCount val="5"/>
                <c:pt idx="0">
                  <c:v>Fonctionalité </c:v>
                </c:pt>
                <c:pt idx="1">
                  <c:v>Maintenabilité </c:v>
                </c:pt>
                <c:pt idx="2">
                  <c:v>Fiabilité </c:v>
                </c:pt>
                <c:pt idx="3">
                  <c:v>Efficacité</c:v>
                </c:pt>
                <c:pt idx="4">
                  <c:v>Ergonomie </c:v>
                </c:pt>
              </c:strCache>
            </c:strRef>
          </c:cat>
          <c:val>
            <c:numRef>
              <c:f>Feuil1!$F$18:$F$22</c:f>
              <c:numCache>
                <c:formatCode>Standard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29629568"/>
        <c:axId val="129672320"/>
      </c:barChart>
      <c:catAx>
        <c:axId val="129629568"/>
        <c:scaling>
          <c:orientation val="minMax"/>
        </c:scaling>
        <c:delete val="0"/>
        <c:axPos val="b"/>
        <c:majorTickMark val="none"/>
        <c:minorTickMark val="none"/>
        <c:tickLblPos val="nextTo"/>
        <c:crossAx val="129672320"/>
        <c:crosses val="autoZero"/>
        <c:auto val="1"/>
        <c:lblAlgn val="ctr"/>
        <c:lblOffset val="100"/>
        <c:noMultiLvlLbl val="0"/>
      </c:catAx>
      <c:valAx>
        <c:axId val="129672320"/>
        <c:scaling>
          <c:orientation val="minMax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spPr>
          <a:ln w="9525">
            <a:noFill/>
          </a:ln>
        </c:spPr>
        <c:crossAx val="129629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Qualité Interne</a:t>
            </a:r>
            <a:r>
              <a:rPr lang="fr-FR" baseline="0"/>
              <a:t> et externe V1.1</a:t>
            </a:r>
            <a:endParaRPr lang="fr-F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66"/>
              </a:solidFill>
            </c:spPr>
          </c:dPt>
          <c:cat>
            <c:strRef>
              <c:f>Feuil1!$A$19:$A$20</c:f>
              <c:strCache>
                <c:ptCount val="2"/>
                <c:pt idx="0">
                  <c:v>Qualité Interne</c:v>
                </c:pt>
                <c:pt idx="1">
                  <c:v>Qualité Externe</c:v>
                </c:pt>
              </c:strCache>
            </c:strRef>
          </c:cat>
          <c:val>
            <c:numRef>
              <c:f>Feuil1!$B$19:$B$20</c:f>
              <c:numCache>
                <c:formatCode>0%</c:formatCode>
                <c:ptCount val="2"/>
                <c:pt idx="0">
                  <c:v>0.64</c:v>
                </c:pt>
                <c:pt idx="1">
                  <c:v>0.56000000000000005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0041344"/>
        <c:axId val="130042880"/>
      </c:barChart>
      <c:catAx>
        <c:axId val="130041344"/>
        <c:scaling>
          <c:orientation val="minMax"/>
        </c:scaling>
        <c:delete val="0"/>
        <c:axPos val="b"/>
        <c:majorTickMark val="none"/>
        <c:minorTickMark val="none"/>
        <c:tickLblPos val="nextTo"/>
        <c:crossAx val="130042880"/>
        <c:crosses val="autoZero"/>
        <c:auto val="1"/>
        <c:lblAlgn val="ctr"/>
        <c:lblOffset val="100"/>
        <c:noMultiLvlLbl val="0"/>
      </c:catAx>
      <c:valAx>
        <c:axId val="130042880"/>
        <c:scaling>
          <c:orientation val="minMax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30041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1</cp:revision>
  <dcterms:created xsi:type="dcterms:W3CDTF">2016-01-21T16:14:00Z</dcterms:created>
  <dcterms:modified xsi:type="dcterms:W3CDTF">2016-01-21T16:24:00Z</dcterms:modified>
</cp:coreProperties>
</file>