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u w:val="single"/>
        </w:rPr>
      </w:pPr>
      <w:r>
        <w:rPr>
          <w:b/>
          <w:bCs/>
          <w:u w:val="single"/>
        </w:rPr>
        <w:t>Fiabilité :</w:t>
      </w:r>
    </w:p>
    <w:p>
      <w:pPr>
        <w:pStyle w:val="Paragraphedeliste"/>
        <w:numPr>
          <w:ilvl w:val="0"/>
          <w:numId w:val="1"/>
        </w:numPr>
        <w:rPr>
          <w:b/>
          <w:bCs/>
        </w:rPr>
      </w:pPr>
      <w:r>
        <w:rPr>
          <w:b/>
          <w:bCs/>
        </w:rPr>
        <w:t>Maturité</w:t>
      </w:r>
    </w:p>
    <w:p>
      <w:r>
        <w:t>Désigne la capacité d’un produit logiciel à éviter les pannes résultantes d’erreurs dans le logiciel.</w:t>
      </w:r>
    </w:p>
    <w:p>
      <w:r>
        <w:t>Il s’agit de choisir un niveau bien approprié à la version développé puis annoté par un coefficient de mesure comme indiqué</w:t>
      </w:r>
    </w:p>
    <w:p>
      <w:pPr>
        <w:pStyle w:val="NormalWeb"/>
        <w:spacing w:before="0" w:beforeAutospacing="0" w:after="0" w:afterAutospacing="0"/>
        <w:rPr>
          <w:rFonts w:asciiTheme="minorHAnsi" w:eastAsiaTheme="minorEastAsia" w:hAnsi="Calibri" w:cstheme="minorBidi"/>
          <w:color w:val="000000" w:themeColor="dark1"/>
          <w:sz w:val="22"/>
          <w:szCs w:val="22"/>
        </w:rPr>
      </w:pPr>
      <w:r>
        <w:rPr>
          <w:rFonts w:asciiTheme="minorHAnsi" w:eastAsiaTheme="minorEastAsia" w:hAnsi="Calibri" w:cstheme="minorBidi"/>
          <w:color w:val="000000" w:themeColor="dark1"/>
          <w:sz w:val="22"/>
          <w:szCs w:val="22"/>
        </w:rPr>
        <w:t xml:space="preserve">20  </w:t>
      </w:r>
      <w:r>
        <w:rPr>
          <w:rFonts w:asciiTheme="minorHAnsi" w:eastAsiaTheme="minorEastAsia" w:hAnsi="Calibri" w:cstheme="minorBidi"/>
          <w:b/>
          <w:bCs/>
          <w:color w:val="FF0000"/>
          <w:sz w:val="22"/>
          <w:szCs w:val="22"/>
        </w:rPr>
        <w:t xml:space="preserve">Initial </w:t>
      </w:r>
      <w:r>
        <w:rPr>
          <w:rFonts w:asciiTheme="minorHAnsi" w:eastAsiaTheme="minorEastAsia" w:hAnsi="Calibri" w:cstheme="minorBidi"/>
          <w:color w:val="000000" w:themeColor="dark1"/>
          <w:sz w:val="22"/>
          <w:szCs w:val="22"/>
        </w:rPr>
        <w:t>– niveau 1 Il n'y a pas de méthode formelle, ni de cohérence, ni de standard, sur la base desquels les systèmes seraient construits. Le processus de développement n'est pas maîtrisé, il n'y a pas de volonté ferme de le gérer. Le succès dépend essentiellement des efforts individuels et des compétences des développeurs. Les exigences de qualité, les plannings et les budgets sont en général, difficilement respectés.</w:t>
      </w:r>
    </w:p>
    <w:p>
      <w:pPr>
        <w:pStyle w:val="NormalWeb"/>
        <w:spacing w:before="0" w:beforeAutospacing="0" w:after="0" w:afterAutospacing="0"/>
        <w:rPr>
          <w:rFonts w:asciiTheme="minorHAnsi" w:eastAsiaTheme="minorEastAsia" w:hAnsi="Calibri" w:cstheme="minorBidi"/>
          <w:color w:val="000000" w:themeColor="dark1"/>
          <w:sz w:val="22"/>
          <w:szCs w:val="22"/>
        </w:rPr>
      </w:pPr>
    </w:p>
    <w:p>
      <w:pPr>
        <w:pStyle w:val="NormalWeb"/>
        <w:spacing w:before="0" w:beforeAutospacing="0" w:after="0" w:afterAutospacing="0"/>
        <w:rPr>
          <w:rFonts w:asciiTheme="minorHAnsi" w:eastAsiaTheme="minorEastAsia" w:hAnsi="Calibri" w:cstheme="minorBidi"/>
          <w:color w:val="000000" w:themeColor="dark1"/>
          <w:sz w:val="22"/>
          <w:szCs w:val="22"/>
        </w:rPr>
      </w:pPr>
      <w:r>
        <w:rPr>
          <w:rFonts w:asciiTheme="minorHAnsi" w:eastAsiaTheme="minorEastAsia" w:hAnsi="Calibri" w:cstheme="minorBidi"/>
          <w:color w:val="000000" w:themeColor="dark1"/>
          <w:sz w:val="22"/>
          <w:szCs w:val="22"/>
        </w:rPr>
        <w:t xml:space="preserve">40 </w:t>
      </w:r>
      <w:r>
        <w:rPr>
          <w:rFonts w:asciiTheme="minorHAnsi" w:eastAsiaTheme="minorEastAsia" w:hAnsi="Calibri" w:cstheme="minorBidi"/>
          <w:b/>
          <w:bCs/>
          <w:color w:val="FF0000"/>
          <w:sz w:val="22"/>
          <w:szCs w:val="22"/>
        </w:rPr>
        <w:t>Répétitif</w:t>
      </w:r>
      <w:r>
        <w:rPr>
          <w:rFonts w:asciiTheme="minorHAnsi" w:eastAsiaTheme="minorEastAsia" w:hAnsi="Calibri" w:cstheme="minorBidi"/>
          <w:color w:val="000000" w:themeColor="dark1"/>
          <w:sz w:val="22"/>
          <w:szCs w:val="22"/>
        </w:rPr>
        <w:t>– niveau 2 Il y a un consensus dans l'organisme sur la manière dont les choses doivent être gérées, mais cela n'a été ni formalisé ni écrit. Un management de projet, fondé sur la réussite des projets précédents, a été mis en place. Le processus de développement est stabilisé, sous le contrôle d'une gestion rigoureuse des coûts et des délais.</w:t>
      </w:r>
    </w:p>
    <w:p>
      <w:pPr>
        <w:pStyle w:val="NormalWeb"/>
        <w:spacing w:before="0" w:beforeAutospacing="0" w:after="0" w:afterAutospacing="0"/>
      </w:pPr>
    </w:p>
    <w:p>
      <w:pPr>
        <w:pStyle w:val="NormalWeb"/>
        <w:spacing w:before="0" w:beforeAutospacing="0" w:after="0" w:afterAutospacing="0"/>
        <w:rPr>
          <w:rFonts w:asciiTheme="minorHAnsi" w:eastAsiaTheme="minorEastAsia" w:hAnsi="Calibri" w:cstheme="minorBidi"/>
          <w:color w:val="000000" w:themeColor="dark1"/>
          <w:sz w:val="22"/>
          <w:szCs w:val="22"/>
        </w:rPr>
      </w:pPr>
      <w:r>
        <w:rPr>
          <w:rFonts w:asciiTheme="minorHAnsi" w:eastAsiaTheme="minorEastAsia" w:hAnsi="Calibri" w:cstheme="minorBidi"/>
          <w:color w:val="000000" w:themeColor="dark1"/>
          <w:sz w:val="22"/>
          <w:szCs w:val="22"/>
        </w:rPr>
        <w:t xml:space="preserve">60 </w:t>
      </w:r>
      <w:r>
        <w:rPr>
          <w:rFonts w:asciiTheme="minorHAnsi" w:eastAsiaTheme="minorEastAsia" w:hAnsi="Calibri" w:cstheme="minorBidi"/>
          <w:b/>
          <w:bCs/>
          <w:color w:val="FF0000"/>
          <w:sz w:val="22"/>
          <w:szCs w:val="22"/>
        </w:rPr>
        <w:t xml:space="preserve">Défini </w:t>
      </w:r>
      <w:r>
        <w:rPr>
          <w:rFonts w:asciiTheme="minorHAnsi" w:eastAsiaTheme="minorEastAsia" w:hAnsi="Calibri" w:cstheme="minorBidi"/>
          <w:color w:val="000000" w:themeColor="dark1"/>
          <w:sz w:val="22"/>
          <w:szCs w:val="22"/>
        </w:rPr>
        <w:t>– niveau 3 Le processus de développement est formalisé, documenté et appliqué. Les revues sont menées avec rigueur et les configurations sont convenablement gérées. Une structure Qualité &amp; Méthodes précise et met à jour régulièrement les procédures de l'organisme.</w:t>
      </w:r>
    </w:p>
    <w:p>
      <w:pPr>
        <w:pStyle w:val="NormalWeb"/>
        <w:spacing w:before="0" w:beforeAutospacing="0" w:after="0" w:afterAutospacing="0"/>
      </w:pPr>
    </w:p>
    <w:p>
      <w:pPr>
        <w:pStyle w:val="NormalWeb"/>
        <w:spacing w:before="0" w:beforeAutospacing="0" w:after="0" w:afterAutospacing="0"/>
        <w:rPr>
          <w:rFonts w:asciiTheme="minorHAnsi" w:eastAsiaTheme="minorEastAsia" w:hAnsi="Calibri" w:cstheme="minorBidi"/>
          <w:color w:val="000000" w:themeColor="dark1"/>
          <w:sz w:val="22"/>
          <w:szCs w:val="22"/>
        </w:rPr>
      </w:pPr>
      <w:r>
        <w:rPr>
          <w:rFonts w:asciiTheme="minorHAnsi" w:eastAsiaTheme="minorEastAsia" w:hAnsi="Calibri" w:cstheme="minorBidi"/>
          <w:color w:val="000000" w:themeColor="dark1"/>
          <w:sz w:val="22"/>
          <w:szCs w:val="22"/>
        </w:rPr>
        <w:t xml:space="preserve">80 </w:t>
      </w:r>
      <w:r>
        <w:rPr>
          <w:rFonts w:asciiTheme="minorHAnsi" w:eastAsiaTheme="minorEastAsia" w:hAnsi="Calibri" w:cstheme="minorBidi"/>
          <w:b/>
          <w:bCs/>
          <w:color w:val="FF0000"/>
          <w:sz w:val="22"/>
          <w:szCs w:val="22"/>
        </w:rPr>
        <w:t>Géré</w:t>
      </w:r>
      <w:r>
        <w:rPr>
          <w:rFonts w:asciiTheme="minorHAnsi" w:eastAsiaTheme="minorEastAsia" w:hAnsi="Calibri" w:cstheme="minorBidi"/>
          <w:color w:val="000000" w:themeColor="dark1"/>
          <w:sz w:val="22"/>
          <w:szCs w:val="22"/>
        </w:rPr>
        <w:t xml:space="preserve"> – niveau 4 L'organisme a institué un processus formel de collecte d'informations métriques pour suivre et gérer son processus de développement ainsi que les systèmes résultants. Des indicateurs contrôlent le bon déroulement des projets et le respect des objectifs de qualité.</w:t>
      </w:r>
    </w:p>
    <w:p>
      <w:pPr>
        <w:pStyle w:val="NormalWeb"/>
        <w:spacing w:before="0" w:beforeAutospacing="0" w:after="0" w:afterAutospacing="0"/>
      </w:pPr>
    </w:p>
    <w:p>
      <w:pPr>
        <w:pStyle w:val="NormalWeb"/>
        <w:spacing w:before="0" w:beforeAutospacing="0" w:after="0" w:afterAutospacing="0"/>
        <w:rPr>
          <w:rFonts w:asciiTheme="minorHAnsi" w:eastAsiaTheme="minorEastAsia" w:hAnsi="Calibri" w:cstheme="minorBidi"/>
          <w:color w:val="000000" w:themeColor="dark1"/>
          <w:sz w:val="22"/>
          <w:szCs w:val="22"/>
        </w:rPr>
      </w:pPr>
      <w:r>
        <w:rPr>
          <w:rFonts w:asciiTheme="minorHAnsi" w:eastAsiaTheme="minorEastAsia" w:hAnsi="Calibri" w:cstheme="minorBidi"/>
          <w:color w:val="000000" w:themeColor="dark1"/>
          <w:sz w:val="22"/>
          <w:szCs w:val="22"/>
        </w:rPr>
        <w:t xml:space="preserve">100 </w:t>
      </w:r>
      <w:r>
        <w:rPr>
          <w:rFonts w:asciiTheme="minorHAnsi" w:eastAsiaTheme="minorEastAsia" w:hAnsi="Calibri" w:cstheme="minorBidi"/>
          <w:b/>
          <w:bCs/>
          <w:color w:val="FF0000"/>
          <w:sz w:val="22"/>
          <w:szCs w:val="22"/>
        </w:rPr>
        <w:t xml:space="preserve">Optimisé </w:t>
      </w:r>
      <w:r>
        <w:rPr>
          <w:rFonts w:asciiTheme="minorHAnsi" w:eastAsiaTheme="minorEastAsia" w:hAnsi="Calibri" w:cstheme="minorBidi"/>
          <w:color w:val="000000" w:themeColor="dark1"/>
          <w:sz w:val="22"/>
          <w:szCs w:val="22"/>
        </w:rPr>
        <w:t>– niveau 5 L'organisme exploite les mesures pour optimiser en permanence son processus de développement. L'organisme maîtrise un processus de correction des aspects qui seraient jugés insuffisants, à la lecture des indicateurs. Naturellement, tous les niveaux à partir du 2ème impliquent de définir avec précision et de gérer avec rigueur les processus de l’organisme.</w:t>
      </w:r>
    </w:p>
    <w:p>
      <w:pPr>
        <w:pStyle w:val="NormalWeb"/>
        <w:spacing w:before="0" w:beforeAutospacing="0" w:after="0" w:afterAutospacing="0"/>
      </w:pPr>
    </w:p>
    <w:tbl>
      <w:tblPr>
        <w:tblW w:w="7300" w:type="dxa"/>
        <w:jc w:val="center"/>
        <w:tblInd w:w="55" w:type="dxa"/>
        <w:tblCellMar>
          <w:left w:w="70" w:type="dxa"/>
          <w:right w:w="70" w:type="dxa"/>
        </w:tblCellMar>
        <w:tblLook w:val="04A0" w:firstRow="1" w:lastRow="0" w:firstColumn="1" w:lastColumn="0" w:noHBand="0" w:noVBand="1"/>
      </w:tblPr>
      <w:tblGrid>
        <w:gridCol w:w="1200"/>
        <w:gridCol w:w="1200"/>
        <w:gridCol w:w="1200"/>
        <w:gridCol w:w="1200"/>
        <w:gridCol w:w="1200"/>
        <w:gridCol w:w="1300"/>
      </w:tblGrid>
      <w:tr>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FF0000"/>
            <w:noWrap/>
            <w:vAlign w:val="center"/>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1</w:t>
            </w:r>
          </w:p>
        </w:tc>
        <w:tc>
          <w:tcPr>
            <w:tcW w:w="6100" w:type="dxa"/>
            <w:gridSpan w:val="5"/>
            <w:tcBorders>
              <w:top w:val="single" w:sz="4" w:space="0" w:color="auto"/>
              <w:left w:val="nil"/>
              <w:bottom w:val="single" w:sz="4" w:space="0" w:color="auto"/>
              <w:right w:val="single" w:sz="4" w:space="0" w:color="auto"/>
            </w:tcBorders>
            <w:shd w:val="clear" w:color="auto" w:fill="auto"/>
            <w:noWrap/>
            <w:vAlign w:val="center"/>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Evaluation</w:t>
            </w:r>
          </w:p>
        </w:tc>
      </w:tr>
      <w:tr>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Maturité</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Version 1</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Version  2</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Version  3</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Version  4</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Version  5</w:t>
            </w:r>
          </w:p>
        </w:tc>
      </w:tr>
      <w:tr>
        <w:trPr>
          <w:trHeight w:val="315"/>
          <w:jc w:val="center"/>
        </w:trPr>
        <w:tc>
          <w:tcPr>
            <w:tcW w:w="1200" w:type="dxa"/>
            <w:tcBorders>
              <w:top w:val="nil"/>
              <w:left w:val="single" w:sz="8" w:space="0" w:color="auto"/>
              <w:bottom w:val="single" w:sz="8" w:space="0" w:color="auto"/>
              <w:right w:val="nil"/>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 </w:t>
            </w:r>
          </w:p>
        </w:tc>
        <w:tc>
          <w:tcPr>
            <w:tcW w:w="1200" w:type="dxa"/>
            <w:tcBorders>
              <w:top w:val="nil"/>
              <w:left w:val="single" w:sz="4" w:space="0" w:color="auto"/>
              <w:bottom w:val="single" w:sz="4" w:space="0" w:color="auto"/>
              <w:right w:val="single" w:sz="4" w:space="0" w:color="auto"/>
            </w:tcBorders>
            <w:shd w:val="clear" w:color="auto" w:fill="00B0F0"/>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20 </w:t>
            </w:r>
          </w:p>
        </w:tc>
        <w:tc>
          <w:tcPr>
            <w:tcW w:w="1200" w:type="dxa"/>
            <w:tcBorders>
              <w:top w:val="nil"/>
              <w:left w:val="nil"/>
              <w:bottom w:val="single" w:sz="4" w:space="0" w:color="auto"/>
              <w:right w:val="single" w:sz="4" w:space="0" w:color="auto"/>
            </w:tcBorders>
            <w:shd w:val="clear" w:color="auto" w:fill="92D050"/>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 40</w:t>
            </w:r>
          </w:p>
        </w:tc>
        <w:tc>
          <w:tcPr>
            <w:tcW w:w="1200" w:type="dxa"/>
            <w:tcBorders>
              <w:top w:val="nil"/>
              <w:left w:val="nil"/>
              <w:bottom w:val="single" w:sz="4" w:space="0" w:color="auto"/>
              <w:right w:val="single" w:sz="4" w:space="0" w:color="auto"/>
            </w:tcBorders>
            <w:shd w:val="clear" w:color="auto" w:fill="0070C0"/>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60 </w:t>
            </w:r>
          </w:p>
        </w:tc>
        <w:tc>
          <w:tcPr>
            <w:tcW w:w="1200" w:type="dxa"/>
            <w:tcBorders>
              <w:top w:val="nil"/>
              <w:left w:val="nil"/>
              <w:bottom w:val="single" w:sz="4" w:space="0" w:color="auto"/>
              <w:right w:val="single" w:sz="4" w:space="0" w:color="auto"/>
            </w:tcBorders>
            <w:shd w:val="clear" w:color="auto" w:fill="7030A0"/>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 80</w:t>
            </w:r>
          </w:p>
        </w:tc>
        <w:tc>
          <w:tcPr>
            <w:tcW w:w="130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 </w:t>
            </w:r>
          </w:p>
        </w:tc>
      </w:tr>
    </w:tbl>
    <w:p>
      <w:pPr>
        <w:pStyle w:val="Paragraphedeliste"/>
        <w:numPr>
          <w:ilvl w:val="0"/>
          <w:numId w:val="1"/>
        </w:numPr>
        <w:rPr>
          <w:b/>
          <w:bCs/>
        </w:rPr>
      </w:pPr>
      <w:r>
        <w:rPr>
          <w:b/>
          <w:bCs/>
        </w:rPr>
        <w:t>Tolérance aux pannes</w:t>
      </w:r>
    </w:p>
    <w:p>
      <w:pPr>
        <w:ind w:left="360"/>
      </w:pPr>
      <w:r>
        <w:t>Désigne la capacité à maintenir le niveau de performance en cas d’erreur logiciel et de non-respect des interfaces d’interactions avec le logiciel.</w:t>
      </w:r>
    </w:p>
    <w:tbl>
      <w:tblPr>
        <w:tblStyle w:val="Grilledutableau"/>
        <w:tblW w:w="11135" w:type="dxa"/>
        <w:tblLook w:val="04A0" w:firstRow="1" w:lastRow="0" w:firstColumn="1" w:lastColumn="0" w:noHBand="0" w:noVBand="1"/>
      </w:tblPr>
      <w:tblGrid>
        <w:gridCol w:w="817"/>
        <w:gridCol w:w="7198"/>
        <w:gridCol w:w="1874"/>
        <w:gridCol w:w="1246"/>
      </w:tblGrid>
      <w:tr>
        <w:trPr>
          <w:trHeight w:val="300"/>
        </w:trPr>
        <w:tc>
          <w:tcPr>
            <w:tcW w:w="817" w:type="dxa"/>
            <w:shd w:val="clear" w:color="auto" w:fill="FF0000"/>
            <w:noWrap/>
            <w:hideMark/>
          </w:tcPr>
          <w:p>
            <w:pPr>
              <w:ind w:left="360"/>
            </w:pPr>
            <w:r>
              <w:t>1</w:t>
            </w:r>
          </w:p>
        </w:tc>
        <w:tc>
          <w:tcPr>
            <w:tcW w:w="9072" w:type="dxa"/>
            <w:gridSpan w:val="2"/>
          </w:tcPr>
          <w:p>
            <w:pPr>
              <w:ind w:left="360"/>
              <w:jc w:val="center"/>
            </w:pPr>
            <w:r>
              <w:t>Tolérance aux pannes</w:t>
            </w:r>
          </w:p>
        </w:tc>
        <w:tc>
          <w:tcPr>
            <w:tcW w:w="1246" w:type="dxa"/>
          </w:tcPr>
          <w:p>
            <w:pPr>
              <w:ind w:left="360"/>
              <w:jc w:val="center"/>
            </w:pPr>
          </w:p>
        </w:tc>
      </w:tr>
      <w:tr>
        <w:trPr>
          <w:trHeight w:val="300"/>
        </w:trPr>
        <w:tc>
          <w:tcPr>
            <w:tcW w:w="817" w:type="dxa"/>
            <w:noWrap/>
            <w:hideMark/>
          </w:tcPr>
          <w:p>
            <w:pPr>
              <w:ind w:left="142"/>
            </w:pPr>
            <w:r>
              <w:t>Test</w:t>
            </w:r>
          </w:p>
        </w:tc>
        <w:tc>
          <w:tcPr>
            <w:tcW w:w="7198" w:type="dxa"/>
            <w:noWrap/>
            <w:hideMark/>
          </w:tcPr>
          <w:p>
            <w:pPr>
              <w:ind w:left="360"/>
              <w:jc w:val="center"/>
            </w:pPr>
            <w:r>
              <w:t>Type de Test</w:t>
            </w:r>
          </w:p>
        </w:tc>
        <w:tc>
          <w:tcPr>
            <w:tcW w:w="1874" w:type="dxa"/>
            <w:noWrap/>
            <w:hideMark/>
          </w:tcPr>
          <w:p>
            <w:pPr>
              <w:ind w:left="360"/>
              <w:jc w:val="center"/>
            </w:pPr>
            <w:r>
              <w:t>Visualisation d’erreur</w:t>
            </w:r>
          </w:p>
        </w:tc>
        <w:tc>
          <w:tcPr>
            <w:tcW w:w="1246" w:type="dxa"/>
          </w:tcPr>
          <w:p>
            <w:pPr>
              <w:ind w:left="176"/>
              <w:jc w:val="center"/>
            </w:pPr>
            <w:r>
              <w:t>Moyenne</w:t>
            </w:r>
          </w:p>
        </w:tc>
      </w:tr>
      <w:tr>
        <w:trPr>
          <w:trHeight w:val="315"/>
        </w:trPr>
        <w:tc>
          <w:tcPr>
            <w:tcW w:w="817" w:type="dxa"/>
            <w:vMerge w:val="restart"/>
            <w:noWrap/>
            <w:vAlign w:val="center"/>
          </w:tcPr>
          <w:p>
            <w:pPr>
              <w:ind w:hanging="142"/>
              <w:jc w:val="center"/>
            </w:pPr>
            <w:r>
              <w:t>Niveau 1</w:t>
            </w:r>
          </w:p>
        </w:tc>
        <w:tc>
          <w:tcPr>
            <w:tcW w:w="7198" w:type="dxa"/>
            <w:noWrap/>
            <w:hideMark/>
          </w:tcPr>
          <w:p>
            <w:pPr>
              <w:ind w:left="360"/>
              <w:jc w:val="both"/>
            </w:pPr>
            <w:r>
              <w:t>Affichage 3D</w:t>
            </w:r>
          </w:p>
        </w:tc>
        <w:tc>
          <w:tcPr>
            <w:tcW w:w="1874" w:type="dxa"/>
            <w:noWrap/>
            <w:hideMark/>
          </w:tcPr>
          <w:p>
            <w:pPr>
              <w:ind w:left="360"/>
            </w:pPr>
            <w:r>
              <w:t> 0.5</w:t>
            </w:r>
          </w:p>
        </w:tc>
        <w:tc>
          <w:tcPr>
            <w:tcW w:w="1246" w:type="dxa"/>
            <w:vMerge w:val="restart"/>
            <w:shd w:val="clear" w:color="auto" w:fill="00B0F0"/>
            <w:vAlign w:val="center"/>
          </w:tcPr>
          <w:p>
            <w:pPr>
              <w:ind w:left="360"/>
              <w:jc w:val="center"/>
            </w:pPr>
            <w:r>
              <w:t>75</w:t>
            </w:r>
          </w:p>
        </w:tc>
      </w:tr>
      <w:tr>
        <w:trPr>
          <w:trHeight w:val="300"/>
        </w:trPr>
        <w:tc>
          <w:tcPr>
            <w:tcW w:w="817" w:type="dxa"/>
            <w:vMerge/>
            <w:noWrap/>
          </w:tcPr>
          <w:p>
            <w:pPr>
              <w:ind w:left="360"/>
              <w:jc w:val="center"/>
            </w:pPr>
          </w:p>
        </w:tc>
        <w:tc>
          <w:tcPr>
            <w:tcW w:w="7198" w:type="dxa"/>
            <w:noWrap/>
            <w:hideMark/>
          </w:tcPr>
          <w:p>
            <w:pPr>
              <w:ind w:left="360"/>
              <w:jc w:val="both"/>
            </w:pPr>
            <w:r>
              <w:t> Basculement des axes X Y et Z</w:t>
            </w:r>
          </w:p>
        </w:tc>
        <w:tc>
          <w:tcPr>
            <w:tcW w:w="1874" w:type="dxa"/>
            <w:noWrap/>
            <w:hideMark/>
          </w:tcPr>
          <w:p>
            <w:pPr>
              <w:ind w:left="360"/>
            </w:pPr>
            <w:r>
              <w:t> 1</w:t>
            </w:r>
          </w:p>
        </w:tc>
        <w:tc>
          <w:tcPr>
            <w:tcW w:w="1246" w:type="dxa"/>
            <w:vMerge/>
            <w:shd w:val="clear" w:color="auto" w:fill="00B0F0"/>
          </w:tcPr>
          <w:p>
            <w:pPr>
              <w:ind w:left="360"/>
            </w:pPr>
          </w:p>
        </w:tc>
      </w:tr>
      <w:tr>
        <w:trPr>
          <w:trHeight w:val="300"/>
        </w:trPr>
        <w:tc>
          <w:tcPr>
            <w:tcW w:w="817" w:type="dxa"/>
            <w:vMerge/>
            <w:noWrap/>
          </w:tcPr>
          <w:p>
            <w:pPr>
              <w:ind w:left="360"/>
              <w:jc w:val="center"/>
            </w:pPr>
          </w:p>
        </w:tc>
        <w:tc>
          <w:tcPr>
            <w:tcW w:w="7198" w:type="dxa"/>
            <w:noWrap/>
            <w:hideMark/>
          </w:tcPr>
          <w:p>
            <w:pPr>
              <w:ind w:left="360"/>
              <w:jc w:val="both"/>
            </w:pPr>
            <w:r>
              <w:t> Application de la courbe de révolution à la méridienne</w:t>
            </w:r>
          </w:p>
        </w:tc>
        <w:tc>
          <w:tcPr>
            <w:tcW w:w="1874" w:type="dxa"/>
            <w:noWrap/>
            <w:hideMark/>
          </w:tcPr>
          <w:p>
            <w:pPr>
              <w:ind w:left="360"/>
            </w:pPr>
            <w:r>
              <w:t> 1</w:t>
            </w:r>
          </w:p>
        </w:tc>
        <w:tc>
          <w:tcPr>
            <w:tcW w:w="1246" w:type="dxa"/>
            <w:vMerge/>
            <w:shd w:val="clear" w:color="auto" w:fill="00B0F0"/>
          </w:tcPr>
          <w:p>
            <w:pPr>
              <w:ind w:left="360"/>
            </w:pPr>
          </w:p>
        </w:tc>
      </w:tr>
      <w:tr>
        <w:trPr>
          <w:trHeight w:val="300"/>
        </w:trPr>
        <w:tc>
          <w:tcPr>
            <w:tcW w:w="817" w:type="dxa"/>
            <w:vMerge/>
            <w:noWrap/>
          </w:tcPr>
          <w:p>
            <w:pPr>
              <w:ind w:left="360"/>
              <w:jc w:val="center"/>
            </w:pPr>
          </w:p>
        </w:tc>
        <w:tc>
          <w:tcPr>
            <w:tcW w:w="7198" w:type="dxa"/>
            <w:noWrap/>
            <w:hideMark/>
          </w:tcPr>
          <w:p>
            <w:pPr>
              <w:ind w:left="360"/>
              <w:jc w:val="both"/>
            </w:pPr>
            <w:r>
              <w:t> Affichage des espaces 2D</w:t>
            </w:r>
          </w:p>
        </w:tc>
        <w:tc>
          <w:tcPr>
            <w:tcW w:w="1874" w:type="dxa"/>
            <w:noWrap/>
            <w:hideMark/>
          </w:tcPr>
          <w:p>
            <w:pPr>
              <w:ind w:left="360"/>
            </w:pPr>
            <w:r>
              <w:t> 0.5</w:t>
            </w:r>
          </w:p>
        </w:tc>
        <w:tc>
          <w:tcPr>
            <w:tcW w:w="1246" w:type="dxa"/>
            <w:vMerge/>
            <w:shd w:val="clear" w:color="auto" w:fill="00B0F0"/>
          </w:tcPr>
          <w:p>
            <w:pPr>
              <w:ind w:left="360"/>
            </w:pPr>
          </w:p>
        </w:tc>
      </w:tr>
      <w:tr>
        <w:trPr>
          <w:trHeight w:val="315"/>
        </w:trPr>
        <w:tc>
          <w:tcPr>
            <w:tcW w:w="817" w:type="dxa"/>
            <w:vMerge w:val="restart"/>
            <w:noWrap/>
          </w:tcPr>
          <w:p>
            <w:pPr>
              <w:ind w:hanging="142"/>
              <w:jc w:val="center"/>
            </w:pPr>
            <w:r>
              <w:t>Niveau 2</w:t>
            </w:r>
          </w:p>
        </w:tc>
        <w:tc>
          <w:tcPr>
            <w:tcW w:w="7198" w:type="dxa"/>
            <w:noWrap/>
          </w:tcPr>
          <w:p>
            <w:pPr>
              <w:ind w:left="360"/>
              <w:jc w:val="both"/>
            </w:pPr>
            <w:r>
              <w:t>Modification de dimension de l’espace</w:t>
            </w:r>
          </w:p>
        </w:tc>
        <w:tc>
          <w:tcPr>
            <w:tcW w:w="1874" w:type="dxa"/>
            <w:noWrap/>
            <w:hideMark/>
          </w:tcPr>
          <w:p>
            <w:pPr>
              <w:ind w:left="360"/>
            </w:pPr>
            <w:r>
              <w:t> 1</w:t>
            </w:r>
          </w:p>
        </w:tc>
        <w:tc>
          <w:tcPr>
            <w:tcW w:w="1246" w:type="dxa"/>
            <w:vMerge w:val="restart"/>
            <w:shd w:val="clear" w:color="auto" w:fill="92D050"/>
            <w:vAlign w:val="center"/>
          </w:tcPr>
          <w:p>
            <w:pPr>
              <w:ind w:left="360"/>
              <w:jc w:val="center"/>
            </w:pPr>
            <w:r>
              <w:t>62.5</w:t>
            </w:r>
          </w:p>
        </w:tc>
      </w:tr>
      <w:tr>
        <w:trPr>
          <w:trHeight w:val="300"/>
        </w:trPr>
        <w:tc>
          <w:tcPr>
            <w:tcW w:w="817" w:type="dxa"/>
            <w:vMerge/>
            <w:noWrap/>
          </w:tcPr>
          <w:p>
            <w:pPr>
              <w:ind w:left="360"/>
              <w:jc w:val="center"/>
            </w:pPr>
          </w:p>
        </w:tc>
        <w:tc>
          <w:tcPr>
            <w:tcW w:w="7198" w:type="dxa"/>
            <w:noWrap/>
          </w:tcPr>
          <w:p>
            <w:pPr>
              <w:ind w:left="360"/>
              <w:jc w:val="both"/>
            </w:pPr>
            <w:r>
              <w:t>Basculement de la caméra (changement de point de vue)</w:t>
            </w:r>
          </w:p>
        </w:tc>
        <w:tc>
          <w:tcPr>
            <w:tcW w:w="1874" w:type="dxa"/>
            <w:noWrap/>
            <w:hideMark/>
          </w:tcPr>
          <w:p>
            <w:pPr>
              <w:ind w:left="360"/>
            </w:pPr>
            <w:r>
              <w:t> 0</w:t>
            </w:r>
          </w:p>
        </w:tc>
        <w:tc>
          <w:tcPr>
            <w:tcW w:w="1246" w:type="dxa"/>
            <w:vMerge/>
            <w:shd w:val="clear" w:color="auto" w:fill="92D050"/>
          </w:tcPr>
          <w:p>
            <w:pPr>
              <w:ind w:left="360"/>
            </w:pPr>
          </w:p>
        </w:tc>
      </w:tr>
      <w:tr>
        <w:trPr>
          <w:trHeight w:val="300"/>
        </w:trPr>
        <w:tc>
          <w:tcPr>
            <w:tcW w:w="817" w:type="dxa"/>
            <w:vMerge/>
            <w:noWrap/>
          </w:tcPr>
          <w:p>
            <w:pPr>
              <w:ind w:left="360"/>
              <w:jc w:val="center"/>
            </w:pPr>
          </w:p>
        </w:tc>
        <w:tc>
          <w:tcPr>
            <w:tcW w:w="7198" w:type="dxa"/>
            <w:noWrap/>
          </w:tcPr>
          <w:p>
            <w:pPr>
              <w:ind w:left="360"/>
              <w:jc w:val="both"/>
            </w:pPr>
            <w:r>
              <w:t>Traçage de la méridienne sans erreur</w:t>
            </w:r>
          </w:p>
        </w:tc>
        <w:tc>
          <w:tcPr>
            <w:tcW w:w="1874" w:type="dxa"/>
            <w:noWrap/>
            <w:hideMark/>
          </w:tcPr>
          <w:p>
            <w:pPr>
              <w:ind w:left="360"/>
            </w:pPr>
            <w:r>
              <w:t> 1</w:t>
            </w:r>
          </w:p>
        </w:tc>
        <w:tc>
          <w:tcPr>
            <w:tcW w:w="1246" w:type="dxa"/>
            <w:vMerge/>
            <w:shd w:val="clear" w:color="auto" w:fill="92D050"/>
          </w:tcPr>
          <w:p>
            <w:pPr>
              <w:ind w:left="360"/>
            </w:pPr>
          </w:p>
        </w:tc>
      </w:tr>
      <w:tr>
        <w:trPr>
          <w:trHeight w:val="300"/>
        </w:trPr>
        <w:tc>
          <w:tcPr>
            <w:tcW w:w="817" w:type="dxa"/>
            <w:vMerge/>
            <w:noWrap/>
          </w:tcPr>
          <w:p>
            <w:pPr>
              <w:ind w:left="360"/>
              <w:jc w:val="center"/>
            </w:pPr>
          </w:p>
        </w:tc>
        <w:tc>
          <w:tcPr>
            <w:tcW w:w="7198" w:type="dxa"/>
            <w:noWrap/>
          </w:tcPr>
          <w:p>
            <w:pPr>
              <w:ind w:left="360"/>
              <w:jc w:val="both"/>
            </w:pPr>
            <w:r>
              <w:t>Modification de paramètres de la courbe</w:t>
            </w:r>
          </w:p>
        </w:tc>
        <w:tc>
          <w:tcPr>
            <w:tcW w:w="1874" w:type="dxa"/>
            <w:noWrap/>
            <w:hideMark/>
          </w:tcPr>
          <w:p>
            <w:pPr>
              <w:ind w:left="360"/>
            </w:pPr>
            <w:r>
              <w:t> 0.5</w:t>
            </w:r>
          </w:p>
        </w:tc>
        <w:tc>
          <w:tcPr>
            <w:tcW w:w="1246" w:type="dxa"/>
            <w:vMerge/>
            <w:shd w:val="clear" w:color="auto" w:fill="92D050"/>
          </w:tcPr>
          <w:p>
            <w:pPr>
              <w:ind w:left="360"/>
            </w:pPr>
          </w:p>
        </w:tc>
      </w:tr>
      <w:tr>
        <w:trPr>
          <w:trHeight w:val="315"/>
        </w:trPr>
        <w:tc>
          <w:tcPr>
            <w:tcW w:w="817" w:type="dxa"/>
            <w:vMerge w:val="restart"/>
            <w:noWrap/>
          </w:tcPr>
          <w:p>
            <w:pPr>
              <w:ind w:hanging="142"/>
              <w:jc w:val="center"/>
            </w:pPr>
            <w:r>
              <w:t>Niveau 3</w:t>
            </w:r>
          </w:p>
        </w:tc>
        <w:tc>
          <w:tcPr>
            <w:tcW w:w="7198" w:type="dxa"/>
            <w:noWrap/>
          </w:tcPr>
          <w:p>
            <w:pPr>
              <w:ind w:left="360"/>
              <w:jc w:val="both"/>
            </w:pPr>
            <w:r>
              <w:t>Exporter les surfaces de l’espace 3D</w:t>
            </w:r>
          </w:p>
        </w:tc>
        <w:tc>
          <w:tcPr>
            <w:tcW w:w="1874" w:type="dxa"/>
            <w:noWrap/>
            <w:hideMark/>
          </w:tcPr>
          <w:p>
            <w:pPr>
              <w:ind w:left="360"/>
            </w:pPr>
            <w:r>
              <w:t> 0</w:t>
            </w:r>
          </w:p>
        </w:tc>
        <w:tc>
          <w:tcPr>
            <w:tcW w:w="1246" w:type="dxa"/>
            <w:vMerge w:val="restart"/>
            <w:shd w:val="clear" w:color="auto" w:fill="0070C0"/>
          </w:tcPr>
          <w:p>
            <w:pPr>
              <w:ind w:left="360"/>
            </w:pPr>
            <w:r>
              <w:t>25</w:t>
            </w:r>
          </w:p>
        </w:tc>
      </w:tr>
      <w:tr>
        <w:trPr>
          <w:trHeight w:val="300"/>
        </w:trPr>
        <w:tc>
          <w:tcPr>
            <w:tcW w:w="817" w:type="dxa"/>
            <w:vMerge/>
            <w:noWrap/>
          </w:tcPr>
          <w:p>
            <w:pPr>
              <w:ind w:left="360"/>
              <w:jc w:val="center"/>
            </w:pPr>
          </w:p>
        </w:tc>
        <w:tc>
          <w:tcPr>
            <w:tcW w:w="7198" w:type="dxa"/>
            <w:noWrap/>
          </w:tcPr>
          <w:p>
            <w:pPr>
              <w:ind w:left="360"/>
              <w:jc w:val="both"/>
            </w:pPr>
            <w:r>
              <w:t>Représentation des axes dans un repère 3D</w:t>
            </w:r>
          </w:p>
        </w:tc>
        <w:tc>
          <w:tcPr>
            <w:tcW w:w="1874" w:type="dxa"/>
            <w:noWrap/>
            <w:hideMark/>
          </w:tcPr>
          <w:p>
            <w:pPr>
              <w:ind w:left="360"/>
            </w:pPr>
            <w:r>
              <w:t> 1</w:t>
            </w:r>
          </w:p>
        </w:tc>
        <w:tc>
          <w:tcPr>
            <w:tcW w:w="1246" w:type="dxa"/>
            <w:vMerge/>
            <w:shd w:val="clear" w:color="auto" w:fill="0070C0"/>
          </w:tcPr>
          <w:p>
            <w:pPr>
              <w:ind w:left="360"/>
            </w:pPr>
          </w:p>
        </w:tc>
      </w:tr>
      <w:tr>
        <w:trPr>
          <w:trHeight w:val="300"/>
        </w:trPr>
        <w:tc>
          <w:tcPr>
            <w:tcW w:w="817" w:type="dxa"/>
            <w:vMerge/>
            <w:noWrap/>
          </w:tcPr>
          <w:p>
            <w:pPr>
              <w:ind w:left="360"/>
              <w:jc w:val="center"/>
            </w:pPr>
          </w:p>
        </w:tc>
        <w:tc>
          <w:tcPr>
            <w:tcW w:w="7198" w:type="dxa"/>
            <w:noWrap/>
          </w:tcPr>
          <w:p>
            <w:pPr>
              <w:ind w:left="360"/>
              <w:jc w:val="both"/>
            </w:pPr>
            <w:r>
              <w:t>Modification de dimensions d’affichage</w:t>
            </w:r>
          </w:p>
        </w:tc>
        <w:tc>
          <w:tcPr>
            <w:tcW w:w="1874" w:type="dxa"/>
            <w:noWrap/>
            <w:hideMark/>
          </w:tcPr>
          <w:p>
            <w:pPr>
              <w:ind w:left="360"/>
            </w:pPr>
            <w:r>
              <w:t>0 </w:t>
            </w:r>
          </w:p>
        </w:tc>
        <w:tc>
          <w:tcPr>
            <w:tcW w:w="1246" w:type="dxa"/>
            <w:vMerge/>
            <w:shd w:val="clear" w:color="auto" w:fill="0070C0"/>
          </w:tcPr>
          <w:p>
            <w:pPr>
              <w:ind w:left="360"/>
            </w:pPr>
          </w:p>
        </w:tc>
      </w:tr>
      <w:tr>
        <w:trPr>
          <w:trHeight w:val="300"/>
        </w:trPr>
        <w:tc>
          <w:tcPr>
            <w:tcW w:w="817" w:type="dxa"/>
            <w:vMerge/>
            <w:noWrap/>
          </w:tcPr>
          <w:p>
            <w:pPr>
              <w:ind w:left="360"/>
              <w:jc w:val="center"/>
            </w:pPr>
          </w:p>
        </w:tc>
        <w:tc>
          <w:tcPr>
            <w:tcW w:w="7198" w:type="dxa"/>
            <w:noWrap/>
          </w:tcPr>
          <w:p>
            <w:pPr>
              <w:ind w:left="360"/>
              <w:jc w:val="both"/>
            </w:pPr>
            <w:r>
              <w:t>Export vers des fichiers d’impressions 3D</w:t>
            </w:r>
          </w:p>
        </w:tc>
        <w:tc>
          <w:tcPr>
            <w:tcW w:w="1874" w:type="dxa"/>
            <w:noWrap/>
            <w:hideMark/>
          </w:tcPr>
          <w:p>
            <w:pPr>
              <w:ind w:left="360"/>
            </w:pPr>
            <w:r>
              <w:t> 0</w:t>
            </w:r>
          </w:p>
        </w:tc>
        <w:tc>
          <w:tcPr>
            <w:tcW w:w="1246" w:type="dxa"/>
            <w:vMerge/>
            <w:shd w:val="clear" w:color="auto" w:fill="0070C0"/>
          </w:tcPr>
          <w:p>
            <w:pPr>
              <w:ind w:left="360"/>
            </w:pPr>
          </w:p>
        </w:tc>
      </w:tr>
      <w:tr>
        <w:trPr>
          <w:trHeight w:val="315"/>
        </w:trPr>
        <w:tc>
          <w:tcPr>
            <w:tcW w:w="817" w:type="dxa"/>
            <w:vMerge w:val="restart"/>
            <w:noWrap/>
          </w:tcPr>
          <w:p>
            <w:pPr>
              <w:ind w:hanging="142"/>
              <w:jc w:val="center"/>
            </w:pPr>
            <w:r>
              <w:t>Niveau 4</w:t>
            </w:r>
          </w:p>
        </w:tc>
        <w:tc>
          <w:tcPr>
            <w:tcW w:w="7198" w:type="dxa"/>
            <w:noWrap/>
          </w:tcPr>
          <w:p>
            <w:pPr>
              <w:ind w:left="360"/>
              <w:jc w:val="both"/>
            </w:pPr>
            <w:r>
              <w:t>Jeu sur la grille de repérage</w:t>
            </w:r>
          </w:p>
        </w:tc>
        <w:tc>
          <w:tcPr>
            <w:tcW w:w="1874" w:type="dxa"/>
            <w:noWrap/>
            <w:hideMark/>
          </w:tcPr>
          <w:p>
            <w:pPr>
              <w:ind w:left="360"/>
            </w:pPr>
            <w:r>
              <w:t>0.5</w:t>
            </w:r>
          </w:p>
        </w:tc>
        <w:tc>
          <w:tcPr>
            <w:tcW w:w="1246" w:type="dxa"/>
            <w:vMerge w:val="restart"/>
            <w:shd w:val="clear" w:color="auto" w:fill="7030A0"/>
            <w:vAlign w:val="center"/>
          </w:tcPr>
          <w:p>
            <w:pPr>
              <w:ind w:left="360"/>
              <w:jc w:val="center"/>
            </w:pPr>
            <w:r>
              <w:t>87.5</w:t>
            </w:r>
          </w:p>
        </w:tc>
      </w:tr>
      <w:tr>
        <w:trPr>
          <w:trHeight w:val="300"/>
        </w:trPr>
        <w:tc>
          <w:tcPr>
            <w:tcW w:w="817" w:type="dxa"/>
            <w:vMerge/>
            <w:noWrap/>
          </w:tcPr>
          <w:p>
            <w:pPr>
              <w:ind w:left="360"/>
              <w:jc w:val="center"/>
            </w:pPr>
          </w:p>
        </w:tc>
        <w:tc>
          <w:tcPr>
            <w:tcW w:w="7198" w:type="dxa"/>
            <w:noWrap/>
          </w:tcPr>
          <w:p>
            <w:pPr>
              <w:ind w:left="360"/>
              <w:jc w:val="both"/>
            </w:pPr>
            <w:r>
              <w:t>Exportation de la méridienne et la courbe de révolution</w:t>
            </w:r>
          </w:p>
        </w:tc>
        <w:tc>
          <w:tcPr>
            <w:tcW w:w="1874" w:type="dxa"/>
            <w:noWrap/>
            <w:hideMark/>
          </w:tcPr>
          <w:p>
            <w:pPr>
              <w:ind w:left="360"/>
            </w:pPr>
            <w:r>
              <w:t> 1</w:t>
            </w:r>
          </w:p>
        </w:tc>
        <w:tc>
          <w:tcPr>
            <w:tcW w:w="1246" w:type="dxa"/>
            <w:vMerge/>
            <w:shd w:val="clear" w:color="auto" w:fill="7030A0"/>
          </w:tcPr>
          <w:p>
            <w:pPr>
              <w:ind w:left="360"/>
            </w:pPr>
          </w:p>
        </w:tc>
      </w:tr>
      <w:tr>
        <w:trPr>
          <w:trHeight w:val="300"/>
        </w:trPr>
        <w:tc>
          <w:tcPr>
            <w:tcW w:w="817" w:type="dxa"/>
            <w:vMerge/>
            <w:noWrap/>
          </w:tcPr>
          <w:p>
            <w:pPr>
              <w:ind w:left="360"/>
              <w:jc w:val="center"/>
            </w:pPr>
          </w:p>
        </w:tc>
        <w:tc>
          <w:tcPr>
            <w:tcW w:w="7198" w:type="dxa"/>
            <w:noWrap/>
          </w:tcPr>
          <w:p>
            <w:pPr>
              <w:ind w:left="360"/>
              <w:jc w:val="both"/>
            </w:pPr>
            <w:r>
              <w:t>Réglage de la taille des cubes</w:t>
            </w:r>
          </w:p>
        </w:tc>
        <w:tc>
          <w:tcPr>
            <w:tcW w:w="1874" w:type="dxa"/>
            <w:noWrap/>
            <w:hideMark/>
          </w:tcPr>
          <w:p>
            <w:pPr>
              <w:ind w:left="360"/>
            </w:pPr>
            <w:r>
              <w:t> 1</w:t>
            </w:r>
          </w:p>
        </w:tc>
        <w:tc>
          <w:tcPr>
            <w:tcW w:w="1246" w:type="dxa"/>
            <w:vMerge/>
            <w:shd w:val="clear" w:color="auto" w:fill="7030A0"/>
          </w:tcPr>
          <w:p>
            <w:pPr>
              <w:ind w:left="360"/>
            </w:pPr>
          </w:p>
        </w:tc>
      </w:tr>
      <w:tr>
        <w:trPr>
          <w:trHeight w:val="300"/>
        </w:trPr>
        <w:tc>
          <w:tcPr>
            <w:tcW w:w="817" w:type="dxa"/>
            <w:vMerge/>
            <w:noWrap/>
          </w:tcPr>
          <w:p>
            <w:pPr>
              <w:ind w:left="360"/>
              <w:jc w:val="center"/>
            </w:pPr>
          </w:p>
        </w:tc>
        <w:tc>
          <w:tcPr>
            <w:tcW w:w="7198" w:type="dxa"/>
            <w:noWrap/>
          </w:tcPr>
          <w:p>
            <w:pPr>
              <w:ind w:left="360"/>
              <w:jc w:val="both"/>
            </w:pPr>
            <w:r>
              <w:t>Exportation PNG</w:t>
            </w:r>
          </w:p>
        </w:tc>
        <w:tc>
          <w:tcPr>
            <w:tcW w:w="1874" w:type="dxa"/>
            <w:noWrap/>
            <w:hideMark/>
          </w:tcPr>
          <w:p>
            <w:pPr>
              <w:ind w:left="360"/>
            </w:pPr>
            <w:r>
              <w:t>1 </w:t>
            </w:r>
          </w:p>
        </w:tc>
        <w:tc>
          <w:tcPr>
            <w:tcW w:w="1246" w:type="dxa"/>
            <w:vMerge/>
            <w:shd w:val="clear" w:color="auto" w:fill="7030A0"/>
          </w:tcPr>
          <w:p>
            <w:pPr>
              <w:ind w:left="360"/>
            </w:pPr>
          </w:p>
        </w:tc>
      </w:tr>
      <w:tr>
        <w:trPr>
          <w:trHeight w:val="315"/>
        </w:trPr>
        <w:tc>
          <w:tcPr>
            <w:tcW w:w="817" w:type="dxa"/>
            <w:vMerge w:val="restart"/>
            <w:noWrap/>
          </w:tcPr>
          <w:p>
            <w:pPr>
              <w:ind w:hanging="142"/>
              <w:jc w:val="center"/>
            </w:pPr>
            <w:r>
              <w:t>Niveau 5</w:t>
            </w:r>
          </w:p>
        </w:tc>
        <w:tc>
          <w:tcPr>
            <w:tcW w:w="7198" w:type="dxa"/>
            <w:noWrap/>
          </w:tcPr>
          <w:p>
            <w:pPr>
              <w:ind w:left="360"/>
              <w:jc w:val="both"/>
            </w:pPr>
            <w:r>
              <w:t>L’introduction des équation erronées</w:t>
            </w:r>
          </w:p>
        </w:tc>
        <w:tc>
          <w:tcPr>
            <w:tcW w:w="1874" w:type="dxa"/>
            <w:noWrap/>
            <w:hideMark/>
          </w:tcPr>
          <w:p>
            <w:pPr>
              <w:ind w:left="360"/>
            </w:pPr>
            <w:r>
              <w:t> </w:t>
            </w:r>
          </w:p>
        </w:tc>
        <w:tc>
          <w:tcPr>
            <w:tcW w:w="1246" w:type="dxa"/>
          </w:tcPr>
          <w:p>
            <w:pPr>
              <w:ind w:left="360"/>
            </w:pPr>
          </w:p>
        </w:tc>
      </w:tr>
      <w:tr>
        <w:trPr>
          <w:trHeight w:val="300"/>
        </w:trPr>
        <w:tc>
          <w:tcPr>
            <w:tcW w:w="817" w:type="dxa"/>
            <w:vMerge/>
            <w:noWrap/>
          </w:tcPr>
          <w:p>
            <w:pPr>
              <w:ind w:left="360"/>
              <w:jc w:val="center"/>
            </w:pPr>
          </w:p>
        </w:tc>
        <w:tc>
          <w:tcPr>
            <w:tcW w:w="7198" w:type="dxa"/>
            <w:noWrap/>
          </w:tcPr>
          <w:p>
            <w:pPr>
              <w:ind w:left="360"/>
              <w:jc w:val="both"/>
            </w:pPr>
            <w:r>
              <w:t>Changement de la langue de l’application</w:t>
            </w:r>
          </w:p>
        </w:tc>
        <w:tc>
          <w:tcPr>
            <w:tcW w:w="1874" w:type="dxa"/>
            <w:noWrap/>
            <w:hideMark/>
          </w:tcPr>
          <w:p>
            <w:pPr>
              <w:ind w:left="360"/>
            </w:pPr>
            <w:r>
              <w:t> </w:t>
            </w:r>
          </w:p>
        </w:tc>
        <w:tc>
          <w:tcPr>
            <w:tcW w:w="1246" w:type="dxa"/>
          </w:tcPr>
          <w:p>
            <w:pPr>
              <w:ind w:left="360"/>
            </w:pPr>
          </w:p>
        </w:tc>
      </w:tr>
      <w:tr>
        <w:trPr>
          <w:trHeight w:val="300"/>
        </w:trPr>
        <w:tc>
          <w:tcPr>
            <w:tcW w:w="817" w:type="dxa"/>
            <w:vMerge/>
            <w:noWrap/>
          </w:tcPr>
          <w:p>
            <w:pPr>
              <w:ind w:left="360"/>
              <w:jc w:val="center"/>
            </w:pPr>
          </w:p>
        </w:tc>
        <w:tc>
          <w:tcPr>
            <w:tcW w:w="7198" w:type="dxa"/>
            <w:noWrap/>
          </w:tcPr>
          <w:p>
            <w:pPr>
              <w:ind w:left="360"/>
              <w:jc w:val="both"/>
            </w:pPr>
            <w:r>
              <w:t>Sauvegarde des courbes en vue orthographique</w:t>
            </w:r>
          </w:p>
        </w:tc>
        <w:tc>
          <w:tcPr>
            <w:tcW w:w="1874" w:type="dxa"/>
            <w:noWrap/>
            <w:hideMark/>
          </w:tcPr>
          <w:p>
            <w:pPr>
              <w:ind w:left="360"/>
            </w:pPr>
            <w:r>
              <w:t> </w:t>
            </w:r>
          </w:p>
        </w:tc>
        <w:tc>
          <w:tcPr>
            <w:tcW w:w="1246" w:type="dxa"/>
          </w:tcPr>
          <w:p>
            <w:pPr>
              <w:ind w:left="360"/>
            </w:pPr>
          </w:p>
        </w:tc>
      </w:tr>
      <w:tr>
        <w:trPr>
          <w:trHeight w:val="300"/>
        </w:trPr>
        <w:tc>
          <w:tcPr>
            <w:tcW w:w="817" w:type="dxa"/>
            <w:vMerge/>
            <w:noWrap/>
          </w:tcPr>
          <w:p>
            <w:pPr>
              <w:ind w:left="360"/>
              <w:jc w:val="center"/>
            </w:pPr>
          </w:p>
        </w:tc>
        <w:tc>
          <w:tcPr>
            <w:tcW w:w="7198" w:type="dxa"/>
            <w:noWrap/>
          </w:tcPr>
          <w:p>
            <w:pPr>
              <w:ind w:left="360"/>
              <w:jc w:val="both"/>
            </w:pPr>
            <w:r>
              <w:t>L’introduction d’un modèle spécifique de la courbe</w:t>
            </w:r>
          </w:p>
        </w:tc>
        <w:tc>
          <w:tcPr>
            <w:tcW w:w="1874" w:type="dxa"/>
            <w:noWrap/>
            <w:hideMark/>
          </w:tcPr>
          <w:p>
            <w:pPr>
              <w:ind w:left="360"/>
            </w:pPr>
            <w:r>
              <w:t> </w:t>
            </w:r>
          </w:p>
        </w:tc>
        <w:tc>
          <w:tcPr>
            <w:tcW w:w="1246" w:type="dxa"/>
          </w:tcPr>
          <w:p>
            <w:pPr>
              <w:ind w:left="360"/>
            </w:pPr>
          </w:p>
        </w:tc>
      </w:tr>
    </w:tbl>
    <w:p>
      <w:pPr>
        <w:ind w:left="360"/>
      </w:pPr>
    </w:p>
    <w:p>
      <w:pPr>
        <w:ind w:left="360"/>
        <w:rPr>
          <w:b/>
          <w:bCs/>
          <w:u w:val="single"/>
        </w:rPr>
      </w:pPr>
      <w:r>
        <w:rPr>
          <w:b/>
          <w:bCs/>
          <w:u w:val="single"/>
        </w:rPr>
        <w:t>Table de mesure</w:t>
      </w:r>
    </w:p>
    <w:tbl>
      <w:tblPr>
        <w:tblStyle w:val="Grilledutableau1"/>
        <w:tblW w:w="11341" w:type="dxa"/>
        <w:tblInd w:w="-318" w:type="dxa"/>
        <w:tblLayout w:type="fixed"/>
        <w:tblLook w:val="04A0" w:firstRow="1" w:lastRow="0" w:firstColumn="1" w:lastColumn="0" w:noHBand="0" w:noVBand="1"/>
      </w:tblPr>
      <w:tblGrid>
        <w:gridCol w:w="1112"/>
        <w:gridCol w:w="23"/>
        <w:gridCol w:w="3096"/>
        <w:gridCol w:w="730"/>
        <w:gridCol w:w="709"/>
        <w:gridCol w:w="852"/>
        <w:gridCol w:w="708"/>
        <w:gridCol w:w="709"/>
        <w:gridCol w:w="709"/>
        <w:gridCol w:w="708"/>
        <w:gridCol w:w="709"/>
        <w:gridCol w:w="701"/>
        <w:gridCol w:w="575"/>
      </w:tblGrid>
      <w:tr>
        <w:trPr>
          <w:trHeight w:val="299"/>
        </w:trPr>
        <w:tc>
          <w:tcPr>
            <w:tcW w:w="1135" w:type="dxa"/>
            <w:gridSpan w:val="2"/>
            <w:vMerge w:val="restart"/>
            <w:shd w:val="clear" w:color="auto" w:fill="FF0000"/>
            <w:noWrap/>
            <w:vAlign w:val="center"/>
          </w:tcPr>
          <w:p>
            <w:pPr>
              <w:tabs>
                <w:tab w:val="left" w:pos="1650"/>
              </w:tabs>
              <w:jc w:val="center"/>
            </w:pPr>
            <w:r>
              <w:t>0.1</w:t>
            </w:r>
          </w:p>
        </w:tc>
        <w:tc>
          <w:tcPr>
            <w:tcW w:w="3096" w:type="dxa"/>
            <w:vMerge w:val="restart"/>
            <w:vAlign w:val="center"/>
          </w:tcPr>
          <w:p>
            <w:pPr>
              <w:tabs>
                <w:tab w:val="left" w:pos="1650"/>
              </w:tabs>
              <w:jc w:val="center"/>
            </w:pPr>
            <w:r>
              <w:t>Fiabilité</w:t>
            </w:r>
          </w:p>
        </w:tc>
        <w:tc>
          <w:tcPr>
            <w:tcW w:w="1439" w:type="dxa"/>
            <w:gridSpan w:val="2"/>
            <w:noWrap/>
          </w:tcPr>
          <w:p>
            <w:pPr>
              <w:tabs>
                <w:tab w:val="left" w:pos="1650"/>
              </w:tabs>
              <w:jc w:val="center"/>
            </w:pPr>
            <w:r>
              <w:t>Niveau 1</w:t>
            </w:r>
          </w:p>
        </w:tc>
        <w:tc>
          <w:tcPr>
            <w:tcW w:w="1560" w:type="dxa"/>
            <w:gridSpan w:val="2"/>
          </w:tcPr>
          <w:p>
            <w:pPr>
              <w:tabs>
                <w:tab w:val="left" w:pos="1650"/>
              </w:tabs>
              <w:jc w:val="center"/>
            </w:pPr>
            <w:r>
              <w:t>Niveau 2</w:t>
            </w:r>
          </w:p>
        </w:tc>
        <w:tc>
          <w:tcPr>
            <w:tcW w:w="1418" w:type="dxa"/>
            <w:gridSpan w:val="2"/>
          </w:tcPr>
          <w:p>
            <w:pPr>
              <w:tabs>
                <w:tab w:val="left" w:pos="1650"/>
              </w:tabs>
              <w:jc w:val="center"/>
            </w:pPr>
            <w:r>
              <w:t>Niveau 3</w:t>
            </w:r>
          </w:p>
        </w:tc>
        <w:tc>
          <w:tcPr>
            <w:tcW w:w="1417" w:type="dxa"/>
            <w:gridSpan w:val="2"/>
          </w:tcPr>
          <w:p>
            <w:pPr>
              <w:tabs>
                <w:tab w:val="left" w:pos="1650"/>
              </w:tabs>
              <w:jc w:val="center"/>
            </w:pPr>
            <w:r>
              <w:t>Niveau 4</w:t>
            </w:r>
          </w:p>
        </w:tc>
        <w:tc>
          <w:tcPr>
            <w:tcW w:w="1276" w:type="dxa"/>
            <w:gridSpan w:val="2"/>
          </w:tcPr>
          <w:p>
            <w:pPr>
              <w:tabs>
                <w:tab w:val="left" w:pos="1650"/>
              </w:tabs>
              <w:jc w:val="center"/>
            </w:pPr>
            <w:r>
              <w:t>Niveau 5</w:t>
            </w:r>
          </w:p>
        </w:tc>
      </w:tr>
      <w:tr>
        <w:trPr>
          <w:trHeight w:val="299"/>
        </w:trPr>
        <w:tc>
          <w:tcPr>
            <w:tcW w:w="1135" w:type="dxa"/>
            <w:gridSpan w:val="2"/>
            <w:vMerge/>
            <w:shd w:val="clear" w:color="auto" w:fill="FF0000"/>
            <w:noWrap/>
            <w:hideMark/>
          </w:tcPr>
          <w:p>
            <w:pPr>
              <w:tabs>
                <w:tab w:val="left" w:pos="1650"/>
              </w:tabs>
            </w:pPr>
          </w:p>
        </w:tc>
        <w:tc>
          <w:tcPr>
            <w:tcW w:w="3096" w:type="dxa"/>
            <w:vMerge/>
          </w:tcPr>
          <w:p>
            <w:pPr>
              <w:tabs>
                <w:tab w:val="left" w:pos="1650"/>
              </w:tabs>
            </w:pPr>
          </w:p>
        </w:tc>
        <w:tc>
          <w:tcPr>
            <w:tcW w:w="730" w:type="dxa"/>
            <w:noWrap/>
            <w:hideMark/>
          </w:tcPr>
          <w:p>
            <w:pPr>
              <w:tabs>
                <w:tab w:val="left" w:pos="1650"/>
              </w:tabs>
            </w:pPr>
            <w:r>
              <w:t>INT</w:t>
            </w:r>
          </w:p>
        </w:tc>
        <w:tc>
          <w:tcPr>
            <w:tcW w:w="709" w:type="dxa"/>
          </w:tcPr>
          <w:p>
            <w:pPr>
              <w:tabs>
                <w:tab w:val="left" w:pos="1650"/>
              </w:tabs>
            </w:pPr>
            <w:r>
              <w:t>EXT</w:t>
            </w:r>
          </w:p>
        </w:tc>
        <w:tc>
          <w:tcPr>
            <w:tcW w:w="852" w:type="dxa"/>
          </w:tcPr>
          <w:p>
            <w:pPr>
              <w:tabs>
                <w:tab w:val="left" w:pos="1650"/>
              </w:tabs>
            </w:pPr>
            <w:r>
              <w:t>INT</w:t>
            </w:r>
          </w:p>
        </w:tc>
        <w:tc>
          <w:tcPr>
            <w:tcW w:w="708" w:type="dxa"/>
          </w:tcPr>
          <w:p>
            <w:pPr>
              <w:tabs>
                <w:tab w:val="left" w:pos="1650"/>
              </w:tabs>
            </w:pPr>
            <w:r>
              <w:t>EXT</w:t>
            </w:r>
          </w:p>
        </w:tc>
        <w:tc>
          <w:tcPr>
            <w:tcW w:w="709" w:type="dxa"/>
          </w:tcPr>
          <w:p>
            <w:pPr>
              <w:tabs>
                <w:tab w:val="left" w:pos="1650"/>
              </w:tabs>
            </w:pPr>
            <w:r>
              <w:t>INT</w:t>
            </w:r>
          </w:p>
        </w:tc>
        <w:tc>
          <w:tcPr>
            <w:tcW w:w="709" w:type="dxa"/>
          </w:tcPr>
          <w:p>
            <w:pPr>
              <w:tabs>
                <w:tab w:val="left" w:pos="1650"/>
              </w:tabs>
            </w:pPr>
            <w:r>
              <w:t>Ext</w:t>
            </w:r>
          </w:p>
        </w:tc>
        <w:tc>
          <w:tcPr>
            <w:tcW w:w="708" w:type="dxa"/>
          </w:tcPr>
          <w:p>
            <w:pPr>
              <w:tabs>
                <w:tab w:val="left" w:pos="1650"/>
              </w:tabs>
            </w:pPr>
            <w:r>
              <w:t>INT</w:t>
            </w:r>
          </w:p>
        </w:tc>
        <w:tc>
          <w:tcPr>
            <w:tcW w:w="709" w:type="dxa"/>
          </w:tcPr>
          <w:p>
            <w:pPr>
              <w:tabs>
                <w:tab w:val="left" w:pos="1650"/>
              </w:tabs>
            </w:pPr>
            <w:r>
              <w:t>Ext</w:t>
            </w:r>
          </w:p>
        </w:tc>
        <w:tc>
          <w:tcPr>
            <w:tcW w:w="701" w:type="dxa"/>
          </w:tcPr>
          <w:p>
            <w:pPr>
              <w:tabs>
                <w:tab w:val="left" w:pos="1650"/>
              </w:tabs>
              <w:rPr>
                <w:sz w:val="24"/>
                <w:szCs w:val="24"/>
              </w:rPr>
            </w:pPr>
            <w:r>
              <w:rPr>
                <w:sz w:val="24"/>
                <w:szCs w:val="24"/>
              </w:rPr>
              <w:t>INT</w:t>
            </w:r>
          </w:p>
        </w:tc>
        <w:tc>
          <w:tcPr>
            <w:tcW w:w="575" w:type="dxa"/>
            <w:noWrap/>
            <w:hideMark/>
          </w:tcPr>
          <w:p>
            <w:pPr>
              <w:tabs>
                <w:tab w:val="left" w:pos="1650"/>
              </w:tabs>
              <w:rPr>
                <w:sz w:val="24"/>
                <w:szCs w:val="24"/>
              </w:rPr>
            </w:pPr>
            <w:r>
              <w:rPr>
                <w:sz w:val="24"/>
                <w:szCs w:val="24"/>
              </w:rPr>
              <w:t>Ext</w:t>
            </w:r>
          </w:p>
        </w:tc>
      </w:tr>
      <w:tr>
        <w:trPr>
          <w:trHeight w:val="299"/>
        </w:trPr>
        <w:tc>
          <w:tcPr>
            <w:tcW w:w="1112" w:type="dxa"/>
            <w:noWrap/>
          </w:tcPr>
          <w:p>
            <w:pPr>
              <w:tabs>
                <w:tab w:val="left" w:pos="1650"/>
              </w:tabs>
            </w:pPr>
          </w:p>
        </w:tc>
        <w:tc>
          <w:tcPr>
            <w:tcW w:w="3119" w:type="dxa"/>
            <w:gridSpan w:val="2"/>
            <w:shd w:val="clear" w:color="auto" w:fill="FFC000"/>
            <w:noWrap/>
          </w:tcPr>
          <w:p>
            <w:pPr>
              <w:tabs>
                <w:tab w:val="left" w:pos="1650"/>
              </w:tabs>
              <w:jc w:val="center"/>
            </w:pPr>
            <w:r>
              <w:t>Maturité</w:t>
            </w:r>
          </w:p>
        </w:tc>
        <w:tc>
          <w:tcPr>
            <w:tcW w:w="730" w:type="dxa"/>
            <w:noWrap/>
          </w:tcPr>
          <w:p>
            <w:pPr>
              <w:tabs>
                <w:tab w:val="left" w:pos="1650"/>
              </w:tabs>
            </w:pPr>
          </w:p>
        </w:tc>
        <w:tc>
          <w:tcPr>
            <w:tcW w:w="709" w:type="dxa"/>
          </w:tcPr>
          <w:p>
            <w:pPr>
              <w:tabs>
                <w:tab w:val="left" w:pos="1650"/>
              </w:tabs>
            </w:pPr>
          </w:p>
        </w:tc>
        <w:tc>
          <w:tcPr>
            <w:tcW w:w="852" w:type="dxa"/>
          </w:tcPr>
          <w:p>
            <w:pPr>
              <w:tabs>
                <w:tab w:val="left" w:pos="1650"/>
              </w:tabs>
            </w:pPr>
          </w:p>
        </w:tc>
        <w:tc>
          <w:tcPr>
            <w:tcW w:w="708" w:type="dxa"/>
          </w:tcPr>
          <w:p>
            <w:pPr>
              <w:tabs>
                <w:tab w:val="left" w:pos="1650"/>
              </w:tabs>
            </w:pPr>
          </w:p>
        </w:tc>
        <w:tc>
          <w:tcPr>
            <w:tcW w:w="709" w:type="dxa"/>
          </w:tcPr>
          <w:p>
            <w:pPr>
              <w:tabs>
                <w:tab w:val="left" w:pos="1650"/>
              </w:tabs>
            </w:pPr>
          </w:p>
        </w:tc>
        <w:tc>
          <w:tcPr>
            <w:tcW w:w="709" w:type="dxa"/>
          </w:tcPr>
          <w:p>
            <w:pPr>
              <w:tabs>
                <w:tab w:val="left" w:pos="1650"/>
              </w:tabs>
            </w:pPr>
          </w:p>
        </w:tc>
        <w:tc>
          <w:tcPr>
            <w:tcW w:w="708" w:type="dxa"/>
          </w:tcPr>
          <w:p>
            <w:pPr>
              <w:tabs>
                <w:tab w:val="left" w:pos="1650"/>
              </w:tabs>
            </w:pPr>
          </w:p>
        </w:tc>
        <w:tc>
          <w:tcPr>
            <w:tcW w:w="709" w:type="dxa"/>
          </w:tcPr>
          <w:p>
            <w:pPr>
              <w:tabs>
                <w:tab w:val="left" w:pos="1650"/>
              </w:tabs>
            </w:pPr>
          </w:p>
        </w:tc>
        <w:tc>
          <w:tcPr>
            <w:tcW w:w="701" w:type="dxa"/>
          </w:tcPr>
          <w:p>
            <w:pPr>
              <w:tabs>
                <w:tab w:val="left" w:pos="1650"/>
              </w:tabs>
              <w:rPr>
                <w:sz w:val="24"/>
                <w:szCs w:val="24"/>
              </w:rPr>
            </w:pPr>
          </w:p>
        </w:tc>
        <w:tc>
          <w:tcPr>
            <w:tcW w:w="575" w:type="dxa"/>
            <w:noWrap/>
          </w:tcPr>
          <w:p>
            <w:pPr>
              <w:tabs>
                <w:tab w:val="left" w:pos="1650"/>
              </w:tabs>
              <w:rPr>
                <w:sz w:val="24"/>
                <w:szCs w:val="24"/>
              </w:rPr>
            </w:pPr>
          </w:p>
        </w:tc>
      </w:tr>
      <w:tr>
        <w:trPr>
          <w:trHeight w:val="299"/>
        </w:trPr>
        <w:tc>
          <w:tcPr>
            <w:tcW w:w="1112" w:type="dxa"/>
            <w:noWrap/>
            <w:hideMark/>
          </w:tcPr>
          <w:p>
            <w:pPr>
              <w:tabs>
                <w:tab w:val="left" w:pos="1650"/>
              </w:tabs>
            </w:pPr>
            <w:r>
              <w:t>Objectif</w:t>
            </w:r>
          </w:p>
        </w:tc>
        <w:tc>
          <w:tcPr>
            <w:tcW w:w="3119" w:type="dxa"/>
            <w:gridSpan w:val="2"/>
            <w:noWrap/>
            <w:hideMark/>
          </w:tcPr>
          <w:p>
            <w:pPr>
              <w:tabs>
                <w:tab w:val="left" w:pos="1650"/>
              </w:tabs>
            </w:pPr>
            <w:r>
              <w:t>la capacité d’un produit logiciel à éviter les pannes</w:t>
            </w:r>
          </w:p>
        </w:tc>
        <w:tc>
          <w:tcPr>
            <w:tcW w:w="730" w:type="dxa"/>
            <w:noWrap/>
            <w:hideMark/>
          </w:tcPr>
          <w:p>
            <w:pPr>
              <w:tabs>
                <w:tab w:val="left" w:pos="1650"/>
              </w:tabs>
            </w:pPr>
            <w:r>
              <w:t> </w:t>
            </w:r>
          </w:p>
        </w:tc>
        <w:tc>
          <w:tcPr>
            <w:tcW w:w="709" w:type="dxa"/>
          </w:tcPr>
          <w:p>
            <w:pPr>
              <w:tabs>
                <w:tab w:val="left" w:pos="1650"/>
              </w:tabs>
            </w:pPr>
            <w:r>
              <w:t> </w:t>
            </w:r>
          </w:p>
        </w:tc>
        <w:tc>
          <w:tcPr>
            <w:tcW w:w="852" w:type="dxa"/>
          </w:tcPr>
          <w:p>
            <w:pPr>
              <w:tabs>
                <w:tab w:val="left" w:pos="1650"/>
              </w:tabs>
            </w:pPr>
            <w:r>
              <w:t> </w:t>
            </w:r>
          </w:p>
        </w:tc>
        <w:tc>
          <w:tcPr>
            <w:tcW w:w="708" w:type="dxa"/>
          </w:tcPr>
          <w:p>
            <w:pPr>
              <w:tabs>
                <w:tab w:val="left" w:pos="1650"/>
              </w:tabs>
            </w:pPr>
            <w:r>
              <w:t> </w:t>
            </w:r>
          </w:p>
        </w:tc>
        <w:tc>
          <w:tcPr>
            <w:tcW w:w="709" w:type="dxa"/>
          </w:tcPr>
          <w:p>
            <w:pPr>
              <w:tabs>
                <w:tab w:val="left" w:pos="1650"/>
              </w:tabs>
            </w:pPr>
            <w:r>
              <w:t> </w:t>
            </w:r>
          </w:p>
        </w:tc>
        <w:tc>
          <w:tcPr>
            <w:tcW w:w="709" w:type="dxa"/>
          </w:tcPr>
          <w:p>
            <w:pPr>
              <w:tabs>
                <w:tab w:val="left" w:pos="1650"/>
              </w:tabs>
            </w:pPr>
            <w:r>
              <w:t> </w:t>
            </w:r>
          </w:p>
        </w:tc>
        <w:tc>
          <w:tcPr>
            <w:tcW w:w="708"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r>
              <w:t>Question</w:t>
            </w:r>
          </w:p>
        </w:tc>
        <w:tc>
          <w:tcPr>
            <w:tcW w:w="3119" w:type="dxa"/>
            <w:gridSpan w:val="2"/>
            <w:noWrap/>
            <w:hideMark/>
          </w:tcPr>
          <w:p>
            <w:pPr>
              <w:tabs>
                <w:tab w:val="left" w:pos="1650"/>
              </w:tabs>
            </w:pPr>
            <w:r>
              <w:t>Comment améliorer le processus de développement ?</w:t>
            </w:r>
          </w:p>
        </w:tc>
        <w:tc>
          <w:tcPr>
            <w:tcW w:w="730" w:type="dxa"/>
            <w:noWrap/>
            <w:hideMark/>
          </w:tcPr>
          <w:p>
            <w:pPr>
              <w:tabs>
                <w:tab w:val="left" w:pos="1650"/>
              </w:tabs>
            </w:pPr>
            <w:r>
              <w:t> </w:t>
            </w:r>
          </w:p>
        </w:tc>
        <w:tc>
          <w:tcPr>
            <w:tcW w:w="709" w:type="dxa"/>
          </w:tcPr>
          <w:p>
            <w:pPr>
              <w:tabs>
                <w:tab w:val="left" w:pos="1650"/>
              </w:tabs>
            </w:pPr>
            <w:r>
              <w:t> </w:t>
            </w:r>
          </w:p>
        </w:tc>
        <w:tc>
          <w:tcPr>
            <w:tcW w:w="852" w:type="dxa"/>
          </w:tcPr>
          <w:p>
            <w:pPr>
              <w:tabs>
                <w:tab w:val="left" w:pos="1650"/>
              </w:tabs>
            </w:pPr>
            <w:r>
              <w:t> </w:t>
            </w:r>
          </w:p>
        </w:tc>
        <w:tc>
          <w:tcPr>
            <w:tcW w:w="708" w:type="dxa"/>
          </w:tcPr>
          <w:p>
            <w:pPr>
              <w:tabs>
                <w:tab w:val="left" w:pos="1650"/>
              </w:tabs>
            </w:pPr>
            <w:r>
              <w:t> </w:t>
            </w:r>
          </w:p>
        </w:tc>
        <w:tc>
          <w:tcPr>
            <w:tcW w:w="709" w:type="dxa"/>
          </w:tcPr>
          <w:p>
            <w:pPr>
              <w:tabs>
                <w:tab w:val="left" w:pos="1650"/>
              </w:tabs>
            </w:pPr>
            <w:r>
              <w:t> </w:t>
            </w:r>
          </w:p>
        </w:tc>
        <w:tc>
          <w:tcPr>
            <w:tcW w:w="709" w:type="dxa"/>
          </w:tcPr>
          <w:p>
            <w:pPr>
              <w:tabs>
                <w:tab w:val="left" w:pos="1650"/>
              </w:tabs>
            </w:pPr>
            <w:r>
              <w:t> </w:t>
            </w:r>
          </w:p>
        </w:tc>
        <w:tc>
          <w:tcPr>
            <w:tcW w:w="708"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4231" w:type="dxa"/>
            <w:gridSpan w:val="3"/>
            <w:shd w:val="clear" w:color="auto" w:fill="auto"/>
            <w:noWrap/>
          </w:tcPr>
          <w:p>
            <w:pPr>
              <w:tabs>
                <w:tab w:val="left" w:pos="1650"/>
              </w:tabs>
              <w:jc w:val="center"/>
              <w:rPr>
                <w:b/>
                <w:bCs/>
                <w:color w:val="FF0000"/>
              </w:rPr>
            </w:pPr>
            <w:r>
              <w:rPr>
                <w:b/>
                <w:bCs/>
                <w:color w:val="FF0000"/>
              </w:rPr>
              <w:t>Evaluation</w:t>
            </w:r>
          </w:p>
        </w:tc>
        <w:tc>
          <w:tcPr>
            <w:tcW w:w="730" w:type="dxa"/>
            <w:shd w:val="clear" w:color="auto" w:fill="auto"/>
            <w:noWrap/>
          </w:tcPr>
          <w:p>
            <w:pPr>
              <w:tabs>
                <w:tab w:val="left" w:pos="1650"/>
              </w:tabs>
            </w:pPr>
          </w:p>
        </w:tc>
        <w:tc>
          <w:tcPr>
            <w:tcW w:w="709" w:type="dxa"/>
            <w:shd w:val="clear" w:color="auto" w:fill="92D050"/>
          </w:tcPr>
          <w:p>
            <w:pPr>
              <w:tabs>
                <w:tab w:val="left" w:pos="1650"/>
              </w:tabs>
            </w:pPr>
            <w:r>
              <w:t>20</w:t>
            </w:r>
          </w:p>
        </w:tc>
        <w:tc>
          <w:tcPr>
            <w:tcW w:w="852" w:type="dxa"/>
            <w:shd w:val="clear" w:color="auto" w:fill="auto"/>
          </w:tcPr>
          <w:p>
            <w:pPr>
              <w:tabs>
                <w:tab w:val="left" w:pos="1650"/>
              </w:tabs>
            </w:pPr>
          </w:p>
        </w:tc>
        <w:tc>
          <w:tcPr>
            <w:tcW w:w="708" w:type="dxa"/>
            <w:shd w:val="clear" w:color="auto" w:fill="92D050"/>
          </w:tcPr>
          <w:p>
            <w:pPr>
              <w:tabs>
                <w:tab w:val="left" w:pos="1650"/>
              </w:tabs>
            </w:pPr>
            <w:r>
              <w:t>40</w:t>
            </w:r>
          </w:p>
        </w:tc>
        <w:tc>
          <w:tcPr>
            <w:tcW w:w="709" w:type="dxa"/>
            <w:shd w:val="clear" w:color="auto" w:fill="auto"/>
          </w:tcPr>
          <w:p>
            <w:pPr>
              <w:tabs>
                <w:tab w:val="left" w:pos="1650"/>
              </w:tabs>
            </w:pPr>
          </w:p>
        </w:tc>
        <w:tc>
          <w:tcPr>
            <w:tcW w:w="709" w:type="dxa"/>
            <w:shd w:val="clear" w:color="auto" w:fill="92D050"/>
          </w:tcPr>
          <w:p>
            <w:pPr>
              <w:tabs>
                <w:tab w:val="left" w:pos="1650"/>
              </w:tabs>
            </w:pPr>
            <w:r>
              <w:t>60</w:t>
            </w:r>
          </w:p>
        </w:tc>
        <w:tc>
          <w:tcPr>
            <w:tcW w:w="708" w:type="dxa"/>
            <w:shd w:val="clear" w:color="auto" w:fill="auto"/>
          </w:tcPr>
          <w:p>
            <w:pPr>
              <w:tabs>
                <w:tab w:val="left" w:pos="1650"/>
              </w:tabs>
            </w:pPr>
          </w:p>
        </w:tc>
        <w:tc>
          <w:tcPr>
            <w:tcW w:w="709" w:type="dxa"/>
            <w:shd w:val="clear" w:color="auto" w:fill="92D050"/>
          </w:tcPr>
          <w:p>
            <w:pPr>
              <w:tabs>
                <w:tab w:val="left" w:pos="1650"/>
              </w:tabs>
            </w:pPr>
            <w:r>
              <w:t>80</w:t>
            </w:r>
          </w:p>
        </w:tc>
        <w:tc>
          <w:tcPr>
            <w:tcW w:w="701" w:type="dxa"/>
            <w:shd w:val="clear" w:color="auto" w:fill="auto"/>
          </w:tcPr>
          <w:p>
            <w:pPr>
              <w:tabs>
                <w:tab w:val="left" w:pos="1650"/>
              </w:tabs>
              <w:rPr>
                <w:sz w:val="24"/>
                <w:szCs w:val="24"/>
              </w:rPr>
            </w:pPr>
          </w:p>
        </w:tc>
        <w:tc>
          <w:tcPr>
            <w:tcW w:w="575" w:type="dxa"/>
            <w:shd w:val="clear" w:color="auto" w:fill="92D050"/>
            <w:noWrap/>
          </w:tcPr>
          <w:p>
            <w:pPr>
              <w:tabs>
                <w:tab w:val="left" w:pos="1650"/>
              </w:tabs>
              <w:rPr>
                <w:sz w:val="24"/>
                <w:szCs w:val="24"/>
              </w:rPr>
            </w:pPr>
          </w:p>
        </w:tc>
      </w:tr>
      <w:tr>
        <w:trPr>
          <w:trHeight w:val="299"/>
        </w:trPr>
        <w:tc>
          <w:tcPr>
            <w:tcW w:w="1112" w:type="dxa"/>
            <w:noWrap/>
            <w:hideMark/>
          </w:tcPr>
          <w:p>
            <w:pPr>
              <w:tabs>
                <w:tab w:val="left" w:pos="1650"/>
              </w:tabs>
            </w:pPr>
          </w:p>
        </w:tc>
        <w:tc>
          <w:tcPr>
            <w:tcW w:w="3119" w:type="dxa"/>
            <w:gridSpan w:val="2"/>
            <w:shd w:val="clear" w:color="auto" w:fill="FFC000"/>
            <w:noWrap/>
            <w:hideMark/>
          </w:tcPr>
          <w:p>
            <w:pPr>
              <w:tabs>
                <w:tab w:val="left" w:pos="1650"/>
              </w:tabs>
              <w:jc w:val="center"/>
            </w:pPr>
            <w:r>
              <w:t>Tolérance aux pannes</w:t>
            </w:r>
          </w:p>
        </w:tc>
        <w:tc>
          <w:tcPr>
            <w:tcW w:w="730" w:type="dxa"/>
            <w:noWrap/>
            <w:hideMark/>
          </w:tcPr>
          <w:p>
            <w:pPr>
              <w:tabs>
                <w:tab w:val="left" w:pos="1650"/>
              </w:tabs>
            </w:pPr>
          </w:p>
        </w:tc>
        <w:tc>
          <w:tcPr>
            <w:tcW w:w="709" w:type="dxa"/>
          </w:tcPr>
          <w:p>
            <w:pPr>
              <w:tabs>
                <w:tab w:val="left" w:pos="1650"/>
              </w:tabs>
            </w:pPr>
          </w:p>
        </w:tc>
        <w:tc>
          <w:tcPr>
            <w:tcW w:w="852" w:type="dxa"/>
          </w:tcPr>
          <w:p>
            <w:pPr>
              <w:tabs>
                <w:tab w:val="left" w:pos="1650"/>
              </w:tabs>
            </w:pPr>
          </w:p>
        </w:tc>
        <w:tc>
          <w:tcPr>
            <w:tcW w:w="708" w:type="dxa"/>
          </w:tcPr>
          <w:p>
            <w:pPr>
              <w:tabs>
                <w:tab w:val="left" w:pos="1650"/>
              </w:tabs>
            </w:pPr>
          </w:p>
        </w:tc>
        <w:tc>
          <w:tcPr>
            <w:tcW w:w="709" w:type="dxa"/>
          </w:tcPr>
          <w:p>
            <w:pPr>
              <w:tabs>
                <w:tab w:val="left" w:pos="1650"/>
              </w:tabs>
            </w:pPr>
          </w:p>
        </w:tc>
        <w:tc>
          <w:tcPr>
            <w:tcW w:w="709" w:type="dxa"/>
          </w:tcPr>
          <w:p>
            <w:pPr>
              <w:tabs>
                <w:tab w:val="left" w:pos="1650"/>
              </w:tabs>
            </w:pPr>
          </w:p>
        </w:tc>
        <w:tc>
          <w:tcPr>
            <w:tcW w:w="708" w:type="dxa"/>
          </w:tcPr>
          <w:p>
            <w:pPr>
              <w:tabs>
                <w:tab w:val="left" w:pos="1650"/>
              </w:tabs>
            </w:pPr>
          </w:p>
        </w:tc>
        <w:tc>
          <w:tcPr>
            <w:tcW w:w="709" w:type="dxa"/>
          </w:tcPr>
          <w:p>
            <w:pPr>
              <w:tabs>
                <w:tab w:val="left" w:pos="1650"/>
              </w:tabs>
            </w:pPr>
          </w:p>
        </w:tc>
        <w:tc>
          <w:tcPr>
            <w:tcW w:w="701" w:type="dxa"/>
          </w:tcPr>
          <w:p>
            <w:pPr>
              <w:tabs>
                <w:tab w:val="left" w:pos="1650"/>
              </w:tabs>
              <w:rPr>
                <w:sz w:val="24"/>
                <w:szCs w:val="24"/>
              </w:rPr>
            </w:pPr>
          </w:p>
        </w:tc>
        <w:tc>
          <w:tcPr>
            <w:tcW w:w="575" w:type="dxa"/>
            <w:noWrap/>
            <w:hideMark/>
          </w:tcPr>
          <w:p>
            <w:pPr>
              <w:tabs>
                <w:tab w:val="left" w:pos="1650"/>
              </w:tabs>
              <w:rPr>
                <w:sz w:val="24"/>
                <w:szCs w:val="24"/>
              </w:rPr>
            </w:pPr>
          </w:p>
        </w:tc>
        <w:bookmarkStart w:id="0" w:name="_GoBack"/>
        <w:bookmarkEnd w:id="0"/>
      </w:tr>
      <w:tr>
        <w:trPr>
          <w:trHeight w:val="299"/>
        </w:trPr>
        <w:tc>
          <w:tcPr>
            <w:tcW w:w="1112" w:type="dxa"/>
            <w:noWrap/>
            <w:hideMark/>
          </w:tcPr>
          <w:p>
            <w:pPr>
              <w:tabs>
                <w:tab w:val="left" w:pos="1650"/>
              </w:tabs>
            </w:pPr>
            <w:r>
              <w:t>Objectif</w:t>
            </w:r>
          </w:p>
        </w:tc>
        <w:tc>
          <w:tcPr>
            <w:tcW w:w="3119" w:type="dxa"/>
            <w:gridSpan w:val="2"/>
            <w:noWrap/>
            <w:hideMark/>
          </w:tcPr>
          <w:p>
            <w:pPr>
              <w:tabs>
                <w:tab w:val="left" w:pos="1650"/>
              </w:tabs>
            </w:pPr>
            <w:r>
              <w:t>la capacité à maintenir le niveau de performance en cas d’erreur logiciel et de non-respect des interfaces d’interactions avec le logiciel</w:t>
            </w:r>
          </w:p>
        </w:tc>
        <w:tc>
          <w:tcPr>
            <w:tcW w:w="730" w:type="dxa"/>
            <w:noWrap/>
            <w:hideMark/>
          </w:tcPr>
          <w:p>
            <w:pPr>
              <w:tabs>
                <w:tab w:val="left" w:pos="1650"/>
              </w:tabs>
            </w:pPr>
            <w:r>
              <w:t> </w:t>
            </w:r>
          </w:p>
        </w:tc>
        <w:tc>
          <w:tcPr>
            <w:tcW w:w="709" w:type="dxa"/>
          </w:tcPr>
          <w:p>
            <w:pPr>
              <w:tabs>
                <w:tab w:val="left" w:pos="1650"/>
              </w:tabs>
            </w:pPr>
            <w:r>
              <w:t> </w:t>
            </w:r>
          </w:p>
        </w:tc>
        <w:tc>
          <w:tcPr>
            <w:tcW w:w="852" w:type="dxa"/>
          </w:tcPr>
          <w:p>
            <w:pPr>
              <w:tabs>
                <w:tab w:val="left" w:pos="1650"/>
              </w:tabs>
            </w:pPr>
            <w:r>
              <w:t> </w:t>
            </w:r>
          </w:p>
        </w:tc>
        <w:tc>
          <w:tcPr>
            <w:tcW w:w="708" w:type="dxa"/>
          </w:tcPr>
          <w:p>
            <w:pPr>
              <w:tabs>
                <w:tab w:val="left" w:pos="1650"/>
              </w:tabs>
            </w:pPr>
            <w:r>
              <w:t> </w:t>
            </w:r>
          </w:p>
        </w:tc>
        <w:tc>
          <w:tcPr>
            <w:tcW w:w="709" w:type="dxa"/>
          </w:tcPr>
          <w:p>
            <w:pPr>
              <w:tabs>
                <w:tab w:val="left" w:pos="1650"/>
              </w:tabs>
            </w:pPr>
            <w:r>
              <w:t> </w:t>
            </w:r>
          </w:p>
        </w:tc>
        <w:tc>
          <w:tcPr>
            <w:tcW w:w="709" w:type="dxa"/>
          </w:tcPr>
          <w:p>
            <w:pPr>
              <w:tabs>
                <w:tab w:val="left" w:pos="1650"/>
              </w:tabs>
            </w:pPr>
            <w:r>
              <w:t> </w:t>
            </w:r>
          </w:p>
        </w:tc>
        <w:tc>
          <w:tcPr>
            <w:tcW w:w="708"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r>
              <w:t>Question</w:t>
            </w:r>
          </w:p>
        </w:tc>
        <w:tc>
          <w:tcPr>
            <w:tcW w:w="3119" w:type="dxa"/>
            <w:gridSpan w:val="2"/>
            <w:noWrap/>
            <w:hideMark/>
          </w:tcPr>
          <w:p>
            <w:pPr>
              <w:tabs>
                <w:tab w:val="left" w:pos="1650"/>
              </w:tabs>
            </w:pPr>
            <w:r>
              <w:t>A quel niveau le système reste plus ou moins opérationnels en cas de panne partielle logiciel ou matériel ?</w:t>
            </w:r>
          </w:p>
        </w:tc>
        <w:tc>
          <w:tcPr>
            <w:tcW w:w="730" w:type="dxa"/>
            <w:noWrap/>
            <w:hideMark/>
          </w:tcPr>
          <w:p>
            <w:pPr>
              <w:tabs>
                <w:tab w:val="left" w:pos="1650"/>
              </w:tabs>
            </w:pPr>
            <w:r>
              <w:t> </w:t>
            </w:r>
          </w:p>
        </w:tc>
        <w:tc>
          <w:tcPr>
            <w:tcW w:w="709" w:type="dxa"/>
          </w:tcPr>
          <w:p>
            <w:pPr>
              <w:tabs>
                <w:tab w:val="left" w:pos="1650"/>
              </w:tabs>
            </w:pPr>
            <w:r>
              <w:t> </w:t>
            </w:r>
          </w:p>
        </w:tc>
        <w:tc>
          <w:tcPr>
            <w:tcW w:w="852" w:type="dxa"/>
          </w:tcPr>
          <w:p>
            <w:pPr>
              <w:tabs>
                <w:tab w:val="left" w:pos="1650"/>
              </w:tabs>
            </w:pPr>
            <w:r>
              <w:t> </w:t>
            </w:r>
          </w:p>
        </w:tc>
        <w:tc>
          <w:tcPr>
            <w:tcW w:w="708" w:type="dxa"/>
          </w:tcPr>
          <w:p>
            <w:pPr>
              <w:tabs>
                <w:tab w:val="left" w:pos="1650"/>
              </w:tabs>
            </w:pPr>
            <w:r>
              <w:t> </w:t>
            </w:r>
          </w:p>
        </w:tc>
        <w:tc>
          <w:tcPr>
            <w:tcW w:w="709" w:type="dxa"/>
          </w:tcPr>
          <w:p>
            <w:pPr>
              <w:tabs>
                <w:tab w:val="left" w:pos="1650"/>
              </w:tabs>
            </w:pPr>
            <w:r>
              <w:t> </w:t>
            </w:r>
          </w:p>
        </w:tc>
        <w:tc>
          <w:tcPr>
            <w:tcW w:w="709" w:type="dxa"/>
          </w:tcPr>
          <w:p>
            <w:pPr>
              <w:tabs>
                <w:tab w:val="left" w:pos="1650"/>
              </w:tabs>
            </w:pPr>
            <w:r>
              <w:t> </w:t>
            </w:r>
          </w:p>
        </w:tc>
        <w:tc>
          <w:tcPr>
            <w:tcW w:w="708"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4231" w:type="dxa"/>
            <w:gridSpan w:val="3"/>
            <w:shd w:val="clear" w:color="auto" w:fill="auto"/>
            <w:noWrap/>
          </w:tcPr>
          <w:p>
            <w:pPr>
              <w:tabs>
                <w:tab w:val="left" w:pos="1650"/>
              </w:tabs>
              <w:jc w:val="center"/>
              <w:rPr>
                <w:b/>
                <w:bCs/>
                <w:color w:val="FF0000"/>
              </w:rPr>
            </w:pPr>
            <w:r>
              <w:rPr>
                <w:b/>
                <w:bCs/>
                <w:color w:val="FF0000"/>
              </w:rPr>
              <w:t>Evaluation</w:t>
            </w:r>
          </w:p>
        </w:tc>
        <w:tc>
          <w:tcPr>
            <w:tcW w:w="730" w:type="dxa"/>
            <w:shd w:val="clear" w:color="auto" w:fill="92D050"/>
            <w:noWrap/>
          </w:tcPr>
          <w:p>
            <w:pPr>
              <w:tabs>
                <w:tab w:val="left" w:pos="1650"/>
              </w:tabs>
            </w:pPr>
            <w:r>
              <w:t>75</w:t>
            </w:r>
          </w:p>
        </w:tc>
        <w:tc>
          <w:tcPr>
            <w:tcW w:w="709" w:type="dxa"/>
            <w:shd w:val="clear" w:color="auto" w:fill="auto"/>
          </w:tcPr>
          <w:p>
            <w:pPr>
              <w:tabs>
                <w:tab w:val="left" w:pos="1650"/>
              </w:tabs>
            </w:pPr>
          </w:p>
        </w:tc>
        <w:tc>
          <w:tcPr>
            <w:tcW w:w="852" w:type="dxa"/>
            <w:shd w:val="clear" w:color="auto" w:fill="92D050"/>
          </w:tcPr>
          <w:p>
            <w:pPr>
              <w:tabs>
                <w:tab w:val="left" w:pos="1650"/>
              </w:tabs>
            </w:pPr>
            <w:r>
              <w:t>62.5</w:t>
            </w:r>
          </w:p>
        </w:tc>
        <w:tc>
          <w:tcPr>
            <w:tcW w:w="708" w:type="dxa"/>
            <w:shd w:val="clear" w:color="auto" w:fill="auto"/>
          </w:tcPr>
          <w:p>
            <w:pPr>
              <w:tabs>
                <w:tab w:val="left" w:pos="1650"/>
              </w:tabs>
            </w:pPr>
          </w:p>
        </w:tc>
        <w:tc>
          <w:tcPr>
            <w:tcW w:w="709" w:type="dxa"/>
            <w:shd w:val="clear" w:color="auto" w:fill="92D050"/>
          </w:tcPr>
          <w:p>
            <w:pPr>
              <w:tabs>
                <w:tab w:val="left" w:pos="1650"/>
              </w:tabs>
            </w:pPr>
            <w:r>
              <w:t>25</w:t>
            </w:r>
          </w:p>
        </w:tc>
        <w:tc>
          <w:tcPr>
            <w:tcW w:w="709" w:type="dxa"/>
            <w:shd w:val="clear" w:color="auto" w:fill="auto"/>
          </w:tcPr>
          <w:p>
            <w:pPr>
              <w:tabs>
                <w:tab w:val="left" w:pos="1650"/>
              </w:tabs>
            </w:pPr>
          </w:p>
        </w:tc>
        <w:tc>
          <w:tcPr>
            <w:tcW w:w="708" w:type="dxa"/>
            <w:shd w:val="clear" w:color="auto" w:fill="92D050"/>
          </w:tcPr>
          <w:p>
            <w:pPr>
              <w:tabs>
                <w:tab w:val="left" w:pos="1650"/>
              </w:tabs>
            </w:pPr>
            <w:r>
              <w:t>87.5</w:t>
            </w:r>
          </w:p>
        </w:tc>
        <w:tc>
          <w:tcPr>
            <w:tcW w:w="709" w:type="dxa"/>
            <w:shd w:val="clear" w:color="auto" w:fill="auto"/>
          </w:tcPr>
          <w:p>
            <w:pPr>
              <w:tabs>
                <w:tab w:val="left" w:pos="1650"/>
              </w:tabs>
            </w:pPr>
          </w:p>
        </w:tc>
        <w:tc>
          <w:tcPr>
            <w:tcW w:w="701" w:type="dxa"/>
            <w:shd w:val="clear" w:color="auto" w:fill="92D050"/>
          </w:tcPr>
          <w:p>
            <w:pPr>
              <w:tabs>
                <w:tab w:val="left" w:pos="1650"/>
              </w:tabs>
              <w:rPr>
                <w:sz w:val="24"/>
                <w:szCs w:val="24"/>
              </w:rPr>
            </w:pPr>
          </w:p>
        </w:tc>
        <w:tc>
          <w:tcPr>
            <w:tcW w:w="575" w:type="dxa"/>
            <w:shd w:val="clear" w:color="auto" w:fill="auto"/>
            <w:noWrap/>
          </w:tcPr>
          <w:p>
            <w:pPr>
              <w:tabs>
                <w:tab w:val="left" w:pos="1650"/>
              </w:tabs>
              <w:rPr>
                <w:sz w:val="24"/>
                <w:szCs w:val="24"/>
              </w:rPr>
            </w:pPr>
          </w:p>
        </w:tc>
      </w:tr>
      <w:tr>
        <w:trPr>
          <w:trHeight w:val="299"/>
        </w:trPr>
        <w:tc>
          <w:tcPr>
            <w:tcW w:w="1112" w:type="dxa"/>
            <w:noWrap/>
            <w:hideMark/>
          </w:tcPr>
          <w:p>
            <w:pPr>
              <w:tabs>
                <w:tab w:val="left" w:pos="1650"/>
              </w:tabs>
            </w:pPr>
          </w:p>
        </w:tc>
        <w:tc>
          <w:tcPr>
            <w:tcW w:w="3119" w:type="dxa"/>
            <w:gridSpan w:val="2"/>
            <w:noWrap/>
            <w:hideMark/>
          </w:tcPr>
          <w:p>
            <w:pPr>
              <w:tabs>
                <w:tab w:val="left" w:pos="1650"/>
              </w:tabs>
            </w:pPr>
            <w:r>
              <w:t>Note I/E</w:t>
            </w:r>
          </w:p>
        </w:tc>
        <w:tc>
          <w:tcPr>
            <w:tcW w:w="730" w:type="dxa"/>
            <w:shd w:val="clear" w:color="auto" w:fill="00B0F0"/>
            <w:noWrap/>
            <w:hideMark/>
          </w:tcPr>
          <w:p>
            <w:pPr>
              <w:tabs>
                <w:tab w:val="left" w:pos="1650"/>
              </w:tabs>
              <w:jc w:val="center"/>
            </w:pPr>
            <w:r>
              <w:t>75</w:t>
            </w:r>
          </w:p>
        </w:tc>
        <w:tc>
          <w:tcPr>
            <w:tcW w:w="709" w:type="dxa"/>
            <w:shd w:val="clear" w:color="auto" w:fill="00B0F0"/>
          </w:tcPr>
          <w:p>
            <w:pPr>
              <w:tabs>
                <w:tab w:val="left" w:pos="1650"/>
              </w:tabs>
            </w:pPr>
            <w:r>
              <w:t> 20</w:t>
            </w:r>
          </w:p>
        </w:tc>
        <w:tc>
          <w:tcPr>
            <w:tcW w:w="852" w:type="dxa"/>
            <w:shd w:val="clear" w:color="auto" w:fill="92D050"/>
          </w:tcPr>
          <w:p>
            <w:pPr>
              <w:tabs>
                <w:tab w:val="left" w:pos="1650"/>
              </w:tabs>
            </w:pPr>
            <w:r>
              <w:t> 62.5</w:t>
            </w:r>
          </w:p>
        </w:tc>
        <w:tc>
          <w:tcPr>
            <w:tcW w:w="708" w:type="dxa"/>
            <w:shd w:val="clear" w:color="auto" w:fill="92D050"/>
          </w:tcPr>
          <w:p>
            <w:pPr>
              <w:tabs>
                <w:tab w:val="left" w:pos="1650"/>
              </w:tabs>
            </w:pPr>
            <w:r>
              <w:t> 40</w:t>
            </w:r>
          </w:p>
        </w:tc>
        <w:tc>
          <w:tcPr>
            <w:tcW w:w="709" w:type="dxa"/>
          </w:tcPr>
          <w:p>
            <w:pPr>
              <w:tabs>
                <w:tab w:val="left" w:pos="1650"/>
              </w:tabs>
            </w:pPr>
            <w:r>
              <w:t> 25</w:t>
            </w:r>
          </w:p>
        </w:tc>
        <w:tc>
          <w:tcPr>
            <w:tcW w:w="709" w:type="dxa"/>
          </w:tcPr>
          <w:p>
            <w:pPr>
              <w:tabs>
                <w:tab w:val="left" w:pos="1650"/>
              </w:tabs>
            </w:pPr>
            <w:r>
              <w:t> 60</w:t>
            </w:r>
          </w:p>
        </w:tc>
        <w:tc>
          <w:tcPr>
            <w:tcW w:w="708" w:type="dxa"/>
          </w:tcPr>
          <w:p>
            <w:pPr>
              <w:tabs>
                <w:tab w:val="left" w:pos="1650"/>
              </w:tabs>
            </w:pPr>
            <w:r>
              <w:t> 87.5</w:t>
            </w:r>
          </w:p>
        </w:tc>
        <w:tc>
          <w:tcPr>
            <w:tcW w:w="709" w:type="dxa"/>
          </w:tcPr>
          <w:p>
            <w:pPr>
              <w:tabs>
                <w:tab w:val="left" w:pos="1650"/>
              </w:tabs>
            </w:pPr>
            <w:r>
              <w:t> 80</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p>
        </w:tc>
        <w:tc>
          <w:tcPr>
            <w:tcW w:w="3119" w:type="dxa"/>
            <w:gridSpan w:val="2"/>
            <w:noWrap/>
            <w:hideMark/>
          </w:tcPr>
          <w:p>
            <w:pPr>
              <w:tabs>
                <w:tab w:val="left" w:pos="1650"/>
              </w:tabs>
            </w:pPr>
            <w:r>
              <w:t>Fiabilité</w:t>
            </w:r>
          </w:p>
        </w:tc>
        <w:tc>
          <w:tcPr>
            <w:tcW w:w="1439" w:type="dxa"/>
            <w:gridSpan w:val="2"/>
            <w:shd w:val="clear" w:color="auto" w:fill="00B0F0"/>
            <w:noWrap/>
            <w:hideMark/>
          </w:tcPr>
          <w:p>
            <w:pPr>
              <w:tabs>
                <w:tab w:val="left" w:pos="1650"/>
              </w:tabs>
              <w:jc w:val="center"/>
            </w:pPr>
            <w:r>
              <w:t>47.5</w:t>
            </w:r>
          </w:p>
        </w:tc>
        <w:tc>
          <w:tcPr>
            <w:tcW w:w="1560" w:type="dxa"/>
            <w:gridSpan w:val="2"/>
            <w:shd w:val="clear" w:color="auto" w:fill="92D050"/>
          </w:tcPr>
          <w:p>
            <w:pPr>
              <w:tabs>
                <w:tab w:val="left" w:pos="1650"/>
              </w:tabs>
              <w:jc w:val="center"/>
            </w:pPr>
            <w:r>
              <w:t>51.25</w:t>
            </w:r>
          </w:p>
        </w:tc>
        <w:tc>
          <w:tcPr>
            <w:tcW w:w="1418" w:type="dxa"/>
            <w:gridSpan w:val="2"/>
            <w:shd w:val="clear" w:color="auto" w:fill="0070C0"/>
          </w:tcPr>
          <w:p>
            <w:pPr>
              <w:tabs>
                <w:tab w:val="left" w:pos="1650"/>
              </w:tabs>
              <w:jc w:val="center"/>
              <w:rPr>
                <w:sz w:val="24"/>
                <w:szCs w:val="24"/>
              </w:rPr>
            </w:pPr>
            <w:r>
              <w:rPr>
                <w:sz w:val="24"/>
                <w:szCs w:val="24"/>
              </w:rPr>
              <w:t>42.5</w:t>
            </w:r>
          </w:p>
        </w:tc>
        <w:tc>
          <w:tcPr>
            <w:tcW w:w="1417" w:type="dxa"/>
            <w:gridSpan w:val="2"/>
            <w:shd w:val="clear" w:color="auto" w:fill="7030A0"/>
          </w:tcPr>
          <w:p>
            <w:pPr>
              <w:tabs>
                <w:tab w:val="left" w:pos="1650"/>
              </w:tabs>
              <w:jc w:val="center"/>
              <w:rPr>
                <w:sz w:val="24"/>
                <w:szCs w:val="24"/>
              </w:rPr>
            </w:pPr>
            <w:r>
              <w:rPr>
                <w:sz w:val="24"/>
                <w:szCs w:val="24"/>
              </w:rPr>
              <w:t>83.75</w:t>
            </w:r>
          </w:p>
        </w:tc>
        <w:tc>
          <w:tcPr>
            <w:tcW w:w="1276" w:type="dxa"/>
            <w:gridSpan w:val="2"/>
          </w:tcPr>
          <w:p>
            <w:pPr>
              <w:tabs>
                <w:tab w:val="left" w:pos="1650"/>
              </w:tabs>
              <w:rPr>
                <w:sz w:val="24"/>
                <w:szCs w:val="24"/>
              </w:rPr>
            </w:pPr>
          </w:p>
        </w:tc>
      </w:tr>
    </w:tbl>
    <w:p>
      <w:pPr>
        <w:tabs>
          <w:tab w:val="left" w:pos="1650"/>
        </w:tabs>
        <w:spacing w:after="0" w:line="180" w:lineRule="auto"/>
        <w:ind w:left="142"/>
        <w:contextualSpacing/>
        <w:rPr>
          <w:b/>
          <w:bCs/>
          <w:u w:val="single"/>
        </w:rPr>
      </w:pPr>
    </w:p>
    <w:p>
      <w:pPr>
        <w:tabs>
          <w:tab w:val="left" w:pos="1650"/>
        </w:tabs>
        <w:spacing w:after="0" w:line="180" w:lineRule="auto"/>
        <w:ind w:left="142"/>
        <w:contextualSpacing/>
        <w:rPr>
          <w:b/>
          <w:bCs/>
          <w:u w:val="single"/>
        </w:rPr>
      </w:pPr>
      <w:r>
        <w:rPr>
          <w:b/>
          <w:bCs/>
          <w:u w:val="single"/>
        </w:rPr>
        <w:t xml:space="preserve">Métrique de mesure  : </w:t>
      </w:r>
    </w:p>
    <w:p>
      <w:pPr>
        <w:numPr>
          <w:ilvl w:val="0"/>
          <w:numId w:val="2"/>
        </w:numPr>
        <w:tabs>
          <w:tab w:val="left" w:pos="1650"/>
        </w:tabs>
        <w:spacing w:after="0" w:line="180" w:lineRule="auto"/>
        <w:contextualSpacing/>
      </w:pPr>
      <w:r>
        <w:t>Affectation des notes allant de zéro vers 1 à chaque mesure de moins bon vers le plus bon .</w:t>
      </w:r>
    </w:p>
    <w:p>
      <w:pPr>
        <w:numPr>
          <w:ilvl w:val="0"/>
          <w:numId w:val="2"/>
        </w:numPr>
        <w:tabs>
          <w:tab w:val="left" w:pos="1650"/>
        </w:tabs>
        <w:spacing w:after="0" w:line="180" w:lineRule="auto"/>
        <w:contextualSpacing/>
      </w:pPr>
      <w:r>
        <w:t>Faire la somme de chaque critère puis le multiplier par son confession.</w:t>
      </w:r>
    </w:p>
    <w:p>
      <w:pPr>
        <w:numPr>
          <w:ilvl w:val="0"/>
          <w:numId w:val="2"/>
        </w:numPr>
        <w:tabs>
          <w:tab w:val="left" w:pos="1650"/>
        </w:tabs>
        <w:spacing w:after="0" w:line="180" w:lineRule="auto"/>
        <w:contextualSpacing/>
      </w:pPr>
      <w:r>
        <w:t>Sommer tous les mesures critères puis les multiplier par le confession de l’attribut.</w:t>
      </w:r>
    </w:p>
    <w:p>
      <w:pPr>
        <w:ind w:left="360"/>
      </w:pPr>
    </w:p>
    <w:sectPr>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En-tte"/>
    </w:pPr>
    <w:r>
      <w:t>ISO 9126 – Groupe Discret – Mesure du critère Fiabilité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91D7F"/>
    <w:multiLevelType w:val="hybridMultilevel"/>
    <w:tmpl w:val="9B1272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3E906A9"/>
    <w:multiLevelType w:val="hybridMultilevel"/>
    <w:tmpl w:val="4D92359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35287">
      <w:bodyDiv w:val="1"/>
      <w:marLeft w:val="0"/>
      <w:marRight w:val="0"/>
      <w:marTop w:val="0"/>
      <w:marBottom w:val="0"/>
      <w:divBdr>
        <w:top w:val="none" w:sz="0" w:space="0" w:color="auto"/>
        <w:left w:val="none" w:sz="0" w:space="0" w:color="auto"/>
        <w:bottom w:val="none" w:sz="0" w:space="0" w:color="auto"/>
        <w:right w:val="none" w:sz="0" w:space="0" w:color="auto"/>
      </w:divBdr>
    </w:div>
    <w:div w:id="99646057">
      <w:bodyDiv w:val="1"/>
      <w:marLeft w:val="0"/>
      <w:marRight w:val="0"/>
      <w:marTop w:val="0"/>
      <w:marBottom w:val="0"/>
      <w:divBdr>
        <w:top w:val="none" w:sz="0" w:space="0" w:color="auto"/>
        <w:left w:val="none" w:sz="0" w:space="0" w:color="auto"/>
        <w:bottom w:val="none" w:sz="0" w:space="0" w:color="auto"/>
        <w:right w:val="none" w:sz="0" w:space="0" w:color="auto"/>
      </w:divBdr>
    </w:div>
    <w:div w:id="407659398">
      <w:bodyDiv w:val="1"/>
      <w:marLeft w:val="0"/>
      <w:marRight w:val="0"/>
      <w:marTop w:val="0"/>
      <w:marBottom w:val="0"/>
      <w:divBdr>
        <w:top w:val="none" w:sz="0" w:space="0" w:color="auto"/>
        <w:left w:val="none" w:sz="0" w:space="0" w:color="auto"/>
        <w:bottom w:val="none" w:sz="0" w:space="0" w:color="auto"/>
        <w:right w:val="none" w:sz="0" w:space="0" w:color="auto"/>
      </w:divBdr>
    </w:div>
    <w:div w:id="1140458540">
      <w:bodyDiv w:val="1"/>
      <w:marLeft w:val="0"/>
      <w:marRight w:val="0"/>
      <w:marTop w:val="0"/>
      <w:marBottom w:val="0"/>
      <w:divBdr>
        <w:top w:val="none" w:sz="0" w:space="0" w:color="auto"/>
        <w:left w:val="none" w:sz="0" w:space="0" w:color="auto"/>
        <w:bottom w:val="none" w:sz="0" w:space="0" w:color="auto"/>
        <w:right w:val="none" w:sz="0" w:space="0" w:color="auto"/>
      </w:divBdr>
    </w:div>
    <w:div w:id="1570654093">
      <w:bodyDiv w:val="1"/>
      <w:marLeft w:val="0"/>
      <w:marRight w:val="0"/>
      <w:marTop w:val="0"/>
      <w:marBottom w:val="0"/>
      <w:divBdr>
        <w:top w:val="none" w:sz="0" w:space="0" w:color="auto"/>
        <w:left w:val="none" w:sz="0" w:space="0" w:color="auto"/>
        <w:bottom w:val="none" w:sz="0" w:space="0" w:color="auto"/>
        <w:right w:val="none" w:sz="0" w:space="0" w:color="auto"/>
      </w:divBdr>
    </w:div>
    <w:div w:id="1745492665">
      <w:bodyDiv w:val="1"/>
      <w:marLeft w:val="0"/>
      <w:marRight w:val="0"/>
      <w:marTop w:val="0"/>
      <w:marBottom w:val="0"/>
      <w:divBdr>
        <w:top w:val="none" w:sz="0" w:space="0" w:color="auto"/>
        <w:left w:val="none" w:sz="0" w:space="0" w:color="auto"/>
        <w:bottom w:val="none" w:sz="0" w:space="0" w:color="auto"/>
        <w:right w:val="none" w:sz="0" w:space="0" w:color="auto"/>
      </w:divBdr>
    </w:div>
    <w:div w:id="1875922155">
      <w:bodyDiv w:val="1"/>
      <w:marLeft w:val="0"/>
      <w:marRight w:val="0"/>
      <w:marTop w:val="0"/>
      <w:marBottom w:val="0"/>
      <w:divBdr>
        <w:top w:val="none" w:sz="0" w:space="0" w:color="auto"/>
        <w:left w:val="none" w:sz="0" w:space="0" w:color="auto"/>
        <w:bottom w:val="none" w:sz="0" w:space="0" w:color="auto"/>
        <w:right w:val="none" w:sz="0" w:space="0" w:color="auto"/>
      </w:divBdr>
    </w:div>
    <w:div w:id="2041587524">
      <w:bodyDiv w:val="1"/>
      <w:marLeft w:val="0"/>
      <w:marRight w:val="0"/>
      <w:marTop w:val="0"/>
      <w:marBottom w:val="0"/>
      <w:divBdr>
        <w:top w:val="none" w:sz="0" w:space="0" w:color="auto"/>
        <w:left w:val="none" w:sz="0" w:space="0" w:color="auto"/>
        <w:bottom w:val="none" w:sz="0" w:space="0" w:color="auto"/>
        <w:right w:val="none" w:sz="0" w:space="0" w:color="auto"/>
      </w:divBdr>
    </w:div>
    <w:div w:id="205916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665</Words>
  <Characters>3662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zied</dc:creator>
  <cp:lastModifiedBy>zied</cp:lastModifiedBy>
  <cp:revision>9</cp:revision>
  <cp:lastPrinted>2016-01-20T13:43:00Z</cp:lastPrinted>
  <dcterms:created xsi:type="dcterms:W3CDTF">2016-01-20T10:18:00Z</dcterms:created>
  <dcterms:modified xsi:type="dcterms:W3CDTF">2016-02-24T10:50:00Z</dcterms:modified>
</cp:coreProperties>
</file>