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Pr>
        <w:jc w:val="center"/>
        <w:rPr>
          <w:rFonts w:hint="default" w:ascii="Times New Roman" w:hAnsi="Times New Roman" w:cs="Times New Roman"/>
          <w:b/>
          <w:color w:val="auto"/>
          <w:lang w:val="en-GB"/>
        </w:rPr>
      </w:pPr>
      <w:r>
        <w:rPr>
          <w:rFonts w:hint="default" w:ascii="Times New Roman" w:hAnsi="Times New Roman" w:cs="Times New Roman"/>
          <w:b/>
          <w:color w:val="auto"/>
          <w:lang w:val="en-GB"/>
        </w:rPr>
        <w:t xml:space="preserve">By Jacob John Williams </w:t>
      </w:r>
    </w:p>
    <w:p>
      <w:pPr>
        <w:jc w:val="center"/>
        <w:rPr>
          <w:rFonts w:hint="default" w:ascii="Times New Roman" w:hAnsi="Times New Roman" w:cs="Times New Roman"/>
          <w:b/>
          <w:color w:val="auto"/>
          <w:lang w:val="en-GB"/>
        </w:rPr>
      </w:pPr>
      <w:r>
        <w:rPr>
          <w:rFonts w:hint="default" w:ascii="Times New Roman" w:hAnsi="Times New Roman" w:cs="Times New Roman"/>
          <w:b/>
          <w:color w:val="auto"/>
          <w:lang w:val="en-GB"/>
        </w:rPr>
        <w:t xml:space="preserve">University of the West of England </w:t>
      </w:r>
    </w:p>
    <w:p>
      <w:pPr>
        <w:jc w:val="center"/>
        <w:rPr>
          <w:rFonts w:hint="default"/>
          <w:lang w:val="en-GB"/>
        </w:rPr>
      </w:pPr>
      <w:r>
        <w:rPr>
          <w:rFonts w:hint="default" w:ascii="Times New Roman" w:hAnsi="Times New Roman" w:cs="Times New Roman"/>
          <w:b/>
          <w:color w:val="auto"/>
          <w:lang w:val="en-GB"/>
        </w:rPr>
        <w:t>15008632</w:t>
      </w:r>
    </w:p>
    <w:p>
      <w:pPr>
        <w:rPr>
          <w:rFonts w:ascii="Times New Roman" w:hAnsi="Times New Roman" w:cs="Times New Roman"/>
          <w:b/>
          <w:color w:val="auto"/>
        </w:rPr>
      </w:pPr>
    </w:p>
    <w:p>
      <w:pPr>
        <w:rPr>
          <w:rFonts w:ascii="Times New Roman" w:hAnsi="Times New Roman" w:cs="Times New Roman"/>
          <w:b/>
          <w:color w:val="auto"/>
        </w:rPr>
        <w:sectPr>
          <w:pgSz w:w="11906" w:h="16838"/>
          <w:pgMar w:top="1440" w:right="1440" w:bottom="1440" w:left="1440" w:header="708" w:footer="708" w:gutter="0"/>
          <w:cols w:space="425" w:num="1"/>
          <w:docGrid w:linePitch="360" w:charSpace="0"/>
        </w:sectPr>
      </w:pPr>
    </w:p>
    <w:p>
      <w:pPr>
        <w:pStyle w:val="3"/>
        <w:rPr>
          <w:rFonts w:ascii="Times New Roman" w:hAnsi="Times New Roman" w:cs="Times New Roman"/>
          <w:b/>
        </w:rPr>
      </w:pPr>
      <w:r>
        <w:rPr>
          <w:rFonts w:ascii="Times New Roman" w:hAnsi="Times New Roman" w:cs="Times New Roman"/>
          <w:b/>
        </w:rPr>
        <w:t>1.0 Abstract</w:t>
      </w:r>
    </w:p>
    <w:p>
      <w:pPr>
        <w:ind w:firstLine="720" w:firstLineChars="0"/>
      </w:pPr>
      <w:r>
        <w:rPr>
          <w:rFonts w:hint="default"/>
          <w:lang w:val="en-GB"/>
        </w:rPr>
        <w:t>This paper reviews various threats to Critical Infrastructure from the last ten years, identifying their effect and operations within each sector. It then explores Critical Systems security methodologies, topologies, and devices. The final section of the paper is a brief look at newer standards and devices.</w:t>
      </w:r>
    </w:p>
    <w:p>
      <w:pPr>
        <w:pStyle w:val="3"/>
        <w:rPr>
          <w:rFonts w:ascii="Times New Roman" w:hAnsi="Times New Roman" w:cs="Times New Roman"/>
          <w:b/>
        </w:rPr>
      </w:pPr>
      <w:r>
        <w:rPr>
          <w:rFonts w:ascii="Times New Roman" w:hAnsi="Times New Roman" w:cs="Times New Roman"/>
          <w:b/>
        </w:rPr>
        <w:t>2.0 Introduction</w:t>
      </w:r>
    </w:p>
    <w:p>
      <w:pPr>
        <w:ind w:firstLine="720" w:firstLineChars="0"/>
        <w:rPr>
          <w:rFonts w:hint="default"/>
          <w:lang w:val="en-GB"/>
        </w:rPr>
      </w:pPr>
      <w:r>
        <w:rPr>
          <w:rFonts w:hint="default"/>
          <w:lang w:val="en-GB"/>
        </w:rPr>
        <w:t>Critical Infrastructure has existed for a long time, and the industrial control systems as we know them have existed from the mid-20th century. It was only up until recently that the key problem with industrial control systems was centred around operational hazards and the over all speed of the systems, but with the progression of technology bought more sophisticated ways to go about implementing such systems and automating parts of the process. This however bought many perils with it, some of which were unforeseeable. This paper will look at the threats that are directed at industrial control systems, as well as technologies and topologies to prevent attacks both already established and up-and-coming.</w:t>
      </w:r>
    </w:p>
    <w:p/>
    <w:p>
      <w:pPr>
        <w:pStyle w:val="3"/>
        <w:rPr>
          <w:rFonts w:ascii="Times New Roman" w:hAnsi="Times New Roman" w:cs="Times New Roman"/>
          <w:b/>
        </w:rPr>
      </w:pPr>
      <w:r>
        <w:rPr>
          <w:rFonts w:ascii="Times New Roman" w:hAnsi="Times New Roman" w:cs="Times New Roman"/>
          <w:b/>
        </w:rPr>
        <w:t>3.0 Threat Landscape</w:t>
      </w:r>
    </w:p>
    <w:p>
      <w:pPr>
        <w:ind w:firstLine="720" w:firstLineChars="0"/>
      </w:pPr>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pPr>
        <w:ind w:firstLine="720" w:firstLineChars="0"/>
      </w:pPr>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r>
        <w:rPr>
          <w:rFonts w:hint="default"/>
          <w:lang w:val="en-GB"/>
        </w:rPr>
        <w:t xml:space="preserve"> </w:t>
      </w:r>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pPr>
        <w:ind w:firstLine="720" w:firstLineChars="0"/>
      </w:pPr>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r>
        <w:rPr>
          <w:rFonts w:hint="default"/>
          <w:lang w:val="en-GB"/>
        </w:rPr>
        <w:t xml:space="preserve"> </w:t>
      </w:r>
      <w:r>
        <w:t xml:space="preserve">The reason this threat is particularly notable is its method of initial infection, phishing emails. These emails are considered a form of social engineering, playing on operational, financial, or </w:t>
      </w:r>
      <w:r>
        <w:rPr>
          <w:lang w:val="en"/>
        </w:rPr>
        <w:t>empathetic</w:t>
      </w:r>
      <w:r>
        <w:t xml:space="preserve"> factors in order to get the target to download the malicious file or follow the suspicious link.</w:t>
      </w:r>
    </w:p>
    <w:p>
      <w:pPr>
        <w:ind w:firstLine="720" w:firstLineChars="0"/>
      </w:pPr>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r>
        <w:rPr>
          <w:rFonts w:hint="default"/>
          <w:lang w:val="en-GB"/>
        </w:rPr>
        <w:t xml:space="preserve"> </w:t>
      </w:r>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ind w:firstLine="720" w:firstLineChars="0"/>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ind w:firstLine="720" w:firstLineChars="0"/>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w:t>
      </w:r>
    </w:p>
    <w:p>
      <w:pPr>
        <w:ind w:firstLine="720" w:firstLineChars="0"/>
        <w:rPr>
          <w:rFonts w:hint="default"/>
          <w:lang w:val="en-GB"/>
        </w:rPr>
      </w:pPr>
      <w:r>
        <w:rPr>
          <w:rFonts w:hint="default"/>
          <w:lang w:val="en-GB"/>
        </w:rPr>
        <w:t xml:space="preserve">A third case study for threats to Critical Systems is Stuxnet, a malware that some would disagree with calling a malware. Often referred to as the worlds first cyber-weapon, Stuxnet was a combination of numerous vulnerability exploits, including four zero days. Stuxnet would propagate through the air gap between networks via the exploitation of the LNK vulnerability, when a USB was inserted into a computer already infected with Stuxnet, it would rewrite Windows shortcut files to check for and install Stuxnet on the next device plugged into. Given this, Stuxnet would often enter into networks via a willing or unwilling third party. Once in a network, Stuxnet would propagate in a number of ways: A WinCC exploit targeting hard-coded passwords; the Print Spooler Zero Day (MS10-061) which allowed it to copy itself over networks using a compromised DLL; the Windows Server Service Vulnerability (MS08-067) in which it connected over Server Message Block (SMB) and sends a malformed path string allowing arbitrary execution to copy itself onto un-patched machines. Once it had infected a machine, it would install a Remote Procedure Call (RPC) server and client, using this it would communicate with other infected machines over the network to coordinate updates. This meaning that if a newer version of Stuxnet was introduced into the network, it could very quickly propagate it new features without having to re-compromise the machines. Using these network propagation methods and the air-gap USB drive method it would eventually enter the control sector, where it would then begin its attack </w:t>
      </w:r>
      <w:r>
        <w:rPr>
          <w:rFonts w:hint="default"/>
          <w:i/>
          <w:iCs/>
          <w:lang w:val="en-GB"/>
        </w:rPr>
        <w:t>(Falliere et al, 2011)</w:t>
      </w:r>
      <w:r>
        <w:rPr>
          <w:rFonts w:hint="default"/>
          <w:lang w:val="en-GB"/>
        </w:rPr>
        <w:t>.</w:t>
      </w:r>
    </w:p>
    <w:p>
      <w:pPr>
        <w:pStyle w:val="4"/>
        <w:rPr>
          <w:sz w:val="24"/>
          <w:szCs w:val="24"/>
        </w:rPr>
      </w:pPr>
      <w:r>
        <w:rPr>
          <w:sz w:val="24"/>
          <w:szCs w:val="24"/>
        </w:rPr>
        <w:t>3.2 Control Sector</w:t>
      </w:r>
    </w:p>
    <w:p>
      <w:pPr>
        <w:ind w:firstLine="720" w:firstLineChars="0"/>
      </w:pPr>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pPr>
        <w:ind w:firstLine="720" w:firstLineChars="0"/>
      </w:pPr>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ind w:firstLine="720" w:firstLineChars="0"/>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 During this period, attackers would also perform a remote telephone denial-of-service attack to prevent communication between the companies and customers, the objective of this particular part of attack is subject to debate.</w:t>
      </w:r>
    </w:p>
    <w:p>
      <w:pPr>
        <w:ind w:firstLine="720" w:firstLineChars="0"/>
        <w:rPr>
          <w:rFonts w:hint="default"/>
          <w:lang w:val="en-GB"/>
        </w:rPr>
      </w:pPr>
      <w:r>
        <w:rPr>
          <w:rFonts w:hint="default"/>
          <w:lang w:val="en-GB"/>
        </w:rPr>
        <w:t xml:space="preserve">When Stuxnet enters the control sector it would propagate through the aforementioned means but also perform the first stage of its attack vector, it would infect project files belonging to Siemens WinCC/PCS 7 SCADA control software. It would then intercept communication between WinCC and the target PLC devices, doing this, Stuxnet is able to install itself onto target PLC devices in the same way that the usual Step 7 project might be deployed. Using the same communication exploit, it would mask itself from WinCC if the control software attempted to read an infected block of memory. Once installed on the PLC’s and therefore in the field sector, it would perform its key objective </w:t>
      </w:r>
      <w:r>
        <w:rPr>
          <w:rFonts w:hint="default"/>
          <w:i/>
          <w:iCs/>
          <w:lang w:val="en-GB"/>
        </w:rPr>
        <w:t>(Falliere et al, 2011)</w:t>
      </w:r>
      <w:r>
        <w:rPr>
          <w:rFonts w:hint="default"/>
          <w:lang w:val="en-GB"/>
        </w:rPr>
        <w:t>.</w:t>
      </w:r>
    </w:p>
    <w:p>
      <w:pPr>
        <w:pStyle w:val="4"/>
        <w:rPr>
          <w:sz w:val="24"/>
          <w:szCs w:val="24"/>
        </w:rPr>
      </w:pPr>
      <w:r>
        <w:rPr>
          <w:rFonts w:hint="default" w:ascii="Times New Roman" w:hAnsi="Times New Roman" w:cs="Times New Roman"/>
          <w:sz w:val="24"/>
          <w:szCs w:val="24"/>
        </w:rPr>
        <w:t>3.3 Field Sector</w:t>
      </w:r>
    </w:p>
    <w:p>
      <w:pPr>
        <w:ind w:firstLine="720" w:firstLineChars="0"/>
      </w:pPr>
      <w:r>
        <w:t>This sector is where the Programmable Logic Controllers (PLC) and the Remote Terminal Units (RTU) interact and control various machinery. It is connected to the Control Sector alone via serial-based radio communication.</w:t>
      </w:r>
    </w:p>
    <w:p>
      <w:pPr>
        <w:ind w:firstLine="720" w:firstLineChars="0"/>
      </w:pPr>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ind w:firstLine="720" w:firstLineChars="0"/>
        <w:rPr>
          <w:rFonts w:hint="default"/>
          <w:lang w:val="en-GB"/>
        </w:rPr>
      </w:pPr>
      <w:r>
        <w:rPr>
          <w:rFonts w:hint="default"/>
          <w:lang w:val="en-GB"/>
        </w:rPr>
        <w:t>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w:t>
      </w:r>
    </w:p>
    <w:p>
      <w:pPr>
        <w:ind w:firstLine="720" w:firstLineChars="0"/>
        <w:rPr>
          <w:rFonts w:hint="default"/>
          <w:lang w:val="en-GB"/>
        </w:rPr>
      </w:pPr>
      <w:r>
        <w:rPr>
          <w:rFonts w:hint="default"/>
          <w:lang w:val="en-GB"/>
        </w:rPr>
        <w:t xml:space="preserve">Stuxnet has a completely different objective to the previous case studies in the Field Sector. For the most part the previous cases didn’t directly affect the Field Sector, but rather denied access to it via its operations in the Control Sector. This is in part due to the devices in the Field Sector being limited in memory and therefore complex to attack, or simply because the attacks were not intended to attack them. Stuxnet is programmed to target particular SCADA configurations, meaning that unless the PLC is identified as its target it will remain dormant. In the original case of Stuxnet, once it had attached to the Siemens S7-300 system and identified PLC systems from the Vacon or Fararo Paya vendors that run between 807 and 1210 Hz, it would frequently modify the frequency from 1410 to 2 to 1064 Hz. This would cause the physical destruction of the centrifuges controlled by the PLCs </w:t>
      </w:r>
      <w:r>
        <w:rPr>
          <w:rFonts w:hint="default"/>
          <w:i/>
          <w:iCs/>
          <w:lang w:val="en-GB"/>
        </w:rPr>
        <w:t>(Falliere et al, 2011)</w:t>
      </w:r>
      <w:r>
        <w:rPr>
          <w:rFonts w:hint="default"/>
          <w:lang w:val="en-GB"/>
        </w:rPr>
        <w:t>.</w:t>
      </w:r>
    </w:p>
    <w:p>
      <w:pPr>
        <w:pStyle w:val="4"/>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3.4 Methodologies and Technologies By Killchain Stages</w:t>
      </w:r>
    </w:p>
    <w:p>
      <w:pPr>
        <w:ind w:firstLine="720" w:firstLineChars="0"/>
        <w:rPr>
          <w:rFonts w:hint="default"/>
          <w:i/>
          <w:iCs/>
          <w:lang w:val="en-GB"/>
        </w:rPr>
      </w:pPr>
      <w:r>
        <w:rPr>
          <w:rFonts w:hint="default"/>
          <w:lang w:val="en"/>
        </w:rPr>
        <w:t xml:space="preserve">The previous section detailed threat capabilities on a case study basis, for a broad overview of various technologies and methodologies used in a variety of attacks refer to </w:t>
      </w:r>
      <w:r>
        <w:rPr>
          <w:rFonts w:hint="default"/>
          <w:i/>
          <w:iCs/>
          <w:lang w:val="en"/>
        </w:rPr>
        <w:t>Appendix A</w:t>
      </w:r>
      <w:r>
        <w:rPr>
          <w:rFonts w:hint="default"/>
          <w:lang w:val="en"/>
        </w:rPr>
        <w:t xml:space="preserve">. All information is drawn from </w:t>
      </w:r>
      <w:r>
        <w:rPr>
          <w:rFonts w:hint="default"/>
          <w:i/>
          <w:iCs/>
          <w:lang w:val="en"/>
        </w:rPr>
        <w:t>Tarun and Yadav (2016)</w:t>
      </w:r>
      <w:r>
        <w:rPr>
          <w:rFonts w:hint="default"/>
          <w:i/>
          <w:iCs/>
          <w:lang w:val="en-GB"/>
        </w:rPr>
        <w:t>.</w:t>
      </w:r>
    </w:p>
    <w:p>
      <w:pPr>
        <w:pStyle w:val="3"/>
        <w:bidi w:val="0"/>
        <w:rPr>
          <w:rFonts w:hint="default" w:ascii="Times New Roman" w:hAnsi="Times New Roman" w:cs="Times New Roman"/>
          <w:b/>
          <w:bCs/>
        </w:rPr>
      </w:pPr>
      <w:r>
        <w:rPr>
          <w:rFonts w:hint="default" w:ascii="Times New Roman" w:hAnsi="Times New Roman" w:cs="Times New Roman"/>
          <w:b/>
          <w:bCs/>
        </w:rPr>
        <w:t>4.0 Security Approaches</w:t>
      </w:r>
    </w:p>
    <w:p>
      <w:pPr>
        <w:ind w:firstLine="720" w:firstLineChars="0"/>
        <w:rPr>
          <w:rFonts w:hint="default"/>
          <w:lang w:val="en-GB"/>
        </w:rPr>
      </w:pPr>
      <w:r>
        <w:rPr>
          <w:rFonts w:hint="default"/>
          <w:lang w:val="en-GB"/>
        </w:rPr>
        <w:t xml:space="preserve">Security in critical systems is primarily concerned with the intercommunication of devices and the networks at large, physical intrusion through either a willing or unwilling party is difficult to protect against due to its unpredictability, meaning the priority of network security in critical systems is to prevent mapping and subsequent propagation. NIST (2015) defines numerous methods of implementing security among ICS networks, where most of the content in this section will be garnered from. More recently the BSI (2019) have also defined a document detailing security standards, however this document is still in production and while there are numerous available drafts, using its contents in this paper may be difficult. </w:t>
      </w:r>
    </w:p>
    <w:p>
      <w:pPr>
        <w:ind w:firstLine="720" w:firstLineChars="0"/>
        <w:rPr>
          <w:rFonts w:hint="default"/>
          <w:lang w:val="en-GB"/>
        </w:rPr>
      </w:pPr>
      <w:r>
        <w:rPr>
          <w:rFonts w:hint="default"/>
          <w:lang w:val="en-GB"/>
        </w:rPr>
        <w:t>As seen in the threat landscapes section of this paper, most threats appear to begin their attack vector through the Enterprise sector, often introduced through a willing or unwilling third party, but it is then the applications and protocols within the Enterprise Sector that allow it to pivot into the Control Sector. Due to this one must make a substantial design choice, if the Enterprise and Control Sector are completely disconnected then it removes a lot of work and attack vectors. It is often the case however that separating the two entirely is out of the question, due to the cost of ICS installation and maintaining a homogeneous network infrastructure requiring a connection between the two (NIST, 2015). This connection does present a significant security risk, and should be monitored by Boundary Protection devices, which will be detailed later.</w:t>
      </w:r>
    </w:p>
    <w:p>
      <w:pPr>
        <w:ind w:firstLine="720" w:firstLineChars="0"/>
        <w:rPr>
          <w:rFonts w:hint="default"/>
          <w:i w:val="0"/>
          <w:iCs w:val="0"/>
          <w:lang w:val="en-GB"/>
        </w:rPr>
      </w:pPr>
      <w:r>
        <w:rPr>
          <w:rFonts w:hint="default"/>
          <w:lang w:val="en-GB"/>
        </w:rPr>
        <w:t xml:space="preserve">Before exploring devices used to create security, one must explore a concept broached in the previous paragraph, the separation of the networks contributes greatly towards the deployment of security devices. NIST (2015), defines this as </w:t>
      </w:r>
      <w:r>
        <w:rPr>
          <w:rFonts w:hint="default"/>
          <w:i/>
          <w:iCs/>
          <w:lang w:val="en-GB"/>
        </w:rPr>
        <w:t>“Network Segmentation and Segregation”</w:t>
      </w:r>
      <w:r>
        <w:rPr>
          <w:rFonts w:hint="default"/>
          <w:i w:val="0"/>
          <w:iCs w:val="0"/>
          <w:lang w:val="en-GB"/>
        </w:rPr>
        <w:t xml:space="preserve">, working to establish security domains managed by the same authority, enforcing the same policy, and having a uniform level of trust. Typically the segmentation and segregation is implemented at the gateways between domains. For the most part, this paper has already utilised the standard separation in its format, separating into the Enterprise, Control, and Field networks and implementing security between them. There are three different types of separation, viewable in Appendix B, but for the most part we will be looking at Network Traffic Filtering as a methodology and its technologies. Regardless of methodology or technology, there are four key concepts that implement </w:t>
      </w:r>
      <w:r>
        <w:rPr>
          <w:rFonts w:hint="default"/>
          <w:i/>
          <w:iCs/>
          <w:lang w:val="en-GB"/>
        </w:rPr>
        <w:t xml:space="preserve">Defense-In-Depth </w:t>
      </w:r>
      <w:r>
        <w:rPr>
          <w:rFonts w:hint="default"/>
          <w:i w:val="0"/>
          <w:iCs w:val="0"/>
          <w:lang w:val="en-GB"/>
        </w:rPr>
        <w:t>by providing good segmentation and segregation. Firstly, apply technologies at more than one layer to broaden security. Secondly, use the principles of least privilege and need-to-know in order to organise your structure. Thirdly, separate information and infrastructure based on security requirements. Fourthly and finally, implement white-listing rather than black-listing, you should be in control of who enters the network not attempting to determine who shouldn’t be entering.</w:t>
      </w:r>
    </w:p>
    <w:p>
      <w:pPr>
        <w:ind w:firstLine="720" w:firstLineChars="0"/>
        <w:rPr>
          <w:rFonts w:hint="default"/>
          <w:i w:val="0"/>
          <w:iCs w:val="0"/>
          <w:lang w:val="en-GB"/>
        </w:rPr>
      </w:pPr>
      <w:r>
        <w:rPr>
          <w:rFonts w:hint="default"/>
          <w:i w:val="0"/>
          <w:iCs w:val="0"/>
          <w:lang w:val="en-GB"/>
        </w:rPr>
        <w:t>Boundary Protection is the concept of implementing security devices on the connections between the sectors in order to control what is passing amongst them. In essence, Boundary Protection Devices determine whether data transfer is permitted by examining the data or meta-data. The first kind of device is the most known, the Fire Wall. These devices restrict ICS inter-sub-network communications and prevent unauthorised access to the respective systems and resources within the more sensitive areas. There are three types of Fire Wall, the first is Packet Filtering which operates at the Network Layer (layer 3) and is a routing device that includes access control functionality for system addresses and communication sessions. Packet Filtering Fire Walls check the basic information in each packet, such as IP address, and can either drop, forward, or message the origin. The draw back of this type is the overhead created by checking process, which is considerable for a network that relies on its near instantaneous updates. The next type is Stateful Inspection, which operates at the Network (layer 3) and Transport (layer 4) layers, and it contains functions to evaluate the contents of the packets on both layers against rule sets in order to confirm legitimacy. The third type is Application Proxy Gateway, operating at the Application Layer (Layer 7), and it examines the packets being pass among the applications, filtering based on rulesets. It offers high level of security, but also a considerable overhead. Fire Walls are known as Dual-Homed devices, meaning they exist in two different networks at once, and in ICS they should be the only Dual-Homed devices.</w:t>
      </w:r>
    </w:p>
    <w:p>
      <w:pPr>
        <w:ind w:firstLine="720" w:firstLineChars="0"/>
        <w:rPr>
          <w:rFonts w:hint="default"/>
          <w:i w:val="0"/>
          <w:iCs w:val="0"/>
          <w:lang w:val="en-GB"/>
        </w:rPr>
      </w:pPr>
      <w:r>
        <w:rPr>
          <w:rFonts w:hint="default"/>
          <w:i w:val="0"/>
          <w:iCs w:val="0"/>
          <w:lang w:val="en-GB"/>
        </w:rPr>
        <w:t xml:space="preserve">Another form of Boundary Protection is the Demilitarized Zone (DMZ), which is a host or network segment that acts as a neutral zone between security domains. Such zones are created to allow for greater control and monitoring of traffic between two sectors by enforcing the domains information security policy for information exchange. It also works to provide sectors with access to devices in other sectors while shielding the sectors from external threats. NIST (2015) defines a number of roles the DMZ can fill, but the key ones are </w:t>
      </w:r>
    </w:p>
    <w:p>
      <w:pPr>
        <w:numPr>
          <w:ilvl w:val="0"/>
          <w:numId w:val="1"/>
        </w:numPr>
        <w:ind w:left="425" w:leftChars="0" w:hanging="425" w:firstLineChars="0"/>
        <w:rPr>
          <w:rFonts w:hint="default"/>
          <w:i w:val="0"/>
          <w:iCs w:val="0"/>
          <w:lang w:val="en-GB"/>
        </w:rPr>
      </w:pPr>
      <w:r>
        <w:rPr>
          <w:rFonts w:hint="default"/>
          <w:i w:val="0"/>
          <w:iCs w:val="0"/>
          <w:lang w:val="en-GB"/>
        </w:rPr>
        <w:t>Implementing a white-list policy.</w:t>
      </w:r>
    </w:p>
    <w:p>
      <w:pPr>
        <w:numPr>
          <w:ilvl w:val="0"/>
          <w:numId w:val="1"/>
        </w:numPr>
        <w:ind w:left="425" w:leftChars="0" w:hanging="425" w:firstLineChars="0"/>
        <w:rPr>
          <w:rFonts w:hint="default"/>
          <w:i w:val="0"/>
          <w:iCs w:val="0"/>
          <w:lang w:val="en-GB"/>
        </w:rPr>
      </w:pPr>
      <w:r>
        <w:rPr>
          <w:rFonts w:hint="default"/>
          <w:i w:val="0"/>
          <w:iCs w:val="0"/>
          <w:lang w:val="en-GB"/>
        </w:rPr>
        <w:t>Implementing Proxy servers as intermediaries.</w:t>
      </w:r>
    </w:p>
    <w:p>
      <w:pPr>
        <w:numPr>
          <w:ilvl w:val="0"/>
          <w:numId w:val="1"/>
        </w:numPr>
        <w:ind w:left="425" w:leftChars="0" w:hanging="425" w:firstLineChars="0"/>
        <w:rPr>
          <w:rFonts w:hint="default"/>
          <w:i w:val="0"/>
          <w:iCs w:val="0"/>
          <w:lang w:val="en-GB"/>
        </w:rPr>
      </w:pPr>
      <w:r>
        <w:rPr>
          <w:rFonts w:hint="default"/>
          <w:i w:val="0"/>
          <w:iCs w:val="0"/>
          <w:lang w:val="en-GB"/>
        </w:rPr>
        <w:t>Preventing data exfiltration with packet inspection.</w:t>
      </w:r>
    </w:p>
    <w:p>
      <w:pPr>
        <w:numPr>
          <w:numId w:val="0"/>
        </w:numPr>
        <w:spacing w:after="160" w:line="259" w:lineRule="auto"/>
        <w:ind w:firstLine="720" w:firstLineChars="0"/>
        <w:rPr>
          <w:rFonts w:hint="default"/>
          <w:i w:val="0"/>
          <w:iCs w:val="0"/>
          <w:lang w:val="en-GB"/>
        </w:rPr>
      </w:pPr>
      <w:r>
        <w:rPr>
          <w:rFonts w:hint="default"/>
          <w:i w:val="0"/>
          <w:iCs w:val="0"/>
          <w:lang w:val="en-GB"/>
        </w:rPr>
        <w:t>These two methods of boundary protection are the key to creating a secure ICS network. Combining these, along with routers and our method of network segregation we can look at how to position them. NIST (2015) recommends placing a router leading into a Fire Wall between the Enterprise Sector and the Control Sector. The router offering basic packet filtering capabilities and the Fire Wall performing more heavy duty content analysis to provide secure communications. Between the Control and Field sectors, NIST (2015) recommends a Fire Wall leading into a DMZ containing the Data Historian and the Data Server, which then leads into secondary Fire Wall. The contents of the DMZ are devices frequently accessed by both sectors, and therefore accessible by both through only a singular Fire Wall. The first Fire Wall blocks arbitrary packets, and the second Fire Wall can prevent unwanted traffic from a compromised server from entering the control network, and prevent control network traffic from impacting the shared server (NIST, 2015).</w:t>
      </w:r>
    </w:p>
    <w:p>
      <w:pPr>
        <w:numPr>
          <w:numId w:val="0"/>
        </w:numPr>
        <w:spacing w:after="160" w:line="259" w:lineRule="auto"/>
        <w:ind w:firstLine="720" w:firstLineChars="0"/>
        <w:rPr>
          <w:rFonts w:hint="default"/>
          <w:i w:val="0"/>
          <w:iCs w:val="0"/>
          <w:lang w:val="en-GB"/>
        </w:rPr>
      </w:pPr>
      <w:r>
        <w:rPr>
          <w:rFonts w:hint="default"/>
          <w:i w:val="0"/>
          <w:iCs w:val="0"/>
          <w:lang w:val="en-GB"/>
        </w:rPr>
        <w:t>The essence of deploying security in an ICS system is to make life as difficult as possible for would be attackers, which is why implementations often contain more than a singular Fire Wall. In short, the more changes to detect or at least delay the attacker, the better.</w:t>
      </w:r>
    </w:p>
    <w:p>
      <w:pPr>
        <w:pStyle w:val="3"/>
        <w:rPr>
          <w:rFonts w:ascii="Times New Roman" w:hAnsi="Times New Roman" w:cs="Times New Roman"/>
          <w:b/>
        </w:rPr>
      </w:pPr>
      <w:r>
        <w:rPr>
          <w:rFonts w:ascii="Times New Roman" w:hAnsi="Times New Roman" w:cs="Times New Roman"/>
          <w:b/>
        </w:rPr>
        <w:t>5.0 Improving Security</w:t>
      </w:r>
    </w:p>
    <w:p>
      <w:pPr>
        <w:ind w:firstLine="720" w:firstLineChars="0"/>
        <w:rPr>
          <w:rFonts w:hint="default"/>
          <w:lang w:val="en-GB"/>
        </w:rPr>
      </w:pPr>
      <w:r>
        <w:rPr>
          <w:rFonts w:hint="default"/>
          <w:lang w:val="en-GB"/>
        </w:rPr>
        <w:t>Critical Systems differs from no other area in Cyber Security when it comes to an exponential growth of innovation and devices, in this section we will broach some of the newer devices and methodologies being created or utilised.</w:t>
      </w:r>
    </w:p>
    <w:p>
      <w:pPr>
        <w:ind w:firstLine="720" w:firstLineChars="0"/>
        <w:rPr>
          <w:rFonts w:hint="default"/>
          <w:lang w:val="en-GB"/>
        </w:rPr>
      </w:pPr>
      <w:r>
        <w:rPr>
          <w:rFonts w:hint="default"/>
          <w:lang w:val="en-GB"/>
        </w:rPr>
        <w:t>Mentioned briefly in the previous section of this paper was the British Standards Institute implementation of the NIST (2015) standards in the European zone. These standards will be more up to date than the NIST ones, as by the time the standards are finalized and version one is published, it will be five years younger than the NIST standards. Furthermore, after reading through and comparing the two briefly, it would seem that thus far BSI (2019) is more detailed and explicit than NIST (2015).</w:t>
      </w:r>
    </w:p>
    <w:p>
      <w:pPr>
        <w:ind w:firstLine="720" w:firstLineChars="0"/>
        <w:rPr>
          <w:rFonts w:hint="default"/>
          <w:lang w:val="en-GB"/>
        </w:rPr>
      </w:pPr>
      <w:r>
        <w:rPr>
          <w:rFonts w:hint="default"/>
          <w:lang w:val="en-GB"/>
        </w:rPr>
        <w:t>A further technology being developed is Toshiba’s CYTHEMIS, a device that is utilised to visualize control systems and industrial production systems in a single control platform. The CYTHEMIS boasts an End-to-End security solution to protect critical infrastructure control systems and industrial control systems that utilize IoT. The end-to-end solution includes numerous external hardware devices and softwares, allowing for security against authorized access and malware infections between its endpoints, all whilst being visualized, as well as preventing USB propagation. The CYTHEMIS hardware devices sit between the network and the varying devices, essentially monitoring and controlling the input and output of the device. Because of the network based characteristic, Toshiba boasts the ability to secure even older operating systems and equipments including legacy systems and discontinued platforms. This boast is hard to contest, given the physical nature of the device one would not have to update or patch the actual system itself, but merely the security device. What sort of overhead this device presents is unknown, as little documentation exists about it. One could also argue that the concept of supporting legacy systems with newer security measures is counter-productive, as it may encourage the use of older systems for cost effectiveness despite them being a danger to the network or even the workers around them.</w:t>
      </w:r>
    </w:p>
    <w:p>
      <w:pPr>
        <w:pStyle w:val="3"/>
        <w:rPr>
          <w:rFonts w:ascii="Times New Roman" w:hAnsi="Times New Roman" w:cs="Times New Roman"/>
          <w:b/>
          <w:bCs/>
        </w:rPr>
      </w:pPr>
      <w:r>
        <w:rPr>
          <w:rFonts w:ascii="Times New Roman" w:hAnsi="Times New Roman" w:cs="Times New Roman"/>
          <w:b/>
          <w:bCs/>
        </w:rPr>
        <w:t>6.0 Conclusion</w:t>
      </w:r>
    </w:p>
    <w:p>
      <w:pPr>
        <w:spacing w:line="240" w:lineRule="auto"/>
        <w:rPr>
          <w:rFonts w:hint="default" w:ascii="Calibri" w:hAnsi="Calibri" w:cs="Calibri"/>
          <w:b w:val="0"/>
          <w:bCs w:val="0"/>
          <w:lang w:val="en-GB"/>
        </w:rPr>
        <w:sectPr>
          <w:type w:val="continuous"/>
          <w:pgSz w:w="11906" w:h="16838"/>
          <w:pgMar w:top="720" w:right="720" w:bottom="720" w:left="720" w:header="708" w:footer="708" w:gutter="0"/>
          <w:cols w:equalWidth="0" w:num="2">
            <w:col w:w="5020" w:space="425"/>
            <w:col w:w="5020"/>
          </w:cols>
          <w:docGrid w:linePitch="360" w:charSpace="0"/>
        </w:sectPr>
      </w:pPr>
      <w:r>
        <w:rPr>
          <w:rFonts w:hint="default" w:ascii="Calibri" w:hAnsi="Calibri" w:cs="Calibri"/>
          <w:b w:val="0"/>
          <w:bCs w:val="0"/>
          <w:lang w:val="en-GB"/>
        </w:rPr>
        <w:t>Critical Systems have existed for a long time, and before the sharp rise of malware and the utilisation of computing on a world stage it had little to worry about in terms of network security, instead often focusing on the risks within; such as insider threats and corporate espionage. But this has changed, Control and Industrial systems have changed along with all other technologies and with it has it brought many dangers unrecognised until exploited. Before Stuxnet nobody thought about the possibility of utilising a malware as a precision weapon for targeting manufacturers, before the Ukrainian Power Grid hack not many considered the impact a coordinated and sophisticated attack could have on vital systems. Its only due to these sort of events that security in these systems is beginning to catch up, however as with most systems in the field of Cyber Security, we should always assume the attacker is ahead of us. Fortunately in this case the attacker being far ahead gives us a clear objective, and that is to create innovative ways to secure these systems and put in place standard to guide organisations in defending against such threats. This is already beginning to happen, the BSI (2019) standard and Toshibas CYTHEMIS are merely examples, and future years will bring much more that will allow us to even the playing field in an area where the attacker is miles ahead.</w:t>
      </w: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pPr>
        <w:rPr>
          <w:rFonts w:hint="default"/>
          <w:i w:val="0"/>
          <w:iCs w:val="0"/>
          <w:lang w:val="en-GB"/>
        </w:rPr>
      </w:pPr>
      <w:r>
        <w:rPr>
          <w:rFonts w:hint="default"/>
          <w:lang w:val="en-GB"/>
        </w:rPr>
        <w:t xml:space="preserve">British Standards Institute (2019) </w:t>
      </w:r>
      <w:r>
        <w:rPr>
          <w:rFonts w:hint="default"/>
          <w:i/>
          <w:iCs/>
          <w:lang w:val="en-GB"/>
        </w:rPr>
        <w:t xml:space="preserve">EN IEC 62443-4-2 Security for Industrial Automation and Control Systems. </w:t>
      </w:r>
      <w:r>
        <w:rPr>
          <w:rFonts w:hint="default"/>
          <w:i w:val="0"/>
          <w:iCs w:val="0"/>
          <w:lang w:val="en-GB"/>
        </w:rPr>
        <w:t>London: British Standards Institute.</w:t>
      </w:r>
    </w:p>
    <w:p>
      <w:pPr>
        <w:rPr>
          <w:rFonts w:hint="default"/>
          <w:i w:val="0"/>
          <w:iCs w:val="0"/>
          <w:lang w:val="en-GB"/>
        </w:rPr>
      </w:pPr>
      <w:r>
        <w:rPr>
          <w:rFonts w:hint="default"/>
          <w:lang w:val="en-GB"/>
        </w:rPr>
        <w:t xml:space="preserve">British Standards Institute (2018) </w:t>
      </w:r>
      <w:r>
        <w:rPr>
          <w:rFonts w:hint="default"/>
          <w:i/>
          <w:iCs/>
          <w:lang w:val="en-GB"/>
        </w:rPr>
        <w:t xml:space="preserve">EN IEC 62443-3-2 ED1 Security for Industrial Automation and Control Systems. </w:t>
      </w:r>
      <w:r>
        <w:rPr>
          <w:rFonts w:hint="default"/>
          <w:i w:val="0"/>
          <w:iCs w:val="0"/>
          <w:lang w:val="en-GB"/>
        </w:rPr>
        <w:t>London: British Standards Institute.</w:t>
      </w:r>
    </w:p>
    <w:p>
      <w:pPr>
        <w:rPr>
          <w:rFonts w:hint="default"/>
          <w:i w:val="0"/>
          <w:iCs w:val="0"/>
          <w:lang w:val="en-GB"/>
        </w:rPr>
      </w:pPr>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9"/>
        </w:rPr>
        <w:t>https://assets.publishing.service.gov.uk/government/uploads/system/uploads/attachment_data/file/747464/securing-cyber-resilience-in-health-and-care-september-2018-update.pdf</w:t>
      </w:r>
      <w:r>
        <w:rPr>
          <w:rStyle w:val="9"/>
        </w:rPr>
        <w:fldChar w:fldCharType="end"/>
      </w:r>
      <w:r>
        <w:t xml:space="preserve"> [Accessed 07 February 2020]</w:t>
      </w:r>
      <w:r>
        <w:rPr>
          <w:rFonts w:hint="default"/>
          <w:lang w:val="en-GB"/>
        </w:rPr>
        <w:t>.</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9"/>
        </w:rPr>
        <w:t>https://www.enisa.europa.eu/publications/info-notes/wannacry-ransomware-outburst</w:t>
      </w:r>
      <w:r>
        <w:rPr>
          <w:rStyle w:val="9"/>
        </w:rPr>
        <w:fldChar w:fldCharType="end"/>
      </w:r>
      <w:r>
        <w:t xml:space="preserve"> [Accessed 03 February 2020].</w:t>
      </w:r>
    </w:p>
    <w:p>
      <w:pPr>
        <w:numPr>
          <w:ilvl w:val="0"/>
          <w:numId w:val="2"/>
        </w:numPr>
      </w:pPr>
      <w:r>
        <w:rPr>
          <w:rFonts w:hint="default"/>
          <w:lang w:val="en-GB"/>
        </w:rPr>
        <w:t xml:space="preserv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9"/>
          <w:rFonts w:hint="default"/>
          <w:i w:val="0"/>
          <w:iCs w:val="0"/>
          <w:lang w:val="en-GB"/>
        </w:rPr>
        <w:t>https://ics.sans.org/media/E-ISAC_SANS_Ukraine_DUC_5.pdf</w:t>
      </w:r>
      <w:r>
        <w:rPr>
          <w:rFonts w:hint="default"/>
          <w:i w:val="0"/>
          <w:iCs w:val="0"/>
          <w:lang w:val="en-GB"/>
        </w:rPr>
        <w:fldChar w:fldCharType="end"/>
      </w:r>
    </w:p>
    <w:p>
      <w:pPr>
        <w:keepNext w:val="0"/>
        <w:keepLines w:val="0"/>
        <w:widowControl/>
        <w:suppressLineNumbers w:val="0"/>
        <w:jc w:val="left"/>
      </w:pPr>
      <w:r>
        <w:rPr>
          <w:rFonts w:hint="default" w:ascii="Calibri" w:hAnsi="Calibri" w:eastAsia="SimSun" w:cs="Calibri"/>
          <w:kern w:val="0"/>
          <w:sz w:val="22"/>
          <w:szCs w:val="22"/>
          <w:lang w:val="en-US" w:eastAsia="zh-CN" w:bidi="ar"/>
        </w:rPr>
        <w:t xml:space="preserve">Falliere, N.F., O'Murchu, L.O. and Chien, E.C. (2011) W32 Stuxnet Dossier. </w:t>
      </w:r>
      <w:r>
        <w:rPr>
          <w:rStyle w:val="8"/>
          <w:rFonts w:hint="default" w:ascii="Calibri" w:hAnsi="Calibri" w:eastAsia="SimSun" w:cs="Calibri"/>
          <w:kern w:val="0"/>
          <w:sz w:val="22"/>
          <w:szCs w:val="22"/>
          <w:lang w:val="en-US" w:eastAsia="zh-CN" w:bidi="ar"/>
        </w:rPr>
        <w:t>Symantec Security Response</w:t>
      </w:r>
      <w:r>
        <w:rPr>
          <w:rFonts w:hint="default" w:ascii="Calibri" w:hAnsi="Calibri" w:eastAsia="SimSun" w:cs="Calibri"/>
          <w:kern w:val="0"/>
          <w:sz w:val="22"/>
          <w:szCs w:val="22"/>
          <w:lang w:val="en-US" w:eastAsia="zh-CN" w:bidi="ar"/>
        </w:rPr>
        <w:t xml:space="preserve"> [online]., pp. 1-70. [Accessed 07 February 2020].</w:t>
      </w:r>
    </w:p>
    <w:p>
      <w:pPr>
        <w:rPr>
          <w:rFonts w:hint="default"/>
          <w:lang w:val="en-GB"/>
        </w:rPr>
      </w:pPr>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9"/>
        </w:rPr>
        <w:t>https://publications.parliament.uk/pa/cm201719/cmselect/cmpubacc/787/787.pdf</w:t>
      </w:r>
      <w:r>
        <w:rPr>
          <w:rStyle w:val="9"/>
        </w:rPr>
        <w:fldChar w:fldCharType="end"/>
      </w:r>
      <w:r>
        <w:t xml:space="preserve"> [Accessed 07 February 2020]</w:t>
      </w:r>
      <w:r>
        <w:rPr>
          <w:rFonts w:hint="default"/>
          <w:lang w:val="en-GB"/>
        </w:rPr>
        <w:t>.</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w:t>
      </w:r>
      <w:r>
        <w:rPr>
          <w:rFonts w:hint="default"/>
          <w:i/>
          <w:iCs/>
          <w:lang w:val="en" w:eastAsia="zh-CN"/>
        </w:rPr>
        <w:t xml:space="preserve"> I</w:t>
      </w:r>
      <w:r>
        <w:rPr>
          <w:i/>
          <w:iCs/>
          <w:lang w:val="en-US" w:eastAsia="zh-CN"/>
        </w:rPr>
        <w:t>nternet User Demographics and Email Content</w:t>
      </w:r>
      <w:r>
        <w:rPr>
          <w:lang w:val="en-US" w:eastAsia="zh-CN"/>
        </w:rPr>
        <w:t>. Acm Transactions on Computer Human Interaction [online]. 26 (5) [Accessed 16 February 2020].</w:t>
      </w:r>
    </w:p>
    <w:p>
      <w:pPr>
        <w:numPr>
          <w:ilvl w:val="0"/>
          <w:numId w:val="0"/>
        </w:numPr>
        <w:spacing w:after="160" w:line="259" w:lineRule="auto"/>
        <w:rPr>
          <w:rFonts w:hint="default"/>
          <w:lang w:val="en-GB"/>
        </w:rPr>
      </w:pPr>
      <w:r>
        <w:rPr>
          <w:rFonts w:hint="default"/>
          <w:i w:val="0"/>
          <w:iCs w:val="0"/>
          <w:lang w:val="en-GB"/>
        </w:rPr>
        <w:t xml:space="preserve">National Institute of Standards and Technologies (2015) </w:t>
      </w:r>
      <w:r>
        <w:rPr>
          <w:rFonts w:hint="default"/>
          <w:i/>
          <w:iCs/>
          <w:lang w:val="en-GB"/>
        </w:rPr>
        <w:t xml:space="preserve">NIST.SP.800-82r2 Guide to Industrial Control Systems (ICS) Security. </w:t>
      </w:r>
      <w:r>
        <w:rPr>
          <w:rFonts w:hint="default"/>
          <w:i w:val="0"/>
          <w:iCs w:val="0"/>
          <w:lang w:val="en-GB"/>
        </w:rPr>
        <w:t xml:space="preserve">Maryland USA: National Institute of Standards and Technologies. Available From: </w:t>
      </w:r>
      <w:r>
        <w:rPr>
          <w:rFonts w:hint="default" w:ascii="Calibri" w:hAnsi="Calibri" w:eastAsia="sans-serif" w:cs="Calibri"/>
          <w:sz w:val="22"/>
          <w:szCs w:val="22"/>
        </w:rPr>
        <w:fldChar w:fldCharType="begin"/>
      </w:r>
      <w:r>
        <w:rPr>
          <w:rFonts w:hint="default" w:ascii="Calibri" w:hAnsi="Calibri" w:eastAsia="sans-serif" w:cs="Calibri"/>
          <w:sz w:val="22"/>
          <w:szCs w:val="22"/>
        </w:rPr>
        <w:instrText xml:space="preserve"> HYPERLINK "http://dx.doi.org/10.6028/NIST.SP.800-82r2" </w:instrText>
      </w:r>
      <w:r>
        <w:rPr>
          <w:rFonts w:hint="default" w:ascii="Calibri" w:hAnsi="Calibri" w:eastAsia="sans-serif" w:cs="Calibri"/>
          <w:sz w:val="22"/>
          <w:szCs w:val="22"/>
        </w:rPr>
        <w:fldChar w:fldCharType="separate"/>
      </w:r>
      <w:r>
        <w:rPr>
          <w:rStyle w:val="9"/>
          <w:rFonts w:hint="default" w:ascii="Calibri" w:hAnsi="Calibri" w:eastAsia="sans-serif" w:cs="Calibri"/>
          <w:sz w:val="22"/>
          <w:szCs w:val="22"/>
        </w:rPr>
        <w:t>http://dx.doi.org/10.6028/NIST.SP.800-82r</w:t>
      </w:r>
      <w:r>
        <w:rPr>
          <w:rStyle w:val="9"/>
          <w:rFonts w:hint="default" w:ascii="Calibri" w:hAnsi="Calibri" w:eastAsia="sans-serif" w:cs="Calibri"/>
          <w:sz w:val="22"/>
          <w:szCs w:val="22"/>
          <w:lang w:val="en-GB"/>
        </w:rPr>
        <w:t>2</w:t>
      </w:r>
      <w:r>
        <w:rPr>
          <w:rFonts w:hint="default" w:ascii="Calibri" w:hAnsi="Calibri" w:eastAsia="sans-serif" w:cs="Calibri"/>
          <w:sz w:val="22"/>
          <w:szCs w:val="22"/>
        </w:rPr>
        <w:fldChar w:fldCharType="end"/>
      </w:r>
      <w:r>
        <w:rPr>
          <w:rFonts w:hint="default" w:ascii="Calibri" w:hAnsi="Calibri" w:eastAsia="sans-serif" w:cs="Calibri"/>
          <w:sz w:val="22"/>
          <w:szCs w:val="22"/>
          <w:lang w:val="en-GB"/>
        </w:rPr>
        <w:t xml:space="preserve"> [Accessed 03 February 2020].</w:t>
      </w:r>
    </w:p>
    <w:p>
      <w:pPr>
        <w:rPr>
          <w:rFonts w:hint="default"/>
          <w:i w:val="0"/>
          <w:iCs w:val="0"/>
          <w:lang w:val="en-GB"/>
        </w:rPr>
        <w:sectPr>
          <w:pgSz w:w="11906" w:h="16838"/>
          <w:pgMar w:top="1440" w:right="1440" w:bottom="1440" w:left="1440" w:header="708" w:footer="708" w:gutter="0"/>
          <w:cols w:equalWidth="0" w:num="2">
            <w:col w:w="4300" w:space="425"/>
            <w:col w:w="4300"/>
          </w:cols>
          <w:docGrid w:linePitch="360" w:charSpace="0"/>
        </w:sectPr>
      </w:pPr>
      <w:r>
        <w:rPr>
          <w:rFonts w:hint="default"/>
          <w:i w:val="0"/>
          <w:iCs w:val="0"/>
          <w:lang w:val="en-GB"/>
        </w:rPr>
        <w:t xml:space="preserve">Toshiba (2019) </w:t>
      </w:r>
      <w:r>
        <w:rPr>
          <w:rFonts w:hint="default"/>
          <w:i/>
          <w:iCs/>
          <w:lang w:val="en-GB"/>
        </w:rPr>
        <w:t xml:space="preserve">Control System &amp; Industrial IoT Security Solution CYTHEMIS. </w:t>
      </w:r>
      <w:r>
        <w:rPr>
          <w:rFonts w:hint="default"/>
          <w:i w:val="0"/>
          <w:iCs w:val="0"/>
          <w:lang w:val="en-GB"/>
        </w:rPr>
        <w:t xml:space="preserve">Available From: </w:t>
      </w:r>
      <w:r>
        <w:rPr>
          <w:rFonts w:hint="default"/>
          <w:i w:val="0"/>
          <w:iCs w:val="0"/>
          <w:lang w:val="en-GB"/>
        </w:rPr>
        <w:fldChar w:fldCharType="begin"/>
      </w:r>
      <w:r>
        <w:rPr>
          <w:rFonts w:hint="default"/>
          <w:i w:val="0"/>
          <w:iCs w:val="0"/>
          <w:lang w:val="en-GB"/>
        </w:rPr>
        <w:instrText xml:space="preserve"> HYPERLINK "https://www.toshiba.co.jp/sis/en/scd/iotsecurity/index.htm" </w:instrText>
      </w:r>
      <w:r>
        <w:rPr>
          <w:rFonts w:hint="default"/>
          <w:i w:val="0"/>
          <w:iCs w:val="0"/>
          <w:lang w:val="en-GB"/>
        </w:rPr>
        <w:fldChar w:fldCharType="separate"/>
      </w:r>
      <w:r>
        <w:rPr>
          <w:rStyle w:val="9"/>
          <w:rFonts w:hint="default"/>
          <w:i w:val="0"/>
          <w:iCs w:val="0"/>
          <w:lang w:val="en-GB"/>
        </w:rPr>
        <w:t>https://www.toshiba.co.jp/sis/en/scd/iotsecurity/index.htm</w:t>
      </w:r>
      <w:r>
        <w:rPr>
          <w:rFonts w:hint="default"/>
          <w:i w:val="0"/>
          <w:iCs w:val="0"/>
          <w:lang w:val="en-GB"/>
        </w:rPr>
        <w:fldChar w:fldCharType="end"/>
      </w:r>
      <w:r>
        <w:rPr>
          <w:rFonts w:hint="default"/>
          <w:i w:val="0"/>
          <w:iCs w:val="0"/>
          <w:lang w:val="en-GB"/>
        </w:rPr>
        <w:t xml:space="preserve"> [Accessed 03 March 2020].</w:t>
      </w:r>
    </w:p>
    <w:p>
      <w:pPr>
        <w:pStyle w:val="3"/>
        <w:bidi w:val="0"/>
        <w:rPr>
          <w:rFonts w:hint="default" w:ascii="Times New Roman" w:hAnsi="Times New Roman" w:cs="Times New Roman"/>
          <w:b/>
          <w:bCs/>
          <w:lang w:val="en"/>
        </w:rPr>
      </w:pPr>
      <w:r>
        <w:rPr>
          <w:rFonts w:hint="default" w:ascii="Times New Roman" w:hAnsi="Times New Roman" w:cs="Times New Roman"/>
          <w:b/>
          <w:bCs/>
          <w:lang w:val="en"/>
        </w:rPr>
        <w:t>Appendices</w:t>
      </w:r>
    </w:p>
    <w:p>
      <w:pPr>
        <w:pStyle w:val="4"/>
        <w:numPr>
          <w:ilvl w:val="0"/>
          <w:numId w:val="3"/>
        </w:numPr>
        <w:bidi w:val="0"/>
        <w:rPr>
          <w:rFonts w:hint="default" w:ascii="Times New Roman" w:hAnsi="Times New Roman" w:cs="Times New Roman"/>
          <w:sz w:val="26"/>
          <w:szCs w:val="26"/>
          <w:lang w:val="en"/>
        </w:rPr>
      </w:pPr>
      <w:r>
        <w:rPr>
          <w:rFonts w:hint="default" w:ascii="Times New Roman" w:hAnsi="Times New Roman" w:cs="Times New Roman"/>
          <w:sz w:val="26"/>
          <w:szCs w:val="26"/>
          <w:lang w:val="en"/>
        </w:rPr>
        <w:t>Broad Scope Threat Methodologies and Technologies</w:t>
      </w:r>
    </w:p>
    <w:p>
      <w:pPr>
        <w:bidi w:val="0"/>
        <w:rPr>
          <w:rFonts w:hint="default"/>
          <w:lang w:val="en"/>
        </w:rPr>
      </w:pPr>
      <w:r>
        <w:rPr>
          <w:rFonts w:hint="default"/>
          <w:lang w:val="en"/>
        </w:rPr>
        <w:t xml:space="preserve">All data from </w:t>
      </w:r>
      <w:r>
        <w:rPr>
          <w:rFonts w:hint="default"/>
          <w:i/>
          <w:iCs/>
          <w:lang w:val="en"/>
        </w:rPr>
        <w:t>Tarun and Yadav (2016).</w:t>
      </w:r>
    </w:p>
    <w:tbl>
      <w:tblPr>
        <w:tblStyle w:val="1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3075"/>
        <w:gridCol w:w="4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vertAlign w:val="baseline"/>
                <w:lang w:val="en"/>
              </w:rPr>
            </w:pPr>
            <w:r>
              <w:rPr>
                <w:rFonts w:hint="default"/>
                <w:i/>
                <w:iCs/>
                <w:vertAlign w:val="baseline"/>
                <w:lang w:val="en"/>
              </w:rPr>
              <w:t>Stage</w:t>
            </w:r>
          </w:p>
        </w:tc>
        <w:tc>
          <w:tcPr>
            <w:tcW w:w="3075" w:type="dxa"/>
          </w:tcPr>
          <w:p>
            <w:pPr>
              <w:widowControl w:val="0"/>
              <w:jc w:val="center"/>
              <w:rPr>
                <w:rFonts w:hint="default"/>
                <w:i/>
                <w:iCs/>
                <w:vertAlign w:val="baseline"/>
                <w:lang w:val="en"/>
              </w:rPr>
            </w:pPr>
            <w:r>
              <w:rPr>
                <w:rFonts w:hint="default"/>
                <w:i/>
                <w:iCs/>
                <w:vertAlign w:val="baseline"/>
                <w:lang w:val="en"/>
              </w:rPr>
              <w:t>Methodology / Technology</w:t>
            </w:r>
          </w:p>
        </w:tc>
        <w:tc>
          <w:tcPr>
            <w:tcW w:w="4602" w:type="dxa"/>
          </w:tcPr>
          <w:p>
            <w:pPr>
              <w:widowControl w:val="0"/>
              <w:jc w:val="center"/>
              <w:rPr>
                <w:rFonts w:hint="default"/>
                <w:i/>
                <w:iCs/>
                <w:vertAlign w:val="baseline"/>
                <w:lang w:val="en"/>
              </w:rPr>
            </w:pPr>
            <w:r>
              <w:rPr>
                <w:rFonts w:hint="default"/>
                <w:i/>
                <w:iCs/>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Recon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Identification and Selection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Domain names, whois, records from APNIC, RIPE, ARIN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Social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Scraping social networks, public documents, reports and corporate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System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Pingsweeps, Fingerprinting, Port scanning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Validation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Spam Messages, Phishing emails, social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Weaponization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Remote Access Tool (RAT)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Executes on target system, giving remote, hidden, and undetected access to the attacker.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Delivery</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Email Attachments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Content composed to entice the user by using appealing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Phishing Emails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Sensitive information like Usernames, passwords, credit card details are extract masquerading as a trustworthy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Drive By Download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Target is forced to download appealing malicious content from the internet. Images, PDF Word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USB Removable Media</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Removable media devices which silently infect other systems by opening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Cache Poisoning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Divert internet traffic from legitimate servers to attacker controlled destinations.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Exploitation</w:t>
            </w:r>
          </w:p>
          <w:p>
            <w:pPr>
              <w:widowControl w:val="0"/>
              <w:jc w:val="center"/>
              <w:rPr>
                <w:rFonts w:hint="default"/>
                <w:i/>
                <w:iCs/>
                <w:sz w:val="20"/>
                <w:szCs w:val="20"/>
                <w:vertAlign w:val="baseline"/>
                <w:lang w:val="en"/>
              </w:rPr>
            </w:pPr>
            <w:r>
              <w:rPr>
                <w:rFonts w:hint="default"/>
                <w:i/>
                <w:iCs/>
                <w:sz w:val="20"/>
                <w:szCs w:val="20"/>
                <w:vertAlign w:val="baseline"/>
                <w:lang w:val="en"/>
              </w:rPr>
              <w:t>(Exploits are usually combined into a singular, multi-exploit kit)</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Operating System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Kernal, device drivers, denial of services, remote or local code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Network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FTP, SMTP, NTP, SSH, router, privilege escalation.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Application Software</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Browsers, MS Office, PDF, Java / Flash, Memory Corruption (Dangling-pointer,buffer overflow, use-after-free)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Installation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Droppers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Program to install and run malware on system. Will try and disable device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Downloaders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Similar to dropper, smaller, connects to a remote server and downloads the rest of the 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Anti-AntiVirus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Dropper and Downloader are usually “armoured”, containing toolsets for disabling security measures, changing DNS to prevent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Rootkit and Bootkit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Payload file hiding, process hiding.</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Bootkits hook and patch system to gain kernal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Targeted Delivery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Preventive measures against deploying malware in a virtual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Host-based Encrypted Data Exfiltration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Critical data stolen is encrypted and sent over a clear text protocol such as HTTP or SMTP.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(Architecture)</w:t>
            </w:r>
          </w:p>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Single Server, no dependency on peer-to-peer. Infected machine failure wont affect the whole. Take down of C&amp;C will bring down entire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Decentralized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Peer-to-peer. Scalable. Fault Tolerant.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Social Networks Based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High Availability. Reliable. Profiles used to pass 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(Secure Communications)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IRC Chats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Application layer protocol. Client / server networking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TCP / HTTP</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Secure, error checked, over the web communication protocols.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Steganography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Encoding information in images, video, or audio.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TOR</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Hidden service protocol. Traffic directed through a worldwide volunteer overlay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(Obfuscation)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Fast Flux</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Rapidly changing network of machines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Domain Name Generation Algorithm</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Pseudo Random Domain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Act o</w:t>
            </w:r>
            <w:r>
              <w:rPr>
                <w:rFonts w:hint="default"/>
                <w:i/>
                <w:iCs/>
                <w:sz w:val="20"/>
                <w:szCs w:val="20"/>
                <w:vertAlign w:val="baseline"/>
                <w:lang w:val="en-GB"/>
              </w:rPr>
              <w:t>n</w:t>
            </w:r>
            <w:r>
              <w:rPr>
                <w:rFonts w:hint="default"/>
                <w:i/>
                <w:iCs/>
                <w:sz w:val="20"/>
                <w:szCs w:val="20"/>
                <w:vertAlign w:val="baseline"/>
                <w:lang w:val="en"/>
              </w:rPr>
              <w:t xml:space="preserve"> Objectives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Mass Attack</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Distributed attack on many targets. General target is credentials. Bigger picture is botnet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Attacks</w:t>
            </w:r>
          </w:p>
        </w:tc>
        <w:tc>
          <w:tcPr>
            <w:tcW w:w="4602" w:type="dxa"/>
          </w:tcPr>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Generally more sophisticated. Carried out with caution. Aim is to acquire confidential data.</w:t>
            </w:r>
          </w:p>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Data Exfiltration and acquiring user credentials for online accounts are the objectives.</w:t>
            </w:r>
          </w:p>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Distributed propagation could be a goal.</w:t>
            </w:r>
          </w:p>
        </w:tc>
      </w:tr>
    </w:tbl>
    <w:p>
      <w:pPr>
        <w:pStyle w:val="4"/>
        <w:numPr>
          <w:numId w:val="0"/>
        </w:numPr>
        <w:bidi w:val="0"/>
        <w:ind w:leftChars="0"/>
        <w:rPr>
          <w:rFonts w:hint="default" w:ascii="Times New Roman" w:hAnsi="Times New Roman" w:cs="Times New Roman"/>
          <w:lang w:val="en-GB"/>
        </w:rPr>
      </w:pPr>
    </w:p>
    <w:p>
      <w:pPr>
        <w:pStyle w:val="4"/>
        <w:numPr>
          <w:ilvl w:val="0"/>
          <w:numId w:val="3"/>
        </w:numPr>
        <w:bidi w:val="0"/>
        <w:ind w:left="0" w:leftChars="0" w:firstLine="0" w:firstLineChars="0"/>
        <w:rPr>
          <w:rFonts w:hint="default" w:ascii="Times New Roman" w:hAnsi="Times New Roman" w:cs="Times New Roman"/>
          <w:sz w:val="26"/>
          <w:szCs w:val="26"/>
          <w:lang w:val="en-GB"/>
        </w:rPr>
      </w:pPr>
      <w:r>
        <w:rPr>
          <w:rFonts w:hint="default" w:ascii="Times New Roman" w:hAnsi="Times New Roman" w:cs="Times New Roman"/>
          <w:sz w:val="26"/>
          <w:szCs w:val="26"/>
          <w:lang w:val="en-GB"/>
        </w:rPr>
        <w:t>NIST Network Separation Methodologies and Technologies</w:t>
      </w:r>
    </w:p>
    <w:p>
      <w:pPr>
        <w:numPr>
          <w:numId w:val="0"/>
        </w:numPr>
        <w:ind w:leftChars="0"/>
        <w:rPr>
          <w:rFonts w:hint="default"/>
          <w:lang w:val="en-GB"/>
        </w:rPr>
      </w:pPr>
      <w:r>
        <w:rPr>
          <w:rFonts w:hint="default"/>
          <w:lang w:val="en-GB"/>
        </w:rPr>
        <w:t>NIST (2015)</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85"/>
        <w:gridCol w:w="4776"/>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5" w:type="dxa"/>
          </w:tcPr>
          <w:p>
            <w:pPr>
              <w:rPr>
                <w:rFonts w:hint="default"/>
                <w:vertAlign w:val="baseline"/>
                <w:lang w:val="en-GB"/>
              </w:rPr>
            </w:pPr>
            <w:r>
              <w:rPr>
                <w:rFonts w:hint="default"/>
                <w:vertAlign w:val="baseline"/>
                <w:lang w:val="en-GB"/>
              </w:rPr>
              <w:t>Logical Network Separation</w:t>
            </w:r>
          </w:p>
        </w:tc>
        <w:tc>
          <w:tcPr>
            <w:tcW w:w="4776" w:type="dxa"/>
          </w:tcPr>
          <w:p>
            <w:pPr>
              <w:rPr>
                <w:rFonts w:hint="default"/>
                <w:vertAlign w:val="baseline"/>
                <w:lang w:val="en-GB"/>
              </w:rPr>
            </w:pPr>
            <w:r>
              <w:rPr>
                <w:rFonts w:hint="default"/>
                <w:vertAlign w:val="baseline"/>
                <w:lang w:val="en-GB"/>
              </w:rPr>
              <w:t>Enforced by encryption or network device-enforced partitioning.</w:t>
            </w:r>
          </w:p>
        </w:tc>
        <w:tc>
          <w:tcPr>
            <w:tcW w:w="3081" w:type="dxa"/>
          </w:tcPr>
          <w:p>
            <w:pPr>
              <w:rPr>
                <w:rFonts w:hint="default"/>
                <w:vertAlign w:val="baseline"/>
                <w:lang w:val="en-GB"/>
              </w:rPr>
            </w:pPr>
            <w:r>
              <w:rPr>
                <w:rFonts w:hint="default"/>
                <w:vertAlign w:val="baseline"/>
                <w:lang w:val="en-GB"/>
              </w:rPr>
              <w:t>Virtual Local Area Networks (VLANS)</w:t>
            </w:r>
          </w:p>
          <w:p>
            <w:pPr>
              <w:rPr>
                <w:rFonts w:hint="default"/>
                <w:vertAlign w:val="baseline"/>
                <w:lang w:val="en-GB"/>
              </w:rPr>
            </w:pPr>
            <w:r>
              <w:rPr>
                <w:rFonts w:hint="default"/>
                <w:vertAlign w:val="baseline"/>
                <w:lang w:val="en-GB"/>
              </w:rPr>
              <w:t>Encrypted Virtual Private Networks (VPNs)</w:t>
            </w:r>
          </w:p>
          <w:p>
            <w:pPr>
              <w:rPr>
                <w:rFonts w:hint="default"/>
                <w:vertAlign w:val="baseline"/>
                <w:lang w:val="en-GB"/>
              </w:rPr>
            </w:pPr>
            <w:r>
              <w:rPr>
                <w:rFonts w:hint="default"/>
                <w:vertAlign w:val="baseline"/>
                <w:lang w:val="en-GB"/>
              </w:rPr>
              <w:t>Unidirectional Gateways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5" w:type="dxa"/>
          </w:tcPr>
          <w:p>
            <w:pPr>
              <w:rPr>
                <w:rFonts w:hint="default"/>
                <w:vertAlign w:val="baseline"/>
                <w:lang w:val="en-GB"/>
              </w:rPr>
            </w:pPr>
            <w:r>
              <w:rPr>
                <w:rFonts w:hint="default"/>
                <w:vertAlign w:val="baseline"/>
                <w:lang w:val="en-GB"/>
              </w:rPr>
              <w:t>Physical Network Separation</w:t>
            </w:r>
          </w:p>
        </w:tc>
        <w:tc>
          <w:tcPr>
            <w:tcW w:w="4776" w:type="dxa"/>
          </w:tcPr>
          <w:p>
            <w:pPr>
              <w:rPr>
                <w:rFonts w:hint="default"/>
                <w:vertAlign w:val="baseline"/>
                <w:lang w:val="en-GB"/>
              </w:rPr>
            </w:pPr>
            <w:r>
              <w:rPr>
                <w:rFonts w:hint="default"/>
                <w:vertAlign w:val="baseline"/>
                <w:lang w:val="en-GB"/>
              </w:rPr>
              <w:t>Complete separation to prevent interconnectivity of traffic between domains.</w:t>
            </w:r>
          </w:p>
        </w:tc>
        <w:tc>
          <w:tcPr>
            <w:tcW w:w="3081" w:type="dxa"/>
          </w:tcPr>
          <w:p>
            <w:pPr>
              <w:rPr>
                <w:rFonts w:hint="default"/>
                <w:vertAlign w:val="baseline"/>
                <w:lang w:val="en-GB"/>
              </w:rPr>
            </w:pPr>
            <w:r>
              <w:rPr>
                <w:rFonts w:hint="default"/>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5" w:type="dxa"/>
          </w:tcPr>
          <w:p>
            <w:pPr>
              <w:rPr>
                <w:rFonts w:hint="default"/>
                <w:vertAlign w:val="baseline"/>
                <w:lang w:val="en-GB"/>
              </w:rPr>
            </w:pPr>
            <w:r>
              <w:rPr>
                <w:rFonts w:hint="default"/>
                <w:vertAlign w:val="baseline"/>
                <w:lang w:val="en-GB"/>
              </w:rPr>
              <w:t>Network Traffic Filtering</w:t>
            </w:r>
          </w:p>
        </w:tc>
        <w:tc>
          <w:tcPr>
            <w:tcW w:w="4776" w:type="dxa"/>
          </w:tcPr>
          <w:p>
            <w:pPr>
              <w:rPr>
                <w:rFonts w:hint="default"/>
                <w:vertAlign w:val="baseline"/>
                <w:lang w:val="en-GB"/>
              </w:rPr>
            </w:pPr>
            <w:r>
              <w:rPr>
                <w:rFonts w:hint="default"/>
                <w:vertAlign w:val="baseline"/>
                <w:lang w:val="en-GB"/>
              </w:rPr>
              <w:t>Utilize a variety of technologies at various network layers to enforce security requirements and domains.</w:t>
            </w:r>
          </w:p>
        </w:tc>
        <w:tc>
          <w:tcPr>
            <w:tcW w:w="3081" w:type="dxa"/>
          </w:tcPr>
          <w:p>
            <w:pPr>
              <w:rPr>
                <w:rFonts w:hint="default"/>
                <w:vertAlign w:val="baseline"/>
                <w:lang w:val="en-GB"/>
              </w:rPr>
            </w:pPr>
            <w:r>
              <w:rPr>
                <w:rFonts w:hint="default"/>
                <w:vertAlign w:val="baseline"/>
                <w:lang w:val="en-GB"/>
              </w:rPr>
              <w:t>Network Layer Filtering</w:t>
            </w:r>
          </w:p>
          <w:p>
            <w:pPr>
              <w:rPr>
                <w:rFonts w:hint="default"/>
                <w:vertAlign w:val="baseline"/>
                <w:lang w:val="en-GB"/>
              </w:rPr>
            </w:pPr>
            <w:r>
              <w:rPr>
                <w:rFonts w:hint="default"/>
                <w:vertAlign w:val="baseline"/>
                <w:lang w:val="en-GB"/>
              </w:rPr>
              <w:t>State-based Filtering</w:t>
            </w:r>
          </w:p>
          <w:p>
            <w:pPr>
              <w:rPr>
                <w:rFonts w:hint="default"/>
                <w:vertAlign w:val="baseline"/>
                <w:lang w:val="en-GB"/>
              </w:rPr>
            </w:pPr>
            <w:r>
              <w:rPr>
                <w:rFonts w:hint="default"/>
                <w:vertAlign w:val="baseline"/>
                <w:lang w:val="en-GB"/>
              </w:rPr>
              <w:t>Port / Protocol Level Filtering</w:t>
            </w:r>
          </w:p>
          <w:p>
            <w:pPr>
              <w:rPr>
                <w:rFonts w:hint="default"/>
                <w:vertAlign w:val="baseline"/>
                <w:lang w:val="en-GB"/>
              </w:rPr>
            </w:pPr>
            <w:r>
              <w:rPr>
                <w:rFonts w:hint="default"/>
                <w:vertAlign w:val="baseline"/>
                <w:lang w:val="en-GB"/>
              </w:rPr>
              <w:t>Application Filtering</w:t>
            </w:r>
          </w:p>
        </w:tc>
      </w:tr>
    </w:tbl>
    <w:p>
      <w:pPr>
        <w:rPr>
          <w:rFonts w:hint="default"/>
          <w:lang w:val="en-GB"/>
        </w:rPr>
      </w:pPr>
    </w:p>
    <w:p/>
    <w:p>
      <w:pPr>
        <w:sectPr>
          <w:pgSz w:w="11906" w:h="16838"/>
          <w:pgMar w:top="1440" w:right="1440" w:bottom="1440" w:left="1440" w:header="708" w:footer="708" w:gutter="0"/>
          <w:cols w:space="425" w:num="1"/>
          <w:docGrid w:linePitch="360" w:charSpace="0"/>
        </w:sectPr>
      </w:pPr>
    </w:p>
    <w:p/>
    <w:p>
      <w:pPr>
        <w:rPr>
          <w:rFonts w:hint="default"/>
          <w:lang w:val="en-GB"/>
        </w:rPr>
      </w:pPr>
      <w:r>
        <w:rPr>
          <w:rFonts w:hint="default"/>
          <w:lang w:val="en-GB"/>
        </w:rPr>
        <w:t>Total Word count: 4778</w:t>
      </w:r>
      <w:bookmarkStart w:id="0" w:name="_GoBack"/>
      <w:bookmarkEnd w:id="0"/>
    </w:p>
    <w:p>
      <w:pPr>
        <w:rPr>
          <w:rFonts w:hint="default"/>
          <w:lang w:val="en-GB"/>
        </w:rPr>
      </w:pPr>
      <w:r>
        <w:rPr>
          <w:rFonts w:hint="default"/>
          <w:lang w:val="en-GB"/>
        </w:rPr>
        <w:t>Exclusions: 895</w:t>
      </w:r>
    </w:p>
    <w:p>
      <w:pPr>
        <w:rPr>
          <w:rFonts w:hint="default"/>
          <w:lang w:val="en-GB"/>
        </w:rPr>
      </w:pPr>
      <w:r>
        <w:rPr>
          <w:rFonts w:hint="default"/>
          <w:lang w:val="en-GB"/>
        </w:rPr>
        <w:t>After: 3883</w:t>
      </w:r>
    </w:p>
    <w:sectPr>
      <w:type w:val="continuous"/>
      <w:pgSz w:w="11906" w:h="16838"/>
      <w:pgMar w:top="1440" w:right="1440" w:bottom="1440" w:left="1440" w:header="708" w:footer="708"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icrosoft YaHei">
    <w:panose1 w:val="020B0503020204020204"/>
    <w:charset w:val="86"/>
    <w:family w:val="auto"/>
    <w:pitch w:val="default"/>
    <w:sig w:usb0="80000287" w:usb1="2ACF3C50" w:usb2="00000016" w:usb3="00000000" w:csb0="0004001F" w:csb1="00000000"/>
  </w:font>
  <w:font w:name="sans-serif">
    <w:altName w:val="Alex Brush"/>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47C22"/>
    <w:multiLevelType w:val="singleLevel"/>
    <w:tmpl w:val="8ED47C22"/>
    <w:lvl w:ilvl="0" w:tentative="0">
      <w:start w:val="5"/>
      <w:numFmt w:val="upperLetter"/>
      <w:suff w:val="nothing"/>
      <w:lvlText w:val="%1-"/>
      <w:lvlJc w:val="left"/>
    </w:lvl>
  </w:abstractNum>
  <w:abstractNum w:abstractNumId="1">
    <w:nsid w:val="3E97AF55"/>
    <w:multiLevelType w:val="singleLevel"/>
    <w:tmpl w:val="3E97AF55"/>
    <w:lvl w:ilvl="0" w:tentative="0">
      <w:start w:val="1"/>
      <w:numFmt w:val="lowerRoman"/>
      <w:lvlText w:val="%1."/>
      <w:lvlJc w:val="left"/>
      <w:pPr>
        <w:tabs>
          <w:tab w:val="left" w:pos="425"/>
        </w:tabs>
        <w:ind w:left="425" w:leftChars="0" w:hanging="425" w:firstLineChars="0"/>
      </w:pPr>
      <w:rPr>
        <w:rFonts w:hint="default"/>
      </w:rPr>
    </w:lvl>
  </w:abstractNum>
  <w:abstractNum w:abstractNumId="2">
    <w:nsid w:val="7EF9FFD6"/>
    <w:multiLevelType w:val="singleLevel"/>
    <w:tmpl w:val="7EF9FFD6"/>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1D4242D"/>
    <w:rsid w:val="01D47F7A"/>
    <w:rsid w:val="03F07A05"/>
    <w:rsid w:val="04134AC3"/>
    <w:rsid w:val="04396C1C"/>
    <w:rsid w:val="04FC0759"/>
    <w:rsid w:val="074B70CC"/>
    <w:rsid w:val="07EE629A"/>
    <w:rsid w:val="08C14BFF"/>
    <w:rsid w:val="08D73882"/>
    <w:rsid w:val="09466496"/>
    <w:rsid w:val="0A337678"/>
    <w:rsid w:val="0A6609EE"/>
    <w:rsid w:val="0A755135"/>
    <w:rsid w:val="0A80276D"/>
    <w:rsid w:val="0AB97529"/>
    <w:rsid w:val="0AF10C9A"/>
    <w:rsid w:val="0AF95F8A"/>
    <w:rsid w:val="0BCC65F0"/>
    <w:rsid w:val="0CF23FA2"/>
    <w:rsid w:val="0D372646"/>
    <w:rsid w:val="0EC011B0"/>
    <w:rsid w:val="10545C3A"/>
    <w:rsid w:val="10BD0856"/>
    <w:rsid w:val="10EC534D"/>
    <w:rsid w:val="11072CCA"/>
    <w:rsid w:val="111A008B"/>
    <w:rsid w:val="11236309"/>
    <w:rsid w:val="1269283C"/>
    <w:rsid w:val="12C00E1E"/>
    <w:rsid w:val="12C174B3"/>
    <w:rsid w:val="133E508D"/>
    <w:rsid w:val="13E739B4"/>
    <w:rsid w:val="14057579"/>
    <w:rsid w:val="14C16552"/>
    <w:rsid w:val="153D7D34"/>
    <w:rsid w:val="15CC14A8"/>
    <w:rsid w:val="167A4426"/>
    <w:rsid w:val="17864B7B"/>
    <w:rsid w:val="180C4A94"/>
    <w:rsid w:val="181471AF"/>
    <w:rsid w:val="19A67C57"/>
    <w:rsid w:val="1A294207"/>
    <w:rsid w:val="1A5946F3"/>
    <w:rsid w:val="1B306705"/>
    <w:rsid w:val="1B831B9A"/>
    <w:rsid w:val="1B905DF3"/>
    <w:rsid w:val="1CA32CE3"/>
    <w:rsid w:val="1D12096A"/>
    <w:rsid w:val="1E5B4404"/>
    <w:rsid w:val="1E9D3040"/>
    <w:rsid w:val="1EAC2C35"/>
    <w:rsid w:val="1F7A0EB3"/>
    <w:rsid w:val="204A7D7B"/>
    <w:rsid w:val="21166350"/>
    <w:rsid w:val="217C3AE4"/>
    <w:rsid w:val="21800991"/>
    <w:rsid w:val="21A71978"/>
    <w:rsid w:val="22D441DD"/>
    <w:rsid w:val="23AB0EC2"/>
    <w:rsid w:val="27346B9D"/>
    <w:rsid w:val="275A4339"/>
    <w:rsid w:val="280643C8"/>
    <w:rsid w:val="28B95E6D"/>
    <w:rsid w:val="29993572"/>
    <w:rsid w:val="29CD4A46"/>
    <w:rsid w:val="2A1526CB"/>
    <w:rsid w:val="2A416E1D"/>
    <w:rsid w:val="2A497D09"/>
    <w:rsid w:val="2A7045D4"/>
    <w:rsid w:val="2A7C3181"/>
    <w:rsid w:val="2A8A026A"/>
    <w:rsid w:val="2AB4542C"/>
    <w:rsid w:val="2ABA2513"/>
    <w:rsid w:val="2BC4604C"/>
    <w:rsid w:val="2C2417EF"/>
    <w:rsid w:val="2C457BBE"/>
    <w:rsid w:val="2D67026E"/>
    <w:rsid w:val="2D7E169C"/>
    <w:rsid w:val="2E086048"/>
    <w:rsid w:val="2E643934"/>
    <w:rsid w:val="2E7A6ADC"/>
    <w:rsid w:val="2E960501"/>
    <w:rsid w:val="2EA87341"/>
    <w:rsid w:val="2FDF28FD"/>
    <w:rsid w:val="3049082F"/>
    <w:rsid w:val="30AB77D3"/>
    <w:rsid w:val="30BE5EE3"/>
    <w:rsid w:val="313E32CC"/>
    <w:rsid w:val="31B65A9B"/>
    <w:rsid w:val="31E955DB"/>
    <w:rsid w:val="32197F78"/>
    <w:rsid w:val="327A74D7"/>
    <w:rsid w:val="329835C7"/>
    <w:rsid w:val="340C4212"/>
    <w:rsid w:val="34570EBD"/>
    <w:rsid w:val="34764D57"/>
    <w:rsid w:val="34954309"/>
    <w:rsid w:val="35272419"/>
    <w:rsid w:val="352778CB"/>
    <w:rsid w:val="35386C06"/>
    <w:rsid w:val="356E5735"/>
    <w:rsid w:val="36BF26EA"/>
    <w:rsid w:val="36F0C29B"/>
    <w:rsid w:val="376E259D"/>
    <w:rsid w:val="37DF151C"/>
    <w:rsid w:val="38340632"/>
    <w:rsid w:val="38F458F6"/>
    <w:rsid w:val="38F83FB6"/>
    <w:rsid w:val="39382EA3"/>
    <w:rsid w:val="39BF47F4"/>
    <w:rsid w:val="39E130C4"/>
    <w:rsid w:val="3AA82FF0"/>
    <w:rsid w:val="3AF46424"/>
    <w:rsid w:val="3BA22505"/>
    <w:rsid w:val="3D920755"/>
    <w:rsid w:val="3D9632A8"/>
    <w:rsid w:val="3DF76CF7"/>
    <w:rsid w:val="3ECF2B6F"/>
    <w:rsid w:val="3F0502C1"/>
    <w:rsid w:val="3F591265"/>
    <w:rsid w:val="400A159C"/>
    <w:rsid w:val="409B7E32"/>
    <w:rsid w:val="40C34FE9"/>
    <w:rsid w:val="41237D86"/>
    <w:rsid w:val="418C74A5"/>
    <w:rsid w:val="425C03C9"/>
    <w:rsid w:val="42CC0552"/>
    <w:rsid w:val="43847CD2"/>
    <w:rsid w:val="43A266F7"/>
    <w:rsid w:val="43AF024A"/>
    <w:rsid w:val="43CD6CDD"/>
    <w:rsid w:val="43D87E62"/>
    <w:rsid w:val="44992096"/>
    <w:rsid w:val="45672438"/>
    <w:rsid w:val="46A00556"/>
    <w:rsid w:val="46F72AD6"/>
    <w:rsid w:val="47CB0E7C"/>
    <w:rsid w:val="486C66FF"/>
    <w:rsid w:val="487F5EC2"/>
    <w:rsid w:val="48DF041A"/>
    <w:rsid w:val="49226525"/>
    <w:rsid w:val="4A612EE6"/>
    <w:rsid w:val="4ADF7E6B"/>
    <w:rsid w:val="4B2178F2"/>
    <w:rsid w:val="4CEE6A1A"/>
    <w:rsid w:val="4D1E656B"/>
    <w:rsid w:val="4D3C4F77"/>
    <w:rsid w:val="4DC93CD8"/>
    <w:rsid w:val="4EEC4AA7"/>
    <w:rsid w:val="4F0A7F43"/>
    <w:rsid w:val="504F08B9"/>
    <w:rsid w:val="509F3A96"/>
    <w:rsid w:val="50C43EFF"/>
    <w:rsid w:val="51C76FBE"/>
    <w:rsid w:val="53B86ED3"/>
    <w:rsid w:val="53E40219"/>
    <w:rsid w:val="54397966"/>
    <w:rsid w:val="55433D8C"/>
    <w:rsid w:val="55851529"/>
    <w:rsid w:val="5606181E"/>
    <w:rsid w:val="56CE0737"/>
    <w:rsid w:val="57090196"/>
    <w:rsid w:val="578A2C75"/>
    <w:rsid w:val="579AEAF0"/>
    <w:rsid w:val="57A43E6F"/>
    <w:rsid w:val="57EF238B"/>
    <w:rsid w:val="597D2736"/>
    <w:rsid w:val="59B7ABCC"/>
    <w:rsid w:val="5A0A51F0"/>
    <w:rsid w:val="5A392752"/>
    <w:rsid w:val="5B5D66D3"/>
    <w:rsid w:val="5CE119F0"/>
    <w:rsid w:val="5D74087B"/>
    <w:rsid w:val="5D785576"/>
    <w:rsid w:val="5D981E2F"/>
    <w:rsid w:val="5DED2485"/>
    <w:rsid w:val="5E160394"/>
    <w:rsid w:val="5E364355"/>
    <w:rsid w:val="5E4E348E"/>
    <w:rsid w:val="5EDD6FA2"/>
    <w:rsid w:val="5F254CA5"/>
    <w:rsid w:val="5F6E65FB"/>
    <w:rsid w:val="5FFF0D72"/>
    <w:rsid w:val="6079726F"/>
    <w:rsid w:val="60AE2D65"/>
    <w:rsid w:val="614C5EAF"/>
    <w:rsid w:val="616A2D4E"/>
    <w:rsid w:val="64B830AE"/>
    <w:rsid w:val="64FC63F0"/>
    <w:rsid w:val="652C08D6"/>
    <w:rsid w:val="655F1A15"/>
    <w:rsid w:val="66494937"/>
    <w:rsid w:val="66CE71B0"/>
    <w:rsid w:val="671A7363"/>
    <w:rsid w:val="679F539A"/>
    <w:rsid w:val="68296218"/>
    <w:rsid w:val="68616948"/>
    <w:rsid w:val="6863101F"/>
    <w:rsid w:val="689A5987"/>
    <w:rsid w:val="68B46B04"/>
    <w:rsid w:val="6A435CF7"/>
    <w:rsid w:val="6A575914"/>
    <w:rsid w:val="6A7E3565"/>
    <w:rsid w:val="6B61194B"/>
    <w:rsid w:val="6BD44740"/>
    <w:rsid w:val="6C3775DA"/>
    <w:rsid w:val="6C8238E8"/>
    <w:rsid w:val="6CC67FEC"/>
    <w:rsid w:val="6CE652E0"/>
    <w:rsid w:val="6D165D62"/>
    <w:rsid w:val="6D8D5341"/>
    <w:rsid w:val="6DCB4C3C"/>
    <w:rsid w:val="6DE84F32"/>
    <w:rsid w:val="6ECD1712"/>
    <w:rsid w:val="6EE37E6C"/>
    <w:rsid w:val="6F8F146F"/>
    <w:rsid w:val="6FBF540E"/>
    <w:rsid w:val="6FF00F03"/>
    <w:rsid w:val="702960AB"/>
    <w:rsid w:val="70CE42A9"/>
    <w:rsid w:val="711D0EB5"/>
    <w:rsid w:val="711E7041"/>
    <w:rsid w:val="71344007"/>
    <w:rsid w:val="715F2589"/>
    <w:rsid w:val="717E5409"/>
    <w:rsid w:val="71D43055"/>
    <w:rsid w:val="71FC3622"/>
    <w:rsid w:val="721F6644"/>
    <w:rsid w:val="724B4D19"/>
    <w:rsid w:val="726FB416"/>
    <w:rsid w:val="73522AA0"/>
    <w:rsid w:val="745561F8"/>
    <w:rsid w:val="748C6D71"/>
    <w:rsid w:val="74F73AC3"/>
    <w:rsid w:val="75516347"/>
    <w:rsid w:val="760D0179"/>
    <w:rsid w:val="764C3A8B"/>
    <w:rsid w:val="7788FBF7"/>
    <w:rsid w:val="77FE1F79"/>
    <w:rsid w:val="78006DF5"/>
    <w:rsid w:val="781B6FEF"/>
    <w:rsid w:val="785D28F1"/>
    <w:rsid w:val="78A065B4"/>
    <w:rsid w:val="7919454A"/>
    <w:rsid w:val="793F0B01"/>
    <w:rsid w:val="797FAABC"/>
    <w:rsid w:val="799925CC"/>
    <w:rsid w:val="79C46439"/>
    <w:rsid w:val="79E02C4C"/>
    <w:rsid w:val="7A6FCBB1"/>
    <w:rsid w:val="7B056D87"/>
    <w:rsid w:val="7B2EDAE5"/>
    <w:rsid w:val="7BD0741C"/>
    <w:rsid w:val="7C0035DE"/>
    <w:rsid w:val="7C4F3718"/>
    <w:rsid w:val="7CB1696F"/>
    <w:rsid w:val="7CBB7E2E"/>
    <w:rsid w:val="7D89284A"/>
    <w:rsid w:val="7E85798E"/>
    <w:rsid w:val="7E9228DB"/>
    <w:rsid w:val="7EF7EDCA"/>
    <w:rsid w:val="7F755E60"/>
    <w:rsid w:val="7F940DAE"/>
    <w:rsid w:val="7FBEF754"/>
    <w:rsid w:val="8CFF8B6F"/>
    <w:rsid w:val="AEFDD50E"/>
    <w:rsid w:val="B6AB8FDD"/>
    <w:rsid w:val="B6FB82F8"/>
    <w:rsid w:val="BE2D1C6D"/>
    <w:rsid w:val="BFFB520C"/>
    <w:rsid w:val="BFFC52F0"/>
    <w:rsid w:val="D3765D2A"/>
    <w:rsid w:val="E78FCD19"/>
    <w:rsid w:val="EEFE8FEA"/>
    <w:rsid w:val="EFBC891E"/>
    <w:rsid w:val="F7FFB621"/>
    <w:rsid w:val="FAF85A1D"/>
    <w:rsid w:val="FCB466E7"/>
    <w:rsid w:val="FD6BB42D"/>
    <w:rsid w:val="FDBF4860"/>
    <w:rsid w:val="FEF90EC0"/>
    <w:rsid w:val="FF4FBB81"/>
    <w:rsid w:val="FFEFEA7A"/>
    <w:rsid w:val="FFFBF923"/>
    <w:rsid w:val="FFFF0A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7">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qFormat/>
    <w:uiPriority w:val="99"/>
    <w:pPr>
      <w:tabs>
        <w:tab w:val="center" w:pos="4513"/>
        <w:tab w:val="right" w:pos="9026"/>
      </w:tabs>
      <w:spacing w:after="0" w:line="240" w:lineRule="auto"/>
    </w:p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7"/>
    <w:link w:val="6"/>
    <w:qFormat/>
    <w:uiPriority w:val="99"/>
  </w:style>
  <w:style w:type="character" w:customStyle="1" w:styleId="13">
    <w:name w:val="Footer Char"/>
    <w:basedOn w:val="7"/>
    <w:link w:val="5"/>
    <w:qFormat/>
    <w:uiPriority w:val="99"/>
  </w:style>
  <w:style w:type="character" w:customStyle="1" w:styleId="14">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7"/>
    <w:link w:val="3"/>
    <w:qFormat/>
    <w:uiPriority w:val="9"/>
    <w:rPr>
      <w:rFonts w:asciiTheme="majorHAnsi" w:hAnsiTheme="majorHAnsi" w:eastAsiaTheme="majorEastAsia" w:cstheme="majorBidi"/>
      <w:sz w:val="26"/>
      <w:szCs w:val="26"/>
      <w:lang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4</Pages>
  <Words>1107</Words>
  <Characters>6311</Characters>
  <Lines>52</Lines>
  <Paragraphs>14</Paragraphs>
  <TotalTime>76</TotalTime>
  <ScaleCrop>false</ScaleCrop>
  <LinksUpToDate>false</LinksUpToDate>
  <CharactersWithSpaces>7404</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2020-02-03T18:16:00Z</dcterms:created>
  <dc:creator>Jacob Williams</dc:creator>
  <cp:lastModifiedBy>google1562598337</cp:lastModifiedBy>
  <dcterms:modified xsi:type="dcterms:W3CDTF">2020-03-03T20:27:41Z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