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bookmarkStart w:id="0" w:name="_GoBack"/>
      <w:bookmarkEnd w:id="0"/>
    </w:p>
    <w:p>
      <w:pPr>
        <w:rPr>
          <w:rFonts w:ascii="Times New Roman" w:hAnsi="Times New Roman" w:cs="Times New Roman"/>
          <w:b/>
          <w:color w:val="auto"/>
        </w:rPr>
      </w:pPr>
    </w:p>
    <w:p>
      <w:pPr>
        <w:pStyle w:val="3"/>
        <w:rPr>
          <w:rFonts w:ascii="Times New Roman" w:hAnsi="Times New Roman" w:cs="Times New Roman"/>
          <w:b/>
        </w:rPr>
      </w:pPr>
      <w:r>
        <w:rPr>
          <w:rFonts w:ascii="Times New Roman" w:hAnsi="Times New Roman" w:cs="Times New Roman"/>
          <w:b/>
        </w:rPr>
        <w:t>1.0 Abstract</w:t>
      </w:r>
    </w:p>
    <w:p/>
    <w:p/>
    <w:p>
      <w:pPr>
        <w:pStyle w:val="3"/>
        <w:rPr>
          <w:rFonts w:ascii="Times New Roman" w:hAnsi="Times New Roman" w:cs="Times New Roman"/>
          <w:b/>
        </w:rPr>
      </w:pPr>
      <w:r>
        <w:rPr>
          <w:rFonts w:ascii="Times New Roman" w:hAnsi="Times New Roman" w:cs="Times New Roman"/>
          <w:b/>
        </w:rPr>
        <w:t>2.0 Introduction</w:t>
      </w:r>
    </w:p>
    <w:p/>
    <w:p/>
    <w:p>
      <w:pPr>
        <w:pStyle w:val="3"/>
        <w:rPr>
          <w:rFonts w:ascii="Times New Roman" w:hAnsi="Times New Roman" w:cs="Times New Roman"/>
          <w:b/>
        </w:rPr>
      </w:pPr>
      <w:r>
        <w:rPr>
          <w:rFonts w:ascii="Times New Roman" w:hAnsi="Times New Roman" w:cs="Times New Roman"/>
          <w:b/>
        </w:rPr>
        <w:t>3.0 Threat Landscape</w:t>
      </w:r>
    </w:p>
    <w:p>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rPr>
          <w:sz w:val="24"/>
          <w:szCs w:val="24"/>
        </w:rPr>
      </w:pPr>
      <w:r>
        <w:rPr>
          <w:sz w:val="24"/>
          <w:szCs w:val="24"/>
        </w:rPr>
        <w:t>3.1 Enterprise Sector</w:t>
      </w:r>
    </w:p>
    <w:p>
      <w:r>
        <w:t>This sector is the business front of the Industrial Control System, it is where the more office centric roles operate. Rather than working directly with the industrial systems, this sector handles operations directly related to said systems; this could be finance, legal, human resources, and so on.</w:t>
      </w:r>
    </w:p>
    <w:p>
      <w: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p>
    <w:p>
      <w:r>
        <w:t xml:space="preserve">The reason this threat is particularly notable is its method of initial infection, phishing emails. These emails are considered a form of social engineering, playing on operational, financial, or </w:t>
      </w:r>
      <w:r>
        <w:rPr>
          <w:lang w:val="en"/>
        </w:rPr>
        <w:t>empathetic</w:t>
      </w:r>
      <w:r>
        <w:t xml:space="preserve"> factors in order to get the target to download the malicious file or follow the suspicious link.</w:t>
      </w:r>
    </w:p>
    <w:p>
      <w: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i/>
          <w:iCs/>
        </w:rPr>
        <w:t>(ENISA, 2017)</w:t>
      </w:r>
      <w:r>
        <w:t>.</w:t>
      </w:r>
    </w:p>
    <w:p>
      <w:r>
        <w:t>In 2017 alone WannaCry grew to infect 230,000 systems around the world affecting many different businesses, including: Telefonica, UK National Health Service, Deutsche Bahn, Renault, and more</w:t>
      </w:r>
      <w:r>
        <w:rPr>
          <w:i/>
          <w:iCs/>
        </w:rPr>
        <w:t xml:space="preserve"> (ENISA 2017)</w:t>
      </w:r>
      <w: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i/>
          <w:iCs/>
        </w:rPr>
        <w:t>(Department of Health and Social Care, 2018)</w:t>
      </w:r>
      <w:r>
        <w:t xml:space="preserve"> was 92 million pounds,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rPr>
          <w:rFonts w:hint="default"/>
          <w:lang w:val="en-GB"/>
        </w:rPr>
      </w:pPr>
      <w:r>
        <w:rPr>
          <w:rFonts w:hint="default"/>
          <w:lang w:val="en-GB"/>
        </w:rPr>
        <w:t xml:space="preserve">The cyber-attack on the Ukrainian Power grid in 2015 shares some similarities with the WannaCry attacks, mostly in its method of entry into the systems. The attack was a highly sophisticated and coordinated effort to bring down multiple energy stations around Ukraine, the objective appearing to be to create chaos and panic. Like WannaCry the initial infection was done via Phishing Emails typically phishing emails are akin to a “brute force” method, but the kind used in this attack were tailored to particular targets. This is what is known as Spear Phishing, the targets are usually ones considered to be the “weakest link in the chain” and they are typically observed in some fashion in order to garner information to use that would increase the effectiveness of the tailored phishing email. Unlike typical Phishing, Spear Phishing can also be undertaken over a longer period of time, waiting until a trust is built to be manipulated. All this creates an extremely effective method of infection, a study by </w:t>
      </w:r>
      <w:r>
        <w:rPr>
          <w:rFonts w:hint="default"/>
          <w:i/>
          <w:iCs/>
          <w:lang w:val="en-GB"/>
        </w:rPr>
        <w:t>Lin et al (2019)</w:t>
      </w:r>
      <w:r>
        <w:rPr>
          <w:rFonts w:hint="default"/>
          <w:lang w:val="en-GB"/>
        </w:rPr>
        <w:t xml:space="preserve"> with a sample of 158 people of various ages and backgrounds showed showed that of the sample 43.3% (68 people) would click links contained in such emails.</w:t>
      </w:r>
    </w:p>
    <w:p>
      <w:pPr>
        <w:rPr>
          <w:rFonts w:hint="default"/>
          <w:lang w:val="en-GB"/>
        </w:rPr>
      </w:pPr>
      <w:r>
        <w:rPr>
          <w:rFonts w:hint="default"/>
          <w:lang w:val="en-GB"/>
        </w:rPr>
        <w:t xml:space="preserve">The Spear Phishing campaign in this attack would have workers in the Enterprise sector of the Ukrainian Power stations download malicious documents which served as the delivery method, when the documents were opened it would prompt the user to enable macros. Once this was enabled, it would install the BlackEnergy3 malware on the system, which was connected to a command and control IP address allowing for communication and data exfiltration to the attacker. After this initial infection, the malware would scrape for credentials, escalate its privileges, and proceed laterally though the network. The attackers were quick to move from the foothold in order to avoid detection. Using the stolen credentials and elevated privileges, the attacker was able to pivot into network segments where the SCADA workstations and servers existed, the Control Sector. From there it would carry out its attack that would lead to the power outage affecting 225,000 people and last several hours </w:t>
      </w:r>
      <w:r>
        <w:rPr>
          <w:rFonts w:hint="default"/>
          <w:i/>
          <w:iCs/>
          <w:lang w:val="en-GB"/>
        </w:rPr>
        <w:t>(E-ISAC and SANS-ICS, 2016)</w:t>
      </w:r>
      <w:r>
        <w:rPr>
          <w:rFonts w:hint="default"/>
          <w:lang w:val="en-GB"/>
        </w:rPr>
        <w:t xml:space="preserve">. </w:t>
      </w:r>
    </w:p>
    <w:p>
      <w:pPr>
        <w:pStyle w:val="4"/>
        <w:rPr>
          <w:sz w:val="24"/>
          <w:szCs w:val="24"/>
        </w:rPr>
      </w:pPr>
      <w:r>
        <w:rPr>
          <w:sz w:val="24"/>
          <w:szCs w:val="24"/>
        </w:rPr>
        <w:t>3.2 Control Sector</w:t>
      </w:r>
    </w:p>
    <w:p>
      <w: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rPr>
          <w:rFonts w:hint="default"/>
          <w:lang w:val="en-GB"/>
        </w:rPr>
      </w:pPr>
      <w:r>
        <w:rPr>
          <w:rFonts w:hint="default"/>
          <w:lang w:val="en-GB"/>
        </w:rPr>
        <w:t>The Control Sector is where the attack stage of the Ukrainian Power grid attack played out. It began by learning how to interact with the three distinct Distributed Management Systems using the native control present in the system and operator screens, and developing malicious firmware for the serial-to-ethernet devices. During this attack stage, the adversary used native software to deliver themselves into the environment for direct interaction with the ICS components, they achieved this by using existing remote access administration tools on the operator workstations. In preparation for the final stage of the attack, the adversaries installed a modified version of KillDisk, which would allow them to erase the master boot record, effectively locking users out of systems, and erasing targeted logs. At the time of attack, the adversaries used the Human Machine Interface to open the breakers, shutting off the power. Simultaneously, the adversaries would upload the developed malicious firmware to the Serial-to-Ethernet gateways, this was to ensure that even if the workstations were recovered that they still would not be able to issue commands remotely.</w:t>
      </w:r>
    </w:p>
    <w:p>
      <w:pPr>
        <w:rPr>
          <w:rFonts w:hint="default"/>
          <w:lang w:val="en-GB"/>
        </w:rPr>
      </w:pPr>
      <w:r>
        <w:rPr>
          <w:rFonts w:hint="default"/>
          <w:lang w:val="en-GB"/>
        </w:rPr>
        <w:t>During this period, attackers would also perform a remote telephone denial-of-service attack to prevent communication between the companies and customers, the objective of this particular part of attack is subject to debate.</w:t>
      </w:r>
    </w:p>
    <w:p>
      <w:pPr>
        <w:pStyle w:val="4"/>
        <w:rPr>
          <w:sz w:val="24"/>
          <w:szCs w:val="24"/>
        </w:rPr>
      </w:pPr>
      <w:r>
        <w:rPr>
          <w:rFonts w:hint="default" w:ascii="Times New Roman" w:hAnsi="Times New Roman" w:cs="Times New Roman"/>
          <w:sz w:val="24"/>
          <w:szCs w:val="24"/>
        </w:rPr>
        <w:t>3.3 Field Sector</w:t>
      </w:r>
    </w:p>
    <w:p>
      <w:r>
        <w:t>This sector is where the Programmable Logic Controllers (PLC) and the Remote Terminal Units (RTU) interact and control various machinery. It is connected to the Control Sector alone via serial-based radio communication.</w:t>
      </w:r>
    </w:p>
    <w:p>
      <w: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rPr>
          <w:rFonts w:hint="default"/>
          <w:lang w:val="en-GB"/>
        </w:rPr>
      </w:pPr>
      <w:r>
        <w:rPr>
          <w:rFonts w:hint="default"/>
          <w:lang w:val="en-GB"/>
        </w:rPr>
        <w:t xml:space="preserve">In the case of the Ukrainian Power grid attack, the Field Sector wasn’t compromised, but the Control Sector machines that controlled them were. Theoretically, the only way the attack on the grid could directly compromise the field sector would be if a remote access machine local to the field sector was compromised, but given the method of propagation this is very unlikely. </w:t>
      </w:r>
    </w:p>
    <w:p>
      <w:pPr>
        <w:pStyle w:val="4"/>
        <w:bidi w:val="0"/>
        <w:rPr>
          <w:rFonts w:hint="default" w:ascii="Times New Roman" w:hAnsi="Times New Roman" w:cs="Times New Roman"/>
          <w:sz w:val="24"/>
          <w:szCs w:val="24"/>
          <w:lang w:val="en"/>
        </w:rPr>
      </w:pPr>
      <w:r>
        <w:rPr>
          <w:rFonts w:hint="default" w:ascii="Times New Roman" w:hAnsi="Times New Roman" w:cs="Times New Roman"/>
          <w:sz w:val="24"/>
          <w:szCs w:val="24"/>
          <w:lang w:val="en"/>
        </w:rPr>
        <w:t>3.4 Methodologies and Technologies By Killchain Stages</w:t>
      </w:r>
    </w:p>
    <w:p>
      <w:pPr>
        <w:rPr>
          <w:rFonts w:hint="default"/>
          <w:i/>
          <w:iCs/>
          <w:lang w:val="en"/>
        </w:rPr>
      </w:pPr>
      <w:r>
        <w:rPr>
          <w:rFonts w:hint="default"/>
          <w:lang w:val="en"/>
        </w:rPr>
        <w:t xml:space="preserve">The previous section detailed threat capabilities on a case study basis, for a broad overview of various technologies and methodologies used in a variety of attacks refer to Appendix A. All information is drawn from </w:t>
      </w:r>
      <w:r>
        <w:rPr>
          <w:rFonts w:hint="default"/>
          <w:i/>
          <w:iCs/>
          <w:lang w:val="en"/>
        </w:rPr>
        <w:t>Tarun and Yadav (2016)</w:t>
      </w:r>
    </w:p>
    <w:p>
      <w:pPr>
        <w:pStyle w:val="3"/>
        <w:bidi w:val="0"/>
        <w:rPr>
          <w:rFonts w:ascii="Times New Roman" w:hAnsi="Times New Roman" w:cs="Times New Roman"/>
          <w:b/>
        </w:rPr>
      </w:pPr>
      <w:r>
        <w:rPr>
          <w:rFonts w:hint="default" w:ascii="Times New Roman" w:hAnsi="Times New Roman" w:cs="Times New Roman"/>
          <w:b/>
          <w:bCs/>
        </w:rPr>
        <w:t>4.0 Security Approaches</w:t>
      </w:r>
    </w:p>
    <w:p>
      <w:pPr>
        <w:rPr>
          <w:rFonts w:hint="default"/>
          <w:lang w:val="en"/>
        </w:rPr>
      </w:pPr>
      <w:r>
        <w:rPr>
          <w:rFonts w:hint="default"/>
          <w:lang w:val="en"/>
        </w:rPr>
        <w:t>+ Methodologies?</w:t>
      </w:r>
    </w:p>
    <w:p>
      <w:pPr>
        <w:rPr>
          <w:rFonts w:hint="default"/>
          <w:lang w:val="en"/>
        </w:rPr>
      </w:pPr>
      <w:r>
        <w:rPr>
          <w:rFonts w:hint="default"/>
          <w:lang w:val="en"/>
        </w:rPr>
        <w:t>+ Compare Killchain models?</w:t>
      </w:r>
    </w:p>
    <w:p>
      <w:pPr>
        <w:rPr>
          <w:rFonts w:hint="default"/>
          <w:lang w:val="en"/>
        </w:rPr>
      </w:pPr>
      <w:r>
        <w:rPr>
          <w:rFonts w:hint="default"/>
          <w:lang w:val="en"/>
        </w:rPr>
        <w:t>+ Managerial and Operational</w:t>
      </w:r>
    </w:p>
    <w:p>
      <w:pPr>
        <w:pStyle w:val="3"/>
        <w:rPr>
          <w:rFonts w:ascii="Times New Roman" w:hAnsi="Times New Roman" w:cs="Times New Roman"/>
          <w:b/>
        </w:rPr>
      </w:pPr>
      <w:r>
        <w:rPr>
          <w:rFonts w:ascii="Times New Roman" w:hAnsi="Times New Roman" w:cs="Times New Roman"/>
          <w:b/>
        </w:rPr>
        <w:t>5.0 Improving Security</w:t>
      </w:r>
    </w:p>
    <w:p>
      <w:pPr>
        <w:rPr>
          <w:rFonts w:hint="default"/>
          <w:lang w:val="en"/>
        </w:rPr>
      </w:pPr>
      <w:r>
        <w:rPr>
          <w:rFonts w:hint="default"/>
          <w:lang w:val="en"/>
        </w:rPr>
        <w:t>+ Current implementations.</w:t>
      </w:r>
    </w:p>
    <w:p>
      <w:pPr>
        <w:rPr>
          <w:rFonts w:hint="default"/>
          <w:lang w:val="en"/>
        </w:rPr>
      </w:pPr>
      <w:r>
        <w:rPr>
          <w:rFonts w:hint="default"/>
          <w:lang w:val="en"/>
        </w:rPr>
        <w:t xml:space="preserve">+ </w:t>
      </w:r>
    </w:p>
    <w:p>
      <w:pPr>
        <w:pStyle w:val="3"/>
        <w:rPr>
          <w:rFonts w:ascii="Times New Roman" w:hAnsi="Times New Roman" w:cs="Times New Roman"/>
          <w:b/>
          <w:bCs/>
        </w:rPr>
      </w:pPr>
      <w:r>
        <w:rPr>
          <w:rFonts w:ascii="Times New Roman" w:hAnsi="Times New Roman" w:cs="Times New Roman"/>
          <w:b/>
          <w:bCs/>
        </w:rPr>
        <w:t>6.0 Conclusion</w:t>
      </w:r>
    </w:p>
    <w:p/>
    <w:p>
      <w:pPr>
        <w:pStyle w:val="2"/>
        <w:rPr>
          <w:rFonts w:ascii="Times New Roman" w:hAnsi="Times New Roman" w:cs="Times New Roman"/>
          <w:b/>
          <w:bCs/>
          <w:color w:val="auto"/>
          <w:sz w:val="26"/>
          <w:szCs w:val="26"/>
        </w:rPr>
        <w:sectPr>
          <w:headerReference r:id="rId5" w:type="default"/>
          <w:pgSz w:w="11906" w:h="16838"/>
          <w:pgMar w:top="1440" w:right="1440" w:bottom="1440" w:left="1440" w:header="708" w:footer="708" w:gutter="0"/>
          <w:cols w:equalWidth="0" w:num="2">
            <w:col w:w="4300" w:space="425"/>
            <w:col w:w="4300"/>
          </w:cols>
          <w:docGrid w:linePitch="360" w:charSpace="0"/>
        </w:sectPr>
      </w:pPr>
    </w:p>
    <w:p>
      <w:pPr>
        <w:pStyle w:val="2"/>
        <w:rPr>
          <w:rFonts w:ascii="Times New Roman" w:hAnsi="Times New Roman" w:cs="Times New Roman"/>
          <w:b/>
          <w:bCs/>
          <w:color w:val="auto"/>
          <w:sz w:val="26"/>
          <w:szCs w:val="26"/>
        </w:rPr>
      </w:pPr>
      <w:r>
        <w:rPr>
          <w:rFonts w:ascii="Times New Roman" w:hAnsi="Times New Roman" w:cs="Times New Roman"/>
          <w:b/>
          <w:bCs/>
          <w:color w:val="auto"/>
          <w:sz w:val="26"/>
          <w:szCs w:val="26"/>
        </w:rPr>
        <w:t>7.0 References</w:t>
      </w:r>
    </w:p>
    <w:p>
      <w:r>
        <w:t xml:space="preserve">ENISA (2017) </w:t>
      </w:r>
      <w:r>
        <w:rPr>
          <w:i/>
          <w:iCs/>
        </w:rPr>
        <w:t>WannaCry Ransomware Outburst</w:t>
      </w:r>
      <w:r>
        <w:t xml:space="preserve">. Available from: </w:t>
      </w:r>
      <w:r>
        <w:fldChar w:fldCharType="begin"/>
      </w:r>
      <w:r>
        <w:instrText xml:space="preserve"> HYPERLINK "https://www.enisa.europa.eu/publications/info-notes/wannacry-ransomware-outburst" </w:instrText>
      </w:r>
      <w:r>
        <w:fldChar w:fldCharType="separate"/>
      </w:r>
      <w:r>
        <w:rPr>
          <w:rStyle w:val="10"/>
        </w:rPr>
        <w:t>https://www.enisa.europa.eu/publications/info-notes/wannacry-ransomware-outburst</w:t>
      </w:r>
      <w:r>
        <w:rPr>
          <w:rStyle w:val="10"/>
        </w:rPr>
        <w:fldChar w:fldCharType="end"/>
      </w:r>
      <w:r>
        <w:t xml:space="preserve"> [Accessed 03 February 2020].</w:t>
      </w:r>
    </w:p>
    <w:p>
      <w:r>
        <w:t xml:space="preserve">Department of Health and Social Care (2018) </w:t>
      </w:r>
      <w:r>
        <w:rPr>
          <w:i/>
          <w:iCs/>
        </w:rPr>
        <w:t xml:space="preserve">Securing Cyber Resilience in Health and Care: Progress update October 2018 </w:t>
      </w:r>
      <w:r>
        <w:t xml:space="preserve">[online]. London: Department of Health and Social Care. Available from: </w:t>
      </w:r>
      <w:r>
        <w:fldChar w:fldCharType="begin"/>
      </w:r>
      <w:r>
        <w:instrText xml:space="preserve"> HYPERLINK "https://assets.publishing.service.gov.uk/government/uploads/system/uploads/attachment_data/file/747464/securing-cyber-resilience-in-health-and-care-september-2018-update.pdf" </w:instrText>
      </w:r>
      <w:r>
        <w:fldChar w:fldCharType="separate"/>
      </w:r>
      <w:r>
        <w:rPr>
          <w:rStyle w:val="10"/>
        </w:rPr>
        <w:t>https://assets.publishing.service.gov.uk/government/uploads/system/uploads/attachment_data/file/747464/securing-cyber-resilience-in-health-and-care-september-2018-update.pdf</w:t>
      </w:r>
      <w:r>
        <w:rPr>
          <w:rStyle w:val="10"/>
        </w:rPr>
        <w:fldChar w:fldCharType="end"/>
      </w:r>
      <w:r>
        <w:t xml:space="preserve"> [Accessed 07 February 2020]</w:t>
      </w:r>
    </w:p>
    <w:p>
      <w:r>
        <w:t xml:space="preserve">House of Commons Committee of Public Accounts (2018), </w:t>
      </w:r>
      <w:r>
        <w:rPr>
          <w:i/>
          <w:iCs/>
        </w:rPr>
        <w:t xml:space="preserve">Cyber Attack on the NHS: Thirty Second Report of Session 2017-2019 </w:t>
      </w:r>
      <w:r>
        <w:t xml:space="preserve">[online]. London: House of Commons. Available from: </w:t>
      </w:r>
      <w:r>
        <w:fldChar w:fldCharType="begin"/>
      </w:r>
      <w:r>
        <w:instrText xml:space="preserve"> HYPERLINK "https://publications.parliament.uk/pa/cm201719/cmselect/cmpubacc/787/787.pdf" </w:instrText>
      </w:r>
      <w:r>
        <w:fldChar w:fldCharType="separate"/>
      </w:r>
      <w:r>
        <w:rPr>
          <w:rStyle w:val="10"/>
        </w:rPr>
        <w:t>https://publications.parliament.uk/pa/cm201719/cmselect/cmpubacc/787/787.pdf</w:t>
      </w:r>
      <w:r>
        <w:rPr>
          <w:rStyle w:val="10"/>
        </w:rPr>
        <w:fldChar w:fldCharType="end"/>
      </w:r>
      <w:r>
        <w:t xml:space="preserve"> [Accessed 07 February 2020]</w:t>
      </w:r>
    </w:p>
    <w:p>
      <w:pPr>
        <w:bidi w:val="0"/>
      </w:pPr>
      <w:r>
        <w:rPr>
          <w:lang w:val="en-US" w:eastAsia="zh-CN"/>
        </w:rPr>
        <w:t>Lin, T.L., Capecci, D.E.C., Ellis, D.M.E., Rocha, H.A.R., Dommaraju, S.D., Oliveira, D.S.O. and Ebner, N.C.E. (2019)</w:t>
      </w:r>
      <w:r>
        <w:rPr>
          <w:i/>
          <w:iCs/>
          <w:lang w:val="en-US" w:eastAsia="zh-CN"/>
        </w:rPr>
        <w:t xml:space="preserve"> Susceptibility to Spear-phishing Emails: Effects Of</w:t>
      </w:r>
      <w:r>
        <w:rPr>
          <w:rFonts w:hint="default"/>
          <w:i/>
          <w:iCs/>
          <w:lang w:val="en" w:eastAsia="zh-CN"/>
        </w:rPr>
        <w:t xml:space="preserve"> I</w:t>
      </w:r>
      <w:r>
        <w:rPr>
          <w:i/>
          <w:iCs/>
          <w:lang w:val="en-US" w:eastAsia="zh-CN"/>
        </w:rPr>
        <w:t>nternet User Demographics and Email Content</w:t>
      </w:r>
      <w:r>
        <w:rPr>
          <w:lang w:val="en-US" w:eastAsia="zh-CN"/>
        </w:rPr>
        <w:t>. Acm Transactions on Computer Human Interaction [online]. 26 (5) [Accessed 16 February 2020].</w:t>
      </w:r>
    </w:p>
    <w:p>
      <w:r>
        <w:rPr>
          <w:rFonts w:hint="default"/>
          <w:lang w:val="en-GB"/>
        </w:rPr>
        <w:t xml:space="preserve">E-ISAC and SANS-ICS (2016) </w:t>
      </w:r>
      <w:r>
        <w:rPr>
          <w:rFonts w:hint="default"/>
          <w:i/>
          <w:iCs/>
          <w:lang w:val="en-GB"/>
        </w:rPr>
        <w:t>Analysis of the Cyber Attack on the Ukrainian Power Grid</w:t>
      </w:r>
      <w:r>
        <w:rPr>
          <w:rFonts w:hint="default"/>
          <w:i w:val="0"/>
          <w:iCs w:val="0"/>
          <w:lang w:val="en-GB"/>
        </w:rPr>
        <w:t xml:space="preserve">[online]. Washington DC: E-ISAC and SANS-ICS. Available from: </w:t>
      </w:r>
      <w:r>
        <w:rPr>
          <w:rFonts w:hint="default"/>
          <w:i w:val="0"/>
          <w:iCs w:val="0"/>
          <w:lang w:val="en-GB"/>
        </w:rPr>
        <w:fldChar w:fldCharType="begin"/>
      </w:r>
      <w:r>
        <w:rPr>
          <w:rFonts w:hint="default"/>
          <w:i w:val="0"/>
          <w:iCs w:val="0"/>
          <w:lang w:val="en-GB"/>
        </w:rPr>
        <w:instrText xml:space="preserve"> HYPERLINK "https://ics.sans.org/media/E-ISAC_SANS_Ukraine_DUC_5.pdf" </w:instrText>
      </w:r>
      <w:r>
        <w:rPr>
          <w:rFonts w:hint="default"/>
          <w:i w:val="0"/>
          <w:iCs w:val="0"/>
          <w:lang w:val="en-GB"/>
        </w:rPr>
        <w:fldChar w:fldCharType="separate"/>
      </w:r>
      <w:r>
        <w:rPr>
          <w:rStyle w:val="10"/>
          <w:rFonts w:hint="default"/>
          <w:i w:val="0"/>
          <w:iCs w:val="0"/>
          <w:lang w:val="en-GB"/>
        </w:rPr>
        <w:t>https://ics.sans.org/media/E-ISAC_SANS_Ukraine_DUC_5.pdf</w:t>
      </w:r>
      <w:r>
        <w:rPr>
          <w:rFonts w:hint="default"/>
          <w:i w:val="0"/>
          <w:iCs w:val="0"/>
          <w:lang w:val="en-GB"/>
        </w:rPr>
        <w:fldChar w:fldCharType="end"/>
      </w:r>
    </w:p>
    <w:p>
      <w:pPr>
        <w:pStyle w:val="3"/>
        <w:bidi w:val="0"/>
        <w:rPr>
          <w:rFonts w:hint="default" w:ascii="Times New Roman" w:hAnsi="Times New Roman" w:cs="Times New Roman"/>
          <w:b/>
          <w:bCs/>
          <w:lang w:val="en"/>
        </w:rPr>
        <w:sectPr>
          <w:pgSz w:w="11906" w:h="16838"/>
          <w:pgMar w:top="1440" w:right="1440" w:bottom="1440" w:left="1440" w:header="708" w:footer="708" w:gutter="0"/>
          <w:cols w:space="425" w:num="1"/>
          <w:docGrid w:linePitch="360" w:charSpace="0"/>
        </w:sectPr>
      </w:pPr>
    </w:p>
    <w:p>
      <w:pPr>
        <w:pStyle w:val="3"/>
        <w:bidi w:val="0"/>
        <w:rPr>
          <w:rFonts w:hint="default" w:ascii="Times New Roman" w:hAnsi="Times New Roman" w:cs="Times New Roman"/>
          <w:b/>
          <w:bCs/>
          <w:lang w:val="en"/>
        </w:rPr>
      </w:pPr>
      <w:r>
        <w:rPr>
          <w:rFonts w:hint="default" w:ascii="Times New Roman" w:hAnsi="Times New Roman" w:cs="Times New Roman"/>
          <w:b/>
          <w:bCs/>
          <w:lang w:val="en"/>
        </w:rPr>
        <w:t>Appendices</w:t>
      </w:r>
    </w:p>
    <w:p>
      <w:pPr>
        <w:pStyle w:val="4"/>
        <w:numPr>
          <w:ilvl w:val="0"/>
          <w:numId w:val="1"/>
        </w:numPr>
        <w:bidi w:val="0"/>
        <w:rPr>
          <w:rFonts w:hint="default" w:ascii="Times New Roman" w:hAnsi="Times New Roman" w:cs="Times New Roman"/>
          <w:sz w:val="26"/>
          <w:szCs w:val="26"/>
          <w:lang w:val="en"/>
        </w:rPr>
      </w:pPr>
      <w:r>
        <w:rPr>
          <w:rFonts w:hint="default" w:ascii="Times New Roman" w:hAnsi="Times New Roman" w:cs="Times New Roman"/>
          <w:sz w:val="26"/>
          <w:szCs w:val="26"/>
          <w:lang w:val="en"/>
        </w:rPr>
        <w:t>Broad Scope Threat Methodologies and Technologies</w:t>
      </w:r>
    </w:p>
    <w:p>
      <w:pPr>
        <w:bidi w:val="0"/>
        <w:rPr>
          <w:rFonts w:hint="default"/>
          <w:lang w:val="en"/>
        </w:rPr>
      </w:pPr>
      <w:r>
        <w:rPr>
          <w:rFonts w:hint="default"/>
          <w:lang w:val="en"/>
        </w:rPr>
        <w:t xml:space="preserve">All data from </w:t>
      </w:r>
      <w:r>
        <w:rPr>
          <w:rFonts w:hint="default"/>
          <w:i/>
          <w:iCs/>
          <w:lang w:val="en"/>
        </w:rPr>
        <w:t>Tarun and Yadav (2016).</w:t>
      </w:r>
    </w:p>
    <w:tbl>
      <w:tblPr>
        <w:tblStyle w:val="1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3075"/>
        <w:gridCol w:w="4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pPr>
              <w:widowControl w:val="0"/>
              <w:jc w:val="center"/>
              <w:rPr>
                <w:rFonts w:hint="default"/>
                <w:i/>
                <w:iCs/>
                <w:vertAlign w:val="baseline"/>
                <w:lang w:val="en"/>
              </w:rPr>
            </w:pPr>
            <w:r>
              <w:rPr>
                <w:rFonts w:hint="default"/>
                <w:i/>
                <w:iCs/>
                <w:vertAlign w:val="baseline"/>
                <w:lang w:val="en"/>
              </w:rPr>
              <w:t>Stage</w:t>
            </w:r>
          </w:p>
        </w:tc>
        <w:tc>
          <w:tcPr>
            <w:tcW w:w="3075" w:type="dxa"/>
          </w:tcPr>
          <w:p>
            <w:pPr>
              <w:widowControl w:val="0"/>
              <w:jc w:val="center"/>
              <w:rPr>
                <w:rFonts w:hint="default"/>
                <w:i/>
                <w:iCs/>
                <w:vertAlign w:val="baseline"/>
                <w:lang w:val="en"/>
              </w:rPr>
            </w:pPr>
            <w:r>
              <w:rPr>
                <w:rFonts w:hint="default"/>
                <w:i/>
                <w:iCs/>
                <w:vertAlign w:val="baseline"/>
                <w:lang w:val="en"/>
              </w:rPr>
              <w:t>Methodology / Technology</w:t>
            </w:r>
          </w:p>
        </w:tc>
        <w:tc>
          <w:tcPr>
            <w:tcW w:w="4602" w:type="dxa"/>
          </w:tcPr>
          <w:p>
            <w:pPr>
              <w:widowControl w:val="0"/>
              <w:jc w:val="center"/>
              <w:rPr>
                <w:rFonts w:hint="default"/>
                <w:i/>
                <w:iCs/>
                <w:vertAlign w:val="baseline"/>
                <w:lang w:val="en"/>
              </w:rPr>
            </w:pPr>
            <w:r>
              <w:rPr>
                <w:rFonts w:hint="default"/>
                <w:i/>
                <w:iCs/>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Recon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Identification and Selection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Passive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Domain names, whois, records from APNIC, RIPE, ARIN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Social Profiling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Passive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Scraping social networks, public documents, reports and corporate websites.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System Profiling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Active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Pingsweeps, Fingerprinting, Port scanning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Validation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Active</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Spam Messages, Phishing emails, social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r>
              <w:rPr>
                <w:rFonts w:hint="default"/>
                <w:i/>
                <w:iCs/>
                <w:sz w:val="20"/>
                <w:szCs w:val="20"/>
                <w:vertAlign w:val="baseline"/>
                <w:lang w:val="en"/>
              </w:rPr>
              <w:t>Weaponization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Remote Access Tool (RAT)</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Executes on target system, giving remote, hidden, and undetected access to the attacker.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Delivery</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Email Attachments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Content composed to entice the user by using appealing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Phishing Emails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Sensitive information like Usernames, passwords, credit card details are extract masquerading as a trustworthy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Drive By Download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Target is forced to download appealing malicious content from the internet. Images, PDF Word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USB Removable Media</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Removable media devices which silently infect other systems by opening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DNS Cache Poisoning</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Divert internet traffic from legitimate servers to attacker controlled destinations.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Exploitation</w:t>
            </w:r>
          </w:p>
          <w:p>
            <w:pPr>
              <w:widowControl w:val="0"/>
              <w:jc w:val="center"/>
              <w:rPr>
                <w:rFonts w:hint="default"/>
                <w:i/>
                <w:iCs/>
                <w:sz w:val="20"/>
                <w:szCs w:val="20"/>
                <w:vertAlign w:val="baseline"/>
                <w:lang w:val="en"/>
              </w:rPr>
            </w:pPr>
            <w:r>
              <w:rPr>
                <w:rFonts w:hint="default"/>
                <w:i/>
                <w:iCs/>
                <w:sz w:val="20"/>
                <w:szCs w:val="20"/>
                <w:vertAlign w:val="baseline"/>
                <w:lang w:val="en"/>
              </w:rPr>
              <w:t>(Exploits are usually combined into a singular, multi-exploit kit)</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Operating System Level</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Kernal, device drivers, denial of services, remote or local code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Network Level</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FTP, SMTP, NTP, SSH, router, privilege escalation.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Application Software</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Browsers, MS Office, PDF, Java / Flash, Memory Corruption (Dangling-pointer,buffer overflow, use-after-free)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Installation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Droppers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Program to install and run malware on system. Will try and disable device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Downloaders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Similar to dropper, smaller, connects to a remote server and downloads the rest of the payload.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Anti-AntiVirus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Dropper and Downloader are usually “armoured”, containing toolsets for disabling security measures, changing DNS to prevent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Rootkit and Bootkit</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Payload file hiding, process hiding.</w:t>
            </w:r>
          </w:p>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Bootkits hook and patch system to gain kernal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Targeted Delivery</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Preventive measures against deploying malware in a virtual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Host-based Encrypted Data Exfiltration</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Critical data stolen is encrypted and sent over a clear text protocol such as HTTP or SMTP.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(Architecture)</w:t>
            </w:r>
          </w:p>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Centralized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Single Server, no dependency on peer-to-peer. Infected machine failure wont affect the whole. Take down of C&amp;C will bring down entire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Decentralized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Peer-to-peer. Scalable. Fault Tolerant.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Social Networks Based</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High Availability. Reliable. Profiles used to pass 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(Secure Communications)</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IRC Chats</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Application layer protocol. Client / server networking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TCP / HTTP</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Secure, error checked, over the web communication protocols.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Steganography</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Encoding information in images, video, or audio.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TOR</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Hidden service protocol. Traffic directed through a worldwide volunteer overlay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5" w:type="dxa"/>
            <w:vMerge w:val="restart"/>
          </w:tcPr>
          <w:p>
            <w:pPr>
              <w:widowControl w:val="0"/>
              <w:jc w:val="center"/>
              <w:rPr>
                <w:rFonts w:hint="default"/>
                <w:i/>
                <w:iCs/>
                <w:sz w:val="20"/>
                <w:szCs w:val="20"/>
                <w:vertAlign w:val="baseline"/>
                <w:lang w:val="en"/>
              </w:rPr>
            </w:pPr>
            <w:r>
              <w:rPr>
                <w:rFonts w:hint="default"/>
                <w:i/>
                <w:iCs/>
                <w:sz w:val="20"/>
                <w:szCs w:val="20"/>
                <w:vertAlign w:val="baseline"/>
                <w:lang w:val="en"/>
              </w:rPr>
              <w:t>Command and Control</w:t>
            </w:r>
          </w:p>
          <w:p>
            <w:pPr>
              <w:widowControl w:val="0"/>
              <w:jc w:val="center"/>
              <w:rPr>
                <w:rFonts w:hint="default"/>
                <w:i/>
                <w:iCs/>
                <w:sz w:val="20"/>
                <w:szCs w:val="20"/>
                <w:vertAlign w:val="baseline"/>
                <w:lang w:val="en"/>
              </w:rPr>
            </w:pPr>
            <w:r>
              <w:rPr>
                <w:rFonts w:hint="default"/>
                <w:i/>
                <w:iCs/>
                <w:sz w:val="20"/>
                <w:szCs w:val="20"/>
                <w:vertAlign w:val="baseline"/>
                <w:lang w:val="en"/>
              </w:rPr>
              <w:t>(Obfuscation)</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DNS Fast Flux</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Rapidly changing network of machines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Merge w:val="continue"/>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Domain Name Generation Algorithm</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Pseudo Random Domain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r>
              <w:rPr>
                <w:rFonts w:hint="default"/>
                <w:i/>
                <w:iCs/>
                <w:sz w:val="20"/>
                <w:szCs w:val="20"/>
                <w:vertAlign w:val="baseline"/>
                <w:lang w:val="en"/>
              </w:rPr>
              <w:t>Act of Objectives</w:t>
            </w: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Mass Attack</w:t>
            </w:r>
          </w:p>
        </w:tc>
        <w:tc>
          <w:tcPr>
            <w:tcW w:w="4602" w:type="dxa"/>
          </w:tcPr>
          <w:p>
            <w:pPr>
              <w:widowControl w:val="0"/>
              <w:spacing w:line="240" w:lineRule="auto"/>
              <w:jc w:val="left"/>
              <w:rPr>
                <w:rFonts w:hint="default"/>
                <w:i/>
                <w:iCs/>
                <w:sz w:val="20"/>
                <w:szCs w:val="20"/>
                <w:vertAlign w:val="baseline"/>
                <w:lang w:val="en"/>
              </w:rPr>
            </w:pPr>
            <w:r>
              <w:rPr>
                <w:rFonts w:hint="default"/>
                <w:i/>
                <w:iCs/>
                <w:sz w:val="20"/>
                <w:szCs w:val="20"/>
                <w:vertAlign w:val="baseline"/>
                <w:lang w:val="en"/>
              </w:rPr>
              <w:t>Distributed attack on many targets. General target is credentials. Bigger picture is botnet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tcPr>
          <w:p>
            <w:pPr>
              <w:widowControl w:val="0"/>
              <w:jc w:val="center"/>
              <w:rPr>
                <w:rFonts w:hint="default"/>
                <w:i/>
                <w:iCs/>
                <w:sz w:val="20"/>
                <w:szCs w:val="20"/>
                <w:vertAlign w:val="baseline"/>
                <w:lang w:val="en"/>
              </w:rPr>
            </w:pPr>
          </w:p>
        </w:tc>
        <w:tc>
          <w:tcPr>
            <w:tcW w:w="3075" w:type="dxa"/>
          </w:tcPr>
          <w:p>
            <w:pPr>
              <w:widowControl w:val="0"/>
              <w:jc w:val="center"/>
              <w:rPr>
                <w:rFonts w:hint="default"/>
                <w:i/>
                <w:iCs/>
                <w:sz w:val="20"/>
                <w:szCs w:val="20"/>
                <w:vertAlign w:val="baseline"/>
                <w:lang w:val="en"/>
              </w:rPr>
            </w:pPr>
            <w:r>
              <w:rPr>
                <w:rFonts w:hint="default"/>
                <w:i/>
                <w:iCs/>
                <w:sz w:val="20"/>
                <w:szCs w:val="20"/>
                <w:vertAlign w:val="baseline"/>
                <w:lang w:val="en"/>
              </w:rPr>
              <w:t>Target Attacks</w:t>
            </w:r>
          </w:p>
        </w:tc>
        <w:tc>
          <w:tcPr>
            <w:tcW w:w="4602" w:type="dxa"/>
          </w:tcPr>
          <w:p>
            <w:pPr>
              <w:widowControl w:val="0"/>
              <w:spacing w:line="240" w:lineRule="auto"/>
              <w:jc w:val="left"/>
              <w:rPr>
                <w:rFonts w:hint="default"/>
                <w:i/>
                <w:iCs/>
                <w:sz w:val="20"/>
                <w:szCs w:val="20"/>
                <w:vertAlign w:val="baseline"/>
                <w:lang w:val="en"/>
              </w:rPr>
            </w:pPr>
          </w:p>
        </w:tc>
      </w:tr>
    </w:tbl>
    <w:p>
      <w:pPr>
        <w:rPr>
          <w:rFonts w:hint="default"/>
          <w:lang w:val="en"/>
        </w:rPr>
      </w:pPr>
    </w:p>
    <w:p>
      <w:r>
        <w:br w:type="page"/>
      </w:r>
    </w:p>
    <w:p/>
    <w:p>
      <w:r>
        <w:t>Titles: 38</w:t>
      </w:r>
    </w:p>
    <w:p>
      <w:pPr>
        <w:rPr>
          <w:rFonts w:hint="default"/>
          <w:lang w:val="en-GB"/>
        </w:rPr>
      </w:pPr>
      <w:r>
        <w:t xml:space="preserve">References: </w:t>
      </w:r>
      <w:r>
        <w:rPr>
          <w:rFonts w:hint="default"/>
          <w:lang w:val="en-GB"/>
        </w:rPr>
        <w:t>138</w:t>
      </w:r>
    </w:p>
    <w:p>
      <w:pPr>
        <w:rPr>
          <w:rFonts w:hint="default"/>
          <w:lang w:val="en-GB"/>
        </w:rPr>
      </w:pPr>
      <w:r>
        <w:rPr>
          <w:rFonts w:hint="default"/>
          <w:lang w:val="en-GB"/>
        </w:rPr>
        <w:t>Word count: 1588</w:t>
      </w:r>
    </w:p>
    <w:p/>
    <w:sectPr>
      <w:pgSz w:w="11906" w:h="16838"/>
      <w:pgMar w:top="1440" w:right="1440" w:bottom="1440" w:left="1440"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2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Jacob John Williams</w:t>
    </w:r>
    <w:r>
      <w:ptab w:relativeTo="margin" w:alignment="center" w:leader="none"/>
    </w:r>
    <w:r>
      <w:t>University of the West of England</w:t>
    </w:r>
    <w:r>
      <w:ptab w:relativeTo="margin" w:alignment="right" w:leader="none"/>
    </w:r>
    <w:r>
      <w:t>15008632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9FFD6"/>
    <w:multiLevelType w:val="singleLevel"/>
    <w:tmpl w:val="7EF9FFD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3F07A05"/>
    <w:rsid w:val="04FC0759"/>
    <w:rsid w:val="07EE629A"/>
    <w:rsid w:val="08D73882"/>
    <w:rsid w:val="0BCC65F0"/>
    <w:rsid w:val="0CF23FA2"/>
    <w:rsid w:val="0D372646"/>
    <w:rsid w:val="1269283C"/>
    <w:rsid w:val="133E508D"/>
    <w:rsid w:val="14057579"/>
    <w:rsid w:val="14C16552"/>
    <w:rsid w:val="180C4A94"/>
    <w:rsid w:val="1E5B4404"/>
    <w:rsid w:val="1E9D3040"/>
    <w:rsid w:val="1EAC2C35"/>
    <w:rsid w:val="204A7D7B"/>
    <w:rsid w:val="21166350"/>
    <w:rsid w:val="217C3AE4"/>
    <w:rsid w:val="21800991"/>
    <w:rsid w:val="22D441DD"/>
    <w:rsid w:val="23AB0EC2"/>
    <w:rsid w:val="27346B9D"/>
    <w:rsid w:val="275A4339"/>
    <w:rsid w:val="280643C8"/>
    <w:rsid w:val="28B95E6D"/>
    <w:rsid w:val="29CD4A46"/>
    <w:rsid w:val="2A1526CB"/>
    <w:rsid w:val="2A7045D4"/>
    <w:rsid w:val="2AB4542C"/>
    <w:rsid w:val="2BC4604C"/>
    <w:rsid w:val="2C2417EF"/>
    <w:rsid w:val="2C457BBE"/>
    <w:rsid w:val="2E643934"/>
    <w:rsid w:val="2E960501"/>
    <w:rsid w:val="2FDF28FD"/>
    <w:rsid w:val="313E32CC"/>
    <w:rsid w:val="327A74D7"/>
    <w:rsid w:val="340C4212"/>
    <w:rsid w:val="35272419"/>
    <w:rsid w:val="35386C06"/>
    <w:rsid w:val="356E5735"/>
    <w:rsid w:val="36BF26EA"/>
    <w:rsid w:val="36F0C29B"/>
    <w:rsid w:val="376E259D"/>
    <w:rsid w:val="38F458F6"/>
    <w:rsid w:val="38F83FB6"/>
    <w:rsid w:val="39382EA3"/>
    <w:rsid w:val="3AF46424"/>
    <w:rsid w:val="3BA22505"/>
    <w:rsid w:val="3D920755"/>
    <w:rsid w:val="3F591265"/>
    <w:rsid w:val="400A159C"/>
    <w:rsid w:val="41237D86"/>
    <w:rsid w:val="425C03C9"/>
    <w:rsid w:val="43A266F7"/>
    <w:rsid w:val="43AF024A"/>
    <w:rsid w:val="46A00556"/>
    <w:rsid w:val="46F72AD6"/>
    <w:rsid w:val="487F5EC2"/>
    <w:rsid w:val="4ADF7E6B"/>
    <w:rsid w:val="4D1E656B"/>
    <w:rsid w:val="4DC93CD8"/>
    <w:rsid w:val="4EEC4AA7"/>
    <w:rsid w:val="504F08B9"/>
    <w:rsid w:val="509F3A96"/>
    <w:rsid w:val="50C43EFF"/>
    <w:rsid w:val="51C76FBE"/>
    <w:rsid w:val="54397966"/>
    <w:rsid w:val="55851529"/>
    <w:rsid w:val="5606181E"/>
    <w:rsid w:val="578A2C75"/>
    <w:rsid w:val="579AEAF0"/>
    <w:rsid w:val="57A43E6F"/>
    <w:rsid w:val="57EF238B"/>
    <w:rsid w:val="597D2736"/>
    <w:rsid w:val="59B7ABCC"/>
    <w:rsid w:val="5A0A51F0"/>
    <w:rsid w:val="5D74087B"/>
    <w:rsid w:val="5DED2485"/>
    <w:rsid w:val="5E160394"/>
    <w:rsid w:val="5E364355"/>
    <w:rsid w:val="6079726F"/>
    <w:rsid w:val="60AE2D65"/>
    <w:rsid w:val="614C5EAF"/>
    <w:rsid w:val="64FC63F0"/>
    <w:rsid w:val="655F1A15"/>
    <w:rsid w:val="66494937"/>
    <w:rsid w:val="66CE71B0"/>
    <w:rsid w:val="679F539A"/>
    <w:rsid w:val="68616948"/>
    <w:rsid w:val="68B46B04"/>
    <w:rsid w:val="6B61194B"/>
    <w:rsid w:val="6BD44740"/>
    <w:rsid w:val="6C8238E8"/>
    <w:rsid w:val="6CE652E0"/>
    <w:rsid w:val="6DCB4C3C"/>
    <w:rsid w:val="6EE37E6C"/>
    <w:rsid w:val="6F8F146F"/>
    <w:rsid w:val="6FBF540E"/>
    <w:rsid w:val="6FF00F03"/>
    <w:rsid w:val="702960AB"/>
    <w:rsid w:val="70CE42A9"/>
    <w:rsid w:val="711D0EB5"/>
    <w:rsid w:val="71344007"/>
    <w:rsid w:val="715F2589"/>
    <w:rsid w:val="71D43055"/>
    <w:rsid w:val="71FC3622"/>
    <w:rsid w:val="726FB416"/>
    <w:rsid w:val="73522AA0"/>
    <w:rsid w:val="748C6D71"/>
    <w:rsid w:val="74F73AC3"/>
    <w:rsid w:val="75516347"/>
    <w:rsid w:val="760D0179"/>
    <w:rsid w:val="7788FBF7"/>
    <w:rsid w:val="77FE1F79"/>
    <w:rsid w:val="785D28F1"/>
    <w:rsid w:val="793F0B01"/>
    <w:rsid w:val="797FAABC"/>
    <w:rsid w:val="799925CC"/>
    <w:rsid w:val="79C46439"/>
    <w:rsid w:val="79E02C4C"/>
    <w:rsid w:val="7A6FCBB1"/>
    <w:rsid w:val="7B2EDAE5"/>
    <w:rsid w:val="7CBB7E2E"/>
    <w:rsid w:val="7E9228DB"/>
    <w:rsid w:val="7EF7EDCA"/>
    <w:rsid w:val="7F755E60"/>
    <w:rsid w:val="7FBEF754"/>
    <w:rsid w:val="8CFF8B6F"/>
    <w:rsid w:val="AEFDD50E"/>
    <w:rsid w:val="B6AB8FDD"/>
    <w:rsid w:val="B6FB82F8"/>
    <w:rsid w:val="BE2D1C6D"/>
    <w:rsid w:val="BFFB520C"/>
    <w:rsid w:val="BFFC52F0"/>
    <w:rsid w:val="D3765D2A"/>
    <w:rsid w:val="E78FCD19"/>
    <w:rsid w:val="EEFE8FEA"/>
    <w:rsid w:val="EFBC891E"/>
    <w:rsid w:val="F7FFB621"/>
    <w:rsid w:val="FAF85A1D"/>
    <w:rsid w:val="FCB466E7"/>
    <w:rsid w:val="FD6BB42D"/>
    <w:rsid w:val="FDBF4860"/>
    <w:rsid w:val="FEF90EC0"/>
    <w:rsid w:val="FF4FBB81"/>
    <w:rsid w:val="FFEFEA7A"/>
    <w:rsid w:val="FFFBF923"/>
    <w:rsid w:val="FFFF0A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eastAsiaTheme="minorEastAsia"/>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3"/>
    <w:unhideWhenUsed/>
    <w:qFormat/>
    <w:uiPriority w:val="99"/>
    <w:pPr>
      <w:tabs>
        <w:tab w:val="center" w:pos="4513"/>
        <w:tab w:val="right" w:pos="9026"/>
      </w:tabs>
      <w:spacing w:after="0" w:line="240" w:lineRule="auto"/>
    </w:pPr>
  </w:style>
  <w:style w:type="paragraph" w:styleId="9">
    <w:name w:val="header"/>
    <w:basedOn w:val="1"/>
    <w:link w:val="12"/>
    <w:unhideWhenUsed/>
    <w:qFormat/>
    <w:uiPriority w:val="99"/>
    <w:pPr>
      <w:tabs>
        <w:tab w:val="center" w:pos="4513"/>
        <w:tab w:val="right" w:pos="9026"/>
      </w:tabs>
      <w:spacing w:after="0" w:line="240" w:lineRule="auto"/>
    </w:pPr>
  </w:style>
  <w:style w:type="character" w:styleId="10">
    <w:name w:val="Hyperlink"/>
    <w:basedOn w:val="5"/>
    <w:semiHidden/>
    <w:unhideWhenUsed/>
    <w:qFormat/>
    <w:uiPriority w:val="99"/>
    <w:rPr>
      <w:color w:val="0000FF"/>
      <w:u w:val="single"/>
    </w:rPr>
  </w:style>
  <w:style w:type="table" w:styleId="11">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er Char"/>
    <w:basedOn w:val="5"/>
    <w:link w:val="9"/>
    <w:qFormat/>
    <w:uiPriority w:val="99"/>
  </w:style>
  <w:style w:type="character" w:customStyle="1" w:styleId="13">
    <w:name w:val="Footer Char"/>
    <w:basedOn w:val="5"/>
    <w:link w:val="8"/>
    <w:qFormat/>
    <w:uiPriority w:val="99"/>
  </w:style>
  <w:style w:type="character" w:customStyle="1" w:styleId="14">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5"/>
    <w:link w:val="3"/>
    <w:qFormat/>
    <w:uiPriority w:val="9"/>
    <w:rPr>
      <w:rFonts w:asciiTheme="majorHAnsi" w:hAnsiTheme="majorHAnsi" w:eastAsiaTheme="majorEastAsia" w:cstheme="majorBidi"/>
      <w:sz w:val="26"/>
      <w:szCs w:val="26"/>
      <w:lang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4</Pages>
  <Words>1107</Words>
  <Characters>6311</Characters>
  <Lines>52</Lines>
  <Paragraphs>14</Paragraphs>
  <TotalTime>8</TotalTime>
  <ScaleCrop>false</ScaleCrop>
  <LinksUpToDate>false</LinksUpToDate>
  <CharactersWithSpaces>7404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2020-02-03T18:16:00Z</dcterms:created>
  <dc:creator>Jacob Williams</dc:creator>
  <cp:lastModifiedBy>j</cp:lastModifiedBy>
  <dcterms:modified xsi:type="dcterms:W3CDTF">2020-03-02T16:07:26Z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