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1</w:t>
            </w:r>
          </w:p>
        </w:tc>
        <w:tc>
          <w:tcPr>
            <w:tcW w:w="2130" w:type="dxa"/>
          </w:tcPr>
          <w:p>
            <w:pPr>
              <w:widowControl w:val="0"/>
              <w:jc w:val="both"/>
              <w:rPr>
                <w:rFonts w:hint="default"/>
                <w:vertAlign w:val="baseline"/>
                <w:lang w:val="en"/>
              </w:rPr>
            </w:pPr>
            <w:r>
              <w:rPr>
                <w:rFonts w:hint="default"/>
                <w:vertAlign w:val="baseline"/>
                <w:lang w:val="en"/>
              </w:rPr>
              <w:t>WannaCry (Wormless Variant)</w:t>
            </w:r>
          </w:p>
        </w:tc>
        <w:tc>
          <w:tcPr>
            <w:tcW w:w="2131" w:type="dxa"/>
          </w:tcPr>
          <w:p>
            <w:pPr>
              <w:widowControl w:val="0"/>
              <w:jc w:val="both"/>
              <w:rPr>
                <w:rFonts w:hint="default"/>
                <w:vertAlign w:val="baseline"/>
                <w:lang w:val="en"/>
              </w:rPr>
            </w:pPr>
            <w:r>
              <w:rPr>
                <w:rFonts w:hint="default"/>
                <w:vertAlign w:val="baseline"/>
                <w:lang w:val="en"/>
              </w:rPr>
              <w:t>Infection of Node 1, No propagation.</w:t>
            </w:r>
          </w:p>
        </w:tc>
        <w:tc>
          <w:tcPr>
            <w:tcW w:w="2131" w:type="dxa"/>
          </w:tcPr>
          <w:p>
            <w:pPr>
              <w:widowControl w:val="0"/>
              <w:jc w:val="both"/>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2</w:t>
            </w:r>
          </w:p>
        </w:tc>
        <w:tc>
          <w:tcPr>
            <w:tcW w:w="2130" w:type="dxa"/>
          </w:tcPr>
          <w:p>
            <w:pPr>
              <w:widowControl w:val="0"/>
              <w:jc w:val="both"/>
              <w:rPr>
                <w:rFonts w:hint="default"/>
                <w:vertAlign w:val="baseline"/>
                <w:lang w:val="en"/>
              </w:rPr>
            </w:pPr>
            <w:r>
              <w:rPr>
                <w:rFonts w:hint="default"/>
                <w:vertAlign w:val="baseline"/>
                <w:lang w:val="en"/>
              </w:rPr>
              <w:t>WannaCry</w:t>
            </w:r>
          </w:p>
        </w:tc>
        <w:tc>
          <w:tcPr>
            <w:tcW w:w="2131" w:type="dxa"/>
          </w:tcPr>
          <w:p>
            <w:pPr>
              <w:widowControl w:val="0"/>
              <w:jc w:val="both"/>
              <w:rPr>
                <w:rFonts w:hint="default"/>
                <w:vertAlign w:val="baseline"/>
                <w:lang w:val="en"/>
              </w:rPr>
            </w:pPr>
            <w:r>
              <w:rPr>
                <w:rFonts w:hint="default"/>
                <w:vertAlign w:val="baseline"/>
                <w:lang w:val="en"/>
              </w:rPr>
              <w:t>Propagated, network fully infected.</w:t>
            </w:r>
          </w:p>
        </w:tc>
        <w:tc>
          <w:tcPr>
            <w:tcW w:w="2131" w:type="dxa"/>
          </w:tcPr>
          <w:p>
            <w:pPr>
              <w:widowControl w:val="0"/>
              <w:jc w:val="both"/>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3</w:t>
            </w:r>
          </w:p>
        </w:tc>
        <w:tc>
          <w:tcPr>
            <w:tcW w:w="2130" w:type="dxa"/>
          </w:tcPr>
          <w:p>
            <w:pPr>
              <w:widowControl w:val="0"/>
              <w:jc w:val="both"/>
              <w:rPr>
                <w:rFonts w:hint="default"/>
                <w:vertAlign w:val="baseline"/>
                <w:lang w:val="en"/>
              </w:rPr>
            </w:pPr>
            <w:r>
              <w:rPr>
                <w:rFonts w:hint="default"/>
                <w:vertAlign w:val="baseline"/>
                <w:lang w:val="en"/>
              </w:rPr>
              <w:t>CryptoLocker (November 2013)</w:t>
            </w:r>
          </w:p>
        </w:tc>
        <w:tc>
          <w:tcPr>
            <w:tcW w:w="2131" w:type="dxa"/>
          </w:tcPr>
          <w:p>
            <w:pPr>
              <w:widowControl w:val="0"/>
              <w:jc w:val="both"/>
              <w:rPr>
                <w:rFonts w:hint="default"/>
                <w:vertAlign w:val="baseline"/>
                <w:lang w:val="en"/>
              </w:rPr>
            </w:pPr>
            <w:r>
              <w:rPr>
                <w:rFonts w:hint="default"/>
                <w:vertAlign w:val="baseline"/>
                <w:lang w:val="en"/>
              </w:rPr>
              <w:t>Infection of Node 1, no encryption, no ransom, no propagation.</w:t>
            </w:r>
          </w:p>
        </w:tc>
        <w:tc>
          <w:tcPr>
            <w:tcW w:w="2131" w:type="dxa"/>
          </w:tcPr>
          <w:p>
            <w:pPr>
              <w:widowControl w:val="0"/>
              <w:jc w:val="both"/>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4</w:t>
            </w:r>
          </w:p>
        </w:tc>
        <w:tc>
          <w:tcPr>
            <w:tcW w:w="2130" w:type="dxa"/>
          </w:tcPr>
          <w:p>
            <w:pPr>
              <w:widowControl w:val="0"/>
              <w:jc w:val="both"/>
              <w:rPr>
                <w:rFonts w:hint="default"/>
                <w:vertAlign w:val="baseline"/>
                <w:lang w:val="en"/>
              </w:rPr>
            </w:pPr>
            <w:r>
              <w:rPr>
                <w:rFonts w:hint="default"/>
                <w:vertAlign w:val="baseline"/>
                <w:lang w:val="en"/>
              </w:rPr>
              <w:t>CryptoLocker (September 2013)</w:t>
            </w:r>
          </w:p>
        </w:tc>
        <w:tc>
          <w:tcPr>
            <w:tcW w:w="2131" w:type="dxa"/>
          </w:tcPr>
          <w:p>
            <w:pPr>
              <w:widowControl w:val="0"/>
              <w:jc w:val="both"/>
              <w:rPr>
                <w:rFonts w:hint="default"/>
                <w:vertAlign w:val="baseline"/>
                <w:lang w:val="en"/>
              </w:rPr>
            </w:pPr>
            <w:r>
              <w:rPr>
                <w:rFonts w:hint="default"/>
                <w:vertAlign w:val="baseline"/>
                <w:lang w:val="en"/>
              </w:rPr>
              <w:t>See (3).</w:t>
            </w:r>
          </w:p>
        </w:tc>
        <w:tc>
          <w:tcPr>
            <w:tcW w:w="2131" w:type="dxa"/>
          </w:tcPr>
          <w:p>
            <w:pPr>
              <w:widowControl w:val="0"/>
              <w:jc w:val="both"/>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5</w:t>
            </w:r>
          </w:p>
        </w:tc>
        <w:tc>
          <w:tcPr>
            <w:tcW w:w="2130" w:type="dxa"/>
          </w:tcPr>
          <w:p>
            <w:pPr>
              <w:widowControl w:val="0"/>
              <w:jc w:val="both"/>
              <w:rPr>
                <w:rFonts w:hint="default"/>
                <w:vertAlign w:val="baseline"/>
                <w:lang w:val="en"/>
              </w:rPr>
            </w:pPr>
            <w:r>
              <w:rPr>
                <w:rFonts w:hint="default"/>
                <w:vertAlign w:val="baseline"/>
                <w:lang w:val="en"/>
              </w:rPr>
              <w:t>CryptoLocker (January 2014)</w:t>
            </w:r>
          </w:p>
        </w:tc>
        <w:tc>
          <w:tcPr>
            <w:tcW w:w="2131" w:type="dxa"/>
          </w:tcPr>
          <w:p>
            <w:pPr>
              <w:widowControl w:val="0"/>
              <w:jc w:val="both"/>
              <w:rPr>
                <w:rFonts w:hint="default"/>
                <w:vertAlign w:val="baseline"/>
                <w:lang w:val="en"/>
              </w:rPr>
            </w:pPr>
            <w:r>
              <w:rPr>
                <w:rFonts w:hint="default"/>
                <w:vertAlign w:val="baseline"/>
                <w:lang w:val="en"/>
              </w:rPr>
              <w:t>See (3).</w:t>
            </w:r>
          </w:p>
        </w:tc>
        <w:tc>
          <w:tcPr>
            <w:tcW w:w="2131" w:type="dxa"/>
          </w:tcPr>
          <w:p>
            <w:pPr>
              <w:widowControl w:val="0"/>
              <w:jc w:val="both"/>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6</w:t>
            </w:r>
          </w:p>
        </w:tc>
        <w:tc>
          <w:tcPr>
            <w:tcW w:w="2130" w:type="dxa"/>
          </w:tcPr>
          <w:p>
            <w:pPr>
              <w:widowControl w:val="0"/>
              <w:jc w:val="both"/>
              <w:rPr>
                <w:rFonts w:hint="default"/>
                <w:vertAlign w:val="baseline"/>
                <w:lang w:val="en"/>
              </w:rPr>
            </w:pPr>
            <w:r>
              <w:rPr>
                <w:rFonts w:hint="default"/>
                <w:vertAlign w:val="baseline"/>
                <w:lang w:val="en"/>
              </w:rPr>
              <w:t>CryptoWall</w:t>
            </w:r>
          </w:p>
        </w:tc>
        <w:tc>
          <w:tcPr>
            <w:tcW w:w="2131" w:type="dxa"/>
          </w:tcPr>
          <w:p>
            <w:pPr>
              <w:widowControl w:val="0"/>
              <w:jc w:val="both"/>
              <w:rPr>
                <w:rFonts w:hint="default"/>
                <w:vertAlign w:val="baseline"/>
                <w:lang w:val="en"/>
              </w:rPr>
            </w:pPr>
            <w:r>
              <w:rPr>
                <w:rFonts w:hint="default"/>
                <w:vertAlign w:val="baseline"/>
                <w:lang w:val="en"/>
              </w:rPr>
              <w:t>No visible infection, no visible process, no encryption.</w:t>
            </w:r>
          </w:p>
        </w:tc>
        <w:tc>
          <w:tcPr>
            <w:tcW w:w="2131" w:type="dxa"/>
          </w:tcPr>
          <w:p>
            <w:pPr>
              <w:widowControl w:val="0"/>
              <w:jc w:val="both"/>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7</w:t>
            </w:r>
          </w:p>
        </w:tc>
        <w:tc>
          <w:tcPr>
            <w:tcW w:w="2130" w:type="dxa"/>
          </w:tcPr>
          <w:p>
            <w:pPr>
              <w:widowControl w:val="0"/>
              <w:jc w:val="both"/>
              <w:rPr>
                <w:rFonts w:hint="default"/>
                <w:vertAlign w:val="baseline"/>
                <w:lang w:val="en"/>
              </w:rPr>
            </w:pPr>
            <w:r>
              <w:rPr>
                <w:rFonts w:hint="default"/>
                <w:vertAlign w:val="baseline"/>
                <w:lang w:val="en"/>
              </w:rPr>
              <w:t>DirCrypt</w:t>
            </w:r>
          </w:p>
        </w:tc>
        <w:tc>
          <w:tcPr>
            <w:tcW w:w="2131" w:type="dxa"/>
          </w:tcPr>
          <w:p>
            <w:pPr>
              <w:widowControl w:val="0"/>
              <w:jc w:val="both"/>
              <w:rPr>
                <w:rFonts w:hint="default"/>
                <w:vertAlign w:val="baseline"/>
                <w:lang w:val="en"/>
              </w:rPr>
            </w:pPr>
            <w:r>
              <w:rPr>
                <w:rFonts w:hint="default"/>
                <w:vertAlign w:val="baseline"/>
                <w:lang w:val="en"/>
              </w:rPr>
              <w:t>N/A</w:t>
            </w:r>
          </w:p>
        </w:tc>
        <w:tc>
          <w:tcPr>
            <w:tcW w:w="2131" w:type="dxa"/>
          </w:tcPr>
          <w:p>
            <w:pPr>
              <w:widowControl w:val="0"/>
              <w:jc w:val="both"/>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31687831"/>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971063524"/>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260372156"/>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759186767"/>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1604880"/>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97452814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8335135"/>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w:t>
      </w:r>
      <w:r>
        <w:rPr>
          <w:rFonts w:hint="default"/>
          <w:b/>
          <w:bCs/>
          <w:lang w:val="en"/>
        </w:rPr>
        <w:drawing>
          <wp:anchor distT="0" distB="0" distL="114300" distR="114300" simplePos="0" relativeHeight="251667456" behindDoc="0" locked="0" layoutInCell="1" allowOverlap="1">
            <wp:simplePos x="0" y="0"/>
            <wp:positionH relativeFrom="column">
              <wp:posOffset>0</wp:posOffset>
            </wp:positionH>
            <wp:positionV relativeFrom="paragraph">
              <wp:posOffset>294640</wp:posOffset>
            </wp:positionV>
            <wp:extent cx="5273040" cy="3677920"/>
            <wp:effectExtent l="0" t="0" r="3810" b="17780"/>
            <wp:wrapTopAndBottom/>
            <wp:docPr id="10" name="Picture 10"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1_task_infection"/>
                    <pic:cNvPicPr>
                      <a:picLocks noChangeAspect="1"/>
                    </pic:cNvPicPr>
                  </pic:nvPicPr>
                  <pic:blipFill>
                    <a:blip r:embed="rId21"/>
                    <a:stretch>
                      <a:fillRect/>
                    </a:stretch>
                  </pic:blipFill>
                  <pic:spPr>
                    <a:xfrm>
                      <a:off x="0" y="0"/>
                      <a:ext cx="5273040" cy="3677920"/>
                    </a:xfrm>
                    <a:prstGeom prst="rect">
                      <a:avLst/>
                    </a:prstGeom>
                  </pic:spPr>
                </pic:pic>
              </a:graphicData>
            </a:graphic>
          </wp:anchor>
        </w:drawing>
      </w:r>
      <w:r>
        <w:rPr>
          <w:rFonts w:hint="default"/>
          <w:b/>
          <w:bCs/>
          <w:lang w:val="en"/>
        </w:rPr>
        <w:t>ptoLocker (N</w:t>
      </w:r>
      <w:bookmarkStart w:id="28" w:name="_GoBack"/>
      <w:bookmarkEnd w:id="28"/>
      <w:r>
        <w:rPr>
          <w:rFonts w:hint="default"/>
          <w:b/>
          <w:bCs/>
          <w:lang w:val="en"/>
        </w:rPr>
        <w:t>ovember 2013) Infection</w:t>
      </w:r>
    </w:p>
    <w:p>
      <w:pPr>
        <w:rPr>
          <w:rFonts w:hint="default"/>
          <w:b/>
          <w:bCs/>
          <w:lang w:val="en"/>
        </w:rPr>
      </w:pPr>
      <w:r>
        <w:rPr>
          <w:rFonts w:hint="default"/>
          <w:b/>
          <w:bCs/>
          <w:lang w:val="en"/>
        </w:rPr>
        <w:drawing>
          <wp:inline distT="0" distB="0" distL="114300" distR="114300">
            <wp:extent cx="5272405" cy="4220210"/>
            <wp:effectExtent l="0" t="0" r="4445" b="8890"/>
            <wp:docPr id="12" name="Picture 12"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ryptoLocker_Jan2014_process"/>
                    <pic:cNvPicPr>
                      <a:picLocks noChangeAspect="1"/>
                    </pic:cNvPicPr>
                  </pic:nvPicPr>
                  <pic:blipFill>
                    <a:blip r:embed="rId22"/>
                    <a:stretch>
                      <a:fillRect/>
                    </a:stretch>
                  </pic:blipFill>
                  <pic:spPr>
                    <a:xfrm>
                      <a:off x="0" y="0"/>
                      <a:ext cx="5272405" cy="4220210"/>
                    </a:xfrm>
                    <a:prstGeom prst="rect">
                      <a:avLst/>
                    </a:prstGeom>
                  </pic:spPr>
                </pic:pic>
              </a:graphicData>
            </a:graphic>
          </wp:inline>
        </w:drawing>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31601C5D"/>
    <w:rsid w:val="31A80F85"/>
    <w:rsid w:val="33E97EAE"/>
    <w:rsid w:val="34B971F4"/>
    <w:rsid w:val="35893AE2"/>
    <w:rsid w:val="35AF60DA"/>
    <w:rsid w:val="35DE466A"/>
    <w:rsid w:val="39393C7B"/>
    <w:rsid w:val="39F272A0"/>
    <w:rsid w:val="3A940937"/>
    <w:rsid w:val="3AC924E2"/>
    <w:rsid w:val="3ACD6B91"/>
    <w:rsid w:val="3B5CC424"/>
    <w:rsid w:val="3B7178A3"/>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EDF37FC"/>
    <w:rsid w:val="5F2509BF"/>
    <w:rsid w:val="5F815030"/>
    <w:rsid w:val="5F93339C"/>
    <w:rsid w:val="5FF165C7"/>
    <w:rsid w:val="5FF9454E"/>
    <w:rsid w:val="61654D66"/>
    <w:rsid w:val="61786897"/>
    <w:rsid w:val="61956842"/>
    <w:rsid w:val="61F86041"/>
    <w:rsid w:val="629C1D4D"/>
    <w:rsid w:val="639B4604"/>
    <w:rsid w:val="63FE6F63"/>
    <w:rsid w:val="642A31A9"/>
    <w:rsid w:val="65005FA3"/>
    <w:rsid w:val="656610DB"/>
    <w:rsid w:val="66C45C10"/>
    <w:rsid w:val="67275BAB"/>
    <w:rsid w:val="67707E09"/>
    <w:rsid w:val="68981789"/>
    <w:rsid w:val="68E20007"/>
    <w:rsid w:val="68F71AF7"/>
    <w:rsid w:val="6921408E"/>
    <w:rsid w:val="6B440D7B"/>
    <w:rsid w:val="6B7E28FB"/>
    <w:rsid w:val="6B957B85"/>
    <w:rsid w:val="6BDF1E52"/>
    <w:rsid w:val="6C0B7223"/>
    <w:rsid w:val="6DA90F57"/>
    <w:rsid w:val="6E6B3B21"/>
    <w:rsid w:val="6EE16657"/>
    <w:rsid w:val="6EF5C2D1"/>
    <w:rsid w:val="6EFE551F"/>
    <w:rsid w:val="6F222061"/>
    <w:rsid w:val="6F7F41D4"/>
    <w:rsid w:val="6FD5B5F1"/>
    <w:rsid w:val="6FEDCE13"/>
    <w:rsid w:val="6FF629C4"/>
    <w:rsid w:val="6FFE3F3C"/>
    <w:rsid w:val="716E40F2"/>
    <w:rsid w:val="71CC031E"/>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BA4F95"/>
    <w:rsid w:val="7DEF4757"/>
    <w:rsid w:val="7DFBCABE"/>
    <w:rsid w:val="7E06423A"/>
    <w:rsid w:val="7E0B3766"/>
    <w:rsid w:val="7E7DE874"/>
    <w:rsid w:val="7EF84B00"/>
    <w:rsid w:val="7EFBFE95"/>
    <w:rsid w:val="7F7D37C2"/>
    <w:rsid w:val="7FAF82CB"/>
    <w:rsid w:val="7FBE1C63"/>
    <w:rsid w:val="7FCFAB95"/>
    <w:rsid w:val="7FD92D21"/>
    <w:rsid w:val="7FF90EEA"/>
    <w:rsid w:val="7FFF54A6"/>
    <w:rsid w:val="97DFFAF3"/>
    <w:rsid w:val="97FB6237"/>
    <w:rsid w:val="9DCF76DC"/>
    <w:rsid w:val="B5B7D87B"/>
    <w:rsid w:val="B8FEE996"/>
    <w:rsid w:val="B9F57E9A"/>
    <w:rsid w:val="BDFA98BA"/>
    <w:rsid w:val="BF79C447"/>
    <w:rsid w:val="C6BA22BF"/>
    <w:rsid w:val="CAD7AD8F"/>
    <w:rsid w:val="CEFE2E66"/>
    <w:rsid w:val="CFBFE786"/>
    <w:rsid w:val="D28952EF"/>
    <w:rsid w:val="D3F7D00C"/>
    <w:rsid w:val="D4899794"/>
    <w:rsid w:val="DD7735B2"/>
    <w:rsid w:val="DE1FC7CC"/>
    <w:rsid w:val="DE6CBFFF"/>
    <w:rsid w:val="DE95D898"/>
    <w:rsid w:val="DEBF1FFF"/>
    <w:rsid w:val="DEDFFAD5"/>
    <w:rsid w:val="DF6F6EA0"/>
    <w:rsid w:val="DFB3484E"/>
    <w:rsid w:val="DFFFF0B2"/>
    <w:rsid w:val="E5F7BD49"/>
    <w:rsid w:val="E64F9211"/>
    <w:rsid w:val="E67A7678"/>
    <w:rsid w:val="E6FB6900"/>
    <w:rsid w:val="E7BFB356"/>
    <w:rsid w:val="E7FFDF90"/>
    <w:rsid w:val="EA6FB71B"/>
    <w:rsid w:val="EBEE0E14"/>
    <w:rsid w:val="EC65B24A"/>
    <w:rsid w:val="EC7B8729"/>
    <w:rsid w:val="ECBACF45"/>
    <w:rsid w:val="EDFDDC44"/>
    <w:rsid w:val="EEBDC17B"/>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FEA2D6"/>
    <w:rsid w:val="FEBEDBED"/>
    <w:rsid w:val="FF3D9480"/>
    <w:rsid w:val="FF57E650"/>
    <w:rsid w:val="FF7F31E2"/>
    <w:rsid w:val="FFB7E856"/>
    <w:rsid w:val="FFB931F7"/>
    <w:rsid w:val="FFBD9D77"/>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2020-05-27T22:30:00Z</dcterms:created>
  <dc:creator>Jacob Williams</dc:creator>
  <cp:lastModifiedBy>j</cp:lastModifiedBy>
  <dcterms:modified xsi:type="dcterms:W3CDTF">2020-08-24T16:45:50Z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